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93" w:rsidRPr="00773625" w:rsidRDefault="00AB3B2B" w:rsidP="00773625">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sidRPr="00773625">
        <w:rPr>
          <w:rFonts w:asciiTheme="minorHAnsi" w:eastAsiaTheme="majorEastAsia" w:hAnsiTheme="minorHAnsi" w:cstheme="majorBidi"/>
          <w:bCs w:val="0"/>
          <w:snapToGrid/>
          <w:spacing w:val="5"/>
          <w:sz w:val="36"/>
          <w:szCs w:val="36"/>
          <w:lang w:eastAsia="en-AU"/>
        </w:rPr>
        <w:t>5.08</w:t>
      </w:r>
      <w:r w:rsidR="00B60939" w:rsidRPr="00773625">
        <w:rPr>
          <w:rFonts w:asciiTheme="minorHAnsi" w:eastAsiaTheme="majorEastAsia" w:hAnsiTheme="minorHAnsi" w:cstheme="majorBidi"/>
          <w:bCs w:val="0"/>
          <w:snapToGrid/>
          <w:spacing w:val="5"/>
          <w:sz w:val="36"/>
          <w:szCs w:val="36"/>
          <w:lang w:eastAsia="en-AU"/>
        </w:rPr>
        <w:tab/>
      </w:r>
      <w:r w:rsidR="000A5C93" w:rsidRPr="00773625">
        <w:rPr>
          <w:rFonts w:asciiTheme="minorHAnsi" w:eastAsiaTheme="majorEastAsia" w:hAnsiTheme="minorHAnsi" w:cstheme="majorBidi"/>
          <w:bCs w:val="0"/>
          <w:snapToGrid/>
          <w:spacing w:val="5"/>
          <w:sz w:val="36"/>
          <w:szCs w:val="36"/>
          <w:lang w:eastAsia="en-AU"/>
        </w:rPr>
        <w:t xml:space="preserve">TEZACAFTOR with IVACAFTOR, </w:t>
      </w:r>
    </w:p>
    <w:p w:rsidR="00773625" w:rsidRDefault="0014390D" w:rsidP="00773625">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773625">
        <w:rPr>
          <w:rFonts w:asciiTheme="minorHAnsi" w:eastAsiaTheme="majorEastAsia" w:hAnsiTheme="minorHAnsi" w:cstheme="majorBidi"/>
          <w:bCs w:val="0"/>
          <w:snapToGrid/>
          <w:spacing w:val="5"/>
          <w:sz w:val="36"/>
          <w:szCs w:val="36"/>
          <w:lang w:eastAsia="en-AU"/>
        </w:rPr>
        <w:t xml:space="preserve">Pack </w:t>
      </w:r>
      <w:r w:rsidR="000A5C93" w:rsidRPr="00773625">
        <w:rPr>
          <w:rFonts w:asciiTheme="minorHAnsi" w:eastAsiaTheme="majorEastAsia" w:hAnsiTheme="minorHAnsi" w:cstheme="majorBidi"/>
          <w:bCs w:val="0"/>
          <w:snapToGrid/>
          <w:spacing w:val="5"/>
          <w:sz w:val="36"/>
          <w:szCs w:val="36"/>
          <w:lang w:eastAsia="en-AU"/>
        </w:rPr>
        <w:t xml:space="preserve">containing tezacaftor 100 mg with </w:t>
      </w:r>
    </w:p>
    <w:p w:rsidR="000A5C93" w:rsidRPr="00773625" w:rsidRDefault="000A5C93" w:rsidP="00773625">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773625">
        <w:rPr>
          <w:rFonts w:asciiTheme="minorHAnsi" w:eastAsiaTheme="majorEastAsia" w:hAnsiTheme="minorHAnsi" w:cstheme="majorBidi"/>
          <w:bCs w:val="0"/>
          <w:snapToGrid/>
          <w:spacing w:val="5"/>
          <w:sz w:val="36"/>
          <w:szCs w:val="36"/>
          <w:lang w:eastAsia="en-AU"/>
        </w:rPr>
        <w:t>ivacaftor 150 mg</w:t>
      </w:r>
      <w:r w:rsidR="0014390D" w:rsidRPr="00773625">
        <w:rPr>
          <w:rFonts w:asciiTheme="minorHAnsi" w:eastAsiaTheme="majorEastAsia" w:hAnsiTheme="minorHAnsi" w:cstheme="majorBidi"/>
          <w:bCs w:val="0"/>
          <w:snapToGrid/>
          <w:spacing w:val="5"/>
          <w:sz w:val="36"/>
          <w:szCs w:val="36"/>
          <w:lang w:eastAsia="en-AU"/>
        </w:rPr>
        <w:t xml:space="preserve"> tablets and ivacaftor 150 mg tablets</w:t>
      </w:r>
      <w:r w:rsidRPr="00773625">
        <w:rPr>
          <w:rFonts w:asciiTheme="minorHAnsi" w:eastAsiaTheme="majorEastAsia" w:hAnsiTheme="minorHAnsi" w:cstheme="majorBidi"/>
          <w:bCs w:val="0"/>
          <w:snapToGrid/>
          <w:spacing w:val="5"/>
          <w:sz w:val="36"/>
          <w:szCs w:val="36"/>
          <w:lang w:eastAsia="en-AU"/>
        </w:rPr>
        <w:t>,</w:t>
      </w:r>
    </w:p>
    <w:p w:rsidR="00B60939" w:rsidRPr="00773625" w:rsidRDefault="00C9714E" w:rsidP="00773625">
      <w:pPr>
        <w:pStyle w:val="Title"/>
        <w:widowControl/>
        <w:spacing w:before="120" w:after="160"/>
        <w:ind w:left="720"/>
        <w:contextualSpacing/>
        <w:jc w:val="left"/>
        <w:rPr>
          <w:rFonts w:asciiTheme="minorHAnsi" w:eastAsiaTheme="majorEastAsia" w:hAnsiTheme="minorHAnsi" w:cstheme="majorBidi"/>
          <w:bCs w:val="0"/>
          <w:snapToGrid/>
          <w:spacing w:val="5"/>
          <w:sz w:val="36"/>
          <w:szCs w:val="36"/>
          <w:lang w:eastAsia="en-AU"/>
        </w:rPr>
      </w:pPr>
      <w:r w:rsidRPr="00773625">
        <w:rPr>
          <w:rFonts w:asciiTheme="minorHAnsi" w:eastAsiaTheme="majorEastAsia" w:hAnsiTheme="minorHAnsi" w:cstheme="majorBidi"/>
          <w:bCs w:val="0"/>
          <w:snapToGrid/>
          <w:spacing w:val="5"/>
          <w:sz w:val="36"/>
          <w:szCs w:val="36"/>
          <w:lang w:eastAsia="en-AU"/>
        </w:rPr>
        <w:t>Symdeko</w:t>
      </w:r>
      <w:r w:rsidR="00B60939" w:rsidRPr="00773625">
        <w:rPr>
          <w:rFonts w:asciiTheme="minorHAnsi" w:eastAsiaTheme="majorEastAsia" w:hAnsiTheme="minorHAnsi" w:cstheme="majorBidi"/>
          <w:bCs w:val="0"/>
          <w:snapToGrid/>
          <w:spacing w:val="5"/>
          <w:sz w:val="36"/>
          <w:szCs w:val="36"/>
          <w:lang w:eastAsia="en-AU"/>
        </w:rPr>
        <w:t xml:space="preserve">®, </w:t>
      </w:r>
      <w:r w:rsidRPr="00773625">
        <w:rPr>
          <w:rFonts w:asciiTheme="minorHAnsi" w:eastAsiaTheme="majorEastAsia" w:hAnsiTheme="minorHAnsi" w:cstheme="majorBidi"/>
          <w:bCs w:val="0"/>
          <w:snapToGrid/>
          <w:spacing w:val="5"/>
          <w:sz w:val="36"/>
          <w:szCs w:val="36"/>
          <w:lang w:eastAsia="en-AU"/>
        </w:rPr>
        <w:t>Vertex Pharmaceuticals</w:t>
      </w:r>
    </w:p>
    <w:p w:rsidR="00433044" w:rsidRPr="00F77E7A" w:rsidRDefault="00433044" w:rsidP="00EF2E6B">
      <w:pPr>
        <w:pStyle w:val="BodyText"/>
        <w:widowControl/>
      </w:pPr>
    </w:p>
    <w:p w:rsidR="00B60939" w:rsidRPr="00F77E7A" w:rsidRDefault="00BE4C97" w:rsidP="00951ED3">
      <w:pPr>
        <w:pStyle w:val="BodyText"/>
        <w:widowControl/>
        <w:spacing w:before="120" w:after="120"/>
        <w:jc w:val="both"/>
      </w:pPr>
      <w:r w:rsidRPr="00F77E7A">
        <w:t>Note:</w:t>
      </w:r>
      <w:r w:rsidR="00FC0045" w:rsidRPr="00F77E7A">
        <w:t xml:space="preserve"> Th</w:t>
      </w:r>
      <w:r w:rsidR="00125A58" w:rsidRPr="00F77E7A">
        <w:t xml:space="preserve">e </w:t>
      </w:r>
      <w:r w:rsidR="00FC0045" w:rsidRPr="00F77E7A">
        <w:t xml:space="preserve">submission </w:t>
      </w:r>
      <w:r w:rsidR="00125A58" w:rsidRPr="00F77E7A">
        <w:t xml:space="preserve">provided by the sponsor contained information relevant to two different patient groups and proposed PBS listings: cystic fibrosis patients </w:t>
      </w:r>
      <w:r w:rsidR="006C1086" w:rsidRPr="00F77E7A">
        <w:t xml:space="preserve">who are homozygous for the </w:t>
      </w:r>
      <w:r w:rsidR="00125A58" w:rsidRPr="00F77E7A">
        <w:t xml:space="preserve">F508 deletion and those with residual function (RF) mutations. For clarity, </w:t>
      </w:r>
      <w:r w:rsidR="001F696C" w:rsidRPr="00F77E7A">
        <w:t>two separate</w:t>
      </w:r>
      <w:r w:rsidR="00125A58" w:rsidRPr="00F77E7A">
        <w:t xml:space="preserve"> </w:t>
      </w:r>
      <w:r w:rsidR="00A343D7" w:rsidRPr="00F77E7A">
        <w:t>set</w:t>
      </w:r>
      <w:r w:rsidR="002537EA" w:rsidRPr="00F77E7A">
        <w:t>s</w:t>
      </w:r>
      <w:r w:rsidR="00A343D7" w:rsidRPr="00F77E7A">
        <w:t xml:space="preserve"> of </w:t>
      </w:r>
      <w:r w:rsidR="001F696C" w:rsidRPr="00F77E7A">
        <w:t>have</w:t>
      </w:r>
      <w:r w:rsidR="00125A58" w:rsidRPr="00F77E7A">
        <w:t xml:space="preserve"> been presented. </w:t>
      </w:r>
      <w:r w:rsidR="00A343D7" w:rsidRPr="00F77E7A">
        <w:t>Th</w:t>
      </w:r>
      <w:r w:rsidR="00F014F5">
        <w:t xml:space="preserve">is PSD </w:t>
      </w:r>
      <w:r w:rsidR="00125A58" w:rsidRPr="00F77E7A">
        <w:t>deal</w:t>
      </w:r>
      <w:r w:rsidR="00F014F5">
        <w:t>s</w:t>
      </w:r>
      <w:r w:rsidR="00125A58" w:rsidRPr="00F77E7A">
        <w:t xml:space="preserve"> with the evidence in respect of the RF mutation</w:t>
      </w:r>
      <w:r w:rsidR="006C1086" w:rsidRPr="00F77E7A">
        <w:t>s</w:t>
      </w:r>
      <w:r w:rsidR="00125A58" w:rsidRPr="00F77E7A">
        <w:t xml:space="preserve"> listing.</w:t>
      </w:r>
      <w:r w:rsidR="00FC0045" w:rsidRPr="00F77E7A">
        <w:t xml:space="preserve"> </w:t>
      </w:r>
    </w:p>
    <w:p w:rsidR="00B60939" w:rsidRPr="00F77E7A" w:rsidRDefault="00B50DB8" w:rsidP="00951ED3">
      <w:pPr>
        <w:pStyle w:val="PBACHeading1"/>
        <w:numPr>
          <w:ilvl w:val="0"/>
          <w:numId w:val="22"/>
        </w:numPr>
        <w:spacing w:before="120"/>
      </w:pPr>
      <w:bookmarkStart w:id="0" w:name="_Toc532280231"/>
      <w:r w:rsidRPr="00F77E7A">
        <w:t>Purpose of Application</w:t>
      </w:r>
      <w:bookmarkEnd w:id="0"/>
    </w:p>
    <w:p w:rsidR="002C2775" w:rsidRPr="00F77E7A" w:rsidRDefault="008621E8" w:rsidP="00951ED3">
      <w:pPr>
        <w:pStyle w:val="ListParagraph"/>
        <w:widowControl/>
        <w:numPr>
          <w:ilvl w:val="1"/>
          <w:numId w:val="2"/>
        </w:numPr>
        <w:spacing w:before="120" w:after="120"/>
      </w:pPr>
      <w:r w:rsidRPr="00F77E7A">
        <w:t xml:space="preserve">The submission requested a </w:t>
      </w:r>
      <w:r w:rsidR="008B1757" w:rsidRPr="00F77E7A">
        <w:t xml:space="preserve">Section 100, Authority Required listing for </w:t>
      </w:r>
      <w:r w:rsidRPr="00F77E7A">
        <w:t>tezacaftor/ivacaftor</w:t>
      </w:r>
      <w:r w:rsidR="008B1757" w:rsidRPr="00F77E7A">
        <w:t xml:space="preserve"> for treatment of </w:t>
      </w:r>
      <w:r w:rsidRPr="00F77E7A">
        <w:t xml:space="preserve">cystic fibrosis (CF) patients aged 12 years and older who have at least one residual function (RF) mutation in the CFTR gene. </w:t>
      </w:r>
      <w:r w:rsidR="00D222B6" w:rsidRPr="00F77E7A">
        <w:t xml:space="preserve">Tezacaftor/ivacaftor </w:t>
      </w:r>
      <w:r w:rsidR="00FC31DB" w:rsidRPr="00F77E7A">
        <w:t xml:space="preserve">had </w:t>
      </w:r>
      <w:r w:rsidR="00D222B6" w:rsidRPr="00F77E7A">
        <w:t xml:space="preserve">not been previously considered by the PBAC. </w:t>
      </w:r>
    </w:p>
    <w:p w:rsidR="008B1757" w:rsidRPr="00F77E7A" w:rsidRDefault="008B1757" w:rsidP="00EF2E6B">
      <w:pPr>
        <w:keepNext/>
        <w:keepLines/>
        <w:widowControl/>
        <w:rPr>
          <w:rStyle w:val="CommentReference"/>
        </w:rPr>
      </w:pPr>
      <w:r w:rsidRPr="00F77E7A">
        <w:rPr>
          <w:rStyle w:val="CommentReference"/>
        </w:rPr>
        <w:t>T</w:t>
      </w:r>
      <w:r w:rsidR="00894E7C" w:rsidRPr="00F77E7A">
        <w:rPr>
          <w:rStyle w:val="CommentReference"/>
        </w:rPr>
        <w:t>able 1</w:t>
      </w:r>
      <w:r w:rsidRPr="00F77E7A">
        <w:rPr>
          <w:rStyle w:val="CommentReference"/>
        </w:rPr>
        <w:t>: Key components of the clinical issue addressed by the submission</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418"/>
        <w:gridCol w:w="7599"/>
      </w:tblGrid>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1"/>
              <w:spacing w:before="0" w:after="0"/>
              <w:rPr>
                <w:rFonts w:ascii="Arial Narrow" w:hAnsi="Arial Narrow"/>
                <w:sz w:val="20"/>
                <w:szCs w:val="20"/>
                <w:lang w:val="en-AU"/>
              </w:rPr>
            </w:pPr>
            <w:r w:rsidRPr="00F77E7A">
              <w:rPr>
                <w:rFonts w:ascii="Arial Narrow" w:hAnsi="Arial Narrow"/>
                <w:sz w:val="20"/>
                <w:szCs w:val="20"/>
                <w:lang w:val="en-AU"/>
              </w:rPr>
              <w:t>Component</w:t>
            </w:r>
          </w:p>
        </w:tc>
        <w:tc>
          <w:tcPr>
            <w:tcW w:w="7608" w:type="dxa"/>
          </w:tcPr>
          <w:p w:rsidR="00894E7C" w:rsidRPr="00F77E7A" w:rsidRDefault="00894E7C" w:rsidP="00EF2E6B">
            <w:pPr>
              <w:pStyle w:val="TableH1"/>
              <w:spacing w:before="0" w:after="0"/>
              <w:rPr>
                <w:rFonts w:ascii="Arial Narrow" w:hAnsi="Arial Narrow"/>
                <w:sz w:val="20"/>
                <w:szCs w:val="20"/>
                <w:lang w:val="en-AU"/>
              </w:rPr>
            </w:pPr>
            <w:r w:rsidRPr="00F77E7A">
              <w:rPr>
                <w:rFonts w:ascii="Arial Narrow" w:hAnsi="Arial Narrow"/>
                <w:sz w:val="20"/>
                <w:szCs w:val="20"/>
                <w:lang w:val="en-AU"/>
              </w:rPr>
              <w:t>Description</w:t>
            </w:r>
          </w:p>
        </w:tc>
      </w:tr>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eadingleft"/>
              <w:keepNext/>
              <w:spacing w:before="0" w:after="0"/>
              <w:rPr>
                <w:rFonts w:ascii="Arial Narrow" w:hAnsi="Arial Narrow"/>
                <w:sz w:val="20"/>
                <w:szCs w:val="20"/>
                <w:lang w:val="en-AU"/>
              </w:rPr>
            </w:pPr>
            <w:r w:rsidRPr="00F77E7A">
              <w:rPr>
                <w:rFonts w:ascii="Arial Narrow" w:hAnsi="Arial Narrow"/>
                <w:sz w:val="20"/>
                <w:szCs w:val="20"/>
                <w:lang w:val="en-AU"/>
              </w:rPr>
              <w:t>Population</w:t>
            </w:r>
          </w:p>
        </w:tc>
        <w:tc>
          <w:tcPr>
            <w:tcW w:w="7608" w:type="dxa"/>
          </w:tcPr>
          <w:p w:rsidR="00894E7C" w:rsidRPr="00F77E7A" w:rsidRDefault="00894E7C" w:rsidP="00EF2E6B">
            <w:pPr>
              <w:keepNext/>
              <w:widowControl/>
              <w:spacing w:before="0" w:after="0"/>
              <w:rPr>
                <w:rFonts w:ascii="Arial Narrow" w:hAnsi="Arial Narrow"/>
                <w:sz w:val="20"/>
                <w:szCs w:val="20"/>
                <w:lang w:val="en-AU"/>
              </w:rPr>
            </w:pPr>
            <w:r w:rsidRPr="00F77E7A">
              <w:rPr>
                <w:rFonts w:ascii="Arial Narrow" w:hAnsi="Arial Narrow"/>
                <w:sz w:val="20"/>
                <w:szCs w:val="20"/>
                <w:lang w:val="en-AU"/>
              </w:rPr>
              <w:t xml:space="preserve">Patients who have at least one RF mutation in the </w:t>
            </w:r>
            <w:r w:rsidRPr="00F77E7A">
              <w:rPr>
                <w:rFonts w:ascii="Arial Narrow" w:hAnsi="Arial Narrow"/>
                <w:i/>
                <w:sz w:val="20"/>
                <w:szCs w:val="20"/>
                <w:lang w:val="en-AU"/>
              </w:rPr>
              <w:t>CFTR</w:t>
            </w:r>
            <w:r w:rsidRPr="00F77E7A">
              <w:rPr>
                <w:rFonts w:ascii="Arial Narrow" w:hAnsi="Arial Narrow"/>
                <w:sz w:val="20"/>
                <w:szCs w:val="20"/>
                <w:lang w:val="en-AU"/>
              </w:rPr>
              <w:t xml:space="preserve"> gene.</w:t>
            </w:r>
          </w:p>
        </w:tc>
      </w:tr>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eadingleft"/>
              <w:keepNext/>
              <w:spacing w:before="0" w:after="0"/>
              <w:rPr>
                <w:rFonts w:ascii="Arial Narrow" w:hAnsi="Arial Narrow"/>
                <w:sz w:val="20"/>
                <w:szCs w:val="20"/>
                <w:lang w:val="en-AU"/>
              </w:rPr>
            </w:pPr>
            <w:r w:rsidRPr="00F77E7A">
              <w:rPr>
                <w:rFonts w:ascii="Arial Narrow" w:hAnsi="Arial Narrow"/>
                <w:sz w:val="20"/>
                <w:szCs w:val="20"/>
                <w:lang w:val="en-AU"/>
              </w:rPr>
              <w:t>Intervention</w:t>
            </w:r>
          </w:p>
        </w:tc>
        <w:tc>
          <w:tcPr>
            <w:tcW w:w="7608" w:type="dxa"/>
          </w:tcPr>
          <w:p w:rsidR="00894E7C" w:rsidRPr="00F77E7A" w:rsidRDefault="00894E7C" w:rsidP="00EF2E6B">
            <w:pPr>
              <w:keepNext/>
              <w:widowControl/>
              <w:spacing w:before="0" w:after="0"/>
              <w:rPr>
                <w:rFonts w:ascii="Arial Narrow" w:hAnsi="Arial Narrow"/>
                <w:sz w:val="20"/>
                <w:szCs w:val="20"/>
                <w:lang w:val="en-AU"/>
              </w:rPr>
            </w:pPr>
            <w:r w:rsidRPr="00F77E7A">
              <w:rPr>
                <w:rFonts w:ascii="Arial Narrow" w:hAnsi="Arial Narrow"/>
                <w:sz w:val="20"/>
                <w:szCs w:val="20"/>
                <w:lang w:val="en-AU"/>
              </w:rPr>
              <w:t>One tablet containing tezacaftor 100 mg/ivacaftor 150 mg in the morning and one tablet containing ivacaftor 150 mg in the evening, approximately 12 hours apart.</w:t>
            </w:r>
          </w:p>
        </w:tc>
      </w:tr>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eadingleft"/>
              <w:keepNext/>
              <w:spacing w:before="0" w:after="0"/>
              <w:rPr>
                <w:rFonts w:ascii="Arial Narrow" w:hAnsi="Arial Narrow"/>
                <w:sz w:val="20"/>
                <w:szCs w:val="20"/>
                <w:lang w:val="en-AU"/>
              </w:rPr>
            </w:pPr>
            <w:r w:rsidRPr="00F77E7A">
              <w:rPr>
                <w:rFonts w:ascii="Arial Narrow" w:hAnsi="Arial Narrow"/>
                <w:sz w:val="20"/>
                <w:szCs w:val="20"/>
                <w:lang w:val="en-AU"/>
              </w:rPr>
              <w:t>Comparator</w:t>
            </w:r>
          </w:p>
        </w:tc>
        <w:tc>
          <w:tcPr>
            <w:tcW w:w="7608" w:type="dxa"/>
          </w:tcPr>
          <w:p w:rsidR="00894E7C" w:rsidRPr="00F77E7A" w:rsidRDefault="00894E7C" w:rsidP="00EF2E6B">
            <w:pPr>
              <w:keepNext/>
              <w:widowControl/>
              <w:spacing w:before="0" w:after="0"/>
              <w:rPr>
                <w:rFonts w:ascii="Arial Narrow" w:hAnsi="Arial Narrow"/>
                <w:sz w:val="20"/>
                <w:szCs w:val="20"/>
                <w:lang w:val="en-AU"/>
              </w:rPr>
            </w:pPr>
            <w:r w:rsidRPr="00F77E7A">
              <w:rPr>
                <w:rFonts w:ascii="Arial Narrow" w:hAnsi="Arial Narrow"/>
                <w:sz w:val="20"/>
                <w:szCs w:val="20"/>
                <w:lang w:val="en-AU"/>
              </w:rPr>
              <w:t>BSC for patients who have at least one RF mutation.</w:t>
            </w:r>
          </w:p>
        </w:tc>
      </w:tr>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eadingleft"/>
              <w:keepNext/>
              <w:spacing w:before="0" w:after="0"/>
              <w:rPr>
                <w:rFonts w:ascii="Arial Narrow" w:hAnsi="Arial Narrow"/>
                <w:sz w:val="20"/>
                <w:szCs w:val="20"/>
                <w:lang w:val="en-AU"/>
              </w:rPr>
            </w:pPr>
            <w:r w:rsidRPr="00F77E7A">
              <w:rPr>
                <w:rFonts w:ascii="Arial Narrow" w:hAnsi="Arial Narrow"/>
                <w:sz w:val="20"/>
                <w:szCs w:val="20"/>
                <w:lang w:val="en-AU"/>
              </w:rPr>
              <w:t>Outcomes</w:t>
            </w:r>
          </w:p>
        </w:tc>
        <w:tc>
          <w:tcPr>
            <w:tcW w:w="7608" w:type="dxa"/>
          </w:tcPr>
          <w:p w:rsidR="00894E7C" w:rsidRPr="00F77E7A" w:rsidRDefault="00894E7C" w:rsidP="00EF2E6B">
            <w:pPr>
              <w:keepNext/>
              <w:widowControl/>
              <w:spacing w:before="0" w:after="0"/>
              <w:contextualSpacing/>
              <w:jc w:val="left"/>
              <w:rPr>
                <w:rFonts w:ascii="Arial Narrow" w:hAnsi="Arial Narrow"/>
                <w:sz w:val="20"/>
                <w:szCs w:val="20"/>
                <w:lang w:val="en-AU"/>
              </w:rPr>
            </w:pPr>
            <w:r w:rsidRPr="00F77E7A">
              <w:rPr>
                <w:rFonts w:ascii="Arial Narrow" w:hAnsi="Arial Narrow"/>
                <w:sz w:val="20"/>
                <w:szCs w:val="20"/>
                <w:lang w:val="en-AU"/>
              </w:rPr>
              <w:t xml:space="preserve">Primary outcome: </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Absolute change from baseline in ppFEV</w:t>
            </w:r>
            <w:r w:rsidRPr="00F77E7A">
              <w:rPr>
                <w:rFonts w:ascii="Arial Narrow" w:hAnsi="Arial Narrow"/>
                <w:sz w:val="20"/>
                <w:szCs w:val="20"/>
                <w:vertAlign w:val="subscript"/>
                <w:lang w:val="en-AU"/>
              </w:rPr>
              <w:t>1</w:t>
            </w:r>
            <w:r w:rsidRPr="00F77E7A">
              <w:rPr>
                <w:rFonts w:ascii="Arial Narrow" w:hAnsi="Arial Narrow"/>
                <w:sz w:val="20"/>
                <w:szCs w:val="20"/>
                <w:lang w:val="en-AU"/>
              </w:rPr>
              <w:t>.</w:t>
            </w:r>
          </w:p>
          <w:p w:rsidR="00894E7C" w:rsidRPr="00F77E7A" w:rsidRDefault="00894E7C" w:rsidP="00EF2E6B">
            <w:pPr>
              <w:keepNext/>
              <w:widowControl/>
              <w:spacing w:before="0" w:after="0"/>
              <w:contextualSpacing/>
              <w:jc w:val="left"/>
              <w:rPr>
                <w:rFonts w:ascii="Arial Narrow" w:hAnsi="Arial Narrow"/>
                <w:sz w:val="20"/>
                <w:szCs w:val="20"/>
                <w:vertAlign w:val="subscript"/>
                <w:lang w:val="en-AU"/>
              </w:rPr>
            </w:pPr>
            <w:r w:rsidRPr="00F77E7A">
              <w:rPr>
                <w:rFonts w:ascii="Arial Narrow" w:hAnsi="Arial Narrow"/>
                <w:sz w:val="20"/>
                <w:szCs w:val="20"/>
                <w:lang w:val="en-AU"/>
              </w:rPr>
              <w:t>Secondary outcomes:</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Relative change from baseline in ppFEV1.</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Pulmonary exacerbation measures.</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Absolute change from baseline in nutritional status (body mass index (BMI), BMI-for-age z-score, body weight, body weight-for-age z-score, height-for-age z-score).</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Absolute change from baseline in CFQ-R Respiratory Domain Score.</w:t>
            </w:r>
          </w:p>
          <w:p w:rsidR="00894E7C" w:rsidRPr="00F77E7A" w:rsidRDefault="00894E7C" w:rsidP="00EF2E6B">
            <w:pPr>
              <w:pStyle w:val="ListParagraph"/>
              <w:keepNext/>
              <w:widowControl/>
              <w:numPr>
                <w:ilvl w:val="0"/>
                <w:numId w:val="5"/>
              </w:numPr>
              <w:spacing w:before="0" w:after="0"/>
              <w:contextualSpacing/>
              <w:jc w:val="left"/>
              <w:rPr>
                <w:rFonts w:ascii="Arial Narrow" w:hAnsi="Arial Narrow"/>
                <w:sz w:val="20"/>
                <w:szCs w:val="20"/>
                <w:lang w:val="en-AU"/>
              </w:rPr>
            </w:pPr>
            <w:r w:rsidRPr="00F77E7A">
              <w:rPr>
                <w:rFonts w:ascii="Arial Narrow" w:hAnsi="Arial Narrow"/>
                <w:sz w:val="20"/>
                <w:szCs w:val="20"/>
                <w:lang w:val="en-AU"/>
              </w:rPr>
              <w:t>Absolute change in sweat chloride</w:t>
            </w:r>
            <w:r w:rsidR="00BA23CC" w:rsidRPr="00F77E7A">
              <w:rPr>
                <w:rFonts w:ascii="Arial Narrow" w:hAnsi="Arial Narrow"/>
                <w:sz w:val="20"/>
                <w:szCs w:val="20"/>
                <w:lang w:val="en-AU"/>
              </w:rPr>
              <w:t>.</w:t>
            </w:r>
          </w:p>
        </w:tc>
      </w:tr>
      <w:tr w:rsidR="00894E7C" w:rsidRPr="00F77E7A" w:rsidTr="0011126C">
        <w:trPr>
          <w:cnfStyle w:val="100000000000" w:firstRow="1" w:lastRow="0" w:firstColumn="0" w:lastColumn="0" w:oddVBand="0" w:evenVBand="0" w:oddHBand="0" w:evenHBand="0" w:firstRowFirstColumn="0" w:firstRowLastColumn="0" w:lastRowFirstColumn="0" w:lastRowLastColumn="0"/>
          <w:tblHeader/>
        </w:trPr>
        <w:tc>
          <w:tcPr>
            <w:tcW w:w="1418" w:type="dxa"/>
          </w:tcPr>
          <w:p w:rsidR="00894E7C" w:rsidRPr="00F77E7A" w:rsidRDefault="00894E7C" w:rsidP="00EF2E6B">
            <w:pPr>
              <w:pStyle w:val="TableHeadingleft"/>
              <w:spacing w:before="0" w:after="0"/>
              <w:rPr>
                <w:rFonts w:ascii="Arial Narrow" w:hAnsi="Arial Narrow"/>
                <w:sz w:val="20"/>
                <w:szCs w:val="20"/>
                <w:lang w:val="en-AU"/>
              </w:rPr>
            </w:pPr>
            <w:r w:rsidRPr="00F77E7A">
              <w:rPr>
                <w:rFonts w:ascii="Arial Narrow" w:hAnsi="Arial Narrow"/>
                <w:sz w:val="20"/>
                <w:szCs w:val="20"/>
                <w:lang w:val="en-AU"/>
              </w:rPr>
              <w:t>Clinical Claim</w:t>
            </w:r>
          </w:p>
        </w:tc>
        <w:tc>
          <w:tcPr>
            <w:tcW w:w="7608" w:type="dxa"/>
          </w:tcPr>
          <w:p w:rsidR="00894E7C" w:rsidRPr="00F77E7A" w:rsidRDefault="00BA23CC" w:rsidP="00EF2E6B">
            <w:pPr>
              <w:widowControl/>
              <w:spacing w:before="0" w:after="0"/>
              <w:contextualSpacing/>
              <w:jc w:val="left"/>
              <w:rPr>
                <w:rFonts w:ascii="Arial Narrow" w:hAnsi="Arial Narrow"/>
                <w:sz w:val="20"/>
                <w:szCs w:val="20"/>
                <w:lang w:val="en-AU"/>
              </w:rPr>
            </w:pPr>
            <w:r w:rsidRPr="00F77E7A">
              <w:rPr>
                <w:rFonts w:ascii="Arial Narrow" w:hAnsi="Arial Narrow"/>
                <w:sz w:val="20"/>
                <w:szCs w:val="20"/>
                <w:lang w:val="en-AU"/>
              </w:rPr>
              <w:t>T</w:t>
            </w:r>
            <w:r w:rsidR="00894E7C" w:rsidRPr="00F77E7A">
              <w:rPr>
                <w:rFonts w:ascii="Arial Narrow" w:hAnsi="Arial Narrow"/>
                <w:sz w:val="20"/>
                <w:szCs w:val="20"/>
                <w:lang w:val="en-AU"/>
              </w:rPr>
              <w:t>ezacaftor/ivacaftor plus BSC is superior in terms of efficacy and non-inferior in terms of safety compared to BSC alone (placebo).</w:t>
            </w:r>
          </w:p>
        </w:tc>
      </w:tr>
    </w:tbl>
    <w:p w:rsidR="00894E7C" w:rsidRPr="00F77E7A" w:rsidRDefault="00894E7C" w:rsidP="00EF2E6B">
      <w:pPr>
        <w:pStyle w:val="TableFooter"/>
        <w:widowControl/>
      </w:pPr>
      <w:r w:rsidRPr="00F77E7A">
        <w:t>Abbreviations: BMI= body mass index; BSC=best supportive care; CF=cystic fibrosis; CFQ-R=Cystic Fibrosis Questionnaire-Revised; CFTR=cystic fibrosis transmembrane conductance regulator; PBS=Pharmaceutical Benefits Scheme; ppFEV</w:t>
      </w:r>
      <w:r w:rsidR="0047772C" w:rsidRPr="00F77E7A">
        <w:rPr>
          <w:vertAlign w:val="subscript"/>
        </w:rPr>
        <w:t>1</w:t>
      </w:r>
      <w:r w:rsidRPr="00F77E7A">
        <w:t>=percent predicted forced expiratory volume</w:t>
      </w:r>
      <w:r w:rsidR="0047772C" w:rsidRPr="00F77E7A">
        <w:t xml:space="preserve"> in one second</w:t>
      </w:r>
      <w:r w:rsidRPr="00F77E7A">
        <w:t>; RF=residual function.</w:t>
      </w:r>
    </w:p>
    <w:p w:rsidR="004E43B2" w:rsidRPr="00F77E7A" w:rsidRDefault="00894E7C" w:rsidP="00DC0949">
      <w:pPr>
        <w:pStyle w:val="TableFooter"/>
        <w:widowControl/>
      </w:pPr>
      <w:r w:rsidRPr="00F77E7A">
        <w:t xml:space="preserve">Source: Table 1.1.1, page 34 of the Submission. </w:t>
      </w:r>
    </w:p>
    <w:p w:rsidR="00B60939" w:rsidRPr="00F77E7A" w:rsidRDefault="00B50DB8" w:rsidP="006E780E">
      <w:pPr>
        <w:pStyle w:val="PBACHeading1"/>
        <w:numPr>
          <w:ilvl w:val="0"/>
          <w:numId w:val="22"/>
        </w:numPr>
        <w:spacing w:before="120"/>
      </w:pPr>
      <w:bookmarkStart w:id="1" w:name="_Toc532280232"/>
      <w:r w:rsidRPr="00F77E7A">
        <w:t>Requested listing</w:t>
      </w:r>
      <w:bookmarkEnd w:id="1"/>
    </w:p>
    <w:p w:rsidR="00894E7C" w:rsidRPr="00F77E7A" w:rsidRDefault="00894E7C" w:rsidP="006E780E">
      <w:pPr>
        <w:pStyle w:val="ListParagraph"/>
        <w:widowControl/>
        <w:numPr>
          <w:ilvl w:val="1"/>
          <w:numId w:val="2"/>
        </w:numPr>
        <w:spacing w:before="120" w:after="120"/>
      </w:pPr>
      <w:r w:rsidRPr="00F77E7A">
        <w:t xml:space="preserve">The requested restriction is summarised </w:t>
      </w:r>
      <w:r w:rsidR="00235D56" w:rsidRPr="00F77E7A">
        <w:t xml:space="preserve">in Table 2 </w:t>
      </w:r>
      <w:r w:rsidRPr="00F77E7A">
        <w:t xml:space="preserve">and </w:t>
      </w:r>
      <w:r w:rsidR="00235D56" w:rsidRPr="00F77E7A">
        <w:t>wa</w:t>
      </w:r>
      <w:r w:rsidR="00952A25" w:rsidRPr="00F77E7A">
        <w:t xml:space="preserve">s largely consistent with the key trial, </w:t>
      </w:r>
      <w:r w:rsidRPr="00F77E7A">
        <w:t>Study 108.</w:t>
      </w:r>
    </w:p>
    <w:p w:rsidR="00617E12" w:rsidRPr="00F77E7A" w:rsidRDefault="00235D56" w:rsidP="00EF2E6B">
      <w:pPr>
        <w:keepNext/>
        <w:keepLines/>
        <w:widowControl/>
        <w:rPr>
          <w:rFonts w:ascii="Arial Narrow" w:hAnsi="Arial Narrow"/>
          <w:b/>
          <w:sz w:val="20"/>
          <w:szCs w:val="16"/>
        </w:rPr>
      </w:pPr>
      <w:r w:rsidRPr="00F77E7A">
        <w:rPr>
          <w:rStyle w:val="CommentReference"/>
        </w:rPr>
        <w:lastRenderedPageBreak/>
        <w:t>Table 2:  Summary of the proposed restriction</w:t>
      </w:r>
    </w:p>
    <w:tbl>
      <w:tblPr>
        <w:tblW w:w="4977" w:type="pct"/>
        <w:tblInd w:w="28" w:type="dxa"/>
        <w:tblCellMar>
          <w:left w:w="28" w:type="dxa"/>
          <w:right w:w="28" w:type="dxa"/>
        </w:tblCellMar>
        <w:tblLook w:val="0000" w:firstRow="0" w:lastRow="0" w:firstColumn="0" w:lastColumn="0" w:noHBand="0" w:noVBand="0"/>
        <w:tblCaption w:val="Summary of the proposed restriction"/>
      </w:tblPr>
      <w:tblGrid>
        <w:gridCol w:w="1957"/>
        <w:gridCol w:w="1355"/>
        <w:gridCol w:w="1055"/>
        <w:gridCol w:w="812"/>
        <w:gridCol w:w="1484"/>
        <w:gridCol w:w="861"/>
        <w:gridCol w:w="1461"/>
      </w:tblGrid>
      <w:tr w:rsidR="003517F9" w:rsidRPr="00F77E7A" w:rsidTr="006E780E">
        <w:trPr>
          <w:trHeight w:val="463"/>
        </w:trPr>
        <w:tc>
          <w:tcPr>
            <w:tcW w:w="1843" w:type="pct"/>
            <w:gridSpan w:val="2"/>
            <w:tcBorders>
              <w:top w:val="single" w:sz="4" w:space="0" w:color="auto"/>
              <w:bottom w:val="single" w:sz="4" w:space="0" w:color="auto"/>
            </w:tcBorders>
            <w:vAlign w:val="center"/>
          </w:tcPr>
          <w:p w:rsidR="00617E12" w:rsidRPr="00F77E7A" w:rsidRDefault="00617E12" w:rsidP="00EF2E6B">
            <w:pPr>
              <w:keepNext/>
              <w:widowControl/>
              <w:jc w:val="left"/>
              <w:rPr>
                <w:rFonts w:ascii="Arial Narrow" w:hAnsi="Arial Narrow"/>
                <w:b/>
                <w:sz w:val="20"/>
              </w:rPr>
            </w:pPr>
            <w:r w:rsidRPr="00F77E7A">
              <w:rPr>
                <w:rFonts w:ascii="Arial Narrow" w:hAnsi="Arial Narrow"/>
                <w:b/>
                <w:sz w:val="20"/>
              </w:rPr>
              <w:t>Name, Restriction,</w:t>
            </w:r>
          </w:p>
          <w:p w:rsidR="00617E12" w:rsidRPr="00F77E7A" w:rsidRDefault="00617E12" w:rsidP="00EF2E6B">
            <w:pPr>
              <w:keepNext/>
              <w:widowControl/>
              <w:jc w:val="left"/>
              <w:rPr>
                <w:rFonts w:ascii="Arial Narrow" w:hAnsi="Arial Narrow"/>
                <w:b/>
                <w:sz w:val="20"/>
              </w:rPr>
            </w:pPr>
            <w:r w:rsidRPr="00F77E7A">
              <w:rPr>
                <w:rFonts w:ascii="Arial Narrow" w:hAnsi="Arial Narrow"/>
                <w:b/>
                <w:sz w:val="20"/>
              </w:rPr>
              <w:t>Manner of administration and form</w:t>
            </w:r>
          </w:p>
        </w:tc>
        <w:tc>
          <w:tcPr>
            <w:tcW w:w="587" w:type="pct"/>
            <w:tcBorders>
              <w:top w:val="single" w:sz="4" w:space="0" w:color="auto"/>
              <w:bottom w:val="single" w:sz="4" w:space="0" w:color="auto"/>
            </w:tcBorders>
            <w:vAlign w:val="center"/>
          </w:tcPr>
          <w:p w:rsidR="00617E12" w:rsidRPr="00F77E7A" w:rsidRDefault="00617E12" w:rsidP="00EF2E6B">
            <w:pPr>
              <w:keepNext/>
              <w:widowControl/>
              <w:jc w:val="center"/>
              <w:rPr>
                <w:rFonts w:ascii="Arial Narrow" w:hAnsi="Arial Narrow"/>
                <w:b/>
                <w:sz w:val="20"/>
              </w:rPr>
            </w:pPr>
            <w:r w:rsidRPr="00F77E7A">
              <w:rPr>
                <w:rFonts w:ascii="Arial Narrow" w:hAnsi="Arial Narrow"/>
                <w:b/>
                <w:sz w:val="20"/>
              </w:rPr>
              <w:t>Max.</w:t>
            </w:r>
          </w:p>
          <w:p w:rsidR="00617E12" w:rsidRPr="00F77E7A" w:rsidRDefault="00617E12" w:rsidP="00EF2E6B">
            <w:pPr>
              <w:keepNext/>
              <w:widowControl/>
              <w:jc w:val="center"/>
              <w:rPr>
                <w:rFonts w:ascii="Arial Narrow" w:hAnsi="Arial Narrow"/>
                <w:b/>
                <w:sz w:val="20"/>
              </w:rPr>
            </w:pPr>
            <w:r w:rsidRPr="00F77E7A">
              <w:rPr>
                <w:rFonts w:ascii="Arial Narrow" w:hAnsi="Arial Narrow"/>
                <w:b/>
                <w:sz w:val="20"/>
              </w:rPr>
              <w:t>Qty</w:t>
            </w:r>
            <w:r w:rsidR="00591957" w:rsidRPr="00F77E7A">
              <w:rPr>
                <w:rFonts w:ascii="Arial Narrow" w:hAnsi="Arial Narrow"/>
                <w:b/>
                <w:sz w:val="20"/>
              </w:rPr>
              <w:t xml:space="preserve"> </w:t>
            </w:r>
            <w:r w:rsidR="00894E7C" w:rsidRPr="00F77E7A">
              <w:rPr>
                <w:rFonts w:ascii="Arial Narrow" w:hAnsi="Arial Narrow"/>
                <w:b/>
                <w:sz w:val="20"/>
              </w:rPr>
              <w:t>(packs)</w:t>
            </w:r>
          </w:p>
        </w:tc>
        <w:tc>
          <w:tcPr>
            <w:tcW w:w="452" w:type="pct"/>
            <w:tcBorders>
              <w:top w:val="single" w:sz="4" w:space="0" w:color="auto"/>
              <w:bottom w:val="single" w:sz="4" w:space="0" w:color="auto"/>
            </w:tcBorders>
            <w:vAlign w:val="center"/>
          </w:tcPr>
          <w:p w:rsidR="00617E12" w:rsidRPr="00F77E7A" w:rsidRDefault="00617E12" w:rsidP="00EF2E6B">
            <w:pPr>
              <w:keepNext/>
              <w:widowControl/>
              <w:jc w:val="center"/>
              <w:rPr>
                <w:rFonts w:ascii="Arial Narrow" w:hAnsi="Arial Narrow"/>
                <w:b/>
                <w:sz w:val="20"/>
              </w:rPr>
            </w:pPr>
            <w:r w:rsidRPr="00F77E7A">
              <w:rPr>
                <w:rFonts w:ascii="Arial Narrow" w:hAnsi="Arial Narrow" w:cs="Times New Roman"/>
                <w:b/>
                <w:sz w:val="20"/>
              </w:rPr>
              <w:t>№</w:t>
            </w:r>
            <w:r w:rsidRPr="00F77E7A">
              <w:rPr>
                <w:rFonts w:ascii="Arial Narrow" w:hAnsi="Arial Narrow"/>
                <w:b/>
                <w:sz w:val="20"/>
              </w:rPr>
              <w:t>.of</w:t>
            </w:r>
          </w:p>
          <w:p w:rsidR="00617E12" w:rsidRPr="00F77E7A" w:rsidRDefault="00617E12" w:rsidP="00EF2E6B">
            <w:pPr>
              <w:keepNext/>
              <w:widowControl/>
              <w:jc w:val="center"/>
              <w:rPr>
                <w:rFonts w:ascii="Arial Narrow" w:hAnsi="Arial Narrow"/>
                <w:b/>
                <w:sz w:val="20"/>
              </w:rPr>
            </w:pPr>
            <w:r w:rsidRPr="00F77E7A">
              <w:rPr>
                <w:rFonts w:ascii="Arial Narrow" w:hAnsi="Arial Narrow"/>
                <w:b/>
                <w:sz w:val="20"/>
              </w:rPr>
              <w:t>Rpts</w:t>
            </w:r>
          </w:p>
        </w:tc>
        <w:tc>
          <w:tcPr>
            <w:tcW w:w="826" w:type="pct"/>
            <w:tcBorders>
              <w:top w:val="single" w:sz="4" w:space="0" w:color="auto"/>
              <w:bottom w:val="single" w:sz="4" w:space="0" w:color="auto"/>
            </w:tcBorders>
            <w:vAlign w:val="center"/>
          </w:tcPr>
          <w:p w:rsidR="00617E12" w:rsidRPr="00F77E7A" w:rsidRDefault="00617E12" w:rsidP="00EF2E6B">
            <w:pPr>
              <w:keepNext/>
              <w:widowControl/>
              <w:jc w:val="center"/>
              <w:rPr>
                <w:rFonts w:ascii="Arial Narrow" w:hAnsi="Arial Narrow"/>
                <w:b/>
                <w:sz w:val="20"/>
              </w:rPr>
            </w:pPr>
            <w:r w:rsidRPr="00F77E7A">
              <w:rPr>
                <w:rFonts w:ascii="Arial Narrow" w:hAnsi="Arial Narrow"/>
                <w:b/>
                <w:sz w:val="20"/>
              </w:rPr>
              <w:t>Dispensed Price for Max. Qty</w:t>
            </w:r>
            <w:r w:rsidR="00591957" w:rsidRPr="00F77E7A">
              <w:rPr>
                <w:rFonts w:ascii="Arial Narrow" w:hAnsi="Arial Narrow"/>
                <w:b/>
                <w:sz w:val="20"/>
              </w:rPr>
              <w:t xml:space="preserve"> </w:t>
            </w:r>
          </w:p>
        </w:tc>
        <w:tc>
          <w:tcPr>
            <w:tcW w:w="1292" w:type="pct"/>
            <w:gridSpan w:val="2"/>
            <w:tcBorders>
              <w:top w:val="single" w:sz="4" w:space="0" w:color="auto"/>
              <w:bottom w:val="single" w:sz="4" w:space="0" w:color="auto"/>
            </w:tcBorders>
            <w:vAlign w:val="center"/>
          </w:tcPr>
          <w:p w:rsidR="00617E12" w:rsidRPr="00F77E7A" w:rsidRDefault="00617E12" w:rsidP="00EF2E6B">
            <w:pPr>
              <w:keepNext/>
              <w:widowControl/>
              <w:jc w:val="center"/>
              <w:rPr>
                <w:rFonts w:ascii="Arial Narrow" w:hAnsi="Arial Narrow"/>
                <w:b/>
                <w:sz w:val="20"/>
              </w:rPr>
            </w:pPr>
            <w:r w:rsidRPr="00F77E7A">
              <w:rPr>
                <w:rFonts w:ascii="Arial Narrow" w:hAnsi="Arial Narrow"/>
                <w:b/>
                <w:sz w:val="20"/>
              </w:rPr>
              <w:t>Proprietary Name and Manufacturer</w:t>
            </w:r>
          </w:p>
        </w:tc>
      </w:tr>
      <w:tr w:rsidR="003517F9" w:rsidRPr="00F77E7A" w:rsidTr="006E780E">
        <w:trPr>
          <w:trHeight w:val="567"/>
        </w:trPr>
        <w:tc>
          <w:tcPr>
            <w:tcW w:w="1843" w:type="pct"/>
            <w:gridSpan w:val="2"/>
            <w:tcBorders>
              <w:top w:val="single" w:sz="4" w:space="0" w:color="auto"/>
              <w:bottom w:val="single" w:sz="4" w:space="0" w:color="auto"/>
            </w:tcBorders>
            <w:vAlign w:val="center"/>
          </w:tcPr>
          <w:p w:rsidR="00617E12" w:rsidRPr="00F77E7A" w:rsidRDefault="00894E7C" w:rsidP="00EF2E6B">
            <w:pPr>
              <w:keepNext/>
              <w:widowControl/>
              <w:jc w:val="left"/>
              <w:rPr>
                <w:rFonts w:ascii="Arial Narrow" w:hAnsi="Arial Narrow"/>
                <w:sz w:val="20"/>
              </w:rPr>
            </w:pPr>
            <w:r w:rsidRPr="00F77E7A">
              <w:rPr>
                <w:rFonts w:ascii="Arial Narrow" w:hAnsi="Arial Narrow"/>
                <w:smallCaps/>
                <w:sz w:val="20"/>
              </w:rPr>
              <w:t>Tezacaftor/ivacaftor (Symdeko</w:t>
            </w:r>
            <w:r w:rsidR="00BA23CC" w:rsidRPr="00F77E7A">
              <w:rPr>
                <w:rFonts w:ascii="Arial Narrow" w:hAnsi="Arial Narrow"/>
                <w:smallCaps/>
                <w:sz w:val="20"/>
              </w:rPr>
              <w:t>®</w:t>
            </w:r>
            <w:r w:rsidRPr="00F77E7A">
              <w:rPr>
                <w:rFonts w:ascii="Arial Narrow" w:hAnsi="Arial Narrow"/>
                <w:smallCaps/>
                <w:sz w:val="20"/>
              </w:rPr>
              <w:t>)</w:t>
            </w:r>
          </w:p>
          <w:p w:rsidR="00617E12" w:rsidRPr="00F77E7A" w:rsidRDefault="00987E4B" w:rsidP="00EF2E6B">
            <w:pPr>
              <w:keepNext/>
              <w:widowControl/>
              <w:jc w:val="left"/>
              <w:rPr>
                <w:rFonts w:ascii="Arial Narrow" w:hAnsi="Arial Narrow"/>
                <w:sz w:val="20"/>
              </w:rPr>
            </w:pPr>
            <w:r w:rsidRPr="00F77E7A">
              <w:rPr>
                <w:rFonts w:ascii="Arial Narrow" w:hAnsi="Arial Narrow"/>
                <w:sz w:val="20"/>
              </w:rPr>
              <w:t>Tezacaftor 100 mg + ivacaftor 150 mg tablet [28] (&amp;) ivacaftor 150 mg tablet [28], 1 pack</w:t>
            </w:r>
            <w:r w:rsidR="00BA23CC" w:rsidRPr="00F77E7A">
              <w:rPr>
                <w:rFonts w:ascii="Arial Narrow" w:hAnsi="Arial Narrow"/>
                <w:sz w:val="20"/>
              </w:rPr>
              <w:t>.</w:t>
            </w:r>
          </w:p>
          <w:p w:rsidR="00CD3523" w:rsidRPr="00F77E7A" w:rsidRDefault="00CD3523" w:rsidP="00EF2E6B">
            <w:pPr>
              <w:keepNext/>
              <w:widowControl/>
              <w:jc w:val="left"/>
              <w:rPr>
                <w:rFonts w:ascii="Arial Narrow" w:hAnsi="Arial Narrow"/>
                <w:sz w:val="20"/>
              </w:rPr>
            </w:pPr>
          </w:p>
        </w:tc>
        <w:tc>
          <w:tcPr>
            <w:tcW w:w="587" w:type="pct"/>
            <w:tcBorders>
              <w:top w:val="single" w:sz="4" w:space="0" w:color="auto"/>
              <w:bottom w:val="single" w:sz="4" w:space="0" w:color="auto"/>
            </w:tcBorders>
            <w:vAlign w:val="center"/>
          </w:tcPr>
          <w:p w:rsidR="00617E12" w:rsidRPr="00F77E7A" w:rsidRDefault="00894E7C" w:rsidP="00EF2E6B">
            <w:pPr>
              <w:keepNext/>
              <w:widowControl/>
              <w:jc w:val="center"/>
              <w:rPr>
                <w:rFonts w:ascii="Arial Narrow" w:hAnsi="Arial Narrow"/>
                <w:sz w:val="20"/>
              </w:rPr>
            </w:pPr>
            <w:r w:rsidRPr="00F77E7A">
              <w:rPr>
                <w:rFonts w:ascii="Arial Narrow" w:hAnsi="Arial Narrow"/>
                <w:sz w:val="20"/>
              </w:rPr>
              <w:t xml:space="preserve">1 </w:t>
            </w:r>
          </w:p>
        </w:tc>
        <w:tc>
          <w:tcPr>
            <w:tcW w:w="452" w:type="pct"/>
            <w:tcBorders>
              <w:top w:val="single" w:sz="4" w:space="0" w:color="auto"/>
              <w:bottom w:val="single" w:sz="4" w:space="0" w:color="auto"/>
            </w:tcBorders>
            <w:vAlign w:val="center"/>
          </w:tcPr>
          <w:p w:rsidR="00617E12" w:rsidRPr="00F77E7A" w:rsidRDefault="00894E7C" w:rsidP="00EF2E6B">
            <w:pPr>
              <w:keepNext/>
              <w:widowControl/>
              <w:jc w:val="center"/>
              <w:rPr>
                <w:rFonts w:ascii="Arial Narrow" w:hAnsi="Arial Narrow"/>
                <w:sz w:val="20"/>
              </w:rPr>
            </w:pPr>
            <w:r w:rsidRPr="00F77E7A">
              <w:rPr>
                <w:rFonts w:ascii="Arial Narrow" w:hAnsi="Arial Narrow"/>
                <w:sz w:val="20"/>
              </w:rPr>
              <w:t>5</w:t>
            </w:r>
          </w:p>
        </w:tc>
        <w:tc>
          <w:tcPr>
            <w:tcW w:w="826" w:type="pct"/>
            <w:tcBorders>
              <w:top w:val="single" w:sz="4" w:space="0" w:color="auto"/>
              <w:bottom w:val="single" w:sz="4" w:space="0" w:color="auto"/>
            </w:tcBorders>
            <w:vAlign w:val="center"/>
          </w:tcPr>
          <w:p w:rsidR="00617E12" w:rsidRPr="00F77E7A" w:rsidRDefault="00617E12" w:rsidP="00EF2E6B">
            <w:pPr>
              <w:keepNext/>
              <w:widowControl/>
              <w:jc w:val="center"/>
              <w:rPr>
                <w:rFonts w:ascii="Arial Narrow" w:hAnsi="Arial Narrow"/>
                <w:sz w:val="20"/>
              </w:rPr>
            </w:pPr>
            <w:r w:rsidRPr="00F77E7A">
              <w:rPr>
                <w:rFonts w:ascii="Arial Narrow" w:hAnsi="Arial Narrow"/>
                <w:sz w:val="20"/>
              </w:rPr>
              <w:t>$</w:t>
            </w:r>
            <w:r w:rsidR="00894E7C" w:rsidRPr="00F77E7A">
              <w:rPr>
                <w:rFonts w:ascii="Arial Narrow" w:hAnsi="Arial Narrow"/>
                <w:sz w:val="20"/>
              </w:rPr>
              <w:t>21,000</w:t>
            </w:r>
          </w:p>
        </w:tc>
        <w:tc>
          <w:tcPr>
            <w:tcW w:w="479" w:type="pct"/>
            <w:tcBorders>
              <w:top w:val="single" w:sz="4" w:space="0" w:color="auto"/>
              <w:bottom w:val="single" w:sz="4" w:space="0" w:color="auto"/>
            </w:tcBorders>
            <w:vAlign w:val="center"/>
          </w:tcPr>
          <w:p w:rsidR="00617E12" w:rsidRPr="00F77E7A" w:rsidRDefault="00894E7C" w:rsidP="00EF2E6B">
            <w:pPr>
              <w:keepNext/>
              <w:widowControl/>
              <w:jc w:val="center"/>
              <w:rPr>
                <w:rFonts w:ascii="Arial Narrow" w:hAnsi="Arial Narrow"/>
                <w:sz w:val="20"/>
              </w:rPr>
            </w:pPr>
            <w:r w:rsidRPr="00F77E7A">
              <w:rPr>
                <w:rFonts w:ascii="Arial Narrow" w:hAnsi="Arial Narrow"/>
                <w:sz w:val="20"/>
              </w:rPr>
              <w:t>Symdeko</w:t>
            </w:r>
            <w:r w:rsidR="00BA23CC" w:rsidRPr="00F77E7A">
              <w:rPr>
                <w:rFonts w:ascii="Arial Narrow" w:hAnsi="Arial Narrow"/>
                <w:sz w:val="20"/>
              </w:rPr>
              <w:t>®</w:t>
            </w:r>
          </w:p>
        </w:tc>
        <w:tc>
          <w:tcPr>
            <w:tcW w:w="813" w:type="pct"/>
            <w:tcBorders>
              <w:top w:val="single" w:sz="4" w:space="0" w:color="auto"/>
              <w:bottom w:val="single" w:sz="4" w:space="0" w:color="auto"/>
            </w:tcBorders>
            <w:vAlign w:val="center"/>
          </w:tcPr>
          <w:p w:rsidR="00591957" w:rsidRPr="00F77E7A" w:rsidRDefault="00894E7C" w:rsidP="00EF2E6B">
            <w:pPr>
              <w:keepNext/>
              <w:widowControl/>
              <w:jc w:val="center"/>
              <w:rPr>
                <w:rFonts w:ascii="Arial Narrow" w:hAnsi="Arial Narrow"/>
                <w:sz w:val="20"/>
              </w:rPr>
            </w:pPr>
            <w:r w:rsidRPr="00F77E7A">
              <w:rPr>
                <w:rFonts w:ascii="Arial Narrow" w:hAnsi="Arial Narrow"/>
                <w:sz w:val="20"/>
              </w:rPr>
              <w:t>Vertex</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91957" w:rsidP="00EF2E6B">
            <w:pPr>
              <w:pStyle w:val="Tabletext"/>
              <w:rPr>
                <w:b/>
                <w:lang w:eastAsia="en-AU"/>
              </w:rPr>
            </w:pPr>
            <w:r w:rsidRPr="00F77E7A">
              <w:rPr>
                <w:b/>
                <w:lang w:eastAsia="en-AU"/>
              </w:rPr>
              <w:t>Category/Program:</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591957" w:rsidP="00EF2E6B">
            <w:pPr>
              <w:pStyle w:val="Tabletext"/>
              <w:rPr>
                <w:lang w:eastAsia="en-AU"/>
              </w:rPr>
            </w:pPr>
            <w:r w:rsidRPr="00F77E7A">
              <w:rPr>
                <w:lang w:eastAsia="en-AU"/>
              </w:rPr>
              <w:t xml:space="preserve">Section 100 - </w:t>
            </w:r>
            <w:r w:rsidR="00894E7C" w:rsidRPr="00F77E7A">
              <w:rPr>
                <w:lang w:eastAsia="en-AU"/>
              </w:rPr>
              <w:t xml:space="preserve">Highly Specialised Drugs Program – Authority </w:t>
            </w:r>
            <w:r w:rsidR="00BA23CC" w:rsidRPr="00F77E7A">
              <w:rPr>
                <w:lang w:eastAsia="en-AU"/>
              </w:rPr>
              <w:t>Required</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91957" w:rsidP="00EF2E6B">
            <w:pPr>
              <w:pStyle w:val="Tabletext"/>
              <w:rPr>
                <w:b/>
                <w:lang w:eastAsia="en-AU"/>
              </w:rPr>
            </w:pPr>
            <w:r w:rsidRPr="00F77E7A">
              <w:rPr>
                <w:b/>
                <w:lang w:eastAsia="en-AU"/>
              </w:rPr>
              <w:t>PBS indication:</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894E7C" w:rsidP="00EF2E6B">
            <w:pPr>
              <w:pStyle w:val="Tabletext"/>
              <w:rPr>
                <w:lang w:eastAsia="en-AU"/>
              </w:rPr>
            </w:pPr>
            <w:r w:rsidRPr="00F77E7A">
              <w:rPr>
                <w:szCs w:val="20"/>
              </w:rPr>
              <w:t xml:space="preserve">CF patients who have at least one </w:t>
            </w:r>
            <w:r w:rsidR="009D7E6E" w:rsidRPr="00F77E7A">
              <w:rPr>
                <w:szCs w:val="20"/>
              </w:rPr>
              <w:t>RF mutation</w:t>
            </w:r>
            <w:r w:rsidRPr="00F77E7A">
              <w:rPr>
                <w:szCs w:val="20"/>
              </w:rPr>
              <w:t xml:space="preserve"> in the CFTR gene</w:t>
            </w:r>
            <w:r w:rsidR="009D7E6E" w:rsidRPr="00F77E7A">
              <w:rPr>
                <w:szCs w:val="20"/>
              </w:rPr>
              <w:t>.</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91957" w:rsidP="00EF2E6B">
            <w:pPr>
              <w:pStyle w:val="Tabletext"/>
              <w:rPr>
                <w:b/>
                <w:lang w:eastAsia="en-AU"/>
              </w:rPr>
            </w:pPr>
            <w:r w:rsidRPr="00F77E7A">
              <w:rPr>
                <w:b/>
                <w:lang w:eastAsia="en-AU"/>
              </w:rPr>
              <w:t>Treatment phase:</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9D7E6E" w:rsidP="00EF2E6B">
            <w:pPr>
              <w:pStyle w:val="Tabletext"/>
              <w:rPr>
                <w:lang w:eastAsia="en-AU"/>
              </w:rPr>
            </w:pPr>
            <w:r w:rsidRPr="00F77E7A">
              <w:rPr>
                <w:lang w:eastAsia="en-AU"/>
              </w:rPr>
              <w:t>Initial</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42C2D" w:rsidP="00EF2E6B">
            <w:pPr>
              <w:pStyle w:val="Tabletext"/>
              <w:rPr>
                <w:b/>
                <w:lang w:eastAsia="en-AU"/>
              </w:rPr>
            </w:pPr>
            <w:r w:rsidRPr="00F77E7A">
              <w:rPr>
                <w:b/>
                <w:lang w:eastAsia="en-AU"/>
              </w:rPr>
              <w:t>Restriction</w:t>
            </w:r>
            <w:r w:rsidR="00591957" w:rsidRPr="00F77E7A">
              <w:rPr>
                <w:b/>
                <w:lang w:eastAsia="en-AU"/>
              </w:rPr>
              <w:t>:</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9D7E6E" w:rsidP="00EF2E6B">
            <w:pPr>
              <w:pStyle w:val="Tabletext"/>
              <w:rPr>
                <w:lang w:eastAsia="en-AU"/>
              </w:rPr>
            </w:pPr>
            <w:r w:rsidRPr="00F77E7A">
              <w:rPr>
                <w:szCs w:val="20"/>
              </w:rPr>
              <w:t>Patients must be 12 years or older.</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42C2D" w:rsidP="00EF2E6B">
            <w:pPr>
              <w:pStyle w:val="Tabletext"/>
              <w:rPr>
                <w:b/>
                <w:lang w:eastAsia="en-AU"/>
              </w:rPr>
            </w:pPr>
            <w:r w:rsidRPr="00F77E7A">
              <w:rPr>
                <w:b/>
                <w:lang w:eastAsia="en-AU"/>
              </w:rPr>
              <w:t>Treatment criteria</w:t>
            </w:r>
            <w:r w:rsidR="00591957" w:rsidRPr="00F77E7A">
              <w:rPr>
                <w:b/>
                <w:lang w:eastAsia="en-AU"/>
              </w:rPr>
              <w:t>:</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9D7E6E" w:rsidP="00EF2E6B">
            <w:pPr>
              <w:pStyle w:val="Tabletext"/>
              <w:rPr>
                <w:lang w:eastAsia="en-AU"/>
              </w:rPr>
            </w:pPr>
            <w:r w:rsidRPr="00F77E7A">
              <w:rPr>
                <w:szCs w:val="20"/>
              </w:rPr>
              <w:t>Sole PBS-subsidised disease-modifying therapy for this condition.</w:t>
            </w:r>
          </w:p>
        </w:tc>
      </w:tr>
      <w:tr w:rsidR="00542C2D" w:rsidRPr="00F77E7A" w:rsidTr="006E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542C2D" w:rsidRPr="00F77E7A" w:rsidRDefault="00542C2D" w:rsidP="00EF2E6B">
            <w:pPr>
              <w:pStyle w:val="Tabletext"/>
              <w:rPr>
                <w:b/>
                <w:lang w:eastAsia="en-AU"/>
              </w:rPr>
            </w:pPr>
            <w:r w:rsidRPr="00F77E7A">
              <w:rPr>
                <w:b/>
                <w:lang w:eastAsia="en-AU"/>
              </w:rPr>
              <w:t>Clinical criteria</w:t>
            </w:r>
            <w:r w:rsidR="00591957" w:rsidRPr="00F77E7A">
              <w:rPr>
                <w:b/>
                <w:lang w:eastAsia="en-AU"/>
              </w:rPr>
              <w:t>:</w:t>
            </w:r>
          </w:p>
        </w:tc>
        <w:tc>
          <w:tcPr>
            <w:tcW w:w="3911" w:type="pct"/>
            <w:gridSpan w:val="6"/>
            <w:tcBorders>
              <w:top w:val="single" w:sz="4" w:space="0" w:color="auto"/>
              <w:left w:val="single" w:sz="4" w:space="0" w:color="auto"/>
              <w:bottom w:val="single" w:sz="4" w:space="0" w:color="auto"/>
              <w:right w:val="single" w:sz="4" w:space="0" w:color="auto"/>
            </w:tcBorders>
          </w:tcPr>
          <w:p w:rsidR="00542C2D" w:rsidRPr="00F77E7A" w:rsidRDefault="009D7E6E" w:rsidP="00EF2E6B">
            <w:pPr>
              <w:keepNext/>
              <w:widowControl/>
              <w:spacing w:before="20"/>
              <w:rPr>
                <w:lang w:eastAsia="en-AU"/>
              </w:rPr>
            </w:pPr>
            <w:r w:rsidRPr="00F77E7A">
              <w:rPr>
                <w:rFonts w:ascii="Arial Narrow" w:hAnsi="Arial Narrow"/>
                <w:sz w:val="20"/>
                <w:szCs w:val="20"/>
              </w:rPr>
              <w:t>RF mutation in the CFTR gene must be responsive to tezacaftor/ivacaftor and treatment must be given concomitantly with BSC.</w:t>
            </w:r>
          </w:p>
        </w:tc>
      </w:tr>
    </w:tbl>
    <w:p w:rsidR="00B60939" w:rsidRPr="00F77E7A" w:rsidRDefault="009D7E6E" w:rsidP="00EF2E6B">
      <w:pPr>
        <w:pStyle w:val="TableFooter"/>
        <w:widowControl/>
      </w:pPr>
      <w:r w:rsidRPr="00F77E7A">
        <w:t xml:space="preserve">Abbreviations: BSC= best supportive care; CF= cystic fibrosis; CFTR: Cystic fibrosis transmembrane conductance regulator; </w:t>
      </w:r>
      <w:r w:rsidR="00BA23CC" w:rsidRPr="00F77E7A">
        <w:t xml:space="preserve">Max= maximum; </w:t>
      </w:r>
      <w:r w:rsidRPr="00F77E7A">
        <w:t xml:space="preserve">PBS= Pharmaceutical Benefits Scheme; </w:t>
      </w:r>
      <w:r w:rsidR="00BA23CC" w:rsidRPr="00F77E7A">
        <w:t xml:space="preserve">Qty= quantity; </w:t>
      </w:r>
      <w:r w:rsidRPr="00F77E7A">
        <w:t>RF= residual function</w:t>
      </w:r>
      <w:r w:rsidR="00BA23CC" w:rsidRPr="00F77E7A">
        <w:t>; Rpts= repeats.</w:t>
      </w:r>
    </w:p>
    <w:p w:rsidR="009D7E6E" w:rsidRPr="00F77E7A" w:rsidRDefault="009D7E6E" w:rsidP="00EF2E6B">
      <w:pPr>
        <w:pStyle w:val="TableFooter"/>
        <w:widowControl/>
      </w:pPr>
      <w:r w:rsidRPr="00F77E7A">
        <w:t xml:space="preserve">Source: Table 1.4.2, p. 58 of the Submission. </w:t>
      </w:r>
    </w:p>
    <w:p w:rsidR="00591957" w:rsidRPr="00F77E7A" w:rsidRDefault="001017F2" w:rsidP="006E780E">
      <w:pPr>
        <w:pStyle w:val="ListParagraph"/>
        <w:widowControl/>
        <w:numPr>
          <w:ilvl w:val="1"/>
          <w:numId w:val="2"/>
        </w:numPr>
        <w:spacing w:before="120" w:after="120"/>
      </w:pPr>
      <w:r w:rsidRPr="00F77E7A">
        <w:t>The submission did not request a</w:t>
      </w:r>
      <w:r w:rsidR="009D7E6E" w:rsidRPr="00F77E7A">
        <w:t xml:space="preserve"> </w:t>
      </w:r>
      <w:r w:rsidRPr="00F77E7A">
        <w:t>S</w:t>
      </w:r>
      <w:r w:rsidR="009D7E6E" w:rsidRPr="00F77E7A">
        <w:t xml:space="preserve">pecial </w:t>
      </w:r>
      <w:r w:rsidRPr="00F77E7A">
        <w:t>P</w:t>
      </w:r>
      <w:r w:rsidR="009D7E6E" w:rsidRPr="00F77E7A">
        <w:t xml:space="preserve">ricing </w:t>
      </w:r>
      <w:r w:rsidRPr="00F77E7A">
        <w:t>A</w:t>
      </w:r>
      <w:r w:rsidR="009D7E6E" w:rsidRPr="00F77E7A">
        <w:t>rrangement</w:t>
      </w:r>
      <w:r w:rsidRPr="00F77E7A">
        <w:t xml:space="preserve"> in the form of a published versus an effective price. However, the submission proposed </w:t>
      </w:r>
      <w:r w:rsidR="009D7E6E" w:rsidRPr="00F77E7A">
        <w:rPr>
          <w:lang w:eastAsia="en-GB"/>
        </w:rPr>
        <w:t xml:space="preserve">a reduction in the </w:t>
      </w:r>
      <w:r w:rsidR="002D455C" w:rsidRPr="00F77E7A">
        <w:rPr>
          <w:lang w:eastAsia="en-GB"/>
        </w:rPr>
        <w:t xml:space="preserve">estimated </w:t>
      </w:r>
      <w:r w:rsidR="009D7E6E" w:rsidRPr="00F77E7A">
        <w:rPr>
          <w:lang w:eastAsia="en-GB"/>
        </w:rPr>
        <w:t>gross cost of tezacaftor/ivacaftor via a</w:t>
      </w:r>
      <w:r w:rsidRPr="00F77E7A">
        <w:rPr>
          <w:lang w:eastAsia="en-GB"/>
        </w:rPr>
        <w:t xml:space="preserve"> subsidisation</w:t>
      </w:r>
      <w:r w:rsidR="009D7E6E" w:rsidRPr="00F77E7A">
        <w:rPr>
          <w:lang w:eastAsia="en-GB"/>
        </w:rPr>
        <w:t xml:space="preserve"> cap</w:t>
      </w:r>
      <w:r w:rsidRPr="00F77E7A">
        <w:rPr>
          <w:lang w:eastAsia="en-GB"/>
        </w:rPr>
        <w:t xml:space="preserve">, to be implemented through a </w:t>
      </w:r>
      <w:r w:rsidR="00FC4AB3" w:rsidRPr="00F77E7A">
        <w:rPr>
          <w:lang w:eastAsia="en-GB"/>
        </w:rPr>
        <w:t>Risk Sharing Arrangement</w:t>
      </w:r>
      <w:r w:rsidRPr="00F77E7A">
        <w:rPr>
          <w:lang w:eastAsia="en-GB"/>
        </w:rPr>
        <w:t xml:space="preserve"> (RSA)</w:t>
      </w:r>
      <w:r w:rsidR="009D7E6E" w:rsidRPr="00F77E7A">
        <w:rPr>
          <w:lang w:eastAsia="en-GB"/>
        </w:rPr>
        <w:t xml:space="preserve">. </w:t>
      </w:r>
      <w:r w:rsidR="00165BA4" w:rsidRPr="00F77E7A">
        <w:rPr>
          <w:lang w:eastAsia="en-GB"/>
        </w:rPr>
        <w:t>While t</w:t>
      </w:r>
      <w:r w:rsidRPr="00F77E7A">
        <w:rPr>
          <w:lang w:eastAsia="en-GB"/>
        </w:rPr>
        <w:t xml:space="preserve">he </w:t>
      </w:r>
      <w:r w:rsidR="00165BA4" w:rsidRPr="00F77E7A">
        <w:rPr>
          <w:lang w:eastAsia="en-GB"/>
        </w:rPr>
        <w:t xml:space="preserve">submission </w:t>
      </w:r>
      <w:r w:rsidRPr="00F77E7A">
        <w:rPr>
          <w:lang w:eastAsia="en-GB"/>
        </w:rPr>
        <w:t xml:space="preserve">stated </w:t>
      </w:r>
      <w:r w:rsidR="00165BA4" w:rsidRPr="00F77E7A">
        <w:rPr>
          <w:lang w:eastAsia="en-GB"/>
        </w:rPr>
        <w:t xml:space="preserve">that the </w:t>
      </w:r>
      <w:r w:rsidRPr="00F77E7A">
        <w:rPr>
          <w:lang w:eastAsia="en-GB"/>
        </w:rPr>
        <w:t xml:space="preserve">intent of the proposed RSA was to </w:t>
      </w:r>
      <w:r w:rsidR="00FC31DB" w:rsidRPr="00F77E7A">
        <w:rPr>
          <w:lang w:eastAsia="en-GB"/>
        </w:rPr>
        <w:t xml:space="preserve">achieve a price of </w:t>
      </w:r>
      <w:r w:rsidRPr="00F77E7A">
        <w:rPr>
          <w:lang w:eastAsia="en-GB"/>
        </w:rPr>
        <w:t>$</w:t>
      </w:r>
      <w:r w:rsidR="007D10D3">
        <w:rPr>
          <w:noProof/>
          <w:color w:val="000000"/>
          <w:highlight w:val="black"/>
          <w:lang w:eastAsia="en-GB"/>
        </w:rPr>
        <w:t>''''''''''''</w:t>
      </w:r>
      <w:r w:rsidRPr="00F77E7A">
        <w:rPr>
          <w:lang w:eastAsia="en-GB"/>
        </w:rPr>
        <w:t xml:space="preserve"> per patient per year</w:t>
      </w:r>
      <w:r w:rsidR="00165BA4" w:rsidRPr="00F77E7A">
        <w:rPr>
          <w:lang w:eastAsia="en-GB"/>
        </w:rPr>
        <w:t>, t</w:t>
      </w:r>
      <w:r w:rsidRPr="00F77E7A">
        <w:rPr>
          <w:lang w:eastAsia="en-GB"/>
        </w:rPr>
        <w:t>he ESC noted there was a significant risk that the Gover</w:t>
      </w:r>
      <w:r w:rsidR="008A18C7" w:rsidRPr="00F77E7A">
        <w:rPr>
          <w:lang w:eastAsia="en-GB"/>
        </w:rPr>
        <w:t>nment would pay a higher amount</w:t>
      </w:r>
      <w:r w:rsidR="00165BA4" w:rsidRPr="00F77E7A">
        <w:rPr>
          <w:lang w:eastAsia="en-GB"/>
        </w:rPr>
        <w:t xml:space="preserve"> per patient </w:t>
      </w:r>
      <w:r w:rsidRPr="00F77E7A">
        <w:rPr>
          <w:lang w:eastAsia="en-GB"/>
        </w:rPr>
        <w:t xml:space="preserve">(see </w:t>
      </w:r>
      <w:r w:rsidRPr="00F77E7A">
        <w:rPr>
          <w:i/>
          <w:lang w:eastAsia="en-GB"/>
        </w:rPr>
        <w:t>Financial Management – Risk Sharing Arrangements</w:t>
      </w:r>
      <w:r w:rsidRPr="00F77E7A">
        <w:rPr>
          <w:lang w:eastAsia="en-GB"/>
        </w:rPr>
        <w:t xml:space="preserve"> </w:t>
      </w:r>
      <w:r w:rsidR="00D02363" w:rsidRPr="00F77E7A">
        <w:rPr>
          <w:lang w:eastAsia="en-GB"/>
        </w:rPr>
        <w:t xml:space="preserve">in </w:t>
      </w:r>
      <w:r w:rsidRPr="00F77E7A">
        <w:rPr>
          <w:lang w:eastAsia="en-GB"/>
        </w:rPr>
        <w:t xml:space="preserve">section </w:t>
      </w:r>
      <w:r w:rsidR="00D02363" w:rsidRPr="00F77E7A">
        <w:rPr>
          <w:lang w:eastAsia="en-GB"/>
        </w:rPr>
        <w:t xml:space="preserve">6 </w:t>
      </w:r>
      <w:r w:rsidRPr="00F77E7A">
        <w:rPr>
          <w:lang w:eastAsia="en-GB"/>
        </w:rPr>
        <w:t>for further details).</w:t>
      </w:r>
      <w:r w:rsidR="003F2576" w:rsidRPr="00F77E7A">
        <w:rPr>
          <w:lang w:eastAsia="en-GB"/>
        </w:rPr>
        <w:t xml:space="preserve"> </w:t>
      </w:r>
    </w:p>
    <w:p w:rsidR="004E43B2" w:rsidRPr="00F77E7A" w:rsidRDefault="0073431F" w:rsidP="006E780E">
      <w:pPr>
        <w:pStyle w:val="ListParagraph"/>
        <w:widowControl/>
        <w:numPr>
          <w:ilvl w:val="1"/>
          <w:numId w:val="2"/>
        </w:numPr>
        <w:spacing w:before="120" w:after="120"/>
      </w:pPr>
      <w:r w:rsidRPr="00F77E7A">
        <w:t xml:space="preserve">The proposed restriction </w:t>
      </w:r>
      <w:r w:rsidR="002F7D3D" w:rsidRPr="00F77E7A">
        <w:t xml:space="preserve">did </w:t>
      </w:r>
      <w:r w:rsidRPr="00F77E7A">
        <w:t>not fully represent</w:t>
      </w:r>
      <w:r w:rsidR="00815862" w:rsidRPr="00F77E7A">
        <w:t xml:space="preserve"> the</w:t>
      </w:r>
      <w:r w:rsidRPr="00F77E7A">
        <w:t xml:space="preserve"> Study 108 population</w:t>
      </w:r>
      <w:r w:rsidR="00235D56" w:rsidRPr="00F77E7A">
        <w:t xml:space="preserve"> in that it did not include a </w:t>
      </w:r>
      <w:r w:rsidR="00E73718" w:rsidRPr="00F77E7A">
        <w:t xml:space="preserve">criterion </w:t>
      </w:r>
      <w:r w:rsidR="00797419" w:rsidRPr="00F77E7A">
        <w:t>which require</w:t>
      </w:r>
      <w:r w:rsidR="002F7D3D" w:rsidRPr="00F77E7A">
        <w:t>d</w:t>
      </w:r>
      <w:r w:rsidR="00797419" w:rsidRPr="00F77E7A">
        <w:t xml:space="preserve"> patients to have </w:t>
      </w:r>
      <w:r w:rsidR="00235D56" w:rsidRPr="00F77E7A">
        <w:t>pp</w:t>
      </w:r>
      <w:r w:rsidR="00797419" w:rsidRPr="00F77E7A">
        <w:t>FEV</w:t>
      </w:r>
      <w:r w:rsidR="00797419" w:rsidRPr="00F77E7A">
        <w:rPr>
          <w:vertAlign w:val="subscript"/>
        </w:rPr>
        <w:t>1</w:t>
      </w:r>
      <w:r w:rsidR="00797419" w:rsidRPr="00F77E7A">
        <w:t xml:space="preserve"> </w:t>
      </w:r>
      <w:r w:rsidR="006B58B2" w:rsidRPr="00F77E7A">
        <w:t>(percent predicted forced expiratory volume in one second)</w:t>
      </w:r>
      <w:r w:rsidR="00402140" w:rsidRPr="00F77E7A">
        <w:t xml:space="preserve"> </w:t>
      </w:r>
      <w:r w:rsidR="00797419" w:rsidRPr="00F77E7A">
        <w:t>≥40% and ≤90% of predicted normal for age, sex, and height</w:t>
      </w:r>
      <w:r w:rsidR="00235D56" w:rsidRPr="00F77E7A">
        <w:t xml:space="preserve"> (as per the entry criteria for Study 108)</w:t>
      </w:r>
      <w:r w:rsidR="00797419" w:rsidRPr="00F77E7A">
        <w:t xml:space="preserve">. </w:t>
      </w:r>
      <w:r w:rsidR="00235D56" w:rsidRPr="00F77E7A">
        <w:t xml:space="preserve">At </w:t>
      </w:r>
      <w:r w:rsidRPr="00F77E7A">
        <w:t xml:space="preserve">the </w:t>
      </w:r>
      <w:r w:rsidR="00767B31" w:rsidRPr="00F77E7A">
        <w:t xml:space="preserve">March 2016 </w:t>
      </w:r>
      <w:r w:rsidRPr="00F77E7A">
        <w:t>PBAC meeting, the PBAC emphasised that the efficacy and safety of lumacaftor/ivacaftor in patients with ppFEV</w:t>
      </w:r>
      <w:r w:rsidRPr="00F77E7A">
        <w:rPr>
          <w:vertAlign w:val="subscript"/>
        </w:rPr>
        <w:t>1</w:t>
      </w:r>
      <w:r w:rsidRPr="00F77E7A">
        <w:t xml:space="preserve"> &lt;40% and &gt;90% had not been evaluated and was unknown (</w:t>
      </w:r>
      <w:r w:rsidR="009D4832" w:rsidRPr="00F77E7A">
        <w:t xml:space="preserve">lumacaftor/ivacaftor (aged 12+ years) </w:t>
      </w:r>
      <w:r w:rsidRPr="00F77E7A">
        <w:t>P</w:t>
      </w:r>
      <w:r w:rsidR="009D4832" w:rsidRPr="00F77E7A">
        <w:t xml:space="preserve">ublic </w:t>
      </w:r>
      <w:r w:rsidRPr="00F77E7A">
        <w:t>S</w:t>
      </w:r>
      <w:r w:rsidR="009D4832" w:rsidRPr="00F77E7A">
        <w:t xml:space="preserve">ummary </w:t>
      </w:r>
      <w:r w:rsidRPr="00F77E7A">
        <w:t>D</w:t>
      </w:r>
      <w:r w:rsidR="009D4832" w:rsidRPr="00F77E7A">
        <w:t>ocument</w:t>
      </w:r>
      <w:r w:rsidR="00767B31" w:rsidRPr="00F77E7A">
        <w:t xml:space="preserve"> (PSD)</w:t>
      </w:r>
      <w:r w:rsidRPr="00F77E7A">
        <w:t xml:space="preserve"> </w:t>
      </w:r>
      <w:r w:rsidR="00767B31" w:rsidRPr="00F77E7A">
        <w:t>March 2016</w:t>
      </w:r>
      <w:r w:rsidRPr="00F77E7A">
        <w:t xml:space="preserve">, </w:t>
      </w:r>
      <w:r w:rsidR="00815862" w:rsidRPr="00F77E7A">
        <w:t>paragraph</w:t>
      </w:r>
      <w:r w:rsidRPr="00F77E7A">
        <w:t xml:space="preserve"> 2.</w:t>
      </w:r>
      <w:r w:rsidR="00767B31" w:rsidRPr="00F77E7A">
        <w:t>2</w:t>
      </w:r>
      <w:r w:rsidRPr="00F77E7A">
        <w:t>).</w:t>
      </w:r>
      <w:r w:rsidR="00280D91" w:rsidRPr="00F77E7A">
        <w:t xml:space="preserve"> </w:t>
      </w:r>
      <w:r w:rsidR="002F7D3D" w:rsidRPr="00F77E7A">
        <w:t>Ultimately, the PBAC did not recommend the inclusion of a criterion based on ppFEV</w:t>
      </w:r>
      <w:r w:rsidR="002F7D3D" w:rsidRPr="00F77E7A">
        <w:rPr>
          <w:vertAlign w:val="subscript"/>
        </w:rPr>
        <w:t>1</w:t>
      </w:r>
      <w:r w:rsidR="002F7D3D" w:rsidRPr="00F77E7A">
        <w:t xml:space="preserve"> for lumacaftor/ivacaftor (</w:t>
      </w:r>
      <w:r w:rsidR="009124A1" w:rsidRPr="00F77E7A">
        <w:t xml:space="preserve">lumacaftor/ivacaftor (aged 12+ years) </w:t>
      </w:r>
      <w:r w:rsidR="006B58B2" w:rsidRPr="00F77E7A">
        <w:t>PSD</w:t>
      </w:r>
      <w:r w:rsidR="009124A1" w:rsidRPr="00F77E7A">
        <w:t xml:space="preserve"> </w:t>
      </w:r>
      <w:r w:rsidR="00402140" w:rsidRPr="00F77E7A">
        <w:t xml:space="preserve">July </w:t>
      </w:r>
      <w:r w:rsidR="009124A1" w:rsidRPr="00F77E7A">
        <w:t xml:space="preserve">2018, </w:t>
      </w:r>
      <w:r w:rsidR="00402140" w:rsidRPr="00F77E7A">
        <w:t>section 8</w:t>
      </w:r>
      <w:r w:rsidR="002F7D3D" w:rsidRPr="00F77E7A">
        <w:t>)</w:t>
      </w:r>
      <w:r w:rsidR="00280D91" w:rsidRPr="00F77E7A">
        <w:t>.</w:t>
      </w:r>
      <w:r w:rsidRPr="00F77E7A">
        <w:t xml:space="preserve"> </w:t>
      </w:r>
    </w:p>
    <w:p w:rsidR="007A6770" w:rsidRPr="00F77E7A" w:rsidRDefault="007A6770" w:rsidP="006E780E">
      <w:pPr>
        <w:pStyle w:val="ListParagraph"/>
        <w:widowControl/>
        <w:numPr>
          <w:ilvl w:val="1"/>
          <w:numId w:val="2"/>
        </w:numPr>
        <w:spacing w:before="120" w:after="120"/>
        <w:rPr>
          <w:rFonts w:cs="Calibri"/>
          <w:snapToGrid/>
          <w:color w:val="3366FF"/>
          <w:szCs w:val="24"/>
          <w:lang w:eastAsia="en-AU"/>
        </w:rPr>
      </w:pPr>
      <w:r w:rsidRPr="00F77E7A">
        <w:t>The proposed listing requires presence of an RF mutation known to be responsive to tezacaftor/ivacaftor</w:t>
      </w:r>
      <w:r w:rsidR="008A18C7" w:rsidRPr="00F77E7A">
        <w:t xml:space="preserve"> (with the list of mutations defined in Table </w:t>
      </w:r>
      <w:r w:rsidR="00953B73" w:rsidRPr="00F77E7A">
        <w:t>1 in</w:t>
      </w:r>
      <w:r w:rsidR="008A18C7" w:rsidRPr="00F77E7A">
        <w:t xml:space="preserve"> the </w:t>
      </w:r>
      <w:r w:rsidR="00953B73" w:rsidRPr="00F77E7A">
        <w:t xml:space="preserve">TGA approved </w:t>
      </w:r>
      <w:r w:rsidR="008A18C7" w:rsidRPr="00F77E7A">
        <w:t>Product Information) based on a positive clinical response and/or in</w:t>
      </w:r>
      <w:r w:rsidR="006D252C" w:rsidRPr="00F77E7A">
        <w:t xml:space="preserve"> </w:t>
      </w:r>
      <w:r w:rsidR="008A18C7" w:rsidRPr="00F77E7A">
        <w:t>vitro data indicating that tezacaftor/ivacaftor increases chloride transport to at least 10% over baseline</w:t>
      </w:r>
      <w:r w:rsidRPr="00F77E7A">
        <w:t>. Responsiveness is determined from a panel of such known mutations (rather than de-novo testing of each patients’ mutations). There is no evidence regarding the treatment effect of tezacaftor/ivacaftor</w:t>
      </w:r>
      <w:r w:rsidR="00280D91" w:rsidRPr="00F77E7A">
        <w:t xml:space="preserve"> if an RF mutation which does not exist in the current panel of known tezacaftor/ivacaftor responsive mutations were to be identified. </w:t>
      </w:r>
      <w:r w:rsidR="00B926A3" w:rsidRPr="00F77E7A">
        <w:t xml:space="preserve">The </w:t>
      </w:r>
      <w:r w:rsidR="005D7E57">
        <w:t>Pre-Sub-Committee Response (</w:t>
      </w:r>
      <w:r w:rsidR="00B926A3" w:rsidRPr="00F77E7A">
        <w:t>PSCR</w:t>
      </w:r>
      <w:r w:rsidR="005D7E57">
        <w:t>)</w:t>
      </w:r>
      <w:r w:rsidR="00B926A3" w:rsidRPr="00F77E7A">
        <w:t xml:space="preserve"> indicated there is a low probability of additional mutations being identified or characterised as RF. The PSCR further noted that any new mutations would need to be in line with the TGA indication </w:t>
      </w:r>
      <w:r w:rsidR="00B926A3" w:rsidRPr="00F77E7A">
        <w:lastRenderedPageBreak/>
        <w:t>of being proven to be responsive to treatment</w:t>
      </w:r>
      <w:r w:rsidR="000B6C86" w:rsidRPr="00F77E7A">
        <w:t xml:space="preserve"> (see </w:t>
      </w:r>
      <w:r w:rsidR="000B6C86" w:rsidRPr="00F77E7A">
        <w:rPr>
          <w:i/>
        </w:rPr>
        <w:t>Registration status</w:t>
      </w:r>
      <w:r w:rsidR="000B6C86" w:rsidRPr="00F77E7A">
        <w:t xml:space="preserve"> </w:t>
      </w:r>
      <w:r w:rsidR="00D02363" w:rsidRPr="00F77E7A">
        <w:t xml:space="preserve">in section 3 </w:t>
      </w:r>
      <w:r w:rsidR="000B6C86" w:rsidRPr="00F77E7A">
        <w:t>for further details)</w:t>
      </w:r>
      <w:r w:rsidR="00B926A3" w:rsidRPr="00F77E7A">
        <w:t xml:space="preserve">. </w:t>
      </w:r>
    </w:p>
    <w:p w:rsidR="0078349E" w:rsidRPr="00CE1BBC" w:rsidRDefault="0078349E" w:rsidP="006E780E">
      <w:pPr>
        <w:pStyle w:val="ListParagraph"/>
        <w:widowControl/>
        <w:numPr>
          <w:ilvl w:val="1"/>
          <w:numId w:val="2"/>
        </w:numPr>
        <w:spacing w:before="120" w:after="120"/>
        <w:rPr>
          <w:rFonts w:cs="Calibri"/>
          <w:snapToGrid/>
          <w:color w:val="3366FF"/>
          <w:szCs w:val="24"/>
          <w:lang w:eastAsia="en-AU"/>
        </w:rPr>
      </w:pPr>
      <w:r w:rsidRPr="00F77E7A">
        <w:t xml:space="preserve">The ESC considered it would be appropriate to include prescribing instructions specifying that the dosage of </w:t>
      </w:r>
      <w:r w:rsidR="00423C97" w:rsidRPr="00F77E7A">
        <w:t xml:space="preserve">tezacaftor/ivacaftor should be adjusted if the patient is concomitantly receiving a </w:t>
      </w:r>
      <w:r w:rsidR="001335C9" w:rsidRPr="00F77E7A">
        <w:t>moderate</w:t>
      </w:r>
      <w:r w:rsidR="00BA30CB" w:rsidRPr="00F77E7A">
        <w:t xml:space="preserve"> or strong</w:t>
      </w:r>
      <w:r w:rsidR="001335C9" w:rsidRPr="00F77E7A">
        <w:t xml:space="preserve"> </w:t>
      </w:r>
      <w:r w:rsidR="00423C97" w:rsidRPr="00F77E7A">
        <w:t>CYP3A inhibitor</w:t>
      </w:r>
      <w:r w:rsidR="00BA30CB" w:rsidRPr="00F77E7A">
        <w:t xml:space="preserve">. The draft Product Information specifies that patients concomitantly receiving moderate CYP3A inhibitors should be dosed </w:t>
      </w:r>
      <w:r w:rsidR="00423C97" w:rsidRPr="00F77E7A">
        <w:t xml:space="preserve">with tezacaftor 100 mg/ivacaftor 150 mg and ivacaftor 150 mg tablets </w:t>
      </w:r>
      <w:r w:rsidR="00EC0F16" w:rsidRPr="00F77E7A">
        <w:t>on alternate days</w:t>
      </w:r>
      <w:r w:rsidR="00BA30CB" w:rsidRPr="00F77E7A">
        <w:t>,</w:t>
      </w:r>
      <w:r w:rsidR="001335C9" w:rsidRPr="00F77E7A">
        <w:t xml:space="preserve"> </w:t>
      </w:r>
      <w:r w:rsidR="00BA30CB" w:rsidRPr="00F77E7A">
        <w:t xml:space="preserve">while patients concomitantly receiving strong CYP3A inhibitors should be dosed </w:t>
      </w:r>
      <w:r w:rsidR="001335C9" w:rsidRPr="00F77E7A">
        <w:t>with tezacaftor 100 mg/ivacaftor 150 mg twice weekly</w:t>
      </w:r>
      <w:r w:rsidR="00BA30CB" w:rsidRPr="00F77E7A">
        <w:t xml:space="preserve"> (</w:t>
      </w:r>
      <w:r w:rsidR="001335C9" w:rsidRPr="00F77E7A">
        <w:t>approximately 3 to 4 days apart</w:t>
      </w:r>
      <w:r w:rsidR="00BA30CB" w:rsidRPr="00F77E7A">
        <w:t>)</w:t>
      </w:r>
      <w:r w:rsidR="00423C97" w:rsidRPr="00F77E7A">
        <w:t xml:space="preserve">. </w:t>
      </w:r>
      <w:r w:rsidR="00EC0F16" w:rsidRPr="00F77E7A">
        <w:t xml:space="preserve">The ESC noted that similar prescribing instructions </w:t>
      </w:r>
      <w:r w:rsidR="00495747" w:rsidRPr="00F77E7A">
        <w:t xml:space="preserve">are included in the current listings of ivacaftor. </w:t>
      </w:r>
    </w:p>
    <w:p w:rsidR="00CE1BBC" w:rsidRPr="00F77E7A" w:rsidRDefault="00CE1BBC" w:rsidP="006E780E">
      <w:pPr>
        <w:pStyle w:val="ListParagraph"/>
        <w:widowControl/>
        <w:numPr>
          <w:ilvl w:val="1"/>
          <w:numId w:val="2"/>
        </w:numPr>
        <w:spacing w:before="120" w:after="120"/>
        <w:rPr>
          <w:rFonts w:cs="Calibri"/>
          <w:snapToGrid/>
          <w:color w:val="3366FF"/>
          <w:szCs w:val="24"/>
          <w:lang w:eastAsia="en-AU"/>
        </w:rPr>
      </w:pPr>
      <w:r>
        <w:t xml:space="preserve">The PBAC also noted that the TGA approved Product Information </w:t>
      </w:r>
      <w:r w:rsidR="00035C89">
        <w:t xml:space="preserve">states that </w:t>
      </w:r>
      <w:r w:rsidR="008A1532">
        <w:t>c</w:t>
      </w:r>
      <w:r w:rsidR="008A1532" w:rsidRPr="008A1532">
        <w:t>oncomitant use of CYP3A inducers may result in reduced efficacy</w:t>
      </w:r>
      <w:r w:rsidR="008A1532">
        <w:t xml:space="preserve"> and that</w:t>
      </w:r>
      <w:r w:rsidR="008A1532" w:rsidRPr="008A1532">
        <w:t xml:space="preserve"> </w:t>
      </w:r>
      <w:r w:rsidR="00035C89">
        <w:t>co</w:t>
      </w:r>
      <w:r w:rsidR="004F3ED0">
        <w:t>-administration</w:t>
      </w:r>
      <w:r w:rsidR="00035C89">
        <w:t xml:space="preserve"> with strong CYP3A inducers is not recommended. </w:t>
      </w:r>
    </w:p>
    <w:p w:rsidR="00DB2577" w:rsidRPr="00F77E7A" w:rsidRDefault="00DB2577" w:rsidP="006E780E">
      <w:pPr>
        <w:pStyle w:val="ListParagraph"/>
        <w:widowControl/>
        <w:spacing w:before="120" w:after="120"/>
        <w:ind w:left="709"/>
        <w:rPr>
          <w:snapToGrid/>
          <w:lang w:eastAsia="en-AU"/>
        </w:rPr>
      </w:pPr>
      <w:r w:rsidRPr="00F77E7A">
        <w:rPr>
          <w:rFonts w:asciiTheme="minorHAnsi" w:hAnsiTheme="minorHAnsi"/>
          <w:i/>
        </w:rPr>
        <w:t>For more detail on PBAC’s view, see section 7 PBAC outcome.</w:t>
      </w:r>
    </w:p>
    <w:p w:rsidR="00573DD9" w:rsidRPr="00F77E7A" w:rsidRDefault="00B50DB8" w:rsidP="006E780E">
      <w:pPr>
        <w:pStyle w:val="PBACHeading1"/>
        <w:numPr>
          <w:ilvl w:val="0"/>
          <w:numId w:val="22"/>
        </w:numPr>
        <w:spacing w:before="120"/>
      </w:pPr>
      <w:bookmarkStart w:id="2" w:name="_Toc532280233"/>
      <w:r w:rsidRPr="00F77E7A">
        <w:t>Background</w:t>
      </w:r>
      <w:bookmarkEnd w:id="2"/>
    </w:p>
    <w:p w:rsidR="00B60939" w:rsidRPr="00F77E7A" w:rsidRDefault="00591957" w:rsidP="006E780E">
      <w:pPr>
        <w:pStyle w:val="Heading2"/>
        <w:widowControl/>
        <w:spacing w:before="120"/>
      </w:pPr>
      <w:r w:rsidRPr="00F77E7A">
        <w:t>Registration status</w:t>
      </w:r>
    </w:p>
    <w:p w:rsidR="00421064" w:rsidRPr="00F77E7A" w:rsidRDefault="007D7981" w:rsidP="006E780E">
      <w:pPr>
        <w:pStyle w:val="ListParagraph"/>
        <w:widowControl/>
        <w:numPr>
          <w:ilvl w:val="1"/>
          <w:numId w:val="2"/>
        </w:numPr>
        <w:spacing w:before="120" w:after="120"/>
      </w:pPr>
      <w:r w:rsidRPr="00F77E7A">
        <w:rPr>
          <w:rFonts w:eastAsia="Calibri"/>
          <w:b/>
        </w:rPr>
        <w:t xml:space="preserve">TGA status at time of </w:t>
      </w:r>
      <w:r w:rsidR="00AD19B2" w:rsidRPr="00F77E7A">
        <w:rPr>
          <w:rFonts w:eastAsia="Calibri"/>
          <w:b/>
        </w:rPr>
        <w:t>PBAC consideration</w:t>
      </w:r>
      <w:r w:rsidRPr="00F77E7A">
        <w:rPr>
          <w:rFonts w:eastAsia="Calibri"/>
        </w:rPr>
        <w:t>:</w:t>
      </w:r>
      <w:r w:rsidR="0055223F" w:rsidRPr="00F77E7A">
        <w:rPr>
          <w:rFonts w:eastAsia="Calibri"/>
        </w:rPr>
        <w:t xml:space="preserve"> </w:t>
      </w:r>
      <w:r w:rsidR="00C61BE5" w:rsidRPr="00F77E7A">
        <w:t xml:space="preserve">The submission was made under the TGA/PBAC Parallel Process. At the time of evaluation for PBAC consideration, the Clinical Evaluation Report (CER) (round 2) was available. No major efficacy or safety issues were raised by the clinical evaluator. </w:t>
      </w:r>
      <w:r w:rsidR="0055223F" w:rsidRPr="00F77E7A">
        <w:rPr>
          <w:rFonts w:eastAsia="Calibri"/>
        </w:rPr>
        <w:t xml:space="preserve">The </w:t>
      </w:r>
      <w:r w:rsidR="00064887" w:rsidRPr="00F77E7A">
        <w:rPr>
          <w:rFonts w:eastAsia="Calibri"/>
        </w:rPr>
        <w:t>Request for ACM</w:t>
      </w:r>
      <w:r w:rsidR="00C61BE5" w:rsidRPr="00F77E7A">
        <w:rPr>
          <w:rFonts w:eastAsia="Calibri"/>
        </w:rPr>
        <w:t>’s</w:t>
      </w:r>
      <w:r w:rsidR="00064887" w:rsidRPr="00F77E7A">
        <w:rPr>
          <w:rFonts w:eastAsia="Calibri"/>
        </w:rPr>
        <w:t xml:space="preserve"> Advice, the </w:t>
      </w:r>
      <w:r w:rsidR="003808BE" w:rsidRPr="00F77E7A">
        <w:rPr>
          <w:rFonts w:eastAsia="Calibri"/>
        </w:rPr>
        <w:t>Minutes</w:t>
      </w:r>
      <w:r w:rsidR="00285392" w:rsidRPr="00F77E7A">
        <w:rPr>
          <w:rFonts w:eastAsia="Calibri"/>
        </w:rPr>
        <w:t xml:space="preserve"> of the ACM meeting on 6 December 2018</w:t>
      </w:r>
      <w:r w:rsidR="00064887" w:rsidRPr="00F77E7A">
        <w:rPr>
          <w:rFonts w:eastAsia="Calibri"/>
        </w:rPr>
        <w:t xml:space="preserve">, a TGA Delegate letter </w:t>
      </w:r>
      <w:r w:rsidR="000B6C86" w:rsidRPr="00F77E7A">
        <w:rPr>
          <w:rFonts w:eastAsia="Calibri"/>
        </w:rPr>
        <w:t>(</w:t>
      </w:r>
      <w:r w:rsidR="000B6C86" w:rsidRPr="00F77E7A">
        <w:t xml:space="preserve">dated 21 December 2018) </w:t>
      </w:r>
      <w:r w:rsidR="00064887" w:rsidRPr="00F77E7A">
        <w:rPr>
          <w:rFonts w:eastAsia="Calibri"/>
        </w:rPr>
        <w:t>requesting additional information from the Sponsor and the Sponsor’s reply to that letter</w:t>
      </w:r>
      <w:r w:rsidR="003808BE" w:rsidRPr="00F77E7A">
        <w:rPr>
          <w:rFonts w:eastAsia="Calibri"/>
        </w:rPr>
        <w:t xml:space="preserve"> were </w:t>
      </w:r>
      <w:r w:rsidR="00DC49E5" w:rsidRPr="00F77E7A">
        <w:rPr>
          <w:rFonts w:eastAsia="Calibri"/>
        </w:rPr>
        <w:t xml:space="preserve">available at the time of ESC </w:t>
      </w:r>
      <w:r w:rsidR="00421064" w:rsidRPr="00F77E7A">
        <w:rPr>
          <w:rFonts w:eastAsia="Calibri"/>
        </w:rPr>
        <w:t>consideration</w:t>
      </w:r>
      <w:r w:rsidR="003808BE" w:rsidRPr="00F77E7A">
        <w:rPr>
          <w:rFonts w:eastAsia="Calibri"/>
        </w:rPr>
        <w:t xml:space="preserve">. </w:t>
      </w:r>
      <w:r w:rsidR="001D06E6" w:rsidRPr="00F77E7A">
        <w:t xml:space="preserve">Tezacaftor/ivacaftor was registered by the TGA on 5 March 2019. </w:t>
      </w:r>
    </w:p>
    <w:p w:rsidR="0055223F" w:rsidRPr="00F77E7A" w:rsidRDefault="001D06E6" w:rsidP="006E780E">
      <w:pPr>
        <w:pStyle w:val="ListParagraph"/>
        <w:widowControl/>
        <w:numPr>
          <w:ilvl w:val="1"/>
          <w:numId w:val="2"/>
        </w:numPr>
        <w:spacing w:before="120" w:after="120"/>
      </w:pPr>
      <w:r w:rsidRPr="00F77E7A">
        <w:t xml:space="preserve">The TGA approved indications are: </w:t>
      </w:r>
      <w:r w:rsidRPr="00F77E7A">
        <w:rPr>
          <w:i/>
        </w:rPr>
        <w:t xml:space="preserve">Symdeko is indicated for the treatment of patients with cystic fibrosis (CF) aged 12 years and older who are homozygous for the F508del mutation or who have at least one mutation in the cystic fibrosis transmembrane conductance regulator (CFTR) gene that is responsive to tezacaftor/ivacaftor based on in vitro data and/or clinical evidence. Refer to Table 1 </w:t>
      </w:r>
      <w:r w:rsidRPr="00F77E7A">
        <w:t>[of the TGA approved Product Information]</w:t>
      </w:r>
      <w:r w:rsidRPr="00F77E7A">
        <w:rPr>
          <w:i/>
        </w:rPr>
        <w:t xml:space="preserve"> for a list of responsive mutations.</w:t>
      </w:r>
      <w:r w:rsidRPr="00F77E7A">
        <w:t xml:space="preserve"> </w:t>
      </w:r>
    </w:p>
    <w:p w:rsidR="003C376D" w:rsidRPr="00F77E7A" w:rsidRDefault="00203181" w:rsidP="006E780E">
      <w:pPr>
        <w:pStyle w:val="PBACHeading1"/>
        <w:numPr>
          <w:ilvl w:val="0"/>
          <w:numId w:val="22"/>
        </w:numPr>
        <w:spacing w:before="120"/>
      </w:pPr>
      <w:bookmarkStart w:id="3" w:name="_Toc532280234"/>
      <w:r w:rsidRPr="00F77E7A">
        <w:t xml:space="preserve">Population and </w:t>
      </w:r>
      <w:r w:rsidR="008E0D3C" w:rsidRPr="00F77E7A">
        <w:t>d</w:t>
      </w:r>
      <w:r w:rsidRPr="00F77E7A">
        <w:t>isease</w:t>
      </w:r>
      <w:bookmarkEnd w:id="3"/>
    </w:p>
    <w:p w:rsidR="00115630" w:rsidRPr="00F77E7A" w:rsidRDefault="009C7740" w:rsidP="006E780E">
      <w:pPr>
        <w:pStyle w:val="ListParagraph"/>
        <w:widowControl/>
        <w:numPr>
          <w:ilvl w:val="1"/>
          <w:numId w:val="2"/>
        </w:numPr>
        <w:spacing w:before="120" w:after="120"/>
      </w:pPr>
      <w:r w:rsidRPr="00F77E7A">
        <w:t xml:space="preserve">CF is a rare, genetic, systemic disease that leads to early death. It is caused by mutations in the CFTR </w:t>
      </w:r>
      <w:r w:rsidR="00901100" w:rsidRPr="00F77E7A">
        <w:t>gene that</w:t>
      </w:r>
      <w:r w:rsidRPr="00F77E7A">
        <w:t xml:space="preserve"> ultimately lead to defective transport of chloride and other ions. Patients that suffer CF are subject to a progressive loss of lung function, significant excess morbidity and reduced quality of life, pancreatic insufficiency and gastrointestinal malabsorption, frequent pulmonary exacerbations, and premature death. </w:t>
      </w:r>
      <w:r w:rsidR="003C376D" w:rsidRPr="00F77E7A">
        <w:t>In Australia</w:t>
      </w:r>
      <w:r w:rsidR="00CD1678" w:rsidRPr="00F77E7A">
        <w:t>,</w:t>
      </w:r>
      <w:r w:rsidR="003C376D" w:rsidRPr="00F77E7A">
        <w:t xml:space="preserve"> the median age of death among CF patients </w:t>
      </w:r>
      <w:r w:rsidR="00115630" w:rsidRPr="00F77E7A">
        <w:t xml:space="preserve">is </w:t>
      </w:r>
      <w:r w:rsidR="003C376D" w:rsidRPr="00F77E7A">
        <w:t>32.6 years (</w:t>
      </w:r>
      <w:r w:rsidR="00280D91" w:rsidRPr="00F77E7A">
        <w:t xml:space="preserve">Australian Cystic Fibrosis Data Registry (ACFDR) annual report, </w:t>
      </w:r>
      <w:r w:rsidR="003C376D" w:rsidRPr="00F77E7A">
        <w:t>2016).</w:t>
      </w:r>
      <w:r w:rsidR="00203181" w:rsidRPr="00F77E7A">
        <w:t xml:space="preserve"> </w:t>
      </w:r>
    </w:p>
    <w:p w:rsidR="00894489" w:rsidRPr="00F77E7A" w:rsidRDefault="009C7740" w:rsidP="006E780E">
      <w:pPr>
        <w:pStyle w:val="ListParagraph"/>
        <w:widowControl/>
        <w:numPr>
          <w:ilvl w:val="1"/>
          <w:numId w:val="2"/>
        </w:numPr>
        <w:spacing w:before="120" w:after="120"/>
      </w:pPr>
      <w:r w:rsidRPr="00F77E7A">
        <w:lastRenderedPageBreak/>
        <w:t>The most common mutation in Australia is F508del of the CFTR, which is present in at least one allele in approximately 90% of CF patients</w:t>
      </w:r>
      <w:r w:rsidR="003C376D" w:rsidRPr="00F77E7A">
        <w:t>.</w:t>
      </w:r>
      <w:r w:rsidRPr="00F77E7A">
        <w:t xml:space="preserve"> Approximately 50% of CF patients in Australia are homozygous for (i.e. have two copies of) the F508del mutation. The F508del mutation leads to an improperly folded CFTR protein and a disruption of the chloride channel opening leading to minimal CFTR chloride transport activity. Other mutations may cause a reduced synthesis or stability of the CFTR </w:t>
      </w:r>
      <w:r w:rsidR="00901100" w:rsidRPr="00F77E7A">
        <w:t>protein that</w:t>
      </w:r>
      <w:r w:rsidRPr="00F77E7A">
        <w:t xml:space="preserve"> may result in retention of residual activity and therefore, less severe disease</w:t>
      </w:r>
      <w:r w:rsidR="00A03A26" w:rsidRPr="00F77E7A">
        <w:t xml:space="preserve">. </w:t>
      </w:r>
      <w:r w:rsidR="00F772E2" w:rsidRPr="00F77E7A">
        <w:t xml:space="preserve">RF mutations are </w:t>
      </w:r>
      <w:r w:rsidR="003C376D" w:rsidRPr="00F77E7A">
        <w:t>relatively rare</w:t>
      </w:r>
      <w:r w:rsidR="00F772E2" w:rsidRPr="00F77E7A">
        <w:t xml:space="preserve"> and </w:t>
      </w:r>
      <w:r w:rsidR="003C376D" w:rsidRPr="00F77E7A">
        <w:t xml:space="preserve">lead to variable disease activity and a later onset of </w:t>
      </w:r>
      <w:r w:rsidR="006572DC" w:rsidRPr="00F77E7A">
        <w:t xml:space="preserve">symptoms </w:t>
      </w:r>
      <w:r w:rsidR="007C4EEF" w:rsidRPr="00F77E7A">
        <w:t>(page 14-15</w:t>
      </w:r>
      <w:r w:rsidR="00115630" w:rsidRPr="00F77E7A">
        <w:t xml:space="preserve"> of the submission</w:t>
      </w:r>
      <w:r w:rsidR="007C4EEF" w:rsidRPr="00F77E7A">
        <w:t>)</w:t>
      </w:r>
      <w:r w:rsidR="00F772E2" w:rsidRPr="00F77E7A">
        <w:t xml:space="preserve">. </w:t>
      </w:r>
      <w:r w:rsidR="003C376D" w:rsidRPr="00F77E7A">
        <w:t xml:space="preserve">However, </w:t>
      </w:r>
      <w:r w:rsidR="00F772E2" w:rsidRPr="00F77E7A">
        <w:t>patients</w:t>
      </w:r>
      <w:r w:rsidR="003C376D" w:rsidRPr="00F77E7A">
        <w:t xml:space="preserve"> </w:t>
      </w:r>
      <w:r w:rsidR="00235D56" w:rsidRPr="00F77E7A">
        <w:t xml:space="preserve">with RF mutations </w:t>
      </w:r>
      <w:r w:rsidR="001D18FA" w:rsidRPr="00F77E7A">
        <w:t xml:space="preserve">still </w:t>
      </w:r>
      <w:r w:rsidR="003C376D" w:rsidRPr="00F77E7A">
        <w:t>develop significant and progressive disease</w:t>
      </w:r>
      <w:r w:rsidR="00F772E2" w:rsidRPr="00F77E7A">
        <w:t xml:space="preserve"> with a</w:t>
      </w:r>
      <w:r w:rsidR="003C376D" w:rsidRPr="00F77E7A">
        <w:t xml:space="preserve"> reduced life</w:t>
      </w:r>
      <w:r w:rsidR="00F772E2" w:rsidRPr="00F77E7A">
        <w:t xml:space="preserve"> expectancy. </w:t>
      </w:r>
      <w:r w:rsidR="001D18FA" w:rsidRPr="00F77E7A">
        <w:t>Compared to patients</w:t>
      </w:r>
      <w:r w:rsidR="00190B66" w:rsidRPr="00F77E7A">
        <w:t xml:space="preserve"> who</w:t>
      </w:r>
      <w:r w:rsidR="001D18FA" w:rsidRPr="00F77E7A">
        <w:t xml:space="preserve"> are homozygous </w:t>
      </w:r>
      <w:r w:rsidRPr="00F77E7A">
        <w:t xml:space="preserve">for the </w:t>
      </w:r>
      <w:r w:rsidR="001D18FA" w:rsidRPr="00F77E7A">
        <w:t>F508del mutation, studies have shown that heterozygous patients require</w:t>
      </w:r>
      <w:r w:rsidR="002F7D3D" w:rsidRPr="00F77E7A">
        <w:t>d</w:t>
      </w:r>
      <w:r w:rsidR="001D18FA" w:rsidRPr="00F77E7A">
        <w:t xml:space="preserve"> less pancreatic enzyme substitution, had better lung function, had a lower yearly incidence of chronic </w:t>
      </w:r>
      <w:r w:rsidR="00F75F52" w:rsidRPr="00F77E7A">
        <w:rPr>
          <w:i/>
        </w:rPr>
        <w:t>Pseudomonas</w:t>
      </w:r>
      <w:r w:rsidR="001D18FA" w:rsidRPr="00F77E7A">
        <w:rPr>
          <w:i/>
        </w:rPr>
        <w:t xml:space="preserve"> aeruginosa</w:t>
      </w:r>
      <w:r w:rsidR="001D18FA" w:rsidRPr="00F77E7A">
        <w:t xml:space="preserve"> infection, and had better mortality rates</w:t>
      </w:r>
      <w:r w:rsidR="001D18FA" w:rsidRPr="00F77E7A">
        <w:rPr>
          <w:rStyle w:val="FootnoteReference"/>
          <w:rFonts w:ascii="Arial" w:hAnsi="Arial"/>
          <w:color w:val="000000"/>
          <w:sz w:val="20"/>
          <w:szCs w:val="20"/>
          <w:shd w:val="clear" w:color="auto" w:fill="FFFFFF"/>
        </w:rPr>
        <w:footnoteReference w:id="1"/>
      </w:r>
      <w:r w:rsidR="001D18FA" w:rsidRPr="00F77E7A">
        <w:rPr>
          <w:rFonts w:ascii="Arial" w:hAnsi="Arial"/>
          <w:color w:val="000000"/>
          <w:sz w:val="20"/>
          <w:szCs w:val="20"/>
          <w:shd w:val="clear" w:color="auto" w:fill="FFFFFF"/>
        </w:rPr>
        <w:t xml:space="preserve">. </w:t>
      </w:r>
      <w:r w:rsidR="001D18FA" w:rsidRPr="00F77E7A">
        <w:rPr>
          <w:rFonts w:asciiTheme="minorHAnsi" w:hAnsiTheme="minorHAnsi" w:cstheme="minorHAnsi"/>
          <w:color w:val="000000"/>
          <w:szCs w:val="24"/>
          <w:shd w:val="clear" w:color="auto" w:fill="FFFFFF"/>
        </w:rPr>
        <w:t xml:space="preserve">This could be interpreted as </w:t>
      </w:r>
      <w:r w:rsidR="002F7D3D" w:rsidRPr="00F77E7A">
        <w:rPr>
          <w:rFonts w:asciiTheme="minorHAnsi" w:hAnsiTheme="minorHAnsi" w:cstheme="minorHAnsi"/>
          <w:color w:val="000000"/>
          <w:szCs w:val="24"/>
          <w:shd w:val="clear" w:color="auto" w:fill="FFFFFF"/>
        </w:rPr>
        <w:t xml:space="preserve">being that </w:t>
      </w:r>
      <w:r w:rsidR="007C4EEF" w:rsidRPr="00F77E7A">
        <w:rPr>
          <w:rFonts w:asciiTheme="minorHAnsi" w:hAnsiTheme="minorHAnsi" w:cstheme="minorHAnsi"/>
          <w:color w:val="000000"/>
          <w:szCs w:val="24"/>
          <w:shd w:val="clear" w:color="auto" w:fill="FFFFFF"/>
        </w:rPr>
        <w:t xml:space="preserve">patients with </w:t>
      </w:r>
      <w:r w:rsidR="002F7D3D" w:rsidRPr="00F77E7A">
        <w:rPr>
          <w:rFonts w:asciiTheme="minorHAnsi" w:hAnsiTheme="minorHAnsi" w:cstheme="minorHAnsi"/>
          <w:color w:val="000000"/>
          <w:szCs w:val="24"/>
          <w:shd w:val="clear" w:color="auto" w:fill="FFFFFF"/>
        </w:rPr>
        <w:t>RF</w:t>
      </w:r>
      <w:r w:rsidR="007C4EEF" w:rsidRPr="00F77E7A">
        <w:rPr>
          <w:rFonts w:asciiTheme="minorHAnsi" w:hAnsiTheme="minorHAnsi" w:cstheme="minorHAnsi"/>
          <w:color w:val="000000"/>
          <w:szCs w:val="24"/>
          <w:shd w:val="clear" w:color="auto" w:fill="FFFFFF"/>
        </w:rPr>
        <w:t xml:space="preserve"> mutation </w:t>
      </w:r>
      <w:r w:rsidR="002F7D3D" w:rsidRPr="00F77E7A">
        <w:rPr>
          <w:rFonts w:asciiTheme="minorHAnsi" w:hAnsiTheme="minorHAnsi" w:cstheme="minorHAnsi"/>
          <w:color w:val="000000"/>
          <w:szCs w:val="24"/>
          <w:shd w:val="clear" w:color="auto" w:fill="FFFFFF"/>
        </w:rPr>
        <w:t xml:space="preserve">have less rapidly progressing disease. </w:t>
      </w:r>
    </w:p>
    <w:p w:rsidR="00E55BB5" w:rsidRPr="00F77E7A" w:rsidRDefault="00F772E2" w:rsidP="006E780E">
      <w:pPr>
        <w:pStyle w:val="ListParagraph"/>
        <w:widowControl/>
        <w:numPr>
          <w:ilvl w:val="1"/>
          <w:numId w:val="2"/>
        </w:numPr>
        <w:spacing w:before="120" w:after="120"/>
      </w:pPr>
      <w:r w:rsidRPr="00F77E7A">
        <w:t xml:space="preserve">Tezacaftor/ivacaftor is proposed as a </w:t>
      </w:r>
      <w:r w:rsidR="00445E27" w:rsidRPr="00F77E7A">
        <w:t>lifelong</w:t>
      </w:r>
      <w:r w:rsidRPr="00F77E7A">
        <w:t xml:space="preserve"> treatment administered concomitantly with BSC in patients </w:t>
      </w:r>
      <w:r w:rsidR="009E2A66" w:rsidRPr="00F77E7A">
        <w:t>≥</w:t>
      </w:r>
      <w:r w:rsidRPr="00F77E7A">
        <w:t xml:space="preserve"> 12 years who have an RF mutation responsive to the treatment.</w:t>
      </w:r>
      <w:r w:rsidR="008F1E57" w:rsidRPr="00F77E7A">
        <w:t xml:space="preserve"> The ESC noted that the evidence presented is based only on patients who are heterozygous for the F508del mutation who also have an RF mutation. </w:t>
      </w:r>
      <w:r w:rsidR="00D97274" w:rsidRPr="00F77E7A">
        <w:t>It is unknown whether the Australian patient population would also consist of</w:t>
      </w:r>
      <w:r w:rsidR="008F1E57" w:rsidRPr="00F77E7A">
        <w:t xml:space="preserve"> patients </w:t>
      </w:r>
      <w:r w:rsidR="008B3119" w:rsidRPr="00F77E7A">
        <w:t>with two</w:t>
      </w:r>
      <w:r w:rsidR="00D97274" w:rsidRPr="00F77E7A">
        <w:t xml:space="preserve"> RF mutation</w:t>
      </w:r>
      <w:r w:rsidR="008B3119" w:rsidRPr="00F77E7A">
        <w:t>s in the CFTR gene</w:t>
      </w:r>
      <w:r w:rsidR="00D97274" w:rsidRPr="00F77E7A">
        <w:t xml:space="preserve">. </w:t>
      </w:r>
    </w:p>
    <w:p w:rsidR="00445E27" w:rsidRPr="00F77E7A" w:rsidRDefault="00445E27" w:rsidP="006E780E">
      <w:pPr>
        <w:pStyle w:val="ListParagraph"/>
        <w:widowControl/>
        <w:spacing w:before="120" w:after="120"/>
        <w:ind w:left="709"/>
        <w:rPr>
          <w:rFonts w:asciiTheme="minorHAnsi" w:hAnsiTheme="minorHAnsi"/>
          <w:i/>
        </w:rPr>
      </w:pPr>
      <w:r w:rsidRPr="00F77E7A">
        <w:rPr>
          <w:rFonts w:asciiTheme="minorHAnsi" w:hAnsiTheme="minorHAnsi"/>
          <w:i/>
        </w:rPr>
        <w:t>For more detail on PBAC’s view, see section 7 PBAC outcome.</w:t>
      </w:r>
    </w:p>
    <w:p w:rsidR="00B60939" w:rsidRPr="00F77E7A" w:rsidRDefault="00B50DB8" w:rsidP="006E780E">
      <w:pPr>
        <w:pStyle w:val="PBACHeading1"/>
        <w:numPr>
          <w:ilvl w:val="0"/>
          <w:numId w:val="22"/>
        </w:numPr>
        <w:spacing w:before="120"/>
      </w:pPr>
      <w:bookmarkStart w:id="4" w:name="_Toc532280235"/>
      <w:r w:rsidRPr="00F77E7A">
        <w:t>Comparator</w:t>
      </w:r>
      <w:bookmarkEnd w:id="4"/>
    </w:p>
    <w:p w:rsidR="00B60939" w:rsidRPr="00F77E7A" w:rsidRDefault="00A6446B" w:rsidP="006E780E">
      <w:pPr>
        <w:widowControl/>
        <w:numPr>
          <w:ilvl w:val="1"/>
          <w:numId w:val="2"/>
        </w:numPr>
        <w:spacing w:before="120" w:after="120"/>
        <w:ind w:left="709"/>
      </w:pPr>
      <w:r w:rsidRPr="00F77E7A">
        <w:rPr>
          <w:rFonts w:cs="Calibri"/>
          <w:snapToGrid/>
          <w:szCs w:val="24"/>
          <w:lang w:eastAsia="en-AU"/>
        </w:rPr>
        <w:t xml:space="preserve">The submission nominated </w:t>
      </w:r>
      <w:r w:rsidR="007A6770" w:rsidRPr="00F77E7A">
        <w:rPr>
          <w:rFonts w:cs="Calibri"/>
          <w:snapToGrid/>
          <w:szCs w:val="24"/>
          <w:lang w:eastAsia="en-AU"/>
        </w:rPr>
        <w:t>best supportive care (</w:t>
      </w:r>
      <w:r w:rsidRPr="00F77E7A">
        <w:rPr>
          <w:rFonts w:cs="Calibri"/>
          <w:snapToGrid/>
          <w:szCs w:val="24"/>
          <w:lang w:eastAsia="en-AU"/>
        </w:rPr>
        <w:t>BSC</w:t>
      </w:r>
      <w:r w:rsidR="007A6770" w:rsidRPr="00F77E7A">
        <w:rPr>
          <w:rFonts w:cs="Calibri"/>
          <w:snapToGrid/>
          <w:szCs w:val="24"/>
          <w:lang w:eastAsia="en-AU"/>
        </w:rPr>
        <w:t>)</w:t>
      </w:r>
      <w:r w:rsidRPr="00F77E7A">
        <w:rPr>
          <w:rFonts w:cs="Calibri"/>
          <w:snapToGrid/>
          <w:szCs w:val="24"/>
          <w:lang w:eastAsia="en-AU"/>
        </w:rPr>
        <w:t xml:space="preserve"> as the main comparator. </w:t>
      </w:r>
      <w:r w:rsidR="00FD23BB" w:rsidRPr="00F77E7A">
        <w:rPr>
          <w:rFonts w:cs="Calibri"/>
          <w:snapToGrid/>
          <w:szCs w:val="24"/>
          <w:lang w:eastAsia="en-AU"/>
        </w:rPr>
        <w:t xml:space="preserve">The submission argued </w:t>
      </w:r>
      <w:r w:rsidR="00FD23BB" w:rsidRPr="00F77E7A">
        <w:t xml:space="preserve">there are no treatment alternatives </w:t>
      </w:r>
      <w:r w:rsidR="006A33C3" w:rsidRPr="00F77E7A">
        <w:t xml:space="preserve">TGA registered </w:t>
      </w:r>
      <w:r w:rsidR="00FD23BB" w:rsidRPr="00F77E7A">
        <w:t xml:space="preserve">available for this patient population. </w:t>
      </w:r>
      <w:r w:rsidRPr="00F77E7A">
        <w:rPr>
          <w:rFonts w:cs="Calibri"/>
          <w:snapToGrid/>
          <w:szCs w:val="24"/>
          <w:lang w:eastAsia="en-AU"/>
        </w:rPr>
        <w:t>Th</w:t>
      </w:r>
      <w:r w:rsidR="00267361" w:rsidRPr="00F77E7A">
        <w:rPr>
          <w:rFonts w:cs="Calibri"/>
          <w:snapToGrid/>
          <w:szCs w:val="24"/>
          <w:lang w:eastAsia="en-AU"/>
        </w:rPr>
        <w:t xml:space="preserve">e ESC considered this </w:t>
      </w:r>
      <w:r w:rsidRPr="00F77E7A">
        <w:rPr>
          <w:rFonts w:cs="Calibri"/>
          <w:snapToGrid/>
          <w:szCs w:val="24"/>
          <w:lang w:eastAsia="en-AU"/>
        </w:rPr>
        <w:t xml:space="preserve">was appropriate. </w:t>
      </w:r>
    </w:p>
    <w:p w:rsidR="00DB2577" w:rsidRPr="00F77E7A" w:rsidRDefault="00DB2577" w:rsidP="006E780E">
      <w:pPr>
        <w:pStyle w:val="ListParagraph"/>
        <w:widowControl/>
        <w:spacing w:before="120" w:after="120"/>
        <w:ind w:left="709"/>
        <w:rPr>
          <w:rFonts w:asciiTheme="minorHAnsi" w:hAnsiTheme="minorHAnsi"/>
          <w:i/>
        </w:rPr>
      </w:pPr>
      <w:r w:rsidRPr="00F77E7A">
        <w:rPr>
          <w:rFonts w:asciiTheme="minorHAnsi" w:hAnsiTheme="minorHAnsi"/>
          <w:i/>
        </w:rPr>
        <w:t>For more detail on PBAC’s view, see section 7 PBAC outcome.</w:t>
      </w:r>
    </w:p>
    <w:p w:rsidR="00B50DB8" w:rsidRPr="00F77E7A" w:rsidRDefault="00BD6CF3" w:rsidP="00E85AD0">
      <w:pPr>
        <w:pStyle w:val="PBACHeading1"/>
        <w:keepNext/>
        <w:keepLines/>
        <w:numPr>
          <w:ilvl w:val="0"/>
          <w:numId w:val="22"/>
        </w:numPr>
        <w:spacing w:before="120"/>
      </w:pPr>
      <w:bookmarkStart w:id="5" w:name="_Toc532280236"/>
      <w:r w:rsidRPr="00F77E7A">
        <w:lastRenderedPageBreak/>
        <w:t>C</w:t>
      </w:r>
      <w:r w:rsidR="00B50DB8" w:rsidRPr="00F77E7A">
        <w:t>onsideration of the evidence</w:t>
      </w:r>
      <w:bookmarkEnd w:id="5"/>
    </w:p>
    <w:p w:rsidR="00DB2577" w:rsidRPr="00F77E7A" w:rsidRDefault="00DB2577" w:rsidP="00E85AD0">
      <w:pPr>
        <w:pStyle w:val="Heading2"/>
        <w:keepLines/>
        <w:widowControl/>
        <w:spacing w:before="120"/>
      </w:pPr>
      <w:bookmarkStart w:id="6" w:name="_Toc532280237"/>
      <w:r w:rsidRPr="00F77E7A">
        <w:t>Sponsor hearing</w:t>
      </w:r>
    </w:p>
    <w:p w:rsidR="00115630" w:rsidRPr="00F77E7A" w:rsidRDefault="00040090" w:rsidP="00E85AD0">
      <w:pPr>
        <w:keepNext/>
        <w:keepLines/>
        <w:widowControl/>
        <w:numPr>
          <w:ilvl w:val="1"/>
          <w:numId w:val="2"/>
        </w:numPr>
        <w:spacing w:before="120" w:after="120"/>
        <w:rPr>
          <w:rFonts w:asciiTheme="minorHAnsi" w:hAnsiTheme="minorHAnsi"/>
          <w:bCs/>
          <w:szCs w:val="24"/>
        </w:rPr>
      </w:pPr>
      <w:r w:rsidRPr="00F77E7A">
        <w:rPr>
          <w:rFonts w:asciiTheme="minorHAnsi" w:hAnsiTheme="minorHAnsi"/>
          <w:bCs/>
          <w:szCs w:val="24"/>
        </w:rPr>
        <w:t xml:space="preserve">The Sponsor requested a hearing for this item. The clinician emphasised the importance of </w:t>
      </w:r>
      <w:r w:rsidR="00273926" w:rsidRPr="00F77E7A">
        <w:rPr>
          <w:rFonts w:asciiTheme="minorHAnsi" w:hAnsiTheme="minorHAnsi"/>
          <w:bCs/>
          <w:szCs w:val="24"/>
        </w:rPr>
        <w:t>extending treatment</w:t>
      </w:r>
      <w:r w:rsidR="002A5331" w:rsidRPr="00F77E7A">
        <w:rPr>
          <w:rFonts w:asciiTheme="minorHAnsi" w:hAnsiTheme="minorHAnsi"/>
          <w:bCs/>
          <w:szCs w:val="24"/>
        </w:rPr>
        <w:t xml:space="preserve"> with tezacaftor/ivacaftor</w:t>
      </w:r>
      <w:r w:rsidR="00273926" w:rsidRPr="00F77E7A">
        <w:rPr>
          <w:rFonts w:asciiTheme="minorHAnsi" w:hAnsiTheme="minorHAnsi"/>
          <w:bCs/>
          <w:szCs w:val="24"/>
        </w:rPr>
        <w:t xml:space="preserve"> to CF patients with RF mutations. The clinician noted that patients with RF mutations</w:t>
      </w:r>
      <w:r w:rsidR="002A5331" w:rsidRPr="00F77E7A">
        <w:rPr>
          <w:rFonts w:asciiTheme="minorHAnsi" w:hAnsiTheme="minorHAnsi"/>
          <w:bCs/>
          <w:szCs w:val="24"/>
        </w:rPr>
        <w:t xml:space="preserve"> may</w:t>
      </w:r>
      <w:r w:rsidR="00273926" w:rsidRPr="00F77E7A">
        <w:rPr>
          <w:rFonts w:asciiTheme="minorHAnsi" w:hAnsiTheme="minorHAnsi"/>
          <w:bCs/>
          <w:szCs w:val="24"/>
        </w:rPr>
        <w:t xml:space="preserve"> experience </w:t>
      </w:r>
      <w:r w:rsidR="008062D2" w:rsidRPr="00F77E7A">
        <w:rPr>
          <w:rFonts w:asciiTheme="minorHAnsi" w:hAnsiTheme="minorHAnsi"/>
          <w:bCs/>
          <w:szCs w:val="24"/>
        </w:rPr>
        <w:t>slower disease progression</w:t>
      </w:r>
      <w:r w:rsidR="003C104E" w:rsidRPr="00F77E7A">
        <w:rPr>
          <w:rFonts w:asciiTheme="minorHAnsi" w:hAnsiTheme="minorHAnsi"/>
          <w:bCs/>
          <w:szCs w:val="24"/>
        </w:rPr>
        <w:t xml:space="preserve"> compared </w:t>
      </w:r>
      <w:r w:rsidR="00445E27" w:rsidRPr="00F77E7A">
        <w:rPr>
          <w:rFonts w:asciiTheme="minorHAnsi" w:hAnsiTheme="minorHAnsi"/>
          <w:bCs/>
          <w:szCs w:val="24"/>
        </w:rPr>
        <w:t>with</w:t>
      </w:r>
      <w:r w:rsidR="003C104E" w:rsidRPr="00F77E7A">
        <w:rPr>
          <w:rFonts w:asciiTheme="minorHAnsi" w:hAnsiTheme="minorHAnsi"/>
          <w:bCs/>
          <w:szCs w:val="24"/>
        </w:rPr>
        <w:t xml:space="preserve"> </w:t>
      </w:r>
      <w:r w:rsidR="009B7893" w:rsidRPr="00F77E7A">
        <w:rPr>
          <w:rFonts w:asciiTheme="minorHAnsi" w:hAnsiTheme="minorHAnsi"/>
          <w:bCs/>
          <w:szCs w:val="24"/>
        </w:rPr>
        <w:t>those</w:t>
      </w:r>
      <w:r w:rsidR="003C104E" w:rsidRPr="00F77E7A">
        <w:rPr>
          <w:rFonts w:asciiTheme="minorHAnsi" w:hAnsiTheme="minorHAnsi"/>
          <w:bCs/>
          <w:szCs w:val="24"/>
        </w:rPr>
        <w:t xml:space="preserve"> </w:t>
      </w:r>
      <w:r w:rsidR="002A5331" w:rsidRPr="00F77E7A">
        <w:rPr>
          <w:rFonts w:asciiTheme="minorHAnsi" w:hAnsiTheme="minorHAnsi"/>
          <w:bCs/>
          <w:szCs w:val="24"/>
        </w:rPr>
        <w:t>who are homozygous for the F508</w:t>
      </w:r>
      <w:r w:rsidR="003C104E" w:rsidRPr="00F77E7A">
        <w:rPr>
          <w:rFonts w:asciiTheme="minorHAnsi" w:hAnsiTheme="minorHAnsi"/>
          <w:bCs/>
          <w:szCs w:val="24"/>
        </w:rPr>
        <w:t>del mutation</w:t>
      </w:r>
      <w:r w:rsidR="00207871" w:rsidRPr="00F77E7A">
        <w:rPr>
          <w:rFonts w:asciiTheme="minorHAnsi" w:hAnsiTheme="minorHAnsi"/>
          <w:bCs/>
          <w:szCs w:val="24"/>
        </w:rPr>
        <w:t>. However, t</w:t>
      </w:r>
      <w:r w:rsidR="00000205" w:rsidRPr="00F77E7A">
        <w:rPr>
          <w:rFonts w:asciiTheme="minorHAnsi" w:hAnsiTheme="minorHAnsi"/>
          <w:bCs/>
          <w:szCs w:val="24"/>
        </w:rPr>
        <w:t xml:space="preserve">he clinician stated that </w:t>
      </w:r>
      <w:r w:rsidR="009B7893" w:rsidRPr="00F77E7A">
        <w:rPr>
          <w:rFonts w:asciiTheme="minorHAnsi" w:hAnsiTheme="minorHAnsi"/>
          <w:bCs/>
          <w:szCs w:val="24"/>
        </w:rPr>
        <w:t>overall, patients with RF mutations</w:t>
      </w:r>
      <w:r w:rsidR="00776B81" w:rsidRPr="00F77E7A">
        <w:rPr>
          <w:rFonts w:asciiTheme="minorHAnsi" w:hAnsiTheme="minorHAnsi"/>
          <w:bCs/>
          <w:szCs w:val="24"/>
        </w:rPr>
        <w:t xml:space="preserve"> have poor lung function noting that many currently require treatment </w:t>
      </w:r>
      <w:r w:rsidR="00496C73" w:rsidRPr="00F77E7A">
        <w:rPr>
          <w:rFonts w:asciiTheme="minorHAnsi" w:hAnsiTheme="minorHAnsi"/>
          <w:bCs/>
          <w:szCs w:val="24"/>
        </w:rPr>
        <w:t>to manage disease symptoms</w:t>
      </w:r>
      <w:r w:rsidR="00207871" w:rsidRPr="00F77E7A">
        <w:rPr>
          <w:rFonts w:asciiTheme="minorHAnsi" w:hAnsiTheme="minorHAnsi"/>
          <w:bCs/>
          <w:szCs w:val="24"/>
        </w:rPr>
        <w:t xml:space="preserve">, with </w:t>
      </w:r>
      <w:r w:rsidR="00000205" w:rsidRPr="00F77E7A">
        <w:rPr>
          <w:rFonts w:asciiTheme="minorHAnsi" w:hAnsiTheme="minorHAnsi"/>
          <w:bCs/>
          <w:szCs w:val="24"/>
        </w:rPr>
        <w:t xml:space="preserve">few patients </w:t>
      </w:r>
      <w:r w:rsidR="00207871" w:rsidRPr="00F77E7A">
        <w:rPr>
          <w:rFonts w:asciiTheme="minorHAnsi" w:hAnsiTheme="minorHAnsi"/>
          <w:bCs/>
          <w:szCs w:val="24"/>
        </w:rPr>
        <w:t xml:space="preserve">having </w:t>
      </w:r>
      <w:r w:rsidR="00776B81" w:rsidRPr="00F77E7A">
        <w:rPr>
          <w:rFonts w:asciiTheme="minorHAnsi" w:hAnsiTheme="minorHAnsi"/>
          <w:bCs/>
          <w:szCs w:val="24"/>
        </w:rPr>
        <w:t xml:space="preserve">an </w:t>
      </w:r>
      <w:r w:rsidR="00000205" w:rsidRPr="00F77E7A">
        <w:rPr>
          <w:rFonts w:asciiTheme="minorHAnsi" w:hAnsiTheme="minorHAnsi"/>
          <w:bCs/>
          <w:szCs w:val="24"/>
        </w:rPr>
        <w:t>FEV</w:t>
      </w:r>
      <w:r w:rsidR="00000205" w:rsidRPr="00F77E7A">
        <w:rPr>
          <w:rFonts w:asciiTheme="minorHAnsi" w:hAnsiTheme="minorHAnsi"/>
          <w:bCs/>
          <w:szCs w:val="24"/>
          <w:vertAlign w:val="subscript"/>
        </w:rPr>
        <w:t>1</w:t>
      </w:r>
      <w:r w:rsidR="00000205" w:rsidRPr="00F77E7A">
        <w:rPr>
          <w:rFonts w:asciiTheme="minorHAnsi" w:hAnsiTheme="minorHAnsi"/>
          <w:bCs/>
          <w:szCs w:val="24"/>
        </w:rPr>
        <w:t xml:space="preserve"> </w:t>
      </w:r>
      <w:r w:rsidR="009B7893" w:rsidRPr="00F77E7A">
        <w:rPr>
          <w:rFonts w:asciiTheme="minorHAnsi" w:hAnsiTheme="minorHAnsi"/>
          <w:bCs/>
          <w:szCs w:val="24"/>
        </w:rPr>
        <w:t>of more than 90%</w:t>
      </w:r>
      <w:r w:rsidR="00207871" w:rsidRPr="00F77E7A">
        <w:rPr>
          <w:rFonts w:asciiTheme="minorHAnsi" w:hAnsiTheme="minorHAnsi"/>
          <w:bCs/>
          <w:szCs w:val="24"/>
        </w:rPr>
        <w:t>, and limited life expectancy due to CF</w:t>
      </w:r>
      <w:r w:rsidR="00776B81" w:rsidRPr="00F77E7A">
        <w:rPr>
          <w:rFonts w:asciiTheme="minorHAnsi" w:hAnsiTheme="minorHAnsi"/>
          <w:bCs/>
          <w:szCs w:val="24"/>
        </w:rPr>
        <w:t xml:space="preserve">. </w:t>
      </w:r>
      <w:r w:rsidR="00496C73" w:rsidRPr="00F77E7A">
        <w:rPr>
          <w:rFonts w:asciiTheme="minorHAnsi" w:hAnsiTheme="minorHAnsi"/>
          <w:bCs/>
          <w:szCs w:val="24"/>
        </w:rPr>
        <w:t>In response to the PBAC’s comment that the clinical evidence appear</w:t>
      </w:r>
      <w:r w:rsidR="00445E27" w:rsidRPr="00F77E7A">
        <w:rPr>
          <w:rFonts w:asciiTheme="minorHAnsi" w:hAnsiTheme="minorHAnsi"/>
          <w:bCs/>
          <w:szCs w:val="24"/>
        </w:rPr>
        <w:t>ed</w:t>
      </w:r>
      <w:r w:rsidR="00496C73" w:rsidRPr="00F77E7A">
        <w:rPr>
          <w:rFonts w:asciiTheme="minorHAnsi" w:hAnsiTheme="minorHAnsi"/>
          <w:bCs/>
          <w:szCs w:val="24"/>
        </w:rPr>
        <w:t xml:space="preserve"> to </w:t>
      </w:r>
      <w:r w:rsidR="00207871" w:rsidRPr="00F77E7A">
        <w:rPr>
          <w:rFonts w:asciiTheme="minorHAnsi" w:hAnsiTheme="minorHAnsi"/>
          <w:bCs/>
          <w:szCs w:val="24"/>
        </w:rPr>
        <w:t>suggest</w:t>
      </w:r>
      <w:r w:rsidR="00496C73" w:rsidRPr="00F77E7A">
        <w:rPr>
          <w:rFonts w:asciiTheme="minorHAnsi" w:hAnsiTheme="minorHAnsi"/>
          <w:bCs/>
          <w:szCs w:val="24"/>
        </w:rPr>
        <w:t xml:space="preserve"> that </w:t>
      </w:r>
      <w:r w:rsidR="00207871" w:rsidRPr="00F77E7A">
        <w:rPr>
          <w:rFonts w:asciiTheme="minorHAnsi" w:hAnsiTheme="minorHAnsi"/>
          <w:bCs/>
          <w:szCs w:val="24"/>
        </w:rPr>
        <w:t xml:space="preserve">the effectiveness of </w:t>
      </w:r>
      <w:r w:rsidR="00496C73" w:rsidRPr="00F77E7A">
        <w:rPr>
          <w:rFonts w:asciiTheme="minorHAnsi" w:hAnsiTheme="minorHAnsi"/>
          <w:bCs/>
          <w:szCs w:val="24"/>
        </w:rPr>
        <w:t xml:space="preserve">ivacaftor </w:t>
      </w:r>
      <w:r w:rsidR="00BF25CD" w:rsidRPr="00F77E7A">
        <w:rPr>
          <w:rFonts w:asciiTheme="minorHAnsi" w:hAnsiTheme="minorHAnsi"/>
          <w:bCs/>
          <w:szCs w:val="24"/>
        </w:rPr>
        <w:t xml:space="preserve">monotherapy </w:t>
      </w:r>
      <w:r w:rsidR="00445E27" w:rsidRPr="00F77E7A">
        <w:rPr>
          <w:rFonts w:asciiTheme="minorHAnsi" w:hAnsiTheme="minorHAnsi"/>
          <w:bCs/>
          <w:szCs w:val="24"/>
        </w:rPr>
        <w:t xml:space="preserve">may be </w:t>
      </w:r>
      <w:r w:rsidR="00207871" w:rsidRPr="00F77E7A">
        <w:rPr>
          <w:rFonts w:asciiTheme="minorHAnsi" w:hAnsiTheme="minorHAnsi"/>
          <w:bCs/>
          <w:szCs w:val="24"/>
        </w:rPr>
        <w:t xml:space="preserve">similar to that of tezacaftor/ivacaftor </w:t>
      </w:r>
      <w:r w:rsidR="00445E27" w:rsidRPr="00F77E7A">
        <w:rPr>
          <w:rFonts w:asciiTheme="minorHAnsi" w:hAnsiTheme="minorHAnsi"/>
          <w:bCs/>
          <w:szCs w:val="24"/>
        </w:rPr>
        <w:t xml:space="preserve">for </w:t>
      </w:r>
      <w:r w:rsidR="00496C73" w:rsidRPr="00F77E7A">
        <w:rPr>
          <w:rFonts w:asciiTheme="minorHAnsi" w:hAnsiTheme="minorHAnsi"/>
          <w:bCs/>
          <w:szCs w:val="24"/>
        </w:rPr>
        <w:t xml:space="preserve">this patient population, the clinician noted the short duration of the study and </w:t>
      </w:r>
      <w:r w:rsidR="002D1B98" w:rsidRPr="00F77E7A">
        <w:rPr>
          <w:rFonts w:asciiTheme="minorHAnsi" w:hAnsiTheme="minorHAnsi"/>
          <w:bCs/>
          <w:szCs w:val="24"/>
        </w:rPr>
        <w:t xml:space="preserve">expressed </w:t>
      </w:r>
      <w:r w:rsidR="00997E59" w:rsidRPr="00F77E7A">
        <w:rPr>
          <w:rFonts w:asciiTheme="minorHAnsi" w:hAnsiTheme="minorHAnsi"/>
          <w:bCs/>
          <w:szCs w:val="24"/>
        </w:rPr>
        <w:t>uncertainty as to whether the study was powered to differentiate between ivacaftor and tezacaftor/ivacaftor.</w:t>
      </w:r>
    </w:p>
    <w:p w:rsidR="00C0775F" w:rsidRPr="00F77E7A" w:rsidRDefault="00C0775F" w:rsidP="00E85AD0">
      <w:pPr>
        <w:widowControl/>
        <w:numPr>
          <w:ilvl w:val="1"/>
          <w:numId w:val="2"/>
        </w:numPr>
        <w:spacing w:before="120" w:after="120"/>
        <w:rPr>
          <w:rFonts w:asciiTheme="minorHAnsi" w:hAnsiTheme="minorHAnsi"/>
          <w:bCs/>
          <w:szCs w:val="24"/>
        </w:rPr>
      </w:pPr>
      <w:r w:rsidRPr="00F77E7A">
        <w:rPr>
          <w:rFonts w:asciiTheme="minorHAnsi" w:hAnsiTheme="minorHAnsi"/>
          <w:bCs/>
          <w:szCs w:val="24"/>
        </w:rPr>
        <w:t>In response to a question from the PBAC regarding why uptake of lumacaftor/ivacaftor for the F508del patient population has so far been lower than expected, the clinician explained that initiating patients on treatment with lumacaftor/ivacaftor requires significant resources, including</w:t>
      </w:r>
      <w:r w:rsidR="008F07D7">
        <w:rPr>
          <w:rFonts w:asciiTheme="minorHAnsi" w:hAnsiTheme="minorHAnsi"/>
          <w:bCs/>
          <w:szCs w:val="24"/>
        </w:rPr>
        <w:t>, for some,</w:t>
      </w:r>
      <w:r w:rsidRPr="00F77E7A">
        <w:rPr>
          <w:rFonts w:asciiTheme="minorHAnsi" w:hAnsiTheme="minorHAnsi"/>
          <w:bCs/>
          <w:szCs w:val="24"/>
        </w:rPr>
        <w:t xml:space="preserve"> admission to hospital and treatments with antibiotics and oral </w:t>
      </w:r>
      <w:r w:rsidR="001A7525" w:rsidRPr="00F77E7A">
        <w:rPr>
          <w:rFonts w:asciiTheme="minorHAnsi" w:hAnsiTheme="minorHAnsi"/>
          <w:bCs/>
          <w:szCs w:val="24"/>
        </w:rPr>
        <w:t>corticosteroids</w:t>
      </w:r>
      <w:r w:rsidRPr="00F77E7A">
        <w:rPr>
          <w:rFonts w:asciiTheme="minorHAnsi" w:hAnsiTheme="minorHAnsi"/>
          <w:bCs/>
          <w:szCs w:val="24"/>
        </w:rPr>
        <w:t>, which is a limiting factor in the rate of patient initiation. The clinician further explained that</w:t>
      </w:r>
      <w:r w:rsidR="007B5A0E">
        <w:rPr>
          <w:rFonts w:asciiTheme="minorHAnsi" w:hAnsiTheme="minorHAnsi"/>
          <w:bCs/>
          <w:szCs w:val="24"/>
        </w:rPr>
        <w:t xml:space="preserve"> a number of</w:t>
      </w:r>
      <w:r w:rsidRPr="00F77E7A">
        <w:rPr>
          <w:rFonts w:asciiTheme="minorHAnsi" w:hAnsiTheme="minorHAnsi"/>
          <w:bCs/>
          <w:szCs w:val="24"/>
        </w:rPr>
        <w:t xml:space="preserve"> patients require treatment and hospitalisation prior to initiating lumacaftor/ivacaftor due to the high risk of treatment failure for patients initiated with FEV</w:t>
      </w:r>
      <w:r w:rsidRPr="00F77E7A">
        <w:rPr>
          <w:rFonts w:asciiTheme="minorHAnsi" w:hAnsiTheme="minorHAnsi"/>
          <w:bCs/>
          <w:szCs w:val="24"/>
          <w:vertAlign w:val="subscript"/>
        </w:rPr>
        <w:t>1</w:t>
      </w:r>
      <w:r w:rsidRPr="00F77E7A">
        <w:rPr>
          <w:rFonts w:asciiTheme="minorHAnsi" w:hAnsiTheme="minorHAnsi"/>
          <w:bCs/>
          <w:szCs w:val="24"/>
        </w:rPr>
        <w:t xml:space="preserve"> &lt; 50%. The clinician claimed that most major treatment centres in Australia were following clinical </w:t>
      </w:r>
      <w:r w:rsidR="00901100" w:rsidRPr="00F77E7A">
        <w:rPr>
          <w:rFonts w:asciiTheme="minorHAnsi" w:hAnsiTheme="minorHAnsi"/>
          <w:bCs/>
          <w:szCs w:val="24"/>
        </w:rPr>
        <w:t>protocol that</w:t>
      </w:r>
      <w:r w:rsidRPr="00F77E7A">
        <w:rPr>
          <w:rFonts w:asciiTheme="minorHAnsi" w:hAnsiTheme="minorHAnsi"/>
          <w:bCs/>
          <w:szCs w:val="24"/>
        </w:rPr>
        <w:t xml:space="preserve"> required patients to be stabilised prior to lumacaftor/ivacaftor treatment. The PBAC considered that the hearing was informative as it provided insight on the current use of lumacaftor/ivacaftor</w:t>
      </w:r>
      <w:r w:rsidR="00FD3903">
        <w:rPr>
          <w:rFonts w:asciiTheme="minorHAnsi" w:hAnsiTheme="minorHAnsi"/>
          <w:bCs/>
          <w:szCs w:val="24"/>
        </w:rPr>
        <w:t xml:space="preserve"> (including the clinical protocol for initiating treatment)</w:t>
      </w:r>
      <w:r w:rsidRPr="00F77E7A">
        <w:rPr>
          <w:rFonts w:asciiTheme="minorHAnsi" w:hAnsiTheme="minorHAnsi"/>
          <w:bCs/>
          <w:szCs w:val="24"/>
        </w:rPr>
        <w:t>, as well as how tezacaftor/ivacaftor would be used, in clinical practice</w:t>
      </w:r>
      <w:r w:rsidR="00A03A26" w:rsidRPr="00F77E7A">
        <w:rPr>
          <w:rFonts w:asciiTheme="minorHAnsi" w:hAnsiTheme="minorHAnsi"/>
          <w:bCs/>
          <w:szCs w:val="24"/>
        </w:rPr>
        <w:t xml:space="preserve">. </w:t>
      </w:r>
    </w:p>
    <w:p w:rsidR="007B1AB9" w:rsidRPr="00F77E7A" w:rsidRDefault="007B1AB9" w:rsidP="00E85AD0">
      <w:pPr>
        <w:pStyle w:val="Heading2"/>
        <w:widowControl/>
        <w:spacing w:before="120"/>
      </w:pPr>
      <w:r w:rsidRPr="00F77E7A">
        <w:t>Consumer comments</w:t>
      </w:r>
    </w:p>
    <w:p w:rsidR="000A28CE" w:rsidRPr="00F77E7A" w:rsidRDefault="007B1AB9" w:rsidP="00E85AD0">
      <w:pPr>
        <w:widowControl/>
        <w:numPr>
          <w:ilvl w:val="1"/>
          <w:numId w:val="2"/>
        </w:numPr>
        <w:spacing w:before="120" w:after="120"/>
        <w:rPr>
          <w:rFonts w:asciiTheme="minorHAnsi" w:hAnsiTheme="minorHAnsi"/>
          <w:bCs/>
          <w:szCs w:val="24"/>
        </w:rPr>
      </w:pPr>
      <w:r w:rsidRPr="00F77E7A">
        <w:rPr>
          <w:rFonts w:asciiTheme="minorHAnsi" w:hAnsiTheme="minorHAnsi"/>
          <w:bCs/>
          <w:szCs w:val="24"/>
        </w:rPr>
        <w:t>The PBAC noted and welcomed the input from individuals (</w:t>
      </w:r>
      <w:r w:rsidR="00341DE9" w:rsidRPr="00F77E7A">
        <w:rPr>
          <w:rFonts w:asciiTheme="minorHAnsi" w:hAnsiTheme="minorHAnsi"/>
          <w:bCs/>
          <w:szCs w:val="24"/>
        </w:rPr>
        <w:t>137</w:t>
      </w:r>
      <w:r w:rsidRPr="00F77E7A">
        <w:rPr>
          <w:rFonts w:asciiTheme="minorHAnsi" w:hAnsiTheme="minorHAnsi"/>
          <w:bCs/>
          <w:szCs w:val="24"/>
        </w:rPr>
        <w:t>), health care professionals (</w:t>
      </w:r>
      <w:r w:rsidR="00341DE9" w:rsidRPr="00F77E7A">
        <w:rPr>
          <w:rFonts w:asciiTheme="minorHAnsi" w:hAnsiTheme="minorHAnsi"/>
          <w:bCs/>
          <w:szCs w:val="24"/>
        </w:rPr>
        <w:t>2</w:t>
      </w:r>
      <w:r w:rsidRPr="00F77E7A">
        <w:rPr>
          <w:rFonts w:asciiTheme="minorHAnsi" w:hAnsiTheme="minorHAnsi"/>
          <w:bCs/>
          <w:szCs w:val="24"/>
        </w:rPr>
        <w:t xml:space="preserve">) and </w:t>
      </w:r>
      <w:r w:rsidR="00432D4B" w:rsidRPr="00F77E7A">
        <w:rPr>
          <w:rFonts w:asciiTheme="minorHAnsi" w:hAnsiTheme="minorHAnsi"/>
          <w:bCs/>
          <w:szCs w:val="24"/>
        </w:rPr>
        <w:t>Organisations (2)</w:t>
      </w:r>
      <w:r w:rsidR="00341DE9" w:rsidRPr="00F77E7A">
        <w:rPr>
          <w:rFonts w:asciiTheme="minorHAnsi" w:hAnsiTheme="minorHAnsi"/>
          <w:bCs/>
          <w:szCs w:val="24"/>
        </w:rPr>
        <w:t xml:space="preserve"> </w:t>
      </w:r>
      <w:r w:rsidRPr="00F77E7A">
        <w:rPr>
          <w:rFonts w:asciiTheme="minorHAnsi" w:hAnsiTheme="minorHAnsi"/>
          <w:bCs/>
          <w:szCs w:val="24"/>
        </w:rPr>
        <w:t>via the Consumer Comments facility on the PBS website.</w:t>
      </w:r>
      <w:r w:rsidR="00CB003D" w:rsidRPr="00F77E7A">
        <w:rPr>
          <w:rFonts w:asciiTheme="minorHAnsi" w:hAnsiTheme="minorHAnsi"/>
          <w:bCs/>
          <w:szCs w:val="24"/>
        </w:rPr>
        <w:t xml:space="preserve"> </w:t>
      </w:r>
      <w:r w:rsidRPr="00F77E7A">
        <w:rPr>
          <w:rFonts w:asciiTheme="minorHAnsi" w:hAnsiTheme="minorHAnsi"/>
          <w:bCs/>
          <w:szCs w:val="24"/>
        </w:rPr>
        <w:t xml:space="preserve">The comments described </w:t>
      </w:r>
      <w:r w:rsidR="00A34471" w:rsidRPr="00F77E7A">
        <w:rPr>
          <w:rFonts w:asciiTheme="minorHAnsi" w:hAnsiTheme="minorHAnsi"/>
          <w:bCs/>
          <w:szCs w:val="24"/>
        </w:rPr>
        <w:t xml:space="preserve">the </w:t>
      </w:r>
      <w:r w:rsidR="003821DA" w:rsidRPr="00F77E7A">
        <w:rPr>
          <w:rFonts w:asciiTheme="minorHAnsi" w:hAnsiTheme="minorHAnsi"/>
          <w:bCs/>
          <w:szCs w:val="24"/>
        </w:rPr>
        <w:t>burden of CF on</w:t>
      </w:r>
      <w:r w:rsidR="00A34471" w:rsidRPr="00F77E7A">
        <w:rPr>
          <w:rFonts w:asciiTheme="minorHAnsi" w:hAnsiTheme="minorHAnsi"/>
          <w:bCs/>
          <w:szCs w:val="24"/>
        </w:rPr>
        <w:t xml:space="preserve"> patients and </w:t>
      </w:r>
      <w:r w:rsidR="003821DA" w:rsidRPr="00F77E7A">
        <w:rPr>
          <w:rFonts w:asciiTheme="minorHAnsi" w:hAnsiTheme="minorHAnsi"/>
          <w:bCs/>
          <w:szCs w:val="24"/>
        </w:rPr>
        <w:t>the significant impact to</w:t>
      </w:r>
      <w:r w:rsidR="00C71CFB" w:rsidRPr="00F77E7A">
        <w:rPr>
          <w:rFonts w:asciiTheme="minorHAnsi" w:hAnsiTheme="minorHAnsi"/>
          <w:bCs/>
          <w:szCs w:val="24"/>
        </w:rPr>
        <w:t xml:space="preserve"> their</w:t>
      </w:r>
      <w:r w:rsidR="00A34471" w:rsidRPr="00F77E7A">
        <w:rPr>
          <w:rFonts w:asciiTheme="minorHAnsi" w:hAnsiTheme="minorHAnsi"/>
          <w:bCs/>
          <w:szCs w:val="24"/>
        </w:rPr>
        <w:t xml:space="preserve"> families </w:t>
      </w:r>
      <w:r w:rsidR="00CB003D" w:rsidRPr="00F77E7A">
        <w:rPr>
          <w:rFonts w:asciiTheme="minorHAnsi" w:hAnsiTheme="minorHAnsi"/>
          <w:bCs/>
          <w:szCs w:val="24"/>
        </w:rPr>
        <w:t>and the potential treatment benefits of tezacaftor/ivacaftor, including for patients with an RF mutation who do not currently have access to treatment with a CFTR modulator</w:t>
      </w:r>
      <w:r w:rsidR="00A34471" w:rsidRPr="00F77E7A">
        <w:rPr>
          <w:rFonts w:asciiTheme="minorHAnsi" w:hAnsiTheme="minorHAnsi"/>
          <w:bCs/>
          <w:szCs w:val="24"/>
        </w:rPr>
        <w:t xml:space="preserve">. </w:t>
      </w:r>
      <w:r w:rsidR="000A28CE" w:rsidRPr="00F77E7A">
        <w:rPr>
          <w:rFonts w:asciiTheme="minorHAnsi" w:hAnsiTheme="minorHAnsi"/>
          <w:bCs/>
          <w:szCs w:val="24"/>
        </w:rPr>
        <w:t>The comments include</w:t>
      </w:r>
      <w:r w:rsidR="00460966" w:rsidRPr="00F77E7A">
        <w:rPr>
          <w:rFonts w:asciiTheme="minorHAnsi" w:hAnsiTheme="minorHAnsi"/>
          <w:bCs/>
          <w:szCs w:val="24"/>
        </w:rPr>
        <w:t>d</w:t>
      </w:r>
      <w:r w:rsidR="000A28CE" w:rsidRPr="00F77E7A">
        <w:rPr>
          <w:rFonts w:asciiTheme="minorHAnsi" w:hAnsiTheme="minorHAnsi"/>
          <w:bCs/>
          <w:szCs w:val="24"/>
        </w:rPr>
        <w:t xml:space="preserve"> specific claims that treatment</w:t>
      </w:r>
      <w:r w:rsidR="00460966" w:rsidRPr="00F77E7A">
        <w:rPr>
          <w:rFonts w:asciiTheme="minorHAnsi" w:hAnsiTheme="minorHAnsi"/>
          <w:bCs/>
          <w:szCs w:val="24"/>
        </w:rPr>
        <w:t xml:space="preserve"> of cystic fibrosis patients</w:t>
      </w:r>
      <w:r w:rsidR="000A28CE" w:rsidRPr="00F77E7A">
        <w:rPr>
          <w:rFonts w:asciiTheme="minorHAnsi" w:hAnsiTheme="minorHAnsi"/>
          <w:bCs/>
          <w:szCs w:val="24"/>
        </w:rPr>
        <w:t xml:space="preserve"> with </w:t>
      </w:r>
      <w:r w:rsidR="0046534A" w:rsidRPr="00F77E7A">
        <w:rPr>
          <w:rFonts w:asciiTheme="minorHAnsi" w:hAnsiTheme="minorHAnsi"/>
          <w:bCs/>
          <w:szCs w:val="24"/>
        </w:rPr>
        <w:t>CFTR modulators is associated with the following benefits</w:t>
      </w:r>
      <w:r w:rsidR="000A28CE" w:rsidRPr="00F77E7A">
        <w:rPr>
          <w:rFonts w:asciiTheme="minorHAnsi" w:hAnsiTheme="minorHAnsi"/>
          <w:bCs/>
          <w:szCs w:val="24"/>
        </w:rPr>
        <w:t>:</w:t>
      </w:r>
    </w:p>
    <w:p w:rsidR="007B1AB9" w:rsidRPr="00F77E7A" w:rsidRDefault="0046534A"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t>i</w:t>
      </w:r>
      <w:r w:rsidR="000A28CE" w:rsidRPr="00F77E7A">
        <w:rPr>
          <w:rFonts w:asciiTheme="minorHAnsi" w:hAnsiTheme="minorHAnsi"/>
          <w:bCs/>
          <w:szCs w:val="24"/>
        </w:rPr>
        <w:t>mproved quality and length of life by pr</w:t>
      </w:r>
      <w:r w:rsidRPr="00F77E7A">
        <w:rPr>
          <w:rFonts w:asciiTheme="minorHAnsi" w:hAnsiTheme="minorHAnsi"/>
          <w:bCs/>
          <w:szCs w:val="24"/>
        </w:rPr>
        <w:t xml:space="preserve">eventing </w:t>
      </w:r>
      <w:r w:rsidR="00E03C50" w:rsidRPr="00F77E7A">
        <w:rPr>
          <w:rFonts w:asciiTheme="minorHAnsi" w:hAnsiTheme="minorHAnsi"/>
          <w:bCs/>
          <w:szCs w:val="24"/>
        </w:rPr>
        <w:t>or slowing decline in</w:t>
      </w:r>
      <w:r w:rsidRPr="00F77E7A">
        <w:rPr>
          <w:rFonts w:asciiTheme="minorHAnsi" w:hAnsiTheme="minorHAnsi"/>
          <w:bCs/>
          <w:szCs w:val="24"/>
        </w:rPr>
        <w:t xml:space="preserve"> lung </w:t>
      </w:r>
      <w:r w:rsidR="00E03C50" w:rsidRPr="00F77E7A">
        <w:rPr>
          <w:rFonts w:asciiTheme="minorHAnsi" w:hAnsiTheme="minorHAnsi"/>
          <w:bCs/>
          <w:szCs w:val="24"/>
        </w:rPr>
        <w:t>function</w:t>
      </w:r>
    </w:p>
    <w:p w:rsidR="000A28CE" w:rsidRPr="00F77E7A" w:rsidRDefault="000A28CE"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t>better pancreatic function, weight gain and growth</w:t>
      </w:r>
    </w:p>
    <w:p w:rsidR="000A28CE" w:rsidRPr="00F77E7A" w:rsidRDefault="000A28CE"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t xml:space="preserve">fewer </w:t>
      </w:r>
      <w:r w:rsidR="0046534A" w:rsidRPr="00F77E7A">
        <w:rPr>
          <w:rFonts w:asciiTheme="minorHAnsi" w:hAnsiTheme="minorHAnsi"/>
          <w:bCs/>
          <w:szCs w:val="24"/>
        </w:rPr>
        <w:t xml:space="preserve">pulmonary exacerbations and </w:t>
      </w:r>
      <w:r w:rsidRPr="00F77E7A">
        <w:rPr>
          <w:rFonts w:asciiTheme="minorHAnsi" w:hAnsiTheme="minorHAnsi"/>
          <w:bCs/>
          <w:szCs w:val="24"/>
        </w:rPr>
        <w:t>hospital admissions</w:t>
      </w:r>
    </w:p>
    <w:p w:rsidR="0046534A" w:rsidRPr="00F77E7A" w:rsidRDefault="00E03C50"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lastRenderedPageBreak/>
        <w:t xml:space="preserve">reduced </w:t>
      </w:r>
      <w:r w:rsidR="0046534A" w:rsidRPr="00F77E7A">
        <w:rPr>
          <w:rFonts w:asciiTheme="minorHAnsi" w:hAnsiTheme="minorHAnsi"/>
          <w:bCs/>
          <w:szCs w:val="24"/>
        </w:rPr>
        <w:t xml:space="preserve">need for </w:t>
      </w:r>
      <w:r w:rsidRPr="00F77E7A">
        <w:rPr>
          <w:rFonts w:asciiTheme="minorHAnsi" w:hAnsiTheme="minorHAnsi"/>
          <w:bCs/>
          <w:szCs w:val="24"/>
        </w:rPr>
        <w:t xml:space="preserve">physiotherapy and other </w:t>
      </w:r>
      <w:r w:rsidR="0046534A" w:rsidRPr="00F77E7A">
        <w:rPr>
          <w:rFonts w:asciiTheme="minorHAnsi" w:hAnsiTheme="minorHAnsi"/>
          <w:bCs/>
          <w:szCs w:val="24"/>
        </w:rPr>
        <w:t>medications</w:t>
      </w:r>
      <w:r w:rsidRPr="00F77E7A">
        <w:rPr>
          <w:rFonts w:asciiTheme="minorHAnsi" w:hAnsiTheme="minorHAnsi"/>
          <w:bCs/>
          <w:szCs w:val="24"/>
        </w:rPr>
        <w:t xml:space="preserve"> </w:t>
      </w:r>
      <w:r w:rsidR="0046534A" w:rsidRPr="00F77E7A">
        <w:rPr>
          <w:rFonts w:asciiTheme="minorHAnsi" w:hAnsiTheme="minorHAnsi"/>
          <w:bCs/>
          <w:szCs w:val="24"/>
        </w:rPr>
        <w:t>that treat the symptoms of the disease</w:t>
      </w:r>
    </w:p>
    <w:p w:rsidR="000A28CE" w:rsidRPr="00F77E7A" w:rsidRDefault="000A28CE"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t>improved mental health</w:t>
      </w:r>
    </w:p>
    <w:p w:rsidR="000A28CE" w:rsidRPr="00F77E7A" w:rsidRDefault="00332D04" w:rsidP="00E85AD0">
      <w:pPr>
        <w:widowControl/>
        <w:numPr>
          <w:ilvl w:val="2"/>
          <w:numId w:val="2"/>
        </w:numPr>
        <w:spacing w:before="120" w:after="120"/>
        <w:ind w:left="993" w:hanging="284"/>
        <w:rPr>
          <w:rFonts w:asciiTheme="minorHAnsi" w:hAnsiTheme="minorHAnsi"/>
          <w:bCs/>
          <w:szCs w:val="24"/>
        </w:rPr>
      </w:pPr>
      <w:r w:rsidRPr="00F77E7A">
        <w:rPr>
          <w:rFonts w:asciiTheme="minorHAnsi" w:hAnsiTheme="minorHAnsi"/>
          <w:bCs/>
          <w:szCs w:val="24"/>
        </w:rPr>
        <w:t xml:space="preserve">improved quality of life and </w:t>
      </w:r>
      <w:r w:rsidR="000A28CE" w:rsidRPr="00F77E7A">
        <w:rPr>
          <w:rFonts w:asciiTheme="minorHAnsi" w:hAnsiTheme="minorHAnsi"/>
          <w:bCs/>
          <w:szCs w:val="24"/>
        </w:rPr>
        <w:t xml:space="preserve">fewer </w:t>
      </w:r>
      <w:r w:rsidRPr="00F77E7A">
        <w:rPr>
          <w:rFonts w:asciiTheme="minorHAnsi" w:hAnsiTheme="minorHAnsi"/>
          <w:bCs/>
          <w:szCs w:val="24"/>
        </w:rPr>
        <w:t>absences from education/</w:t>
      </w:r>
      <w:r w:rsidR="000A28CE" w:rsidRPr="00F77E7A">
        <w:rPr>
          <w:rFonts w:asciiTheme="minorHAnsi" w:hAnsiTheme="minorHAnsi"/>
          <w:bCs/>
          <w:szCs w:val="24"/>
        </w:rPr>
        <w:t>work.</w:t>
      </w:r>
    </w:p>
    <w:p w:rsidR="007B1AB9" w:rsidRPr="00F77E7A" w:rsidRDefault="00885BDD" w:rsidP="00E85AD0">
      <w:pPr>
        <w:widowControl/>
        <w:numPr>
          <w:ilvl w:val="1"/>
          <w:numId w:val="2"/>
        </w:numPr>
        <w:spacing w:before="120" w:after="120"/>
        <w:rPr>
          <w:rFonts w:asciiTheme="minorHAnsi" w:hAnsiTheme="minorHAnsi"/>
          <w:bCs/>
          <w:szCs w:val="24"/>
        </w:rPr>
      </w:pPr>
      <w:r w:rsidRPr="00F77E7A">
        <w:rPr>
          <w:rFonts w:asciiTheme="minorHAnsi" w:hAnsiTheme="minorHAnsi"/>
          <w:bCs/>
          <w:szCs w:val="24"/>
        </w:rPr>
        <w:t>Cystic Fibrosis Australia (CFA)</w:t>
      </w:r>
      <w:r w:rsidR="0040275F" w:rsidRPr="00F77E7A">
        <w:rPr>
          <w:rFonts w:asciiTheme="minorHAnsi" w:hAnsiTheme="minorHAnsi"/>
          <w:bCs/>
          <w:szCs w:val="24"/>
        </w:rPr>
        <w:t xml:space="preserve"> and Cystic Fibrosis Tasmania (CFTAS)</w:t>
      </w:r>
      <w:r w:rsidRPr="00F77E7A">
        <w:rPr>
          <w:rFonts w:asciiTheme="minorHAnsi" w:hAnsiTheme="minorHAnsi"/>
          <w:bCs/>
          <w:szCs w:val="24"/>
        </w:rPr>
        <w:t xml:space="preserve"> </w:t>
      </w:r>
      <w:r w:rsidR="00493AD0" w:rsidRPr="00F77E7A">
        <w:rPr>
          <w:rFonts w:asciiTheme="minorHAnsi" w:hAnsiTheme="minorHAnsi"/>
          <w:bCs/>
          <w:szCs w:val="24"/>
        </w:rPr>
        <w:t>indicated support</w:t>
      </w:r>
      <w:r w:rsidRPr="00F77E7A">
        <w:rPr>
          <w:rFonts w:asciiTheme="minorHAnsi" w:hAnsiTheme="minorHAnsi"/>
          <w:bCs/>
          <w:szCs w:val="24"/>
        </w:rPr>
        <w:t xml:space="preserve"> for tezacaftor/ivacaftor to be listed on the PBS </w:t>
      </w:r>
      <w:r w:rsidR="00310D64" w:rsidRPr="00F77E7A">
        <w:rPr>
          <w:rFonts w:asciiTheme="minorHAnsi" w:hAnsiTheme="minorHAnsi"/>
          <w:bCs/>
          <w:szCs w:val="24"/>
        </w:rPr>
        <w:t>for patients who have a</w:t>
      </w:r>
      <w:r w:rsidR="00383267" w:rsidRPr="00F77E7A">
        <w:rPr>
          <w:rFonts w:asciiTheme="minorHAnsi" w:hAnsiTheme="minorHAnsi"/>
          <w:bCs/>
          <w:szCs w:val="24"/>
        </w:rPr>
        <w:t>n</w:t>
      </w:r>
      <w:r w:rsidR="00310D64" w:rsidRPr="00F77E7A">
        <w:rPr>
          <w:rFonts w:asciiTheme="minorHAnsi" w:hAnsiTheme="minorHAnsi"/>
          <w:bCs/>
          <w:szCs w:val="24"/>
        </w:rPr>
        <w:t xml:space="preserve"> RF mutation</w:t>
      </w:r>
      <w:r w:rsidRPr="00F77E7A">
        <w:rPr>
          <w:rFonts w:asciiTheme="minorHAnsi" w:hAnsiTheme="minorHAnsi"/>
          <w:bCs/>
          <w:szCs w:val="24"/>
        </w:rPr>
        <w:t>.</w:t>
      </w:r>
      <w:r w:rsidR="000D492E" w:rsidRPr="00F77E7A">
        <w:rPr>
          <w:rFonts w:asciiTheme="minorHAnsi" w:hAnsiTheme="minorHAnsi"/>
          <w:bCs/>
          <w:szCs w:val="24"/>
        </w:rPr>
        <w:t xml:space="preserve"> CFA and</w:t>
      </w:r>
      <w:r w:rsidRPr="00F77E7A">
        <w:rPr>
          <w:rFonts w:asciiTheme="minorHAnsi" w:hAnsiTheme="minorHAnsi"/>
          <w:bCs/>
          <w:szCs w:val="24"/>
        </w:rPr>
        <w:t xml:space="preserve"> </w:t>
      </w:r>
      <w:r w:rsidR="0040275F" w:rsidRPr="00F77E7A">
        <w:rPr>
          <w:rFonts w:asciiTheme="minorHAnsi" w:hAnsiTheme="minorHAnsi"/>
          <w:bCs/>
          <w:szCs w:val="24"/>
        </w:rPr>
        <w:t xml:space="preserve">CFTAS </w:t>
      </w:r>
      <w:r w:rsidR="00432D4B" w:rsidRPr="00F77E7A">
        <w:rPr>
          <w:rFonts w:asciiTheme="minorHAnsi" w:hAnsiTheme="minorHAnsi"/>
          <w:bCs/>
          <w:szCs w:val="24"/>
        </w:rPr>
        <w:t>noted that many patients with CF also experience depression and anxiety and e</w:t>
      </w:r>
      <w:r w:rsidR="0040275F" w:rsidRPr="00F77E7A">
        <w:rPr>
          <w:rFonts w:asciiTheme="minorHAnsi" w:hAnsiTheme="minorHAnsi"/>
          <w:bCs/>
          <w:szCs w:val="24"/>
        </w:rPr>
        <w:t>mphasised the positive impact that treatment would have on patients’ mental health.</w:t>
      </w:r>
    </w:p>
    <w:p w:rsidR="00B60939" w:rsidRPr="00F77E7A" w:rsidRDefault="00B60939" w:rsidP="00E85AD0">
      <w:pPr>
        <w:pStyle w:val="Heading2"/>
        <w:widowControl/>
        <w:spacing w:before="120"/>
      </w:pPr>
      <w:r w:rsidRPr="00F77E7A">
        <w:t>Clinical trials</w:t>
      </w:r>
      <w:bookmarkEnd w:id="6"/>
    </w:p>
    <w:p w:rsidR="00FD23BB" w:rsidRPr="00F77E7A" w:rsidRDefault="00FD23BB" w:rsidP="00E85AD0">
      <w:pPr>
        <w:pStyle w:val="ListParagraph"/>
        <w:widowControl/>
        <w:numPr>
          <w:ilvl w:val="1"/>
          <w:numId w:val="2"/>
        </w:numPr>
        <w:spacing w:before="120" w:after="120"/>
      </w:pPr>
      <w:r w:rsidRPr="00F77E7A">
        <w:rPr>
          <w:rFonts w:cs="Calibri"/>
          <w:snapToGrid/>
          <w:szCs w:val="24"/>
          <w:lang w:eastAsia="en-AU"/>
        </w:rPr>
        <w:t xml:space="preserve">The submission was </w:t>
      </w:r>
      <w:r w:rsidR="00533619" w:rsidRPr="00F77E7A">
        <w:rPr>
          <w:rFonts w:cs="Calibri"/>
          <w:snapToGrid/>
          <w:szCs w:val="24"/>
          <w:lang w:eastAsia="en-AU"/>
        </w:rPr>
        <w:t xml:space="preserve">based on one head-to-head trial, </w:t>
      </w:r>
      <w:r w:rsidR="00533619" w:rsidRPr="00F77E7A">
        <w:t>Study 108 (N=24</w:t>
      </w:r>
      <w:r w:rsidR="00783773" w:rsidRPr="00F77E7A">
        <w:t>4</w:t>
      </w:r>
      <w:r w:rsidR="00533619" w:rsidRPr="00F77E7A">
        <w:t>)</w:t>
      </w:r>
      <w:r w:rsidR="00533619" w:rsidRPr="00F77E7A">
        <w:rPr>
          <w:rFonts w:cs="Calibri"/>
          <w:snapToGrid/>
          <w:szCs w:val="24"/>
          <w:lang w:eastAsia="en-AU"/>
        </w:rPr>
        <w:t xml:space="preserve"> </w:t>
      </w:r>
      <w:r w:rsidRPr="00F77E7A">
        <w:rPr>
          <w:rFonts w:cs="Calibri"/>
          <w:snapToGrid/>
          <w:szCs w:val="24"/>
          <w:lang w:eastAsia="en-AU"/>
        </w:rPr>
        <w:t>comparing tezacaftor</w:t>
      </w:r>
      <w:r w:rsidR="00533619" w:rsidRPr="00F77E7A">
        <w:rPr>
          <w:rFonts w:cs="Calibri"/>
          <w:snapToGrid/>
          <w:szCs w:val="24"/>
          <w:lang w:eastAsia="en-AU"/>
        </w:rPr>
        <w:t xml:space="preserve">/ivacaftor </w:t>
      </w:r>
      <w:r w:rsidR="00533619" w:rsidRPr="00F77E7A">
        <w:t xml:space="preserve">plus BSC with ivacaftor </w:t>
      </w:r>
      <w:r w:rsidR="00477F70" w:rsidRPr="00F77E7A">
        <w:t xml:space="preserve">plus BSC </w:t>
      </w:r>
      <w:r w:rsidR="00533619" w:rsidRPr="00F77E7A">
        <w:t xml:space="preserve">and </w:t>
      </w:r>
      <w:r w:rsidR="00477F70" w:rsidRPr="00F77E7A">
        <w:t xml:space="preserve">placebo plus </w:t>
      </w:r>
      <w:r w:rsidR="00533619" w:rsidRPr="00F77E7A">
        <w:t>BSC</w:t>
      </w:r>
      <w:r w:rsidR="005F7D8B" w:rsidRPr="00F77E7A">
        <w:t xml:space="preserve"> in patients aged 12 years and older who are heterozygous for the F508del-CFTR mutation and a second allele with a CFTR mutation predicted to have </w:t>
      </w:r>
      <w:r w:rsidR="00BF32F8" w:rsidRPr="00F77E7A">
        <w:t>RF</w:t>
      </w:r>
      <w:r w:rsidRPr="00F77E7A">
        <w:rPr>
          <w:rFonts w:cs="Calibri"/>
          <w:snapToGrid/>
          <w:szCs w:val="24"/>
          <w:lang w:eastAsia="en-AU"/>
        </w:rPr>
        <w:t xml:space="preserve">. Details of the trial presented in the submission are provided in </w:t>
      </w:r>
      <w:r w:rsidR="007A6770" w:rsidRPr="00F77E7A">
        <w:rPr>
          <w:rFonts w:cs="Calibri"/>
          <w:snapToGrid/>
          <w:szCs w:val="24"/>
          <w:lang w:eastAsia="en-AU"/>
        </w:rPr>
        <w:t>Table 3</w:t>
      </w:r>
      <w:r w:rsidRPr="00F77E7A">
        <w:rPr>
          <w:rFonts w:cs="Calibri"/>
          <w:snapToGrid/>
          <w:szCs w:val="24"/>
          <w:lang w:eastAsia="en-AU"/>
        </w:rPr>
        <w:t xml:space="preserve">. </w:t>
      </w:r>
      <w:r w:rsidR="007A6770" w:rsidRPr="00F77E7A">
        <w:rPr>
          <w:rFonts w:cs="Calibri"/>
          <w:snapToGrid/>
          <w:szCs w:val="24"/>
          <w:lang w:eastAsia="en-AU"/>
        </w:rPr>
        <w:t xml:space="preserve">Ivacaftor </w:t>
      </w:r>
      <w:r w:rsidR="00352D53" w:rsidRPr="00F77E7A">
        <w:rPr>
          <w:rFonts w:cs="Calibri"/>
          <w:snapToGrid/>
          <w:szCs w:val="24"/>
          <w:lang w:eastAsia="en-AU"/>
        </w:rPr>
        <w:t>wa</w:t>
      </w:r>
      <w:r w:rsidR="007A6770" w:rsidRPr="00F77E7A">
        <w:rPr>
          <w:rFonts w:cs="Calibri"/>
          <w:snapToGrid/>
          <w:szCs w:val="24"/>
          <w:lang w:eastAsia="en-AU"/>
        </w:rPr>
        <w:t>s not a comparator for tezacaftor/ivacaftor (it is neither registered nor reimbursed in this setting); thus, results for the ivacaftor group are presented here for completeness only.</w:t>
      </w:r>
    </w:p>
    <w:p w:rsidR="008E0D3C" w:rsidRPr="00F77E7A" w:rsidRDefault="008E0D3C" w:rsidP="00EF2E6B">
      <w:pPr>
        <w:keepNext/>
        <w:keepLines/>
        <w:widowControl/>
        <w:rPr>
          <w:rStyle w:val="CommentReference"/>
        </w:rPr>
      </w:pPr>
      <w:r w:rsidRPr="00F77E7A">
        <w:rPr>
          <w:rStyle w:val="CommentReference"/>
        </w:rPr>
        <w:lastRenderedPageBreak/>
        <w:t xml:space="preserve">Table </w:t>
      </w:r>
      <w:r w:rsidR="007A6770" w:rsidRPr="00F77E7A">
        <w:rPr>
          <w:rStyle w:val="CommentReference"/>
        </w:rPr>
        <w:t>3</w:t>
      </w:r>
      <w:r w:rsidRPr="00F77E7A">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35"/>
        <w:gridCol w:w="5459"/>
        <w:gridCol w:w="2123"/>
      </w:tblGrid>
      <w:tr w:rsidR="00533619" w:rsidRPr="00F77E7A" w:rsidTr="0092371C">
        <w:trPr>
          <w:trHeight w:val="73"/>
          <w:tblHeader/>
        </w:trPr>
        <w:tc>
          <w:tcPr>
            <w:tcW w:w="796" w:type="pct"/>
            <w:vAlign w:val="center"/>
          </w:tcPr>
          <w:p w:rsidR="00533619" w:rsidRPr="00F77E7A" w:rsidRDefault="00533619" w:rsidP="00EF2E6B">
            <w:pPr>
              <w:pStyle w:val="Tabletext"/>
              <w:keepNext/>
              <w:keepLines/>
              <w:rPr>
                <w:b/>
              </w:rPr>
            </w:pPr>
            <w:r w:rsidRPr="00F77E7A">
              <w:rPr>
                <w:b/>
              </w:rPr>
              <w:t>Trial ID</w:t>
            </w:r>
          </w:p>
        </w:tc>
        <w:tc>
          <w:tcPr>
            <w:tcW w:w="3027" w:type="pct"/>
            <w:tcBorders>
              <w:bottom w:val="single" w:sz="4" w:space="0" w:color="auto"/>
            </w:tcBorders>
            <w:vAlign w:val="center"/>
          </w:tcPr>
          <w:p w:rsidR="00533619" w:rsidRPr="00F77E7A" w:rsidRDefault="00533619" w:rsidP="00EF2E6B">
            <w:pPr>
              <w:pStyle w:val="Tabletext"/>
              <w:keepNext/>
              <w:keepLines/>
              <w:jc w:val="center"/>
              <w:rPr>
                <w:b/>
              </w:rPr>
            </w:pPr>
            <w:r w:rsidRPr="00F77E7A">
              <w:rPr>
                <w:b/>
              </w:rPr>
              <w:t>Protocol title/ Publication title</w:t>
            </w:r>
          </w:p>
        </w:tc>
        <w:tc>
          <w:tcPr>
            <w:tcW w:w="1177" w:type="pct"/>
            <w:vAlign w:val="center"/>
          </w:tcPr>
          <w:p w:rsidR="00533619" w:rsidRPr="00F77E7A" w:rsidRDefault="00533619" w:rsidP="00EF2E6B">
            <w:pPr>
              <w:pStyle w:val="Tabletext"/>
              <w:keepNext/>
              <w:keepLines/>
              <w:jc w:val="center"/>
              <w:rPr>
                <w:b/>
              </w:rPr>
            </w:pPr>
            <w:r w:rsidRPr="00F77E7A">
              <w:rPr>
                <w:b/>
              </w:rPr>
              <w:t>Publication citation</w:t>
            </w:r>
          </w:p>
        </w:tc>
      </w:tr>
      <w:tr w:rsidR="00533619" w:rsidRPr="00F77E7A" w:rsidTr="0092371C">
        <w:trPr>
          <w:trHeight w:val="265"/>
        </w:trPr>
        <w:tc>
          <w:tcPr>
            <w:tcW w:w="796" w:type="pct"/>
            <w:tcBorders>
              <w:top w:val="nil"/>
              <w:bottom w:val="nil"/>
            </w:tcBorders>
          </w:tcPr>
          <w:p w:rsidR="00533619" w:rsidRPr="00F77E7A" w:rsidRDefault="001506D2" w:rsidP="00EF2E6B">
            <w:pPr>
              <w:pStyle w:val="Tabletext"/>
              <w:keepNext/>
              <w:keepLines/>
            </w:pPr>
            <w:r w:rsidRPr="00F77E7A">
              <w:t>Study 108</w:t>
            </w:r>
          </w:p>
        </w:tc>
        <w:tc>
          <w:tcPr>
            <w:tcW w:w="3027" w:type="pct"/>
            <w:vMerge w:val="restart"/>
            <w:tcBorders>
              <w:top w:val="single" w:sz="4" w:space="0" w:color="auto"/>
              <w:bottom w:val="nil"/>
            </w:tcBorders>
          </w:tcPr>
          <w:p w:rsidR="00533619" w:rsidRPr="00F77E7A" w:rsidRDefault="00533619" w:rsidP="00EF2E6B">
            <w:pPr>
              <w:pStyle w:val="Tabletext"/>
              <w:keepNext/>
              <w:keepLines/>
              <w:rPr>
                <w:szCs w:val="18"/>
                <w:lang w:eastAsia="en-AU"/>
              </w:rPr>
            </w:pPr>
            <w:r w:rsidRPr="00F77E7A">
              <w:t xml:space="preserve">A phase 3 study to evaluate the efficacy and safety of ivacaftor and VX-661 in combination with ivacaftor in subjects aged 12 years and older with cystic fibrosis, heterozygous for the </w:t>
            </w:r>
            <w:r w:rsidRPr="00F77E7A">
              <w:rPr>
                <w:i/>
              </w:rPr>
              <w:t>F508del</w:t>
            </w:r>
            <w:r w:rsidRPr="00F77E7A">
              <w:t>-cystic fibrosis transmembrane conductance regulator (</w:t>
            </w:r>
            <w:r w:rsidRPr="00F77E7A">
              <w:rPr>
                <w:i/>
              </w:rPr>
              <w:t>CFTR</w:t>
            </w:r>
            <w:r w:rsidRPr="00F77E7A">
              <w:t xml:space="preserve">) mutation. </w:t>
            </w:r>
          </w:p>
        </w:tc>
        <w:tc>
          <w:tcPr>
            <w:tcW w:w="1177" w:type="pct"/>
            <w:vMerge w:val="restart"/>
            <w:tcBorders>
              <w:top w:val="nil"/>
            </w:tcBorders>
          </w:tcPr>
          <w:p w:rsidR="00533619" w:rsidRPr="00F77E7A" w:rsidRDefault="00533619" w:rsidP="00EF2E6B">
            <w:pPr>
              <w:pStyle w:val="Tabletext"/>
              <w:keepNext/>
              <w:keepLines/>
            </w:pPr>
            <w:r w:rsidRPr="00F77E7A">
              <w:t>Clinical Study Report Study VX14-661-108.</w:t>
            </w:r>
          </w:p>
          <w:p w:rsidR="00533619" w:rsidRPr="00F77E7A" w:rsidRDefault="00533619" w:rsidP="00EF2E6B">
            <w:pPr>
              <w:pStyle w:val="Tabletext"/>
              <w:keepNext/>
              <w:keepLines/>
              <w:rPr>
                <w:szCs w:val="18"/>
                <w:lang w:eastAsia="en-AU"/>
              </w:rPr>
            </w:pPr>
            <w:r w:rsidRPr="00F77E7A">
              <w:t>12 June 2018.</w:t>
            </w:r>
          </w:p>
        </w:tc>
      </w:tr>
      <w:tr w:rsidR="00533619" w:rsidRPr="00F77E7A" w:rsidTr="0092371C">
        <w:trPr>
          <w:trHeight w:val="265"/>
        </w:trPr>
        <w:tc>
          <w:tcPr>
            <w:tcW w:w="796" w:type="pct"/>
            <w:tcBorders>
              <w:top w:val="nil"/>
              <w:bottom w:val="nil"/>
            </w:tcBorders>
          </w:tcPr>
          <w:p w:rsidR="00533619" w:rsidRPr="00F77E7A" w:rsidRDefault="00533619" w:rsidP="00EF2E6B">
            <w:pPr>
              <w:pStyle w:val="Tabletext"/>
              <w:keepNext/>
              <w:keepLines/>
            </w:pPr>
          </w:p>
        </w:tc>
        <w:tc>
          <w:tcPr>
            <w:tcW w:w="3027" w:type="pct"/>
            <w:vMerge/>
            <w:tcBorders>
              <w:bottom w:val="nil"/>
            </w:tcBorders>
          </w:tcPr>
          <w:p w:rsidR="00533619" w:rsidRPr="00F77E7A" w:rsidRDefault="00533619" w:rsidP="00EF2E6B">
            <w:pPr>
              <w:pStyle w:val="Tabletext"/>
              <w:keepNext/>
              <w:keepLines/>
            </w:pPr>
          </w:p>
        </w:tc>
        <w:tc>
          <w:tcPr>
            <w:tcW w:w="1177" w:type="pct"/>
            <w:vMerge/>
            <w:tcBorders>
              <w:bottom w:val="nil"/>
            </w:tcBorders>
          </w:tcPr>
          <w:p w:rsidR="00533619" w:rsidRPr="00F77E7A" w:rsidRDefault="00533619" w:rsidP="00EF2E6B">
            <w:pPr>
              <w:pStyle w:val="Tabletext"/>
              <w:keepNext/>
              <w:keepLines/>
            </w:pPr>
          </w:p>
        </w:tc>
      </w:tr>
      <w:tr w:rsidR="00533619" w:rsidRPr="00F77E7A" w:rsidTr="0092371C">
        <w:trPr>
          <w:trHeight w:val="265"/>
        </w:trPr>
        <w:tc>
          <w:tcPr>
            <w:tcW w:w="796" w:type="pct"/>
            <w:tcBorders>
              <w:top w:val="nil"/>
              <w:bottom w:val="nil"/>
            </w:tcBorders>
          </w:tcPr>
          <w:p w:rsidR="00533619" w:rsidRPr="00F77E7A" w:rsidRDefault="00533619" w:rsidP="00EF2E6B">
            <w:pPr>
              <w:pStyle w:val="Tabletext"/>
              <w:keepNext/>
              <w:keepLines/>
            </w:pPr>
          </w:p>
        </w:tc>
        <w:tc>
          <w:tcPr>
            <w:tcW w:w="3027" w:type="pct"/>
            <w:tcBorders>
              <w:top w:val="nil"/>
              <w:bottom w:val="nil"/>
            </w:tcBorders>
          </w:tcPr>
          <w:p w:rsidR="00533619" w:rsidRPr="00F77E7A" w:rsidRDefault="00533619" w:rsidP="00EF2E6B">
            <w:pPr>
              <w:pStyle w:val="Tabletext"/>
              <w:keepNext/>
              <w:keepLines/>
            </w:pPr>
            <w:r w:rsidRPr="00F77E7A">
              <w:t xml:space="preserve">A phase 3 Study to Evaluate the Efficacy and Safety of Ivacaftor and VX-661 in Combination With Ivacaftor in Subjects Aged 12 Years and Older With Cystic Fibrosis, Heterozygous for the F508del-cystic Fibrosis Transmembrane Conductance Regulator (CFTR) Mutation. </w:t>
            </w:r>
          </w:p>
        </w:tc>
        <w:tc>
          <w:tcPr>
            <w:tcW w:w="1177" w:type="pct"/>
            <w:tcBorders>
              <w:top w:val="nil"/>
              <w:bottom w:val="nil"/>
            </w:tcBorders>
          </w:tcPr>
          <w:p w:rsidR="00533619" w:rsidRPr="00F77E7A" w:rsidRDefault="00533619" w:rsidP="00EF2E6B">
            <w:pPr>
              <w:pStyle w:val="Tabletext"/>
              <w:keepNext/>
              <w:keepLines/>
            </w:pPr>
            <w:r w:rsidRPr="00F77E7A">
              <w:t>ClinicalTrials.gov identifier NCT02392234</w:t>
            </w:r>
          </w:p>
        </w:tc>
      </w:tr>
      <w:tr w:rsidR="00533619" w:rsidRPr="00F77E7A" w:rsidTr="0092371C">
        <w:trPr>
          <w:trHeight w:val="265"/>
        </w:trPr>
        <w:tc>
          <w:tcPr>
            <w:tcW w:w="796" w:type="pct"/>
            <w:tcBorders>
              <w:top w:val="nil"/>
              <w:bottom w:val="nil"/>
            </w:tcBorders>
          </w:tcPr>
          <w:p w:rsidR="00533619" w:rsidRPr="00F77E7A" w:rsidRDefault="00533619" w:rsidP="00EF2E6B">
            <w:pPr>
              <w:pStyle w:val="Tabletext"/>
              <w:keepNext/>
              <w:keepLines/>
            </w:pPr>
          </w:p>
        </w:tc>
        <w:tc>
          <w:tcPr>
            <w:tcW w:w="3027" w:type="pct"/>
            <w:tcBorders>
              <w:top w:val="nil"/>
              <w:bottom w:val="nil"/>
            </w:tcBorders>
          </w:tcPr>
          <w:p w:rsidR="00533619" w:rsidRPr="00F77E7A" w:rsidRDefault="00533619" w:rsidP="00EF2E6B">
            <w:pPr>
              <w:pStyle w:val="Tabletext"/>
              <w:keepNext/>
              <w:keepLines/>
            </w:pPr>
            <w:r w:rsidRPr="00F77E7A">
              <w:t xml:space="preserve">Rowe SM, Daines C, Ringshausen FC, </w:t>
            </w:r>
            <w:r w:rsidRPr="00F77E7A">
              <w:rPr>
                <w:i/>
              </w:rPr>
              <w:t>et al</w:t>
            </w:r>
            <w:r w:rsidRPr="00F77E7A">
              <w:t xml:space="preserve">. Tezacaftor–ivacaftor in RF heterozygotes with cystic fibrosis. </w:t>
            </w:r>
          </w:p>
        </w:tc>
        <w:tc>
          <w:tcPr>
            <w:tcW w:w="1177" w:type="pct"/>
            <w:tcBorders>
              <w:top w:val="nil"/>
              <w:bottom w:val="nil"/>
            </w:tcBorders>
          </w:tcPr>
          <w:p w:rsidR="00533619" w:rsidRPr="00F77E7A" w:rsidRDefault="00533619" w:rsidP="00EF2E6B">
            <w:pPr>
              <w:pStyle w:val="Tabletext"/>
              <w:keepNext/>
              <w:keepLines/>
            </w:pPr>
            <w:r w:rsidRPr="00F77E7A">
              <w:rPr>
                <w:i/>
              </w:rPr>
              <w:t>New England Journal of Medicine</w:t>
            </w:r>
            <w:r w:rsidRPr="00F77E7A">
              <w:t>; 2017; 337(21): 2024–2035.</w:t>
            </w:r>
          </w:p>
        </w:tc>
      </w:tr>
      <w:tr w:rsidR="00533619" w:rsidRPr="00F77E7A" w:rsidTr="0092371C">
        <w:trPr>
          <w:trHeight w:val="265"/>
        </w:trPr>
        <w:tc>
          <w:tcPr>
            <w:tcW w:w="796" w:type="pct"/>
            <w:tcBorders>
              <w:top w:val="nil"/>
              <w:bottom w:val="nil"/>
            </w:tcBorders>
          </w:tcPr>
          <w:p w:rsidR="00533619" w:rsidRPr="00F77E7A" w:rsidRDefault="00533619" w:rsidP="00EF2E6B">
            <w:pPr>
              <w:pStyle w:val="Tabletext"/>
              <w:keepNext/>
              <w:keepLines/>
            </w:pPr>
          </w:p>
        </w:tc>
        <w:tc>
          <w:tcPr>
            <w:tcW w:w="3027" w:type="pct"/>
            <w:tcBorders>
              <w:top w:val="nil"/>
              <w:bottom w:val="nil"/>
            </w:tcBorders>
          </w:tcPr>
          <w:p w:rsidR="00533619" w:rsidRPr="00F77E7A" w:rsidRDefault="00533619" w:rsidP="00EF2E6B">
            <w:pPr>
              <w:pStyle w:val="Tabletext"/>
              <w:keepNext/>
              <w:keepLines/>
            </w:pPr>
            <w:r w:rsidRPr="00F77E7A">
              <w:t xml:space="preserve">Rowe SM, Davies J. CFTR modulation with tezacaftor/ivacaftor in patients heterozygous for </w:t>
            </w:r>
            <w:r w:rsidRPr="00F77E7A">
              <w:rPr>
                <w:i/>
              </w:rPr>
              <w:t xml:space="preserve">F508del </w:t>
            </w:r>
            <w:r w:rsidRPr="00F77E7A">
              <w:t xml:space="preserve">and a RF mutation. </w:t>
            </w:r>
          </w:p>
        </w:tc>
        <w:tc>
          <w:tcPr>
            <w:tcW w:w="1177" w:type="pct"/>
            <w:tcBorders>
              <w:top w:val="nil"/>
              <w:bottom w:val="nil"/>
            </w:tcBorders>
          </w:tcPr>
          <w:p w:rsidR="00533619" w:rsidRPr="00F77E7A" w:rsidRDefault="00533619" w:rsidP="00EF2E6B">
            <w:pPr>
              <w:pStyle w:val="Tabletext"/>
              <w:keepNext/>
              <w:keepLines/>
              <w:rPr>
                <w:i/>
              </w:rPr>
            </w:pPr>
            <w:r w:rsidRPr="00F77E7A">
              <w:rPr>
                <w:i/>
              </w:rPr>
              <w:t>Pediatric Pulmonology</w:t>
            </w:r>
            <w:r w:rsidRPr="00F77E7A">
              <w:t>; 2017; 52(Suppl 47): 175–176.</w:t>
            </w:r>
          </w:p>
        </w:tc>
      </w:tr>
      <w:tr w:rsidR="00533619" w:rsidRPr="00F77E7A" w:rsidTr="0092371C">
        <w:trPr>
          <w:trHeight w:val="265"/>
        </w:trPr>
        <w:tc>
          <w:tcPr>
            <w:tcW w:w="796" w:type="pct"/>
            <w:tcBorders>
              <w:top w:val="nil"/>
              <w:bottom w:val="nil"/>
            </w:tcBorders>
          </w:tcPr>
          <w:p w:rsidR="00533619" w:rsidRPr="00F77E7A" w:rsidRDefault="00533619" w:rsidP="00EF2E6B">
            <w:pPr>
              <w:pStyle w:val="Tabletext"/>
              <w:keepNext/>
              <w:keepLines/>
            </w:pPr>
          </w:p>
        </w:tc>
        <w:tc>
          <w:tcPr>
            <w:tcW w:w="3027" w:type="pct"/>
            <w:tcBorders>
              <w:top w:val="nil"/>
              <w:bottom w:val="nil"/>
            </w:tcBorders>
          </w:tcPr>
          <w:p w:rsidR="00533619" w:rsidRPr="00F77E7A" w:rsidRDefault="00533619" w:rsidP="00EF2E6B">
            <w:pPr>
              <w:pStyle w:val="Tabletext"/>
              <w:keepNext/>
              <w:keepLines/>
            </w:pPr>
            <w:r w:rsidRPr="00F77E7A">
              <w:t xml:space="preserve">Rowe SM, Davies JC, Nair N, </w:t>
            </w:r>
            <w:r w:rsidRPr="00F77E7A">
              <w:rPr>
                <w:i/>
              </w:rPr>
              <w:t>et al</w:t>
            </w:r>
            <w:r w:rsidRPr="00F77E7A">
              <w:t xml:space="preserve">. Efficacy and safety of tezacaftor/ ivacaftor and ivacaftor in patients aged &gt;=12 years with CF heterozygous for </w:t>
            </w:r>
            <w:r w:rsidRPr="00F77E7A">
              <w:rPr>
                <w:i/>
              </w:rPr>
              <w:t>F508de</w:t>
            </w:r>
            <w:r w:rsidRPr="00F77E7A">
              <w:t xml:space="preserve">l and a RF mutation: A randomized, double-blind, placebo-controlled, crossover phase 3 study. </w:t>
            </w:r>
          </w:p>
        </w:tc>
        <w:tc>
          <w:tcPr>
            <w:tcW w:w="1177" w:type="pct"/>
            <w:tcBorders>
              <w:top w:val="nil"/>
              <w:bottom w:val="nil"/>
            </w:tcBorders>
          </w:tcPr>
          <w:p w:rsidR="00533619" w:rsidRPr="00F77E7A" w:rsidRDefault="00533619" w:rsidP="00EF2E6B">
            <w:pPr>
              <w:pStyle w:val="Tabletext"/>
              <w:keepNext/>
              <w:keepLines/>
              <w:rPr>
                <w:i/>
              </w:rPr>
            </w:pPr>
            <w:r w:rsidRPr="00F77E7A">
              <w:rPr>
                <w:i/>
              </w:rPr>
              <w:t>Pediatric pulmonology</w:t>
            </w:r>
            <w:r w:rsidRPr="00F77E7A">
              <w:t>; 2017; 52(Supplement 47): 317.</w:t>
            </w:r>
          </w:p>
        </w:tc>
      </w:tr>
      <w:tr w:rsidR="00533619" w:rsidRPr="00F77E7A" w:rsidTr="0092371C">
        <w:trPr>
          <w:trHeight w:val="265"/>
        </w:trPr>
        <w:tc>
          <w:tcPr>
            <w:tcW w:w="796" w:type="pct"/>
            <w:tcBorders>
              <w:top w:val="nil"/>
              <w:bottom w:val="single" w:sz="4" w:space="0" w:color="auto"/>
            </w:tcBorders>
          </w:tcPr>
          <w:p w:rsidR="00533619" w:rsidRPr="00F77E7A" w:rsidRDefault="00533619" w:rsidP="00EF2E6B">
            <w:pPr>
              <w:pStyle w:val="Tabletext"/>
              <w:keepNext/>
              <w:keepLines/>
            </w:pPr>
          </w:p>
        </w:tc>
        <w:tc>
          <w:tcPr>
            <w:tcW w:w="3027" w:type="pct"/>
            <w:tcBorders>
              <w:top w:val="nil"/>
              <w:bottom w:val="single" w:sz="4" w:space="0" w:color="auto"/>
            </w:tcBorders>
          </w:tcPr>
          <w:p w:rsidR="00533619" w:rsidRPr="00F77E7A" w:rsidRDefault="00533619" w:rsidP="00EF2E6B">
            <w:pPr>
              <w:pStyle w:val="Tabletext"/>
              <w:keepNext/>
              <w:keepLines/>
            </w:pPr>
            <w:r w:rsidRPr="00F77E7A">
              <w:t xml:space="preserve">Fischer R, Rowe SM, Davies JC, Nair N, Han L, Lekstrom-Himes J. Efficacy and safety of tezacaftor/ivacaftor in patients (Pts) aged &gt;= 12 years with CF heterozygous for </w:t>
            </w:r>
            <w:r w:rsidRPr="00F77E7A">
              <w:rPr>
                <w:i/>
              </w:rPr>
              <w:t>F508del</w:t>
            </w:r>
            <w:r w:rsidRPr="00F77E7A">
              <w:t xml:space="preserve"> and a RF mutation: A randomized, double-blind, placebo-controlled, crossover phase 3 study. </w:t>
            </w:r>
          </w:p>
        </w:tc>
        <w:tc>
          <w:tcPr>
            <w:tcW w:w="1177" w:type="pct"/>
            <w:tcBorders>
              <w:top w:val="nil"/>
              <w:bottom w:val="single" w:sz="4" w:space="0" w:color="auto"/>
            </w:tcBorders>
          </w:tcPr>
          <w:p w:rsidR="00533619" w:rsidRPr="00F77E7A" w:rsidRDefault="00533619" w:rsidP="00EF2E6B">
            <w:pPr>
              <w:pStyle w:val="Tabletext"/>
              <w:keepNext/>
              <w:keepLines/>
              <w:rPr>
                <w:i/>
              </w:rPr>
            </w:pPr>
            <w:r w:rsidRPr="00F77E7A">
              <w:rPr>
                <w:i/>
              </w:rPr>
              <w:t>Pneumologie</w:t>
            </w:r>
            <w:r w:rsidRPr="00F77E7A">
              <w:t>; 2018; 72(Supplement 1): S35.</w:t>
            </w:r>
          </w:p>
        </w:tc>
      </w:tr>
      <w:tr w:rsidR="00533619" w:rsidRPr="00F77E7A" w:rsidTr="0092371C">
        <w:tc>
          <w:tcPr>
            <w:tcW w:w="796" w:type="pct"/>
            <w:tcBorders>
              <w:top w:val="single" w:sz="4" w:space="0" w:color="auto"/>
              <w:bottom w:val="nil"/>
            </w:tcBorders>
            <w:vAlign w:val="center"/>
          </w:tcPr>
          <w:p w:rsidR="00533619" w:rsidRPr="00F77E7A" w:rsidRDefault="00533619" w:rsidP="00EF2E6B">
            <w:pPr>
              <w:pStyle w:val="Tabletext"/>
              <w:keepNext/>
              <w:keepLines/>
              <w:rPr>
                <w:rFonts w:ascii="Times" w:hAnsi="Times"/>
              </w:rPr>
            </w:pPr>
          </w:p>
        </w:tc>
        <w:tc>
          <w:tcPr>
            <w:tcW w:w="3027" w:type="pct"/>
            <w:tcBorders>
              <w:top w:val="single" w:sz="4" w:space="0" w:color="auto"/>
              <w:bottom w:val="nil"/>
            </w:tcBorders>
            <w:vAlign w:val="center"/>
          </w:tcPr>
          <w:p w:rsidR="00533619" w:rsidRPr="00F77E7A" w:rsidRDefault="00533619" w:rsidP="00EF2E6B">
            <w:pPr>
              <w:pStyle w:val="Tabletext"/>
              <w:keepNext/>
              <w:keepLines/>
              <w:rPr>
                <w:rFonts w:ascii="Times" w:hAnsi="Times"/>
              </w:rPr>
            </w:pPr>
            <w:r w:rsidRPr="00F77E7A">
              <w:t xml:space="preserve">A phase 3, open-label, rollover study to evaluate the safety and efficacy of long-term treatment with VX-661 in combination with ivacaftor in subjects aged 12 years and older with cystic fibrosis, homozygous or heterozygous for the </w:t>
            </w:r>
            <w:r w:rsidRPr="00F77E7A">
              <w:rPr>
                <w:i/>
              </w:rPr>
              <w:t>F508del-CFTR</w:t>
            </w:r>
            <w:r w:rsidRPr="00F77E7A">
              <w:t xml:space="preserve"> mutation. </w:t>
            </w:r>
          </w:p>
        </w:tc>
        <w:tc>
          <w:tcPr>
            <w:tcW w:w="1177" w:type="pct"/>
            <w:tcBorders>
              <w:top w:val="single" w:sz="4" w:space="0" w:color="auto"/>
              <w:bottom w:val="nil"/>
            </w:tcBorders>
            <w:vAlign w:val="center"/>
          </w:tcPr>
          <w:p w:rsidR="00533619" w:rsidRPr="00F77E7A" w:rsidRDefault="00533619" w:rsidP="00EF2E6B">
            <w:pPr>
              <w:pStyle w:val="Tabletext"/>
              <w:keepNext/>
              <w:keepLines/>
            </w:pPr>
            <w:r w:rsidRPr="00F77E7A">
              <w:t>Clinical Study Report Study VX14-661-110</w:t>
            </w:r>
          </w:p>
          <w:p w:rsidR="00533619" w:rsidRPr="00F77E7A" w:rsidRDefault="00533619" w:rsidP="00EF2E6B">
            <w:pPr>
              <w:pStyle w:val="Tabletext"/>
              <w:keepNext/>
              <w:keepLines/>
            </w:pPr>
            <w:r w:rsidRPr="00F77E7A">
              <w:t>13 September 2017.</w:t>
            </w:r>
          </w:p>
        </w:tc>
      </w:tr>
      <w:tr w:rsidR="00533619" w:rsidRPr="00F77E7A" w:rsidTr="0092371C">
        <w:tc>
          <w:tcPr>
            <w:tcW w:w="796" w:type="pct"/>
            <w:tcBorders>
              <w:top w:val="nil"/>
              <w:bottom w:val="nil"/>
            </w:tcBorders>
            <w:vAlign w:val="center"/>
          </w:tcPr>
          <w:p w:rsidR="00533619" w:rsidRPr="00F77E7A" w:rsidRDefault="00533619" w:rsidP="00EF2E6B">
            <w:pPr>
              <w:pStyle w:val="Tabletext"/>
              <w:keepNext/>
              <w:keepLines/>
            </w:pPr>
            <w:r w:rsidRPr="00F77E7A">
              <w:t>Study 110 (Ongoing study, insufficient data)</w:t>
            </w:r>
          </w:p>
        </w:tc>
        <w:tc>
          <w:tcPr>
            <w:tcW w:w="3027" w:type="pct"/>
            <w:tcBorders>
              <w:top w:val="nil"/>
              <w:bottom w:val="nil"/>
            </w:tcBorders>
            <w:vAlign w:val="center"/>
          </w:tcPr>
          <w:p w:rsidR="00533619" w:rsidRPr="00F77E7A" w:rsidRDefault="00533619" w:rsidP="00EF2E6B">
            <w:pPr>
              <w:pStyle w:val="Tabletext"/>
              <w:keepNext/>
              <w:keepLines/>
              <w:rPr>
                <w:szCs w:val="18"/>
              </w:rPr>
            </w:pPr>
            <w:r w:rsidRPr="00F77E7A">
              <w:t>A study to assess the efficacy and safety of a combination of two experimental drugs in people with cystic fibrosis (a rare hereditary lung disease).</w:t>
            </w:r>
          </w:p>
        </w:tc>
        <w:tc>
          <w:tcPr>
            <w:tcW w:w="1177" w:type="pct"/>
            <w:tcBorders>
              <w:top w:val="nil"/>
              <w:bottom w:val="nil"/>
            </w:tcBorders>
            <w:vAlign w:val="center"/>
          </w:tcPr>
          <w:p w:rsidR="00533619" w:rsidRPr="00F77E7A" w:rsidRDefault="00533619" w:rsidP="00EF2E6B">
            <w:pPr>
              <w:pStyle w:val="Tabletext"/>
              <w:keepNext/>
              <w:keepLines/>
              <w:rPr>
                <w:i/>
              </w:rPr>
            </w:pPr>
            <w:r w:rsidRPr="00F77E7A">
              <w:t>2015</w:t>
            </w:r>
          </w:p>
        </w:tc>
      </w:tr>
      <w:tr w:rsidR="00533619" w:rsidRPr="00F77E7A" w:rsidTr="0092371C">
        <w:tc>
          <w:tcPr>
            <w:tcW w:w="796" w:type="pct"/>
            <w:tcBorders>
              <w:top w:val="nil"/>
              <w:bottom w:val="nil"/>
            </w:tcBorders>
            <w:vAlign w:val="center"/>
          </w:tcPr>
          <w:p w:rsidR="00533619" w:rsidRPr="00F77E7A" w:rsidRDefault="00533619" w:rsidP="00EF2E6B">
            <w:pPr>
              <w:pStyle w:val="Tabletext"/>
              <w:keepNext/>
              <w:keepLines/>
            </w:pPr>
          </w:p>
        </w:tc>
        <w:tc>
          <w:tcPr>
            <w:tcW w:w="3027" w:type="pct"/>
            <w:tcBorders>
              <w:top w:val="nil"/>
              <w:bottom w:val="nil"/>
            </w:tcBorders>
            <w:vAlign w:val="center"/>
          </w:tcPr>
          <w:p w:rsidR="00533619" w:rsidRPr="00F77E7A" w:rsidRDefault="00533619" w:rsidP="00EF2E6B">
            <w:pPr>
              <w:pStyle w:val="Tabletext"/>
              <w:keepNext/>
              <w:keepLines/>
              <w:rPr>
                <w:szCs w:val="18"/>
              </w:rPr>
            </w:pPr>
            <w:r w:rsidRPr="00F77E7A">
              <w:t xml:space="preserve">Flume PA, Owen CA, Brown CD, </w:t>
            </w:r>
            <w:r w:rsidRPr="00F77E7A">
              <w:rPr>
                <w:i/>
              </w:rPr>
              <w:t>et al</w:t>
            </w:r>
            <w:r w:rsidRPr="00F77E7A">
              <w:t xml:space="preserve">. Long-term safety and efficacy of tezacaftor/Ivacaftor in patients with cystic fibrosis homozygous for F508del-CFTR or heterozygous for F508del and a RF mutation: First interim analysis results of a phase 3, open-label, rollover study. </w:t>
            </w:r>
          </w:p>
        </w:tc>
        <w:tc>
          <w:tcPr>
            <w:tcW w:w="1177" w:type="pct"/>
            <w:tcBorders>
              <w:top w:val="nil"/>
              <w:bottom w:val="nil"/>
            </w:tcBorders>
            <w:vAlign w:val="center"/>
          </w:tcPr>
          <w:p w:rsidR="00533619" w:rsidRPr="00F77E7A" w:rsidRDefault="00533619" w:rsidP="00EF2E6B">
            <w:pPr>
              <w:pStyle w:val="Tabletext"/>
              <w:keepNext/>
              <w:keepLines/>
              <w:rPr>
                <w:rFonts w:ascii="Times" w:hAnsi="Times"/>
              </w:rPr>
            </w:pPr>
            <w:r w:rsidRPr="00F77E7A">
              <w:rPr>
                <w:i/>
              </w:rPr>
              <w:t>American journal of respiratory and critical care medicine</w:t>
            </w:r>
            <w:r w:rsidRPr="00F77E7A">
              <w:t>; 2018; 197(Meeting Abstracts): A7807</w:t>
            </w:r>
            <w:r w:rsidRPr="00F77E7A">
              <w:cr/>
              <w:t>.</w:t>
            </w:r>
          </w:p>
        </w:tc>
      </w:tr>
      <w:tr w:rsidR="00533619" w:rsidRPr="00F77E7A" w:rsidTr="007A6770">
        <w:tc>
          <w:tcPr>
            <w:tcW w:w="796" w:type="pct"/>
            <w:tcBorders>
              <w:top w:val="nil"/>
              <w:bottom w:val="nil"/>
            </w:tcBorders>
            <w:vAlign w:val="center"/>
          </w:tcPr>
          <w:p w:rsidR="00533619" w:rsidRPr="00F77E7A" w:rsidRDefault="00533619" w:rsidP="00EF2E6B">
            <w:pPr>
              <w:pStyle w:val="Tabletext"/>
              <w:keepNext/>
              <w:keepLines/>
            </w:pPr>
          </w:p>
        </w:tc>
        <w:tc>
          <w:tcPr>
            <w:tcW w:w="3027" w:type="pct"/>
            <w:tcBorders>
              <w:top w:val="nil"/>
              <w:bottom w:val="nil"/>
            </w:tcBorders>
            <w:vAlign w:val="center"/>
          </w:tcPr>
          <w:p w:rsidR="00533619" w:rsidRPr="00F77E7A" w:rsidRDefault="00533619" w:rsidP="00EF2E6B">
            <w:pPr>
              <w:pStyle w:val="Tabletext"/>
              <w:keepNext/>
              <w:keepLines/>
            </w:pPr>
            <w:r w:rsidRPr="00F77E7A">
              <w:t xml:space="preserve">Flume P, Lekstrom-Himes J, Fischer Biner R, et al. A phase 3, open-label study of tezacaftor/ivacaftor (TEZ/IVA) therapy: Interim analysis of pooled safety, and efficacy in patients homozygous for </w:t>
            </w:r>
            <w:r w:rsidRPr="00F77E7A">
              <w:rPr>
                <w:i/>
              </w:rPr>
              <w:t>F508del-CFTR</w:t>
            </w:r>
            <w:r w:rsidRPr="00F77E7A">
              <w:t xml:space="preserve">. </w:t>
            </w:r>
          </w:p>
        </w:tc>
        <w:tc>
          <w:tcPr>
            <w:tcW w:w="1177" w:type="pct"/>
            <w:tcBorders>
              <w:top w:val="nil"/>
              <w:bottom w:val="nil"/>
            </w:tcBorders>
            <w:vAlign w:val="center"/>
          </w:tcPr>
          <w:p w:rsidR="00533619" w:rsidRPr="00F77E7A" w:rsidRDefault="00533619" w:rsidP="00EF2E6B">
            <w:pPr>
              <w:pStyle w:val="Tabletext"/>
              <w:keepNext/>
              <w:keepLines/>
              <w:rPr>
                <w:i/>
                <w:szCs w:val="18"/>
              </w:rPr>
            </w:pPr>
            <w:r w:rsidRPr="00F77E7A">
              <w:rPr>
                <w:i/>
              </w:rPr>
              <w:t>Journal of Cystic Fibrosis</w:t>
            </w:r>
            <w:r w:rsidRPr="00F77E7A">
              <w:t>. 2018; 17(Suppl 3): S64-S65.</w:t>
            </w:r>
          </w:p>
        </w:tc>
      </w:tr>
      <w:tr w:rsidR="00533619" w:rsidRPr="00F77E7A" w:rsidTr="007A6770">
        <w:tc>
          <w:tcPr>
            <w:tcW w:w="796" w:type="pct"/>
            <w:tcBorders>
              <w:top w:val="nil"/>
              <w:bottom w:val="single" w:sz="4" w:space="0" w:color="auto"/>
            </w:tcBorders>
            <w:vAlign w:val="center"/>
          </w:tcPr>
          <w:p w:rsidR="00533619" w:rsidRPr="00F77E7A" w:rsidRDefault="00533619" w:rsidP="00EF2E6B">
            <w:pPr>
              <w:pStyle w:val="Tabletext"/>
              <w:keepNext/>
              <w:keepLines/>
            </w:pPr>
          </w:p>
        </w:tc>
        <w:tc>
          <w:tcPr>
            <w:tcW w:w="3027" w:type="pct"/>
            <w:tcBorders>
              <w:top w:val="nil"/>
              <w:bottom w:val="single" w:sz="4" w:space="0" w:color="auto"/>
            </w:tcBorders>
            <w:vAlign w:val="center"/>
          </w:tcPr>
          <w:p w:rsidR="00533619" w:rsidRPr="00F77E7A" w:rsidRDefault="00533619" w:rsidP="00EF2E6B">
            <w:pPr>
              <w:pStyle w:val="Tabletext"/>
              <w:keepNext/>
              <w:keepLines/>
            </w:pPr>
            <w:r w:rsidRPr="00F77E7A">
              <w:t xml:space="preserve">Flume P, Owen CA, Fischer Biner R, et al. A phase 3, open-label study of tezacaftor/ivacaftor (TEZ/IVA) therapy: Interim analysis of pooled safety, and efficacy in patients heterozygous for </w:t>
            </w:r>
            <w:r w:rsidRPr="00F77E7A">
              <w:rPr>
                <w:i/>
              </w:rPr>
              <w:t>F508del-CFTR</w:t>
            </w:r>
            <w:r w:rsidRPr="00F77E7A">
              <w:t xml:space="preserve"> and a RF mutation. </w:t>
            </w:r>
          </w:p>
        </w:tc>
        <w:tc>
          <w:tcPr>
            <w:tcW w:w="1177" w:type="pct"/>
            <w:tcBorders>
              <w:top w:val="nil"/>
              <w:bottom w:val="single" w:sz="4" w:space="0" w:color="auto"/>
            </w:tcBorders>
            <w:vAlign w:val="center"/>
          </w:tcPr>
          <w:p w:rsidR="00533619" w:rsidRPr="00F77E7A" w:rsidRDefault="00533619" w:rsidP="00EF2E6B">
            <w:pPr>
              <w:pStyle w:val="Tabletext"/>
              <w:keepNext/>
              <w:keepLines/>
              <w:rPr>
                <w:i/>
              </w:rPr>
            </w:pPr>
            <w:r w:rsidRPr="00F77E7A">
              <w:rPr>
                <w:i/>
              </w:rPr>
              <w:t>Journal of Cystic Fibrosis</w:t>
            </w:r>
            <w:r w:rsidRPr="00F77E7A">
              <w:t>; 2018; 17(Suppl 3): S29.</w:t>
            </w:r>
          </w:p>
        </w:tc>
      </w:tr>
    </w:tbl>
    <w:p w:rsidR="00FA74C8" w:rsidRPr="00F77E7A" w:rsidRDefault="00FA74C8" w:rsidP="00EF2E6B">
      <w:pPr>
        <w:pStyle w:val="TableFooter"/>
        <w:keepNext/>
        <w:keepLines/>
        <w:widowControl/>
      </w:pPr>
      <w:r w:rsidRPr="00F77E7A">
        <w:t>Abbreviations:  CFTR= Cystic fibrosis transmembrane conductance regulator; IVA= ivacaftor; RF= residual function; TEZ= tezacaftor</w:t>
      </w:r>
    </w:p>
    <w:p w:rsidR="00533619" w:rsidRPr="00F77E7A" w:rsidRDefault="00533619" w:rsidP="00EF2E6B">
      <w:pPr>
        <w:pStyle w:val="TableFooter"/>
        <w:keepNext/>
        <w:keepLines/>
        <w:widowControl/>
        <w:rPr>
          <w:rStyle w:val="CommentReference"/>
          <w:b w:val="0"/>
          <w:szCs w:val="22"/>
        </w:rPr>
      </w:pPr>
      <w:r w:rsidRPr="00F77E7A">
        <w:t>Source: Table 2.2.1, p.143-144 of the Submission</w:t>
      </w:r>
    </w:p>
    <w:p w:rsidR="00533619" w:rsidRPr="00F77E7A" w:rsidRDefault="00533619" w:rsidP="00EF2E6B">
      <w:pPr>
        <w:widowControl/>
        <w:rPr>
          <w:rStyle w:val="CommentReference"/>
        </w:rPr>
      </w:pPr>
    </w:p>
    <w:p w:rsidR="007F1017" w:rsidRPr="00F77E7A" w:rsidRDefault="008F120A" w:rsidP="00EF2E6B">
      <w:pPr>
        <w:pStyle w:val="ListParagraph"/>
        <w:widowControl/>
        <w:numPr>
          <w:ilvl w:val="1"/>
          <w:numId w:val="2"/>
        </w:numPr>
      </w:pPr>
      <w:r w:rsidRPr="00F77E7A">
        <w:t xml:space="preserve">The key features of the direct randomised trial are summarised in </w:t>
      </w:r>
      <w:r w:rsidR="007A6770" w:rsidRPr="00F77E7A">
        <w:t>Table 4</w:t>
      </w:r>
      <w:r w:rsidRPr="00F77E7A">
        <w:t>.</w:t>
      </w:r>
    </w:p>
    <w:p w:rsidR="007F1017" w:rsidRPr="00F77E7A" w:rsidRDefault="007F1017" w:rsidP="00EF2E6B">
      <w:pPr>
        <w:keepNext/>
        <w:keepLines/>
        <w:widowControl/>
        <w:rPr>
          <w:rStyle w:val="CommentReference"/>
        </w:rPr>
      </w:pPr>
      <w:r w:rsidRPr="00F77E7A">
        <w:rPr>
          <w:rStyle w:val="CommentReference"/>
        </w:rPr>
        <w:lastRenderedPageBreak/>
        <w:t xml:space="preserve">Table </w:t>
      </w:r>
      <w:r w:rsidR="007A6770" w:rsidRPr="00F77E7A">
        <w:rPr>
          <w:rStyle w:val="CommentReference"/>
        </w:rPr>
        <w:t>4</w:t>
      </w:r>
      <w:r w:rsidRPr="00F77E7A">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989"/>
        <w:gridCol w:w="566"/>
        <w:gridCol w:w="994"/>
        <w:gridCol w:w="849"/>
        <w:gridCol w:w="1417"/>
        <w:gridCol w:w="2507"/>
        <w:gridCol w:w="1695"/>
      </w:tblGrid>
      <w:tr w:rsidR="006A70E3" w:rsidRPr="00F77E7A" w:rsidTr="007A6770">
        <w:trPr>
          <w:tblHeader/>
        </w:trPr>
        <w:tc>
          <w:tcPr>
            <w:tcW w:w="548" w:type="pct"/>
            <w:shd w:val="clear" w:color="auto" w:fill="auto"/>
            <w:vAlign w:val="center"/>
          </w:tcPr>
          <w:p w:rsidR="007F1017" w:rsidRPr="00F77E7A" w:rsidRDefault="007F1017" w:rsidP="00EF2E6B">
            <w:pPr>
              <w:pStyle w:val="Tabletext"/>
              <w:keepNext/>
              <w:keepLines/>
              <w:rPr>
                <w:b/>
              </w:rPr>
            </w:pPr>
            <w:r w:rsidRPr="00F77E7A">
              <w:rPr>
                <w:b/>
              </w:rPr>
              <w:t>Trial</w:t>
            </w:r>
          </w:p>
        </w:tc>
        <w:tc>
          <w:tcPr>
            <w:tcW w:w="314" w:type="pct"/>
            <w:shd w:val="clear" w:color="auto" w:fill="auto"/>
            <w:vAlign w:val="center"/>
          </w:tcPr>
          <w:p w:rsidR="007F1017" w:rsidRPr="00F77E7A" w:rsidRDefault="007F1017" w:rsidP="00EF2E6B">
            <w:pPr>
              <w:pStyle w:val="Tabletext"/>
              <w:keepNext/>
              <w:keepLines/>
              <w:jc w:val="center"/>
              <w:rPr>
                <w:b/>
              </w:rPr>
            </w:pPr>
            <w:r w:rsidRPr="00F77E7A">
              <w:rPr>
                <w:b/>
              </w:rPr>
              <w:t>N</w:t>
            </w:r>
          </w:p>
        </w:tc>
        <w:tc>
          <w:tcPr>
            <w:tcW w:w="551" w:type="pct"/>
            <w:shd w:val="clear" w:color="auto" w:fill="auto"/>
            <w:vAlign w:val="center"/>
          </w:tcPr>
          <w:p w:rsidR="007F1017" w:rsidRPr="00F77E7A" w:rsidRDefault="007F1017" w:rsidP="00EF2E6B">
            <w:pPr>
              <w:pStyle w:val="Tabletext"/>
              <w:keepNext/>
              <w:keepLines/>
              <w:jc w:val="center"/>
              <w:rPr>
                <w:b/>
              </w:rPr>
            </w:pPr>
            <w:r w:rsidRPr="00F77E7A">
              <w:rPr>
                <w:b/>
              </w:rPr>
              <w:t>Design/ duration</w:t>
            </w:r>
          </w:p>
        </w:tc>
        <w:tc>
          <w:tcPr>
            <w:tcW w:w="471" w:type="pct"/>
            <w:shd w:val="clear" w:color="auto" w:fill="auto"/>
            <w:vAlign w:val="center"/>
          </w:tcPr>
          <w:p w:rsidR="007F1017" w:rsidRPr="00F77E7A" w:rsidRDefault="007F1017" w:rsidP="00EF2E6B">
            <w:pPr>
              <w:pStyle w:val="Tabletext"/>
              <w:keepNext/>
              <w:keepLines/>
              <w:jc w:val="center"/>
              <w:rPr>
                <w:b/>
              </w:rPr>
            </w:pPr>
            <w:r w:rsidRPr="00F77E7A">
              <w:rPr>
                <w:b/>
              </w:rPr>
              <w:t>Risk of bias</w:t>
            </w:r>
          </w:p>
        </w:tc>
        <w:tc>
          <w:tcPr>
            <w:tcW w:w="786" w:type="pct"/>
            <w:shd w:val="clear" w:color="auto" w:fill="auto"/>
            <w:vAlign w:val="center"/>
          </w:tcPr>
          <w:p w:rsidR="007F1017" w:rsidRPr="00F77E7A" w:rsidRDefault="007F1017" w:rsidP="00EF2E6B">
            <w:pPr>
              <w:pStyle w:val="Tabletext"/>
              <w:keepNext/>
              <w:keepLines/>
              <w:jc w:val="center"/>
              <w:rPr>
                <w:b/>
              </w:rPr>
            </w:pPr>
            <w:r w:rsidRPr="00F77E7A">
              <w:rPr>
                <w:b/>
              </w:rPr>
              <w:t>Patient population</w:t>
            </w:r>
          </w:p>
        </w:tc>
        <w:tc>
          <w:tcPr>
            <w:tcW w:w="1390" w:type="pct"/>
            <w:shd w:val="clear" w:color="auto" w:fill="auto"/>
            <w:vAlign w:val="center"/>
          </w:tcPr>
          <w:p w:rsidR="007F1017" w:rsidRPr="00F77E7A" w:rsidRDefault="007F1017" w:rsidP="00EF2E6B">
            <w:pPr>
              <w:pStyle w:val="Tabletext"/>
              <w:keepNext/>
              <w:keepLines/>
              <w:jc w:val="center"/>
              <w:rPr>
                <w:b/>
              </w:rPr>
            </w:pPr>
            <w:r w:rsidRPr="00F77E7A">
              <w:rPr>
                <w:b/>
              </w:rPr>
              <w:t>Outcomes</w:t>
            </w:r>
          </w:p>
        </w:tc>
        <w:tc>
          <w:tcPr>
            <w:tcW w:w="940" w:type="pct"/>
            <w:shd w:val="clear" w:color="auto" w:fill="auto"/>
            <w:vAlign w:val="center"/>
          </w:tcPr>
          <w:p w:rsidR="007F1017" w:rsidRPr="00F77E7A" w:rsidRDefault="007F1017" w:rsidP="00EF2E6B">
            <w:pPr>
              <w:pStyle w:val="Tabletext"/>
              <w:keepNext/>
              <w:keepLines/>
              <w:jc w:val="center"/>
              <w:rPr>
                <w:b/>
              </w:rPr>
            </w:pPr>
            <w:r w:rsidRPr="00F77E7A">
              <w:rPr>
                <w:b/>
              </w:rPr>
              <w:t>Use in modelled evaluation</w:t>
            </w:r>
          </w:p>
        </w:tc>
      </w:tr>
      <w:tr w:rsidR="007F1017" w:rsidRPr="00F77E7A" w:rsidTr="00B41614">
        <w:tc>
          <w:tcPr>
            <w:tcW w:w="5000" w:type="pct"/>
            <w:gridSpan w:val="7"/>
            <w:shd w:val="clear" w:color="auto" w:fill="auto"/>
            <w:vAlign w:val="center"/>
          </w:tcPr>
          <w:p w:rsidR="007F1017" w:rsidRPr="00F77E7A" w:rsidRDefault="00783773" w:rsidP="00EF2E6B">
            <w:pPr>
              <w:pStyle w:val="Tabletext"/>
              <w:keepNext/>
              <w:keepLines/>
              <w:rPr>
                <w:b/>
              </w:rPr>
            </w:pPr>
            <w:r w:rsidRPr="00F77E7A">
              <w:rPr>
                <w:b/>
              </w:rPr>
              <w:t>Tezacaftor/ivacaftor</w:t>
            </w:r>
            <w:r w:rsidR="007F1017" w:rsidRPr="00F77E7A">
              <w:rPr>
                <w:b/>
              </w:rPr>
              <w:t xml:space="preserve"> vs. </w:t>
            </w:r>
            <w:r w:rsidRPr="00F77E7A">
              <w:rPr>
                <w:b/>
              </w:rPr>
              <w:t>BSC</w:t>
            </w:r>
          </w:p>
        </w:tc>
      </w:tr>
      <w:tr w:rsidR="006A70E3" w:rsidRPr="00F77E7A" w:rsidTr="006A70E3">
        <w:tc>
          <w:tcPr>
            <w:tcW w:w="548" w:type="pct"/>
            <w:shd w:val="clear" w:color="auto" w:fill="auto"/>
            <w:vAlign w:val="center"/>
          </w:tcPr>
          <w:p w:rsidR="007F1017" w:rsidRPr="00F77E7A" w:rsidRDefault="00B82FA2" w:rsidP="00EF2E6B">
            <w:pPr>
              <w:pStyle w:val="Tabletext"/>
              <w:keepNext/>
              <w:keepLines/>
            </w:pPr>
            <w:r w:rsidRPr="00F77E7A">
              <w:t>Study 108</w:t>
            </w:r>
          </w:p>
        </w:tc>
        <w:tc>
          <w:tcPr>
            <w:tcW w:w="314" w:type="pct"/>
            <w:shd w:val="clear" w:color="auto" w:fill="auto"/>
            <w:vAlign w:val="center"/>
          </w:tcPr>
          <w:p w:rsidR="007F1017" w:rsidRPr="00F77E7A" w:rsidRDefault="00783773" w:rsidP="00EF2E6B">
            <w:pPr>
              <w:pStyle w:val="Tabletext"/>
              <w:keepNext/>
              <w:keepLines/>
              <w:jc w:val="center"/>
            </w:pPr>
            <w:r w:rsidRPr="00F77E7A">
              <w:t>244</w:t>
            </w:r>
          </w:p>
        </w:tc>
        <w:tc>
          <w:tcPr>
            <w:tcW w:w="551" w:type="pct"/>
            <w:shd w:val="clear" w:color="auto" w:fill="auto"/>
            <w:vAlign w:val="center"/>
          </w:tcPr>
          <w:p w:rsidR="007F1017" w:rsidRPr="00F77E7A" w:rsidRDefault="007F1017" w:rsidP="00EF2E6B">
            <w:pPr>
              <w:pStyle w:val="Tabletext"/>
              <w:keepNext/>
              <w:keepLines/>
              <w:jc w:val="center"/>
            </w:pPr>
            <w:r w:rsidRPr="00F77E7A">
              <w:t>R, DB</w:t>
            </w:r>
            <w:r w:rsidR="00783773" w:rsidRPr="00F77E7A">
              <w:t>,</w:t>
            </w:r>
            <w:r w:rsidR="00042753" w:rsidRPr="00F77E7A">
              <w:t xml:space="preserve"> crossover,</w:t>
            </w:r>
            <w:r w:rsidR="00783773" w:rsidRPr="00F77E7A">
              <w:t xml:space="preserve"> MC</w:t>
            </w:r>
          </w:p>
          <w:p w:rsidR="007F1017" w:rsidRPr="00F77E7A" w:rsidRDefault="00783773" w:rsidP="00EF2E6B">
            <w:pPr>
              <w:pStyle w:val="Tabletext"/>
              <w:keepNext/>
              <w:keepLines/>
              <w:jc w:val="center"/>
            </w:pPr>
            <w:r w:rsidRPr="00F77E7A">
              <w:t>8</w:t>
            </w:r>
            <w:r w:rsidR="007F1017" w:rsidRPr="00F77E7A">
              <w:t xml:space="preserve"> </w:t>
            </w:r>
            <w:r w:rsidRPr="00F77E7A">
              <w:t>weeks</w:t>
            </w:r>
          </w:p>
        </w:tc>
        <w:tc>
          <w:tcPr>
            <w:tcW w:w="471" w:type="pct"/>
            <w:shd w:val="clear" w:color="auto" w:fill="auto"/>
            <w:vAlign w:val="center"/>
          </w:tcPr>
          <w:p w:rsidR="007F1017" w:rsidRPr="00F77E7A" w:rsidRDefault="007F1017" w:rsidP="00EF2E6B">
            <w:pPr>
              <w:pStyle w:val="Tabletext"/>
              <w:keepNext/>
              <w:keepLines/>
              <w:jc w:val="center"/>
            </w:pPr>
            <w:r w:rsidRPr="00F77E7A">
              <w:t>Low</w:t>
            </w:r>
          </w:p>
        </w:tc>
        <w:tc>
          <w:tcPr>
            <w:tcW w:w="786" w:type="pct"/>
            <w:shd w:val="clear" w:color="auto" w:fill="auto"/>
            <w:vAlign w:val="center"/>
          </w:tcPr>
          <w:p w:rsidR="007F1017" w:rsidRPr="00F77E7A" w:rsidRDefault="00D42AA4" w:rsidP="00EF2E6B">
            <w:pPr>
              <w:pStyle w:val="Tabletext"/>
              <w:keepNext/>
              <w:keepLines/>
              <w:jc w:val="center"/>
            </w:pPr>
            <w:r w:rsidRPr="00F77E7A">
              <w:rPr>
                <w:rFonts w:eastAsia="SimSun"/>
                <w:color w:val="000000"/>
                <w:szCs w:val="24"/>
              </w:rPr>
              <w:t>≥</w:t>
            </w:r>
            <w:r w:rsidR="00783773" w:rsidRPr="00F77E7A">
              <w:t xml:space="preserve">12 years, at least </w:t>
            </w:r>
            <w:r w:rsidR="00FA74C8" w:rsidRPr="00F77E7A">
              <w:t>one</w:t>
            </w:r>
            <w:r w:rsidR="00783773" w:rsidRPr="00F77E7A">
              <w:t xml:space="preserve"> RF mutation.</w:t>
            </w:r>
          </w:p>
        </w:tc>
        <w:tc>
          <w:tcPr>
            <w:tcW w:w="1390" w:type="pct"/>
            <w:shd w:val="clear" w:color="auto" w:fill="auto"/>
            <w:vAlign w:val="center"/>
          </w:tcPr>
          <w:p w:rsidR="007F1017" w:rsidRPr="00F77E7A" w:rsidRDefault="006A70E3" w:rsidP="00EF2E6B">
            <w:pPr>
              <w:pStyle w:val="Tabletext"/>
              <w:keepNext/>
              <w:keepLines/>
              <w:rPr>
                <w:vertAlign w:val="subscript"/>
              </w:rPr>
            </w:pPr>
            <w:r w:rsidRPr="00F77E7A">
              <w:t xml:space="preserve">Primary: </w:t>
            </w:r>
            <w:r w:rsidR="00783773" w:rsidRPr="00F77E7A">
              <w:t>ppFEV</w:t>
            </w:r>
            <w:r w:rsidR="00783773" w:rsidRPr="00F77E7A">
              <w:rPr>
                <w:vertAlign w:val="subscript"/>
              </w:rPr>
              <w:t>1</w:t>
            </w:r>
          </w:p>
          <w:p w:rsidR="006A70E3" w:rsidRPr="00F77E7A" w:rsidRDefault="006A70E3" w:rsidP="00EF2E6B">
            <w:pPr>
              <w:keepNext/>
              <w:keepLines/>
              <w:widowControl/>
              <w:spacing w:after="20"/>
              <w:contextualSpacing/>
              <w:jc w:val="left"/>
              <w:rPr>
                <w:szCs w:val="20"/>
              </w:rPr>
            </w:pPr>
            <w:r w:rsidRPr="00F77E7A">
              <w:rPr>
                <w:rFonts w:ascii="Arial Narrow" w:hAnsi="Arial Narrow"/>
                <w:sz w:val="20"/>
                <w:szCs w:val="20"/>
              </w:rPr>
              <w:t>Secondary: relative ppFEV</w:t>
            </w:r>
            <w:r w:rsidRPr="00F77E7A">
              <w:rPr>
                <w:rFonts w:ascii="Arial Narrow" w:hAnsi="Arial Narrow"/>
                <w:sz w:val="20"/>
                <w:szCs w:val="20"/>
                <w:vertAlign w:val="subscript"/>
              </w:rPr>
              <w:t>1</w:t>
            </w:r>
            <w:r w:rsidRPr="00F77E7A">
              <w:rPr>
                <w:rFonts w:ascii="Arial Narrow" w:hAnsi="Arial Narrow"/>
                <w:sz w:val="20"/>
                <w:szCs w:val="20"/>
              </w:rPr>
              <w:t xml:space="preserve">, PEx, </w:t>
            </w:r>
            <w:r w:rsidRPr="00F77E7A">
              <w:rPr>
                <w:rFonts w:ascii="Arial Narrow" w:hAnsi="Arial Narrow" w:cs="Times New Roman"/>
                <w:snapToGrid/>
                <w:sz w:val="20"/>
              </w:rPr>
              <w:t>CFQ-R Respiratory Domain Score</w:t>
            </w:r>
            <w:r w:rsidRPr="00F77E7A">
              <w:rPr>
                <w:rFonts w:ascii="Arial Narrow" w:hAnsi="Arial Narrow"/>
                <w:sz w:val="20"/>
                <w:szCs w:val="20"/>
              </w:rPr>
              <w:t>, nutritional status (BMI)</w:t>
            </w:r>
            <w:r w:rsidRPr="00F77E7A">
              <w:rPr>
                <w:rFonts w:ascii="Arial Narrow" w:hAnsi="Arial Narrow" w:cs="Times New Roman"/>
                <w:snapToGrid/>
                <w:sz w:val="20"/>
                <w:szCs w:val="20"/>
              </w:rPr>
              <w:t>,</w:t>
            </w:r>
            <w:r w:rsidRPr="00F77E7A">
              <w:rPr>
                <w:rFonts w:ascii="Arial Narrow" w:hAnsi="Arial Narrow"/>
                <w:sz w:val="20"/>
                <w:szCs w:val="20"/>
              </w:rPr>
              <w:t xml:space="preserve"> sweat chloride.</w:t>
            </w:r>
          </w:p>
        </w:tc>
        <w:tc>
          <w:tcPr>
            <w:tcW w:w="940" w:type="pct"/>
            <w:shd w:val="clear" w:color="auto" w:fill="auto"/>
            <w:vAlign w:val="center"/>
          </w:tcPr>
          <w:p w:rsidR="007F1017" w:rsidRPr="00F77E7A" w:rsidRDefault="00783773" w:rsidP="00EF2E6B">
            <w:pPr>
              <w:pStyle w:val="Tabletext"/>
              <w:keepNext/>
              <w:keepLines/>
              <w:jc w:val="center"/>
            </w:pPr>
            <w:r w:rsidRPr="00F77E7A">
              <w:t>Absolute change ppFEV</w:t>
            </w:r>
            <w:r w:rsidRPr="00F77E7A">
              <w:rPr>
                <w:vertAlign w:val="subscript"/>
              </w:rPr>
              <w:t>1</w:t>
            </w:r>
            <w:r w:rsidR="006A70E3" w:rsidRPr="00F77E7A">
              <w:t>, PEx, BMI</w:t>
            </w:r>
          </w:p>
        </w:tc>
      </w:tr>
    </w:tbl>
    <w:p w:rsidR="007F1017" w:rsidRPr="00F77E7A" w:rsidRDefault="00783773" w:rsidP="00EF2E6B">
      <w:pPr>
        <w:pStyle w:val="TableFooter"/>
        <w:keepNext/>
        <w:keepLines/>
        <w:widowControl/>
      </w:pPr>
      <w:r w:rsidRPr="00F77E7A">
        <w:t xml:space="preserve">Abbreviations: </w:t>
      </w:r>
      <w:r w:rsidR="006A70E3" w:rsidRPr="00F77E7A">
        <w:t>BSC</w:t>
      </w:r>
      <w:r w:rsidR="00E847BE" w:rsidRPr="00F77E7A">
        <w:t xml:space="preserve"> </w:t>
      </w:r>
      <w:r w:rsidR="006A70E3" w:rsidRPr="00F77E7A">
        <w:t>= best supportive care; BMI</w:t>
      </w:r>
      <w:r w:rsidR="00E847BE" w:rsidRPr="00F77E7A">
        <w:t xml:space="preserve"> </w:t>
      </w:r>
      <w:r w:rsidR="006A70E3" w:rsidRPr="00F77E7A">
        <w:t xml:space="preserve">= body mass index; </w:t>
      </w:r>
      <w:r w:rsidR="007F1017" w:rsidRPr="00F77E7A">
        <w:t>DB</w:t>
      </w:r>
      <w:r w:rsidR="00E847BE" w:rsidRPr="00F77E7A">
        <w:t xml:space="preserve"> </w:t>
      </w:r>
      <w:r w:rsidR="007F1017" w:rsidRPr="00F77E7A">
        <w:t>=</w:t>
      </w:r>
      <w:r w:rsidR="00E847BE" w:rsidRPr="00F77E7A">
        <w:t xml:space="preserve"> </w:t>
      </w:r>
      <w:r w:rsidR="007F1017" w:rsidRPr="00F77E7A">
        <w:t>double blind; MC</w:t>
      </w:r>
      <w:r w:rsidR="00E847BE" w:rsidRPr="00F77E7A">
        <w:t xml:space="preserve"> </w:t>
      </w:r>
      <w:r w:rsidR="007F1017" w:rsidRPr="00F77E7A">
        <w:t>=</w:t>
      </w:r>
      <w:r w:rsidR="00E847BE" w:rsidRPr="00F77E7A">
        <w:t xml:space="preserve"> </w:t>
      </w:r>
      <w:r w:rsidR="007F1017" w:rsidRPr="00F77E7A">
        <w:t xml:space="preserve">multi-centre; </w:t>
      </w:r>
      <w:r w:rsidR="006A70E3" w:rsidRPr="00F77E7A">
        <w:t>PEx</w:t>
      </w:r>
      <w:r w:rsidR="00E847BE" w:rsidRPr="00F77E7A">
        <w:t xml:space="preserve"> </w:t>
      </w:r>
      <w:r w:rsidR="006A70E3" w:rsidRPr="00F77E7A">
        <w:t>= pulmonary exacerbation; ppFEV</w:t>
      </w:r>
      <w:r w:rsidR="006A70E3" w:rsidRPr="00F77E7A">
        <w:rPr>
          <w:vertAlign w:val="subscript"/>
        </w:rPr>
        <w:t>1</w:t>
      </w:r>
      <w:r w:rsidR="00E847BE" w:rsidRPr="00F77E7A">
        <w:rPr>
          <w:vertAlign w:val="subscript"/>
        </w:rPr>
        <w:t xml:space="preserve"> </w:t>
      </w:r>
      <w:r w:rsidR="006A70E3" w:rsidRPr="00F77E7A">
        <w:t>= percent predicted forced expiratory volume in one second;</w:t>
      </w:r>
      <w:r w:rsidR="007F1017" w:rsidRPr="00F77E7A">
        <w:t xml:space="preserve"> R</w:t>
      </w:r>
      <w:r w:rsidR="00E847BE" w:rsidRPr="00F77E7A">
        <w:t xml:space="preserve"> </w:t>
      </w:r>
      <w:r w:rsidR="007F1017" w:rsidRPr="00F77E7A">
        <w:t>=</w:t>
      </w:r>
      <w:r w:rsidR="00E847BE" w:rsidRPr="00F77E7A">
        <w:t xml:space="preserve"> </w:t>
      </w:r>
      <w:r w:rsidR="007F1017" w:rsidRPr="00F77E7A">
        <w:t>randomised.</w:t>
      </w:r>
    </w:p>
    <w:p w:rsidR="006A70E3" w:rsidRPr="00F77E7A" w:rsidRDefault="006A70E3" w:rsidP="00EF2E6B">
      <w:pPr>
        <w:pStyle w:val="TableFooter"/>
        <w:keepNext/>
        <w:keepLines/>
        <w:widowControl/>
      </w:pPr>
      <w:r w:rsidRPr="00F77E7A">
        <w:t>Source: compiled during the evaluation</w:t>
      </w:r>
    </w:p>
    <w:p w:rsidR="007A6770" w:rsidRPr="00F77E7A" w:rsidRDefault="00A61713" w:rsidP="00E85AD0">
      <w:pPr>
        <w:pStyle w:val="ListParagraph"/>
        <w:widowControl/>
        <w:numPr>
          <w:ilvl w:val="1"/>
          <w:numId w:val="2"/>
        </w:numPr>
        <w:spacing w:before="120" w:after="120"/>
      </w:pPr>
      <w:r w:rsidRPr="00F77E7A">
        <w:rPr>
          <w:rFonts w:cs="Calibri"/>
          <w:snapToGrid/>
          <w:szCs w:val="24"/>
          <w:lang w:eastAsia="en-AU"/>
        </w:rPr>
        <w:t xml:space="preserve">The trial design had a low risk of selection, performance, detection, attrition and reporting bias. </w:t>
      </w:r>
      <w:r w:rsidRPr="00F77E7A">
        <w:t>All outcomes of the trial were reported as the average of week 4 and 8 for each treatment period. Efficacy was defined in terms of intermediate outcomes</w:t>
      </w:r>
      <w:r w:rsidR="007A6770" w:rsidRPr="00F77E7A">
        <w:t xml:space="preserve"> (namely lung function, e.g. ppFEV</w:t>
      </w:r>
      <w:r w:rsidR="007A6770" w:rsidRPr="00F77E7A">
        <w:rPr>
          <w:vertAlign w:val="subscript"/>
        </w:rPr>
        <w:t>1</w:t>
      </w:r>
      <w:r w:rsidR="007A6770" w:rsidRPr="00F77E7A">
        <w:t>)</w:t>
      </w:r>
      <w:r w:rsidRPr="00F77E7A">
        <w:t>, and the duration of follow-up was short (8 weeks in Study 108).</w:t>
      </w:r>
    </w:p>
    <w:p w:rsidR="00800B0D" w:rsidRPr="00F77E7A" w:rsidRDefault="00800B0D" w:rsidP="00E85AD0">
      <w:pPr>
        <w:pStyle w:val="ListParagraph"/>
        <w:widowControl/>
        <w:numPr>
          <w:ilvl w:val="1"/>
          <w:numId w:val="2"/>
        </w:numPr>
        <w:spacing w:before="120" w:after="120"/>
      </w:pPr>
      <w:r w:rsidRPr="00F77E7A">
        <w:t xml:space="preserve">The ESC noted that Study 108 </w:t>
      </w:r>
      <w:r w:rsidR="004B76AB" w:rsidRPr="00F77E7A">
        <w:t xml:space="preserve">consisted </w:t>
      </w:r>
      <w:r w:rsidRPr="00F77E7A">
        <w:t xml:space="preserve">of an 8-week treatment period followed by a washout period and an additional 8-week crossover treatment period </w:t>
      </w:r>
      <w:r w:rsidR="004B38C2" w:rsidRPr="00F77E7A">
        <w:t>in which patients were randomised to one of six treatment sequences</w:t>
      </w:r>
      <w:r w:rsidR="00C70557" w:rsidRPr="00F77E7A">
        <w:t xml:space="preserve">, </w:t>
      </w:r>
      <w:r w:rsidR="004B76AB" w:rsidRPr="00F77E7A">
        <w:t xml:space="preserve">as per Figure </w:t>
      </w:r>
      <w:r w:rsidR="005F1554" w:rsidRPr="00F77E7A">
        <w:t>1</w:t>
      </w:r>
      <w:r w:rsidR="004B76AB" w:rsidRPr="00F77E7A">
        <w:t xml:space="preserve">. The ESC noted </w:t>
      </w:r>
      <w:r w:rsidRPr="00F77E7A">
        <w:t xml:space="preserve">that </w:t>
      </w:r>
      <w:r w:rsidR="00FC71DC" w:rsidRPr="00F77E7A">
        <w:t>Study 108 reported results from treatment period</w:t>
      </w:r>
      <w:r w:rsidR="00BE4111" w:rsidRPr="00F77E7A">
        <w:t>s</w:t>
      </w:r>
      <w:r w:rsidR="00FC71DC" w:rsidRPr="00F77E7A">
        <w:t xml:space="preserve"> 1</w:t>
      </w:r>
      <w:r w:rsidR="00BE4111" w:rsidRPr="00F77E7A">
        <w:t xml:space="preserve"> and 2</w:t>
      </w:r>
      <w:r w:rsidR="00FC71DC" w:rsidRPr="00F77E7A">
        <w:t xml:space="preserve"> (8 weeks</w:t>
      </w:r>
      <w:r w:rsidR="00BE4111" w:rsidRPr="00F77E7A">
        <w:t xml:space="preserve"> each</w:t>
      </w:r>
      <w:r w:rsidR="00FC71DC" w:rsidRPr="00F77E7A">
        <w:t xml:space="preserve">). </w:t>
      </w:r>
      <w:r w:rsidR="00C70557" w:rsidRPr="00F77E7A">
        <w:t xml:space="preserve">The submission did not </w:t>
      </w:r>
      <w:r w:rsidR="00352D53" w:rsidRPr="00F77E7A">
        <w:t>address</w:t>
      </w:r>
      <w:r w:rsidR="00BE4111" w:rsidRPr="00F77E7A">
        <w:t xml:space="preserve"> how the crossover design might affect the validity of the comparison of either efficacy or harm through a differential carryover effect. </w:t>
      </w:r>
      <w:r w:rsidR="00FC71DC" w:rsidRPr="00F77E7A">
        <w:t>The PSCR provided updated data for Study 110 which reported interim results from Study 108 treatment period 2 (</w:t>
      </w:r>
      <w:r w:rsidR="00F477AA" w:rsidRPr="00F77E7A">
        <w:t xml:space="preserve">8 weeks, </w:t>
      </w:r>
      <w:r w:rsidR="00FC71DC" w:rsidRPr="00F77E7A">
        <w:t>pre-treated patients) plus 16 weeks of follow-up (</w:t>
      </w:r>
      <w:r w:rsidR="00755137" w:rsidRPr="00F77E7A">
        <w:t xml:space="preserve">up to </w:t>
      </w:r>
      <w:r w:rsidR="00FC71DC" w:rsidRPr="00F77E7A">
        <w:t>24 weeks in total). The ESC noted that patients may have differed in terms of their baseline ppFEV</w:t>
      </w:r>
      <w:r w:rsidR="00FC71DC" w:rsidRPr="00F77E7A">
        <w:rPr>
          <w:vertAlign w:val="subscript"/>
        </w:rPr>
        <w:t>1</w:t>
      </w:r>
      <w:r w:rsidR="00FC71DC" w:rsidRPr="00F77E7A">
        <w:t xml:space="preserve"> due to the treatment received in treatment period 1, confounding the comparison of the results from these two studies (Study 108 and Study 110).</w:t>
      </w:r>
      <w:r w:rsidR="00D112CE" w:rsidRPr="00F77E7A">
        <w:t xml:space="preserve"> </w:t>
      </w:r>
    </w:p>
    <w:p w:rsidR="004B76AB" w:rsidRPr="00F77E7A" w:rsidRDefault="004B76AB" w:rsidP="00EF2E6B">
      <w:pPr>
        <w:keepNext/>
        <w:widowControl/>
        <w:rPr>
          <w:rFonts w:ascii="Arial Narrow" w:hAnsi="Arial Narrow"/>
          <w:b/>
          <w:sz w:val="20"/>
          <w:szCs w:val="20"/>
        </w:rPr>
      </w:pPr>
      <w:r w:rsidRPr="00F77E7A">
        <w:rPr>
          <w:rFonts w:ascii="Arial Narrow" w:hAnsi="Arial Narrow"/>
          <w:b/>
          <w:sz w:val="20"/>
          <w:szCs w:val="20"/>
        </w:rPr>
        <w:t xml:space="preserve">Figure </w:t>
      </w:r>
      <w:r w:rsidR="005F1554" w:rsidRPr="00F77E7A">
        <w:rPr>
          <w:rFonts w:ascii="Arial Narrow" w:hAnsi="Arial Narrow"/>
          <w:b/>
          <w:sz w:val="20"/>
          <w:szCs w:val="20"/>
        </w:rPr>
        <w:t>1</w:t>
      </w:r>
      <w:r w:rsidRPr="00F77E7A">
        <w:rPr>
          <w:rFonts w:ascii="Arial Narrow" w:hAnsi="Arial Narrow"/>
          <w:b/>
          <w:sz w:val="20"/>
          <w:szCs w:val="20"/>
        </w:rPr>
        <w:t>: Study design for Study 108</w:t>
      </w:r>
    </w:p>
    <w:p w:rsidR="000E71D6" w:rsidRPr="00F77E7A" w:rsidRDefault="004B76AB" w:rsidP="00EF2E6B">
      <w:pPr>
        <w:keepNext/>
        <w:widowControl/>
      </w:pPr>
      <w:bookmarkStart w:id="7" w:name="_Toc532280238"/>
      <w:r w:rsidRPr="00F77E7A">
        <w:rPr>
          <w:noProof/>
          <w:lang w:eastAsia="en-AU"/>
        </w:rPr>
        <w:drawing>
          <wp:inline distT="0" distB="0" distL="0" distR="0" wp14:anchorId="321093D3" wp14:editId="5DF44679">
            <wp:extent cx="5732145" cy="2641600"/>
            <wp:effectExtent l="0" t="0" r="1905" b="6350"/>
            <wp:docPr id="3" name="Picture 2" title="Study design for Study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a:srcRect t="28452" b="15977"/>
                    <a:stretch/>
                  </pic:blipFill>
                  <pic:spPr bwMode="auto">
                    <a:xfrm>
                      <a:off x="0" y="0"/>
                      <a:ext cx="5732145" cy="2641600"/>
                    </a:xfrm>
                    <a:prstGeom prst="rect">
                      <a:avLst/>
                    </a:prstGeom>
                    <a:ln>
                      <a:noFill/>
                    </a:ln>
                    <a:extLst>
                      <a:ext uri="{53640926-AAD7-44D8-BBD7-CCE9431645EC}">
                        <a14:shadowObscured xmlns:a14="http://schemas.microsoft.com/office/drawing/2010/main"/>
                      </a:ext>
                    </a:extLst>
                  </pic:spPr>
                </pic:pic>
              </a:graphicData>
            </a:graphic>
          </wp:inline>
        </w:drawing>
      </w:r>
    </w:p>
    <w:p w:rsidR="004B76AB" w:rsidRPr="00F77E7A" w:rsidRDefault="004B76AB" w:rsidP="00EF2E6B">
      <w:pPr>
        <w:keepNext/>
        <w:widowControl/>
        <w:rPr>
          <w:rFonts w:ascii="Arial Narrow" w:hAnsi="Arial Narrow"/>
          <w:sz w:val="20"/>
          <w:szCs w:val="20"/>
        </w:rPr>
      </w:pPr>
      <w:r w:rsidRPr="00F77E7A">
        <w:rPr>
          <w:rFonts w:ascii="Arial Narrow" w:hAnsi="Arial Narrow"/>
          <w:sz w:val="20"/>
          <w:szCs w:val="20"/>
        </w:rPr>
        <w:t>Source: Figure 2.2.1, p145 of the submission.</w:t>
      </w:r>
    </w:p>
    <w:p w:rsidR="004B76AB" w:rsidRPr="00F77E7A" w:rsidRDefault="004B76AB" w:rsidP="00EF2E6B">
      <w:pPr>
        <w:keepNext/>
        <w:widowControl/>
        <w:rPr>
          <w:rFonts w:ascii="Arial Narrow" w:hAnsi="Arial Narrow"/>
          <w:sz w:val="20"/>
          <w:szCs w:val="20"/>
        </w:rPr>
      </w:pPr>
      <w:r w:rsidRPr="00F77E7A">
        <w:rPr>
          <w:rFonts w:ascii="Arial Narrow" w:hAnsi="Arial Narrow"/>
          <w:sz w:val="20"/>
          <w:szCs w:val="20"/>
        </w:rPr>
        <w:t>Abbreviations: IVA= ivacaftor; PBO= placebo; TEV= tezacaftor.</w:t>
      </w:r>
    </w:p>
    <w:p w:rsidR="008A1E20" w:rsidRPr="00F77E7A" w:rsidRDefault="008A1E20" w:rsidP="00EF2E6B">
      <w:pPr>
        <w:widowControl/>
        <w:rPr>
          <w:rFonts w:ascii="Arial Narrow" w:hAnsi="Arial Narrow"/>
          <w:sz w:val="20"/>
          <w:szCs w:val="20"/>
        </w:rPr>
      </w:pPr>
      <w:r w:rsidRPr="00F77E7A">
        <w:rPr>
          <w:rFonts w:ascii="Arial Narrow" w:hAnsi="Arial Narrow"/>
          <w:sz w:val="20"/>
          <w:szCs w:val="20"/>
        </w:rPr>
        <w:t xml:space="preserve">Note: </w:t>
      </w:r>
      <w:r w:rsidR="00291EB1" w:rsidRPr="00F77E7A">
        <w:rPr>
          <w:rFonts w:ascii="Arial Narrow" w:hAnsi="Arial Narrow"/>
          <w:sz w:val="20"/>
          <w:szCs w:val="20"/>
        </w:rPr>
        <w:t xml:space="preserve">The Study 108 CSR (page 63) indicated that </w:t>
      </w:r>
      <w:r w:rsidRPr="00F77E7A">
        <w:rPr>
          <w:rFonts w:ascii="Arial Narrow" w:hAnsi="Arial Narrow"/>
          <w:sz w:val="20"/>
          <w:szCs w:val="20"/>
        </w:rPr>
        <w:t>the washou</w:t>
      </w:r>
      <w:r w:rsidR="00291EB1" w:rsidRPr="00F77E7A">
        <w:rPr>
          <w:rFonts w:ascii="Arial Narrow" w:hAnsi="Arial Narrow"/>
          <w:sz w:val="20"/>
          <w:szCs w:val="20"/>
        </w:rPr>
        <w:t>t period was “at least 8 weeks”.</w:t>
      </w:r>
    </w:p>
    <w:p w:rsidR="00B60939" w:rsidRPr="00F77E7A" w:rsidRDefault="00B60939" w:rsidP="00A57F14">
      <w:pPr>
        <w:pStyle w:val="Heading2"/>
        <w:widowControl/>
        <w:spacing w:before="120"/>
      </w:pPr>
      <w:r w:rsidRPr="00F77E7A">
        <w:t>Comparative effectiveness</w:t>
      </w:r>
      <w:bookmarkEnd w:id="7"/>
    </w:p>
    <w:p w:rsidR="005F1554" w:rsidRPr="00F77E7A" w:rsidRDefault="00A61713" w:rsidP="00A57F14">
      <w:pPr>
        <w:pStyle w:val="ListParagraph"/>
        <w:widowControl/>
        <w:numPr>
          <w:ilvl w:val="1"/>
          <w:numId w:val="2"/>
        </w:numPr>
        <w:spacing w:before="120" w:after="120"/>
        <w:rPr>
          <w:color w:val="3366FF"/>
        </w:rPr>
      </w:pPr>
      <w:r w:rsidRPr="00F77E7A">
        <w:rPr>
          <w:bCs/>
        </w:rPr>
        <w:t>Study 108 reported statistically significant (p value &lt; 0.0001) differences from baseline in ppFEV</w:t>
      </w:r>
      <w:r w:rsidRPr="00F77E7A">
        <w:rPr>
          <w:bCs/>
          <w:vertAlign w:val="subscript"/>
        </w:rPr>
        <w:t>1</w:t>
      </w:r>
      <w:r w:rsidR="007A6770" w:rsidRPr="00F77E7A">
        <w:rPr>
          <w:bCs/>
        </w:rPr>
        <w:t>,</w:t>
      </w:r>
      <w:r w:rsidR="00EC01B0" w:rsidRPr="00F77E7A">
        <w:rPr>
          <w:bCs/>
        </w:rPr>
        <w:t xml:space="preserve"> </w:t>
      </w:r>
      <w:r w:rsidR="007A6770" w:rsidRPr="00F77E7A">
        <w:rPr>
          <w:bCs/>
        </w:rPr>
        <w:t xml:space="preserve">the </w:t>
      </w:r>
      <w:r w:rsidRPr="00F77E7A">
        <w:rPr>
          <w:bCs/>
        </w:rPr>
        <w:t>relative change in ppFEV</w:t>
      </w:r>
      <w:r w:rsidRPr="00F77E7A">
        <w:rPr>
          <w:bCs/>
          <w:vertAlign w:val="subscript"/>
        </w:rPr>
        <w:t>1</w:t>
      </w:r>
      <w:r w:rsidRPr="00F77E7A">
        <w:rPr>
          <w:bCs/>
        </w:rPr>
        <w:t>, sweat chloride and CFQ-R Respiratory Domain Scores for tezacaftor/ivacaftor</w:t>
      </w:r>
      <w:r w:rsidR="005E5565" w:rsidRPr="00F77E7A">
        <w:rPr>
          <w:bCs/>
        </w:rPr>
        <w:t xml:space="preserve"> </w:t>
      </w:r>
      <w:r w:rsidR="00084ECD" w:rsidRPr="00F77E7A">
        <w:rPr>
          <w:bCs/>
        </w:rPr>
        <w:t xml:space="preserve">compared with </w:t>
      </w:r>
      <w:r w:rsidR="00BA7EA7" w:rsidRPr="00F77E7A">
        <w:rPr>
          <w:bCs/>
        </w:rPr>
        <w:t>BSC</w:t>
      </w:r>
      <w:r w:rsidR="00084ECD" w:rsidRPr="00F77E7A">
        <w:rPr>
          <w:bCs/>
        </w:rPr>
        <w:t xml:space="preserve"> </w:t>
      </w:r>
      <w:r w:rsidR="005E5565" w:rsidRPr="00F77E7A">
        <w:rPr>
          <w:bCs/>
        </w:rPr>
        <w:t xml:space="preserve">(Table </w:t>
      </w:r>
      <w:r w:rsidR="007A6770" w:rsidRPr="00F77E7A">
        <w:rPr>
          <w:bCs/>
        </w:rPr>
        <w:t>5</w:t>
      </w:r>
      <w:r w:rsidR="005E5565" w:rsidRPr="00F77E7A">
        <w:rPr>
          <w:bCs/>
        </w:rPr>
        <w:t>)</w:t>
      </w:r>
      <w:r w:rsidRPr="00F77E7A">
        <w:rPr>
          <w:bCs/>
        </w:rPr>
        <w:t>.</w:t>
      </w:r>
    </w:p>
    <w:p w:rsidR="005F1554" w:rsidRPr="00F77E7A" w:rsidRDefault="005F1554" w:rsidP="00EF2E6B">
      <w:pPr>
        <w:keepNext/>
        <w:keepLines/>
        <w:widowControl/>
        <w:rPr>
          <w:rStyle w:val="CommentReference"/>
        </w:rPr>
      </w:pPr>
      <w:r w:rsidRPr="00F77E7A">
        <w:rPr>
          <w:rStyle w:val="CommentReference"/>
        </w:rPr>
        <w:t>Table 5: Linear mixed-effects model for absolute and relative change from baseline in ppFEV</w:t>
      </w:r>
      <w:r w:rsidRPr="00F77E7A">
        <w:rPr>
          <w:rStyle w:val="CommentReference"/>
          <w:vertAlign w:val="subscript"/>
        </w:rPr>
        <w:t>1</w:t>
      </w:r>
      <w:r w:rsidRPr="00F77E7A">
        <w:rPr>
          <w:rStyle w:val="CommentReference"/>
        </w:rPr>
        <w:t xml:space="preserve"> and CFQ-R respiratory domain to the average of Week 4 and Week 8 measurements, FAS</w:t>
      </w:r>
    </w:p>
    <w:tbl>
      <w:tblPr>
        <w:tblStyle w:val="HTATableshaded"/>
        <w:tblW w:w="0" w:type="auto"/>
        <w:tblLook w:val="04A0" w:firstRow="1" w:lastRow="0" w:firstColumn="1" w:lastColumn="0" w:noHBand="0" w:noVBand="1"/>
        <w:tblCaption w:val="Linear mixed-effects model for absolute and relative change from baseline in ppFEV1 and CFQ-R respiratory domain to the average of Week 4 and Week 8 measurements, FAS"/>
      </w:tblPr>
      <w:tblGrid>
        <w:gridCol w:w="2006"/>
        <w:gridCol w:w="2441"/>
        <w:gridCol w:w="1373"/>
        <w:gridCol w:w="1398"/>
        <w:gridCol w:w="1798"/>
      </w:tblGrid>
      <w:tr w:rsidR="005F1554" w:rsidRPr="00F77E7A" w:rsidTr="00A260A7">
        <w:trPr>
          <w:cnfStyle w:val="100000000000" w:firstRow="1" w:lastRow="0" w:firstColumn="0" w:lastColumn="0" w:oddVBand="0" w:evenVBand="0" w:oddHBand="0" w:evenHBand="0" w:firstRowFirstColumn="0" w:firstRowLastColumn="0" w:lastRowFirstColumn="0" w:lastRowLastColumn="0"/>
          <w:tblHeader/>
        </w:trPr>
        <w:tc>
          <w:tcPr>
            <w:tcW w:w="4447" w:type="dxa"/>
            <w:gridSpan w:val="2"/>
            <w:vAlign w:val="center"/>
          </w:tcPr>
          <w:p w:rsidR="005F1554" w:rsidRPr="00F77E7A" w:rsidRDefault="005F1554" w:rsidP="00EF2E6B">
            <w:pPr>
              <w:pStyle w:val="TableHeadingleft"/>
              <w:keepNext/>
              <w:keepLines/>
              <w:spacing w:before="0" w:after="0"/>
              <w:rPr>
                <w:rFonts w:ascii="Arial Narrow" w:hAnsi="Arial Narrow"/>
                <w:sz w:val="20"/>
                <w:szCs w:val="20"/>
                <w:lang w:val="en-AU"/>
              </w:rPr>
            </w:pPr>
          </w:p>
        </w:tc>
        <w:tc>
          <w:tcPr>
            <w:tcW w:w="1373" w:type="dxa"/>
            <w:shd w:val="clear" w:color="auto" w:fill="auto"/>
            <w:vAlign w:val="center"/>
          </w:tcPr>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Placebo</w:t>
            </w:r>
          </w:p>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N=161</w:t>
            </w:r>
          </w:p>
        </w:tc>
        <w:tc>
          <w:tcPr>
            <w:tcW w:w="1398" w:type="dxa"/>
            <w:shd w:val="clear" w:color="auto" w:fill="auto"/>
            <w:vAlign w:val="center"/>
          </w:tcPr>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Ivacaftor</w:t>
            </w:r>
          </w:p>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N=156</w:t>
            </w:r>
          </w:p>
        </w:tc>
        <w:tc>
          <w:tcPr>
            <w:tcW w:w="1798" w:type="dxa"/>
            <w:shd w:val="clear" w:color="auto" w:fill="auto"/>
            <w:vAlign w:val="center"/>
          </w:tcPr>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Tezacaftor/ivacaftor</w:t>
            </w:r>
          </w:p>
          <w:p w:rsidR="005F1554" w:rsidRPr="00F77E7A" w:rsidRDefault="005F1554"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N=161</w:t>
            </w:r>
          </w:p>
        </w:tc>
      </w:tr>
      <w:tr w:rsidR="005F1554" w:rsidRPr="00F77E7A" w:rsidTr="00A260A7">
        <w:tc>
          <w:tcPr>
            <w:tcW w:w="4447" w:type="dxa"/>
            <w:gridSpan w:val="2"/>
            <w:vAlign w:val="center"/>
          </w:tcPr>
          <w:p w:rsidR="005F1554" w:rsidRPr="00F77E7A" w:rsidRDefault="005F1554" w:rsidP="00EF2E6B">
            <w:pPr>
              <w:pStyle w:val="Tabletextleft"/>
              <w:keepNext/>
              <w:keepLines/>
              <w:spacing w:before="0" w:after="0"/>
              <w:ind w:left="32"/>
              <w:rPr>
                <w:rFonts w:ascii="Arial Narrow" w:hAnsi="Arial Narrow"/>
                <w:b/>
                <w:sz w:val="20"/>
              </w:rPr>
            </w:pPr>
            <w:r w:rsidRPr="00F77E7A">
              <w:rPr>
                <w:rFonts w:ascii="Arial Narrow" w:hAnsi="Arial Narrow"/>
                <w:b/>
                <w:sz w:val="20"/>
              </w:rPr>
              <w:t>Baseline ppFEV</w:t>
            </w:r>
            <w:r w:rsidRPr="00F77E7A">
              <w:rPr>
                <w:rFonts w:ascii="Arial Narrow" w:hAnsi="Arial Narrow"/>
                <w:b/>
                <w:sz w:val="20"/>
                <w:vertAlign w:val="subscript"/>
              </w:rPr>
              <w:t>1</w:t>
            </w:r>
            <w:r w:rsidRPr="00F77E7A">
              <w:rPr>
                <w:rFonts w:ascii="Arial Narrow" w:hAnsi="Arial Narrow"/>
                <w:b/>
                <w:sz w:val="20"/>
              </w:rPr>
              <w:t>, mean % (SD)</w:t>
            </w:r>
          </w:p>
        </w:tc>
        <w:tc>
          <w:tcPr>
            <w:tcW w:w="1373"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62.2 (14.3)</w:t>
            </w:r>
          </w:p>
        </w:tc>
        <w:tc>
          <w:tcPr>
            <w:tcW w:w="1398"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62.1 (14.6)</w:t>
            </w:r>
          </w:p>
        </w:tc>
        <w:tc>
          <w:tcPr>
            <w:tcW w:w="1798"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62.1 (14.7)</w:t>
            </w:r>
          </w:p>
        </w:tc>
      </w:tr>
      <w:tr w:rsidR="005F1554" w:rsidRPr="00F77E7A" w:rsidTr="00A260A7">
        <w:tc>
          <w:tcPr>
            <w:tcW w:w="2006" w:type="dxa"/>
            <w:vMerge w:val="restart"/>
            <w:vAlign w:val="center"/>
          </w:tcPr>
          <w:p w:rsidR="005F1554" w:rsidRPr="00F77E7A" w:rsidRDefault="005F1554" w:rsidP="00EF2E6B">
            <w:pPr>
              <w:pStyle w:val="Tabletextleft"/>
              <w:keepNext/>
              <w:keepLines/>
              <w:spacing w:before="0" w:after="0"/>
              <w:ind w:left="32"/>
              <w:rPr>
                <w:rStyle w:val="CommentReference"/>
                <w:b w:val="0"/>
                <w:szCs w:val="20"/>
              </w:rPr>
            </w:pPr>
            <w:r w:rsidRPr="00F77E7A">
              <w:rPr>
                <w:rStyle w:val="CommentReference"/>
                <w:szCs w:val="20"/>
              </w:rPr>
              <w:t>Absolute change from baseline in ppFEV</w:t>
            </w:r>
            <w:r w:rsidRPr="00F77E7A">
              <w:rPr>
                <w:rStyle w:val="CommentReference"/>
                <w:szCs w:val="20"/>
                <w:vertAlign w:val="subscript"/>
              </w:rPr>
              <w:t>1</w:t>
            </w:r>
            <w:r w:rsidRPr="00F77E7A">
              <w:rPr>
                <w:rStyle w:val="CommentReference"/>
                <w:b w:val="0"/>
                <w:szCs w:val="20"/>
                <w:vertAlign w:val="superscript"/>
              </w:rPr>
              <w:t>a</w:t>
            </w:r>
          </w:p>
        </w:tc>
        <w:tc>
          <w:tcPr>
            <w:tcW w:w="2441" w:type="dxa"/>
            <w:shd w:val="clear" w:color="auto" w:fill="auto"/>
            <w:vAlign w:val="center"/>
          </w:tcPr>
          <w:p w:rsidR="005F1554" w:rsidRPr="00F77E7A" w:rsidRDefault="005F1554" w:rsidP="00EF2E6B">
            <w:pPr>
              <w:pStyle w:val="Tabletextleft"/>
              <w:keepNext/>
              <w:keepLines/>
              <w:spacing w:before="0" w:after="0"/>
              <w:ind w:left="32"/>
              <w:rPr>
                <w:rFonts w:ascii="Arial Narrow" w:hAnsi="Arial Narrow"/>
                <w:sz w:val="20"/>
              </w:rPr>
            </w:pPr>
            <w:r w:rsidRPr="00F77E7A">
              <w:rPr>
                <w:rFonts w:ascii="Arial Narrow" w:hAnsi="Arial Narrow"/>
                <w:sz w:val="20"/>
              </w:rPr>
              <w:t>LS mean, % (95% CI)</w:t>
            </w:r>
          </w:p>
        </w:tc>
        <w:tc>
          <w:tcPr>
            <w:tcW w:w="1373"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-0.3</w:t>
            </w:r>
          </w:p>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(-1.2,0.6)</w:t>
            </w:r>
          </w:p>
        </w:tc>
        <w:tc>
          <w:tcPr>
            <w:tcW w:w="13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4.4</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(3.5,5.3)</w:t>
            </w:r>
          </w:p>
        </w:tc>
        <w:tc>
          <w:tcPr>
            <w:tcW w:w="17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6.4</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(5.6,7.3)</w:t>
            </w:r>
          </w:p>
        </w:tc>
      </w:tr>
      <w:tr w:rsidR="005F1554" w:rsidRPr="00F77E7A" w:rsidTr="00A260A7">
        <w:tc>
          <w:tcPr>
            <w:tcW w:w="2006" w:type="dxa"/>
            <w:vMerge/>
            <w:vAlign w:val="center"/>
          </w:tcPr>
          <w:p w:rsidR="005F1554" w:rsidRPr="00F77E7A" w:rsidRDefault="005F1554" w:rsidP="00EF2E6B">
            <w:pPr>
              <w:pStyle w:val="Tabletextleft"/>
              <w:keepNext/>
              <w:keepLines/>
              <w:spacing w:before="0" w:after="0"/>
              <w:ind w:left="32" w:hanging="32"/>
              <w:rPr>
                <w:rFonts w:ascii="Arial Narrow" w:hAnsi="Arial Narrow"/>
                <w:sz w:val="20"/>
              </w:rPr>
            </w:pPr>
          </w:p>
        </w:tc>
        <w:tc>
          <w:tcPr>
            <w:tcW w:w="2441" w:type="dxa"/>
            <w:shd w:val="clear" w:color="auto" w:fill="auto"/>
            <w:vAlign w:val="center"/>
          </w:tcPr>
          <w:p w:rsidR="005F1554" w:rsidRPr="00F77E7A" w:rsidRDefault="005F1554" w:rsidP="00EF2E6B">
            <w:pPr>
              <w:pStyle w:val="Tabletextleft"/>
              <w:keepNext/>
              <w:keepLines/>
              <w:spacing w:before="0" w:after="0"/>
              <w:ind w:left="32" w:hanging="32"/>
              <w:rPr>
                <w:rFonts w:ascii="Arial Narrow" w:hAnsi="Arial Narrow"/>
                <w:sz w:val="20"/>
              </w:rPr>
            </w:pPr>
            <w:r w:rsidRPr="00F77E7A">
              <w:rPr>
                <w:rFonts w:ascii="Arial Narrow" w:hAnsi="Arial Narrow"/>
                <w:sz w:val="20"/>
              </w:rPr>
              <w:t>LS mean treatment difference versus placebo, % (95% CI)</w:t>
            </w:r>
          </w:p>
        </w:tc>
        <w:tc>
          <w:tcPr>
            <w:tcW w:w="1373"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NA</w:t>
            </w:r>
          </w:p>
        </w:tc>
        <w:tc>
          <w:tcPr>
            <w:tcW w:w="13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4.7 (3.7, 5.8)</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p&lt;0.0001</w:t>
            </w:r>
          </w:p>
        </w:tc>
        <w:tc>
          <w:tcPr>
            <w:tcW w:w="17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6.8 (5.7, 7.8)</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p&lt;0.0001</w:t>
            </w:r>
          </w:p>
        </w:tc>
      </w:tr>
      <w:tr w:rsidR="005F1554" w:rsidRPr="00F77E7A" w:rsidTr="00A260A7">
        <w:tc>
          <w:tcPr>
            <w:tcW w:w="2006" w:type="dxa"/>
            <w:vMerge w:val="restart"/>
            <w:vAlign w:val="center"/>
          </w:tcPr>
          <w:p w:rsidR="005F1554" w:rsidRPr="00F77E7A" w:rsidRDefault="005F1554" w:rsidP="00EF2E6B">
            <w:pPr>
              <w:pStyle w:val="Tabletextcent"/>
              <w:keepNext/>
              <w:keepLines/>
              <w:spacing w:before="0" w:after="0"/>
              <w:jc w:val="left"/>
              <w:rPr>
                <w:rFonts w:ascii="Arial Narrow" w:hAnsi="Arial Narrow"/>
                <w:sz w:val="20"/>
                <w:lang w:val="en-AU"/>
              </w:rPr>
            </w:pPr>
            <w:r w:rsidRPr="00F77E7A">
              <w:rPr>
                <w:rStyle w:val="CommentReference"/>
                <w:szCs w:val="20"/>
                <w:lang w:val="en-AU"/>
              </w:rPr>
              <w:t>Relative change from baseline in ppFEV</w:t>
            </w:r>
            <w:r w:rsidRPr="00F77E7A">
              <w:rPr>
                <w:rStyle w:val="CommentReference"/>
                <w:szCs w:val="20"/>
                <w:vertAlign w:val="subscript"/>
                <w:lang w:val="en-AU"/>
              </w:rPr>
              <w:t>1</w:t>
            </w:r>
            <w:r w:rsidRPr="00F77E7A">
              <w:rPr>
                <w:rStyle w:val="CommentReference"/>
                <w:szCs w:val="20"/>
                <w:vertAlign w:val="superscript"/>
                <w:lang w:val="en-AU"/>
              </w:rPr>
              <w:t>a</w:t>
            </w:r>
          </w:p>
        </w:tc>
        <w:tc>
          <w:tcPr>
            <w:tcW w:w="2441" w:type="dxa"/>
            <w:shd w:val="clear" w:color="auto" w:fill="auto"/>
            <w:vAlign w:val="center"/>
          </w:tcPr>
          <w:p w:rsidR="005F1554" w:rsidRPr="00F77E7A" w:rsidRDefault="005F1554" w:rsidP="00EF2E6B">
            <w:pPr>
              <w:pStyle w:val="Tabletextleft"/>
              <w:keepNext/>
              <w:keepLines/>
              <w:spacing w:before="0" w:after="0"/>
              <w:ind w:left="164" w:hanging="164"/>
              <w:rPr>
                <w:rFonts w:ascii="Arial Narrow" w:hAnsi="Arial Narrow"/>
                <w:i/>
                <w:sz w:val="20"/>
              </w:rPr>
            </w:pPr>
            <w:r w:rsidRPr="00F77E7A">
              <w:rPr>
                <w:rFonts w:ascii="Arial Narrow" w:hAnsi="Arial Narrow"/>
                <w:sz w:val="20"/>
              </w:rPr>
              <w:t>LS mean, % (95% CI)</w:t>
            </w:r>
          </w:p>
        </w:tc>
        <w:tc>
          <w:tcPr>
            <w:tcW w:w="1373"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-0.2</w:t>
            </w:r>
          </w:p>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(-1.7, 1.4)</w:t>
            </w:r>
          </w:p>
        </w:tc>
        <w:tc>
          <w:tcPr>
            <w:tcW w:w="13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7.9</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(6.4, 9.4)</w:t>
            </w:r>
          </w:p>
        </w:tc>
        <w:tc>
          <w:tcPr>
            <w:tcW w:w="17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11.2</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(9.7, 12.7)</w:t>
            </w:r>
          </w:p>
        </w:tc>
      </w:tr>
      <w:tr w:rsidR="005F1554" w:rsidRPr="00F77E7A" w:rsidTr="00A260A7">
        <w:tc>
          <w:tcPr>
            <w:tcW w:w="2006" w:type="dxa"/>
            <w:vMerge/>
            <w:vAlign w:val="center"/>
          </w:tcPr>
          <w:p w:rsidR="005F1554" w:rsidRPr="00F77E7A" w:rsidRDefault="005F1554" w:rsidP="00EF2E6B">
            <w:pPr>
              <w:pStyle w:val="Tabletextleft"/>
              <w:keepNext/>
              <w:keepLines/>
              <w:spacing w:before="0" w:after="0"/>
              <w:ind w:left="164" w:hanging="164"/>
              <w:rPr>
                <w:rFonts w:ascii="Arial Narrow" w:hAnsi="Arial Narrow"/>
                <w:sz w:val="20"/>
              </w:rPr>
            </w:pPr>
          </w:p>
        </w:tc>
        <w:tc>
          <w:tcPr>
            <w:tcW w:w="2441" w:type="dxa"/>
            <w:shd w:val="clear" w:color="auto" w:fill="auto"/>
            <w:vAlign w:val="center"/>
          </w:tcPr>
          <w:p w:rsidR="005F1554" w:rsidRPr="00F77E7A" w:rsidRDefault="005F1554" w:rsidP="00EF2E6B">
            <w:pPr>
              <w:pStyle w:val="Tabletextleft"/>
              <w:keepNext/>
              <w:keepLines/>
              <w:spacing w:before="0" w:after="0"/>
              <w:ind w:left="164" w:hanging="164"/>
              <w:rPr>
                <w:rFonts w:ascii="Arial Narrow" w:hAnsi="Arial Narrow"/>
                <w:i/>
                <w:sz w:val="20"/>
              </w:rPr>
            </w:pPr>
            <w:r w:rsidRPr="00F77E7A">
              <w:rPr>
                <w:rFonts w:ascii="Arial Narrow" w:hAnsi="Arial Narrow"/>
                <w:sz w:val="20"/>
              </w:rPr>
              <w:t>LS mean difference versus placebo (95% CI)</w:t>
            </w:r>
          </w:p>
        </w:tc>
        <w:tc>
          <w:tcPr>
            <w:tcW w:w="1373" w:type="dxa"/>
            <w:shd w:val="clear" w:color="auto" w:fill="auto"/>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color w:val="000000" w:themeColor="text1"/>
                <w:sz w:val="20"/>
                <w:lang w:val="en-AU"/>
              </w:rPr>
              <w:t>NA</w:t>
            </w:r>
          </w:p>
        </w:tc>
        <w:tc>
          <w:tcPr>
            <w:tcW w:w="13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8.1 (6.3, 9.9)</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&lt;0.0001</w:t>
            </w:r>
          </w:p>
        </w:tc>
        <w:tc>
          <w:tcPr>
            <w:tcW w:w="1798" w:type="dxa"/>
            <w:shd w:val="clear" w:color="auto" w:fill="auto"/>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11.4 (9.6, 13.2)</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&lt;0.0001</w:t>
            </w:r>
          </w:p>
        </w:tc>
      </w:tr>
      <w:tr w:rsidR="005F1554" w:rsidRPr="00F77E7A" w:rsidTr="00A260A7">
        <w:tc>
          <w:tcPr>
            <w:tcW w:w="4447" w:type="dxa"/>
            <w:gridSpan w:val="2"/>
            <w:vAlign w:val="center"/>
          </w:tcPr>
          <w:p w:rsidR="005F1554" w:rsidRPr="00F77E7A" w:rsidRDefault="005F1554" w:rsidP="00EF2E6B">
            <w:pPr>
              <w:pStyle w:val="Tableheadingcent"/>
              <w:keepNext/>
              <w:keepLines/>
              <w:spacing w:before="0" w:after="0"/>
              <w:jc w:val="left"/>
              <w:rPr>
                <w:rFonts w:ascii="Arial Narrow" w:hAnsi="Arial Narrow"/>
                <w:b w:val="0"/>
                <w:sz w:val="20"/>
                <w:szCs w:val="20"/>
                <w:lang w:val="en-AU" w:eastAsia="en-AU"/>
              </w:rPr>
            </w:pPr>
            <w:r w:rsidRPr="00F77E7A">
              <w:rPr>
                <w:rStyle w:val="CommentReference"/>
                <w:b/>
                <w:szCs w:val="20"/>
                <w:lang w:val="en-AU"/>
              </w:rPr>
              <w:t>Baseline in CFQ-R respiratory domain, mean % (SD)</w:t>
            </w:r>
          </w:p>
        </w:tc>
        <w:tc>
          <w:tcPr>
            <w:tcW w:w="1373"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68.7 (18.3)</w:t>
            </w:r>
          </w:p>
        </w:tc>
        <w:tc>
          <w:tcPr>
            <w:tcW w:w="1398"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67.9 (16.9)</w:t>
            </w:r>
          </w:p>
        </w:tc>
        <w:tc>
          <w:tcPr>
            <w:tcW w:w="1798"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68.2 (17.5)</w:t>
            </w:r>
          </w:p>
        </w:tc>
      </w:tr>
      <w:tr w:rsidR="005F1554" w:rsidRPr="00F77E7A" w:rsidTr="00A260A7">
        <w:tc>
          <w:tcPr>
            <w:tcW w:w="2006" w:type="dxa"/>
            <w:vMerge w:val="restart"/>
            <w:vAlign w:val="center"/>
          </w:tcPr>
          <w:p w:rsidR="005F1554" w:rsidRPr="00F77E7A" w:rsidRDefault="005F1554" w:rsidP="00EF2E6B">
            <w:pPr>
              <w:pStyle w:val="Tabletextleft"/>
              <w:keepNext/>
              <w:keepLines/>
              <w:spacing w:before="0" w:after="0"/>
              <w:rPr>
                <w:rFonts w:ascii="Arial Narrow" w:hAnsi="Arial Narrow"/>
                <w:sz w:val="20"/>
              </w:rPr>
            </w:pPr>
            <w:r w:rsidRPr="00F77E7A">
              <w:rPr>
                <w:rFonts w:ascii="Arial Narrow" w:hAnsi="Arial Narrow"/>
                <w:b/>
                <w:sz w:val="20"/>
              </w:rPr>
              <w:t>Average absolute change in CFQ-R respiratory domain</w:t>
            </w:r>
            <w:r w:rsidRPr="00F77E7A">
              <w:rPr>
                <w:rFonts w:ascii="Arial Narrow" w:hAnsi="Arial Narrow"/>
                <w:b/>
                <w:sz w:val="20"/>
                <w:vertAlign w:val="superscript"/>
              </w:rPr>
              <w:t>b</w:t>
            </w:r>
          </w:p>
        </w:tc>
        <w:tc>
          <w:tcPr>
            <w:tcW w:w="2441" w:type="dxa"/>
            <w:vAlign w:val="center"/>
          </w:tcPr>
          <w:p w:rsidR="005F1554" w:rsidRPr="00F77E7A" w:rsidRDefault="005F1554" w:rsidP="00EF2E6B">
            <w:pPr>
              <w:pStyle w:val="Tabletextleft"/>
              <w:keepNext/>
              <w:keepLines/>
              <w:spacing w:before="0" w:after="0"/>
              <w:rPr>
                <w:rFonts w:ascii="Arial Narrow" w:hAnsi="Arial Narrow"/>
                <w:sz w:val="20"/>
              </w:rPr>
            </w:pPr>
            <w:r w:rsidRPr="00F77E7A">
              <w:rPr>
                <w:rFonts w:ascii="Arial Narrow" w:hAnsi="Arial Narrow"/>
                <w:sz w:val="20"/>
              </w:rPr>
              <w:t>LS mean, % (95% CI)</w:t>
            </w:r>
          </w:p>
        </w:tc>
        <w:tc>
          <w:tcPr>
            <w:tcW w:w="1373"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-1.0</w:t>
            </w:r>
          </w:p>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(-2.9,1.0)</w:t>
            </w:r>
          </w:p>
        </w:tc>
        <w:tc>
          <w:tcPr>
            <w:tcW w:w="13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8.7</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(6.8,10.7)</w:t>
            </w:r>
          </w:p>
        </w:tc>
        <w:tc>
          <w:tcPr>
            <w:tcW w:w="17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10.1</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(8.2,12.1)</w:t>
            </w:r>
          </w:p>
        </w:tc>
      </w:tr>
      <w:tr w:rsidR="005F1554" w:rsidRPr="00F77E7A" w:rsidTr="00A260A7">
        <w:tc>
          <w:tcPr>
            <w:tcW w:w="2006" w:type="dxa"/>
            <w:vMerge/>
            <w:vAlign w:val="center"/>
          </w:tcPr>
          <w:p w:rsidR="005F1554" w:rsidRPr="00F77E7A" w:rsidRDefault="005F1554" w:rsidP="00EF2E6B">
            <w:pPr>
              <w:pStyle w:val="Tabletextleft"/>
              <w:keepNext/>
              <w:keepLines/>
              <w:spacing w:before="0" w:after="0"/>
              <w:rPr>
                <w:rFonts w:ascii="Arial Narrow" w:hAnsi="Arial Narrow"/>
                <w:sz w:val="20"/>
              </w:rPr>
            </w:pPr>
          </w:p>
        </w:tc>
        <w:tc>
          <w:tcPr>
            <w:tcW w:w="2441" w:type="dxa"/>
            <w:vAlign w:val="center"/>
          </w:tcPr>
          <w:p w:rsidR="005F1554" w:rsidRPr="00F77E7A" w:rsidRDefault="005F1554" w:rsidP="00EF2E6B">
            <w:pPr>
              <w:pStyle w:val="Tabletextleft"/>
              <w:keepNext/>
              <w:keepLines/>
              <w:spacing w:before="0" w:after="0"/>
              <w:rPr>
                <w:rFonts w:ascii="Arial Narrow" w:hAnsi="Arial Narrow"/>
                <w:sz w:val="20"/>
              </w:rPr>
            </w:pPr>
            <w:r w:rsidRPr="00F77E7A">
              <w:rPr>
                <w:rFonts w:ascii="Arial Narrow" w:hAnsi="Arial Narrow"/>
                <w:sz w:val="20"/>
              </w:rPr>
              <w:t>LS mean difference versus placebo (95% CI)</w:t>
            </w:r>
          </w:p>
        </w:tc>
        <w:tc>
          <w:tcPr>
            <w:tcW w:w="1373" w:type="dxa"/>
            <w:vAlign w:val="center"/>
          </w:tcPr>
          <w:p w:rsidR="005F1554" w:rsidRPr="00F77E7A" w:rsidRDefault="005F1554" w:rsidP="00EF2E6B">
            <w:pPr>
              <w:pStyle w:val="Tabletextcent"/>
              <w:keepNext/>
              <w:keepLines/>
              <w:spacing w:before="0" w:after="0"/>
              <w:rPr>
                <w:rFonts w:ascii="Arial Narrow" w:hAnsi="Arial Narrow"/>
                <w:color w:val="000000" w:themeColor="text1"/>
                <w:sz w:val="20"/>
                <w:lang w:val="en-AU"/>
              </w:rPr>
            </w:pPr>
            <w:r w:rsidRPr="00F77E7A">
              <w:rPr>
                <w:rFonts w:ascii="Arial Narrow" w:hAnsi="Arial Narrow"/>
                <w:color w:val="000000" w:themeColor="text1"/>
                <w:sz w:val="20"/>
                <w:lang w:val="en-AU"/>
              </w:rPr>
              <w:t>NA</w:t>
            </w:r>
          </w:p>
        </w:tc>
        <w:tc>
          <w:tcPr>
            <w:tcW w:w="13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9.7 (7.2, 12.2)</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&lt;0.0001</w:t>
            </w:r>
          </w:p>
        </w:tc>
        <w:tc>
          <w:tcPr>
            <w:tcW w:w="17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11.1 (8.7, 13.6) &lt;0.0001</w:t>
            </w:r>
          </w:p>
        </w:tc>
      </w:tr>
      <w:tr w:rsidR="005F1554" w:rsidRPr="00F77E7A" w:rsidTr="00A260A7">
        <w:tc>
          <w:tcPr>
            <w:tcW w:w="4447" w:type="dxa"/>
            <w:gridSpan w:val="2"/>
            <w:vAlign w:val="center"/>
          </w:tcPr>
          <w:p w:rsidR="005F1554" w:rsidRPr="00F77E7A" w:rsidRDefault="005F1554" w:rsidP="00EF2E6B">
            <w:pPr>
              <w:pStyle w:val="Tabletextcent"/>
              <w:keepNext/>
              <w:keepLines/>
              <w:spacing w:before="0" w:after="0"/>
              <w:jc w:val="left"/>
              <w:rPr>
                <w:rFonts w:ascii="Arial Narrow" w:hAnsi="Arial Narrow"/>
                <w:b/>
                <w:sz w:val="20"/>
                <w:lang w:val="en-AU"/>
              </w:rPr>
            </w:pPr>
            <w:r w:rsidRPr="00F77E7A">
              <w:rPr>
                <w:rFonts w:ascii="Arial Narrow" w:hAnsi="Arial Narrow"/>
                <w:b/>
                <w:sz w:val="20"/>
                <w:lang w:val="en-AU"/>
              </w:rPr>
              <w:t>Baseline in sweat chloride, mean mmol/L (SD)</w:t>
            </w:r>
          </w:p>
        </w:tc>
        <w:tc>
          <w:tcPr>
            <w:tcW w:w="1373"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70.2 (25.7)</w:t>
            </w:r>
          </w:p>
        </w:tc>
        <w:tc>
          <w:tcPr>
            <w:tcW w:w="1398"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72.3 (25.7)</w:t>
            </w:r>
          </w:p>
        </w:tc>
        <w:tc>
          <w:tcPr>
            <w:tcW w:w="1798"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67.0 (26.8)</w:t>
            </w:r>
          </w:p>
        </w:tc>
      </w:tr>
      <w:tr w:rsidR="005F1554" w:rsidRPr="00F77E7A" w:rsidTr="00A260A7">
        <w:tc>
          <w:tcPr>
            <w:tcW w:w="2006" w:type="dxa"/>
            <w:vMerge w:val="restart"/>
            <w:vAlign w:val="center"/>
          </w:tcPr>
          <w:p w:rsidR="005F1554" w:rsidRPr="00F77E7A" w:rsidRDefault="005F1554" w:rsidP="00EF2E6B">
            <w:pPr>
              <w:pStyle w:val="Tabletextcent"/>
              <w:keepNext/>
              <w:keepLines/>
              <w:spacing w:before="0" w:after="0"/>
              <w:jc w:val="left"/>
              <w:rPr>
                <w:rStyle w:val="CommentReference"/>
                <w:szCs w:val="20"/>
                <w:lang w:val="en-AU"/>
              </w:rPr>
            </w:pPr>
            <w:r w:rsidRPr="00F77E7A">
              <w:rPr>
                <w:rStyle w:val="CommentReference"/>
                <w:szCs w:val="20"/>
                <w:lang w:val="en-AU"/>
              </w:rPr>
              <w:t>Relative change from baseline in sweat chloride</w:t>
            </w:r>
            <w:r w:rsidRPr="00F77E7A">
              <w:rPr>
                <w:rStyle w:val="CommentReference"/>
                <w:szCs w:val="20"/>
                <w:vertAlign w:val="superscript"/>
                <w:lang w:val="en-AU"/>
              </w:rPr>
              <w:t>c</w:t>
            </w:r>
          </w:p>
        </w:tc>
        <w:tc>
          <w:tcPr>
            <w:tcW w:w="2441" w:type="dxa"/>
            <w:vAlign w:val="center"/>
          </w:tcPr>
          <w:p w:rsidR="005F1554" w:rsidRPr="00F77E7A" w:rsidRDefault="005F1554" w:rsidP="00EF2E6B">
            <w:pPr>
              <w:pStyle w:val="Tabletextleft"/>
              <w:keepNext/>
              <w:keepLines/>
              <w:spacing w:before="0" w:after="0"/>
              <w:rPr>
                <w:rFonts w:ascii="Arial Narrow" w:hAnsi="Arial Narrow"/>
                <w:sz w:val="20"/>
              </w:rPr>
            </w:pPr>
            <w:r w:rsidRPr="00F77E7A">
              <w:rPr>
                <w:rFonts w:ascii="Arial Narrow" w:hAnsi="Arial Narrow"/>
                <w:sz w:val="20"/>
              </w:rPr>
              <w:t>LS mean, % (95% CI)</w:t>
            </w:r>
          </w:p>
        </w:tc>
        <w:tc>
          <w:tcPr>
            <w:tcW w:w="1373"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-0.4</w:t>
            </w:r>
          </w:p>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(-2.3,1.5)</w:t>
            </w:r>
          </w:p>
        </w:tc>
        <w:tc>
          <w:tcPr>
            <w:tcW w:w="13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-4.9</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(-6.7,-3.0)</w:t>
            </w:r>
          </w:p>
        </w:tc>
        <w:tc>
          <w:tcPr>
            <w:tcW w:w="17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-9.9</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(-11.8,-8.0)</w:t>
            </w:r>
          </w:p>
        </w:tc>
      </w:tr>
      <w:tr w:rsidR="005F1554" w:rsidRPr="00F77E7A" w:rsidTr="00A260A7">
        <w:tc>
          <w:tcPr>
            <w:tcW w:w="2006" w:type="dxa"/>
            <w:vMerge/>
            <w:vAlign w:val="center"/>
          </w:tcPr>
          <w:p w:rsidR="005F1554" w:rsidRPr="00F77E7A" w:rsidRDefault="005F1554" w:rsidP="00EF2E6B">
            <w:pPr>
              <w:pStyle w:val="Tabletextleft"/>
              <w:keepNext/>
              <w:keepLines/>
              <w:spacing w:before="0" w:after="0"/>
              <w:rPr>
                <w:rFonts w:ascii="Arial Narrow" w:hAnsi="Arial Narrow"/>
                <w:sz w:val="20"/>
              </w:rPr>
            </w:pPr>
          </w:p>
        </w:tc>
        <w:tc>
          <w:tcPr>
            <w:tcW w:w="2441" w:type="dxa"/>
            <w:vAlign w:val="center"/>
          </w:tcPr>
          <w:p w:rsidR="005F1554" w:rsidRPr="00F77E7A" w:rsidRDefault="005F1554" w:rsidP="00EF2E6B">
            <w:pPr>
              <w:pStyle w:val="Tabletextleft"/>
              <w:keepNext/>
              <w:keepLines/>
              <w:spacing w:before="0" w:after="0"/>
              <w:rPr>
                <w:rFonts w:ascii="Arial Narrow" w:hAnsi="Arial Narrow"/>
                <w:sz w:val="20"/>
              </w:rPr>
            </w:pPr>
            <w:r w:rsidRPr="00F77E7A">
              <w:rPr>
                <w:rFonts w:ascii="Arial Narrow" w:hAnsi="Arial Narrow"/>
                <w:sz w:val="20"/>
              </w:rPr>
              <w:t>LS mean difference versus placebo, mmol/L (95% CI)</w:t>
            </w:r>
          </w:p>
        </w:tc>
        <w:tc>
          <w:tcPr>
            <w:tcW w:w="1373" w:type="dxa"/>
            <w:vAlign w:val="center"/>
          </w:tcPr>
          <w:p w:rsidR="005F1554" w:rsidRPr="00F77E7A" w:rsidRDefault="005F1554"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NA</w:t>
            </w:r>
          </w:p>
        </w:tc>
        <w:tc>
          <w:tcPr>
            <w:tcW w:w="13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-4.5 (-6.7, -2.3)</w:t>
            </w:r>
          </w:p>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&lt;0.0001</w:t>
            </w:r>
          </w:p>
        </w:tc>
        <w:tc>
          <w:tcPr>
            <w:tcW w:w="1798" w:type="dxa"/>
            <w:vAlign w:val="center"/>
          </w:tcPr>
          <w:p w:rsidR="005F1554" w:rsidRPr="00F77E7A" w:rsidRDefault="005F1554" w:rsidP="00EF2E6B">
            <w:pPr>
              <w:pStyle w:val="Tabletextcent"/>
              <w:keepNext/>
              <w:keepLines/>
              <w:spacing w:before="0" w:after="0"/>
              <w:rPr>
                <w:rFonts w:ascii="Arial Narrow" w:hAnsi="Arial Narrow"/>
                <w:b/>
                <w:sz w:val="20"/>
                <w:lang w:val="en-AU"/>
              </w:rPr>
            </w:pPr>
            <w:r w:rsidRPr="00F77E7A">
              <w:rPr>
                <w:rFonts w:ascii="Arial Narrow" w:hAnsi="Arial Narrow"/>
                <w:b/>
                <w:sz w:val="20"/>
                <w:lang w:val="en-AU"/>
              </w:rPr>
              <w:t>-9.5 (-11.7, -7.3) &lt;0.0001</w:t>
            </w:r>
          </w:p>
        </w:tc>
      </w:tr>
    </w:tbl>
    <w:p w:rsidR="005F1554" w:rsidRPr="00F77E7A" w:rsidRDefault="005F1554" w:rsidP="00EF2E6B">
      <w:pPr>
        <w:pStyle w:val="TableFooter"/>
        <w:keepNext/>
        <w:keepLines/>
        <w:widowControl/>
      </w:pPr>
      <w:r w:rsidRPr="00F77E7A">
        <w:t>Abbreviations: CI= confidence interval; FAS= full analysis set; LS= least squares; N= number; NA=not applicable; ppFEV</w:t>
      </w:r>
      <w:r w:rsidRPr="00F77E7A">
        <w:rPr>
          <w:vertAlign w:val="subscript"/>
        </w:rPr>
        <w:t>1</w:t>
      </w:r>
      <w:r w:rsidRPr="00F77E7A">
        <w:t>= percent predicted forced expiratory volume in one second; SE= standard error</w:t>
      </w:r>
    </w:p>
    <w:p w:rsidR="005F1554" w:rsidRPr="00F77E7A" w:rsidRDefault="005F1554" w:rsidP="00EF2E6B">
      <w:pPr>
        <w:pStyle w:val="TableFooter"/>
        <w:keepNext/>
        <w:keepLines/>
        <w:widowControl/>
      </w:pPr>
      <w:r w:rsidRPr="00F77E7A">
        <w:t xml:space="preserve">Source: Table 2.2.14, p. 166 of the Submission, Table 2.2.17, p. 169 of the Submission, Table 2.2.18, p. 170 of the Submission. </w:t>
      </w:r>
    </w:p>
    <w:p w:rsidR="005F1554" w:rsidRPr="00F77E7A" w:rsidRDefault="005F1554" w:rsidP="00EF2E6B">
      <w:pPr>
        <w:pStyle w:val="TableFooter"/>
        <w:keepNext/>
        <w:keepLines/>
        <w:widowControl/>
      </w:pPr>
      <w:r w:rsidRPr="00F77E7A">
        <w:t>Note: Bold text indicates a statistically significant value.</w:t>
      </w:r>
    </w:p>
    <w:p w:rsidR="005F1554" w:rsidRPr="00F77E7A" w:rsidRDefault="00011586" w:rsidP="00011586">
      <w:pPr>
        <w:pStyle w:val="TableFooter"/>
        <w:keepNext/>
        <w:keepLines/>
        <w:widowControl/>
      </w:pPr>
      <w:r>
        <w:t xml:space="preserve">NOTE: </w:t>
      </w:r>
      <w:r w:rsidR="005F1554" w:rsidRPr="00F77E7A">
        <w:t>a Sample sizes: Placebo = 160; ivacaftor = 156; tezacaftor/ivacaftor = 159</w:t>
      </w:r>
    </w:p>
    <w:p w:rsidR="005F1554" w:rsidRPr="00F77E7A" w:rsidRDefault="00011586" w:rsidP="00EF2E6B">
      <w:pPr>
        <w:pStyle w:val="TableFooter"/>
        <w:keepNext/>
        <w:keepLines/>
        <w:widowControl/>
        <w:ind w:left="426"/>
      </w:pPr>
      <w:r>
        <w:t xml:space="preserve"> </w:t>
      </w:r>
      <w:r w:rsidR="005F1554" w:rsidRPr="00F77E7A">
        <w:t>b Sample sizes: Placebo = 160; ivacaftor = 156; tezacaftor/ivacaftor = 161</w:t>
      </w:r>
    </w:p>
    <w:p w:rsidR="005F1554" w:rsidRPr="00F77E7A" w:rsidRDefault="00011586" w:rsidP="00EF2E6B">
      <w:pPr>
        <w:pStyle w:val="TableFooter"/>
        <w:keepNext/>
        <w:keepLines/>
        <w:widowControl/>
        <w:ind w:left="426"/>
      </w:pPr>
      <w:r>
        <w:t xml:space="preserve"> </w:t>
      </w:r>
      <w:r w:rsidR="005F1554" w:rsidRPr="00F77E7A">
        <w:t>c Sample sizes: Placebo = 157; ivacaftor = 155; tezacaftor/ivacaftor = 158</w:t>
      </w:r>
    </w:p>
    <w:p w:rsidR="00472BAF" w:rsidRPr="00F77E7A" w:rsidRDefault="006E5CC8" w:rsidP="00A57F14">
      <w:pPr>
        <w:pStyle w:val="ListParagraph"/>
        <w:widowControl/>
        <w:numPr>
          <w:ilvl w:val="1"/>
          <w:numId w:val="2"/>
        </w:numPr>
        <w:spacing w:before="120" w:after="120"/>
        <w:rPr>
          <w:color w:val="3366FF"/>
        </w:rPr>
      </w:pPr>
      <w:r w:rsidRPr="00F77E7A">
        <w:rPr>
          <w:bCs/>
        </w:rPr>
        <w:t>The results for the absolute change in ppFEV</w:t>
      </w:r>
      <w:r w:rsidRPr="00F77E7A">
        <w:rPr>
          <w:bCs/>
          <w:vertAlign w:val="subscript"/>
        </w:rPr>
        <w:t>1</w:t>
      </w:r>
      <w:r w:rsidRPr="00F77E7A">
        <w:rPr>
          <w:bCs/>
        </w:rPr>
        <w:t xml:space="preserve"> showed </w:t>
      </w:r>
      <w:r w:rsidR="0096345F" w:rsidRPr="00F77E7A">
        <w:rPr>
          <w:bCs/>
        </w:rPr>
        <w:t xml:space="preserve">a </w:t>
      </w:r>
      <w:r w:rsidRPr="00F77E7A">
        <w:rPr>
          <w:bCs/>
        </w:rPr>
        <w:t>statistically significant difference in favour of tezacaftor/ivacaftor compared with BSC</w:t>
      </w:r>
      <w:r w:rsidR="00676D44" w:rsidRPr="00F77E7A">
        <w:rPr>
          <w:bCs/>
        </w:rPr>
        <w:t xml:space="preserve"> </w:t>
      </w:r>
      <w:r w:rsidR="00676D44" w:rsidRPr="00F77E7A">
        <w:t>(6.8%, p &lt;0.001)</w:t>
      </w:r>
      <w:r w:rsidRPr="00F77E7A">
        <w:rPr>
          <w:bCs/>
        </w:rPr>
        <w:t xml:space="preserve">. </w:t>
      </w:r>
      <w:r w:rsidRPr="00F77E7A">
        <w:t xml:space="preserve">The </w:t>
      </w:r>
      <w:r w:rsidR="00276F77" w:rsidRPr="00F77E7A">
        <w:t>least square</w:t>
      </w:r>
      <w:r w:rsidR="002F7D3D" w:rsidRPr="00F77E7A">
        <w:t>s</w:t>
      </w:r>
      <w:r w:rsidR="00276F77" w:rsidRPr="00F77E7A">
        <w:t xml:space="preserve"> (</w:t>
      </w:r>
      <w:r w:rsidRPr="00F77E7A">
        <w:t>LS</w:t>
      </w:r>
      <w:r w:rsidR="00276F77" w:rsidRPr="00F77E7A">
        <w:t>)</w:t>
      </w:r>
      <w:r w:rsidRPr="00F77E7A">
        <w:t xml:space="preserve"> mean treatment difference for ppFEV</w:t>
      </w:r>
      <w:r w:rsidRPr="00F77E7A">
        <w:rPr>
          <w:vertAlign w:val="subscript"/>
        </w:rPr>
        <w:t>1</w:t>
      </w:r>
      <w:r w:rsidRPr="00F77E7A">
        <w:t xml:space="preserve"> was observed at the first assessment on Day 15 (5.6%) and was statistically significant (p&lt;0.0001) at all-time points from Day</w:t>
      </w:r>
      <w:r w:rsidR="00F9285E" w:rsidRPr="00F77E7A">
        <w:t xml:space="preserve"> 15 through Week 8 (see Figure 2</w:t>
      </w:r>
      <w:r w:rsidRPr="00F77E7A">
        <w:t>)</w:t>
      </w:r>
      <w:r w:rsidR="00011586">
        <w:t>.</w:t>
      </w:r>
    </w:p>
    <w:p w:rsidR="005F1554" w:rsidRPr="00F77E7A" w:rsidRDefault="00FA74C8" w:rsidP="00A57F14">
      <w:pPr>
        <w:pStyle w:val="ListParagraph"/>
        <w:widowControl/>
        <w:numPr>
          <w:ilvl w:val="1"/>
          <w:numId w:val="2"/>
        </w:numPr>
        <w:spacing w:before="120" w:after="120"/>
        <w:rPr>
          <w:color w:val="3366FF"/>
        </w:rPr>
      </w:pPr>
      <w:r w:rsidRPr="00F77E7A">
        <w:t>The mean CFQ-R Respiratory Domain Scores increased by more than four points in the tezacaftor/ivacaftor group (</w:t>
      </w:r>
      <w:r w:rsidR="00E32BAB" w:rsidRPr="00F77E7A">
        <w:t xml:space="preserve">LS mean difference of </w:t>
      </w:r>
      <w:r w:rsidRPr="00F77E7A">
        <w:t>11.1 points</w:t>
      </w:r>
      <w:r w:rsidR="00B43849" w:rsidRPr="00F77E7A">
        <w:t xml:space="preserve"> versus placebo</w:t>
      </w:r>
      <w:r w:rsidRPr="00F77E7A">
        <w:t xml:space="preserve">; 95% CI 8.7-13.6, see Table </w:t>
      </w:r>
      <w:r w:rsidR="007A6770" w:rsidRPr="00F77E7A">
        <w:t>5</w:t>
      </w:r>
      <w:r w:rsidRPr="00F77E7A">
        <w:t>).</w:t>
      </w:r>
      <w:r w:rsidR="004F7BBB" w:rsidRPr="00F77E7A">
        <w:t xml:space="preserve"> The long</w:t>
      </w:r>
      <w:r w:rsidR="006572DC" w:rsidRPr="00F77E7A">
        <w:t>-</w:t>
      </w:r>
      <w:r w:rsidR="004F7BBB" w:rsidRPr="00F77E7A">
        <w:t>term maintenance of this difference is uncertain</w:t>
      </w:r>
      <w:r w:rsidR="00663708" w:rsidRPr="00F77E7A">
        <w:t>;</w:t>
      </w:r>
      <w:r w:rsidR="007107D8" w:rsidRPr="00F77E7A">
        <w:t xml:space="preserve"> for example</w:t>
      </w:r>
      <w:r w:rsidR="00663708" w:rsidRPr="00F77E7A">
        <w:t>,</w:t>
      </w:r>
      <w:r w:rsidRPr="00F77E7A">
        <w:t xml:space="preserve"> </w:t>
      </w:r>
      <w:r w:rsidR="007107D8" w:rsidRPr="00F77E7A">
        <w:t>t</w:t>
      </w:r>
      <w:r w:rsidRPr="00F77E7A">
        <w:t xml:space="preserve">he PBAC </w:t>
      </w:r>
      <w:r w:rsidR="007A6770" w:rsidRPr="00F77E7A">
        <w:t xml:space="preserve">has noted </w:t>
      </w:r>
      <w:r w:rsidRPr="00F77E7A">
        <w:t>that results from the lumacaftor/ivacaftor extension study (PROGRESS) showed that at week 72 the LS mean absolute change was 5.7</w:t>
      </w:r>
      <w:r w:rsidR="008C2695" w:rsidRPr="00F77E7A">
        <w:t> </w:t>
      </w:r>
      <w:r w:rsidRPr="00F77E7A">
        <w:t>points and below 4 points at week 96 (</w:t>
      </w:r>
      <w:r w:rsidR="00D777EA" w:rsidRPr="00F77E7A">
        <w:t xml:space="preserve">lumacaftor/ivacaftor (aged 12+ years) </w:t>
      </w:r>
      <w:r w:rsidRPr="00F77E7A">
        <w:t>PSD July 2018, p</w:t>
      </w:r>
      <w:r w:rsidR="00C931D5" w:rsidRPr="00F77E7A">
        <w:t>aragraph</w:t>
      </w:r>
      <w:r w:rsidRPr="00F77E7A">
        <w:t xml:space="preserve"> 6.19). </w:t>
      </w:r>
      <w:r w:rsidR="007A6770" w:rsidRPr="00F77E7A">
        <w:t xml:space="preserve">A </w:t>
      </w:r>
      <w:r w:rsidR="0063137F" w:rsidRPr="00F77E7A">
        <w:t>4-point</w:t>
      </w:r>
      <w:r w:rsidR="007A6770" w:rsidRPr="00F77E7A">
        <w:t xml:space="preserve"> change </w:t>
      </w:r>
      <w:r w:rsidR="00237C49" w:rsidRPr="00F77E7A">
        <w:t xml:space="preserve">was previously </w:t>
      </w:r>
      <w:r w:rsidRPr="00F77E7A">
        <w:t>presented a</w:t>
      </w:r>
      <w:r w:rsidR="007A6770" w:rsidRPr="00F77E7A">
        <w:t>s the minimal clinically important difference (</w:t>
      </w:r>
      <w:r w:rsidRPr="00F77E7A">
        <w:t>MCID</w:t>
      </w:r>
      <w:r w:rsidR="007A6770" w:rsidRPr="00F77E7A">
        <w:t>)</w:t>
      </w:r>
      <w:r w:rsidRPr="00F77E7A">
        <w:t xml:space="preserve"> for the CFQ-R respiratory domain </w:t>
      </w:r>
      <w:r w:rsidR="00237C49" w:rsidRPr="00F77E7A">
        <w:t xml:space="preserve">in the </w:t>
      </w:r>
      <w:r w:rsidR="007A6770" w:rsidRPr="00F77E7A">
        <w:t>lumacaftor/ivacaftor</w:t>
      </w:r>
      <w:r w:rsidR="00BD0FD8" w:rsidRPr="00F77E7A">
        <w:t xml:space="preserve"> (aged 12+ years)</w:t>
      </w:r>
      <w:r w:rsidR="00237C49" w:rsidRPr="00F77E7A">
        <w:t xml:space="preserve"> submission</w:t>
      </w:r>
      <w:r w:rsidR="007A6770" w:rsidRPr="00F77E7A">
        <w:t xml:space="preserve"> </w:t>
      </w:r>
      <w:r w:rsidR="00237C49" w:rsidRPr="00F77E7A">
        <w:t>(</w:t>
      </w:r>
      <w:r w:rsidRPr="00F77E7A">
        <w:t xml:space="preserve">PSD July 2018, </w:t>
      </w:r>
      <w:r w:rsidR="00DE7A8C" w:rsidRPr="00F77E7A">
        <w:t>paragraph</w:t>
      </w:r>
      <w:r w:rsidRPr="00F77E7A">
        <w:t xml:space="preserve"> 6.19).</w:t>
      </w:r>
    </w:p>
    <w:p w:rsidR="006E5CC8" w:rsidRPr="00F77E7A" w:rsidRDefault="006E5CC8" w:rsidP="00EF2E6B">
      <w:pPr>
        <w:pStyle w:val="TableHeading0"/>
        <w:rPr>
          <w:rFonts w:cs="Arial"/>
        </w:rPr>
      </w:pPr>
      <w:r w:rsidRPr="00F77E7A">
        <w:rPr>
          <w:rFonts w:cs="Arial"/>
        </w:rPr>
        <w:t xml:space="preserve">Figure </w:t>
      </w:r>
      <w:r w:rsidR="0013664F" w:rsidRPr="00F77E7A">
        <w:rPr>
          <w:rFonts w:cs="Arial"/>
        </w:rPr>
        <w:t>2</w:t>
      </w:r>
      <w:r w:rsidRPr="00F77E7A">
        <w:rPr>
          <w:rFonts w:cs="Arial"/>
        </w:rPr>
        <w:t>: MMRM analysis of absolute change from baseline in ppFEV1 at each visit, FAS</w:t>
      </w:r>
      <w:r w:rsidRPr="00F77E7A" w:rsidDel="00BD3EA2">
        <w:rPr>
          <w:rFonts w:cs="Arial"/>
        </w:rPr>
        <w:t xml:space="preserve"> </w:t>
      </w:r>
      <w:r w:rsidRPr="00F77E7A">
        <w:rPr>
          <w:noProof/>
          <w:lang w:eastAsia="en-AU"/>
        </w:rPr>
        <w:drawing>
          <wp:inline distT="0" distB="0" distL="0" distR="0" wp14:anchorId="143E3149" wp14:editId="30F57C76">
            <wp:extent cx="5010150" cy="2369820"/>
            <wp:effectExtent l="0" t="0" r="0" b="0"/>
            <wp:docPr id="15" name="Picture 15" title="MMRM analysis of absolute change from baseline in ppFEV1 at each visit,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0150" cy="2369820"/>
                    </a:xfrm>
                    <a:prstGeom prst="rect">
                      <a:avLst/>
                    </a:prstGeom>
                  </pic:spPr>
                </pic:pic>
              </a:graphicData>
            </a:graphic>
          </wp:inline>
        </w:drawing>
      </w:r>
    </w:p>
    <w:p w:rsidR="006E5CC8" w:rsidRPr="00F77E7A" w:rsidRDefault="006E5CC8" w:rsidP="00EF2E6B">
      <w:pPr>
        <w:pStyle w:val="TableFooter"/>
        <w:widowControl/>
      </w:pPr>
      <w:r w:rsidRPr="00F77E7A">
        <w:t xml:space="preserve">Abbreviations: </w:t>
      </w:r>
      <w:r w:rsidR="00B43849" w:rsidRPr="00F77E7A">
        <w:t>S</w:t>
      </w:r>
      <w:r w:rsidRPr="00F77E7A">
        <w:t>BL</w:t>
      </w:r>
      <w:r w:rsidR="00C96BED" w:rsidRPr="00F77E7A">
        <w:t>=</w:t>
      </w:r>
      <w:r w:rsidRPr="00F77E7A">
        <w:t xml:space="preserve"> </w:t>
      </w:r>
      <w:r w:rsidR="00B43849" w:rsidRPr="00F77E7A">
        <w:t xml:space="preserve">study </w:t>
      </w:r>
      <w:r w:rsidRPr="00F77E7A">
        <w:t>baseline; D</w:t>
      </w:r>
      <w:r w:rsidR="00C96BED" w:rsidRPr="00F77E7A">
        <w:t>=</w:t>
      </w:r>
      <w:r w:rsidRPr="00F77E7A">
        <w:t xml:space="preserve"> day; FEV</w:t>
      </w:r>
      <w:r w:rsidR="00C96BED" w:rsidRPr="00F77E7A">
        <w:t>=</w:t>
      </w:r>
      <w:r w:rsidRPr="00F77E7A">
        <w:t xml:space="preserve"> forced expiratory volume; IVA</w:t>
      </w:r>
      <w:r w:rsidR="00C96BED" w:rsidRPr="00F77E7A">
        <w:t>=</w:t>
      </w:r>
      <w:r w:rsidRPr="00F77E7A">
        <w:t xml:space="preserve"> ivacaftor; </w:t>
      </w:r>
      <w:r w:rsidR="00C96BED" w:rsidRPr="00F77E7A">
        <w:t xml:space="preserve">MMRM= mixed-effects model for repeated measures; </w:t>
      </w:r>
      <w:r w:rsidRPr="00F77E7A">
        <w:t>TEZ</w:t>
      </w:r>
      <w:r w:rsidR="00C96BED" w:rsidRPr="00F77E7A">
        <w:t>=</w:t>
      </w:r>
      <w:r w:rsidRPr="00F77E7A">
        <w:t xml:space="preserve"> tezacaftor; WK</w:t>
      </w:r>
      <w:r w:rsidR="00C96BED" w:rsidRPr="00F77E7A">
        <w:t>=</w:t>
      </w:r>
      <w:r w:rsidRPr="00F77E7A">
        <w:t xml:space="preserve"> week</w:t>
      </w:r>
    </w:p>
    <w:p w:rsidR="006E5CC8" w:rsidRPr="00F77E7A" w:rsidRDefault="006E5CC8" w:rsidP="00EF2E6B">
      <w:pPr>
        <w:pStyle w:val="TableFooter"/>
        <w:widowControl/>
      </w:pPr>
      <w:r w:rsidRPr="00F77E7A">
        <w:t>Source: Figure 2.2.2, p.167 of the Submission.</w:t>
      </w:r>
    </w:p>
    <w:p w:rsidR="00A61713" w:rsidRPr="00F77E7A" w:rsidRDefault="00A61713" w:rsidP="00A57F14">
      <w:pPr>
        <w:pStyle w:val="ListParagraph"/>
        <w:widowControl/>
        <w:numPr>
          <w:ilvl w:val="1"/>
          <w:numId w:val="2"/>
        </w:numPr>
        <w:spacing w:before="120" w:after="120"/>
        <w:rPr>
          <w:rFonts w:cs="Calibri"/>
          <w:snapToGrid/>
          <w:color w:val="3366FF"/>
          <w:szCs w:val="24"/>
          <w:lang w:eastAsia="en-AU"/>
        </w:rPr>
      </w:pPr>
      <w:r w:rsidRPr="00F77E7A">
        <w:rPr>
          <w:bCs/>
        </w:rPr>
        <w:t>T</w:t>
      </w:r>
      <w:r w:rsidRPr="00F77E7A">
        <w:t xml:space="preserve">he </w:t>
      </w:r>
      <w:r w:rsidR="00993766" w:rsidRPr="00F77E7A">
        <w:t xml:space="preserve">point estimate of the </w:t>
      </w:r>
      <w:r w:rsidRPr="00F77E7A">
        <w:t xml:space="preserve">rate of </w:t>
      </w:r>
      <w:r w:rsidR="00C96BED" w:rsidRPr="00F77E7A">
        <w:t>pulmonary exacerbation</w:t>
      </w:r>
      <w:r w:rsidR="008E7C26" w:rsidRPr="00F77E7A">
        <w:t>s</w:t>
      </w:r>
      <w:r w:rsidR="00C96BED" w:rsidRPr="00F77E7A">
        <w:t xml:space="preserve"> </w:t>
      </w:r>
      <w:r w:rsidRPr="00F77E7A">
        <w:t>was lower for tezacaftor/ivacaftor than for placebo (6.8% and 11.8% respectively)</w:t>
      </w:r>
      <w:r w:rsidR="00E1483E" w:rsidRPr="00F77E7A">
        <w:t>;</w:t>
      </w:r>
      <w:r w:rsidRPr="00F77E7A">
        <w:t xml:space="preserve"> however</w:t>
      </w:r>
      <w:r w:rsidR="00E1483E" w:rsidRPr="00F77E7A">
        <w:t>,</w:t>
      </w:r>
      <w:r w:rsidRPr="00F77E7A">
        <w:t xml:space="preserve"> </w:t>
      </w:r>
      <w:r w:rsidR="00993766" w:rsidRPr="00F77E7A">
        <w:t>t</w:t>
      </w:r>
      <w:r w:rsidR="008B692A" w:rsidRPr="00F77E7A">
        <w:t>he difference</w:t>
      </w:r>
      <w:r w:rsidR="00993766" w:rsidRPr="00F77E7A">
        <w:t xml:space="preserve"> </w:t>
      </w:r>
      <w:r w:rsidR="001532A4" w:rsidRPr="00F77E7A">
        <w:t xml:space="preserve">in event rates </w:t>
      </w:r>
      <w:r w:rsidR="00993766" w:rsidRPr="00F77E7A">
        <w:t>was not statistically significant</w:t>
      </w:r>
      <w:r w:rsidRPr="00F77E7A">
        <w:t xml:space="preserve"> (RR: 0.54; 95% CI 0.26-1.13).</w:t>
      </w:r>
      <w:r w:rsidRPr="00F77E7A">
        <w:rPr>
          <w:rFonts w:cs="Calibri"/>
          <w:snapToGrid/>
          <w:color w:val="3366FF"/>
          <w:szCs w:val="24"/>
          <w:lang w:eastAsia="en-AU"/>
        </w:rPr>
        <w:t xml:space="preserve"> </w:t>
      </w:r>
      <w:r w:rsidR="00856082" w:rsidRPr="00F77E7A">
        <w:t>For lumacaftor/ivacaftor, the PBAC</w:t>
      </w:r>
      <w:r w:rsidR="00856082" w:rsidRPr="00F77E7A">
        <w:rPr>
          <w:rFonts w:cs="Calibri"/>
          <w:snapToGrid/>
          <w:szCs w:val="24"/>
          <w:lang w:eastAsia="en-AU"/>
        </w:rPr>
        <w:t xml:space="preserve"> acknowledged that a reduction in </w:t>
      </w:r>
      <w:r w:rsidR="008E7C26" w:rsidRPr="00F77E7A">
        <w:t>pulmonary exacerbations</w:t>
      </w:r>
      <w:r w:rsidR="008E7C26" w:rsidRPr="00F77E7A" w:rsidDel="008E7C26">
        <w:rPr>
          <w:rFonts w:cs="Calibri"/>
          <w:snapToGrid/>
          <w:szCs w:val="24"/>
          <w:lang w:eastAsia="en-AU"/>
        </w:rPr>
        <w:t xml:space="preserve"> </w:t>
      </w:r>
      <w:r w:rsidR="00856082" w:rsidRPr="00F77E7A">
        <w:rPr>
          <w:rFonts w:cs="Calibri"/>
          <w:snapToGrid/>
          <w:szCs w:val="24"/>
          <w:lang w:eastAsia="en-AU"/>
        </w:rPr>
        <w:t>was an important clinical outcome for CF patients</w:t>
      </w:r>
      <w:r w:rsidR="00E27A6F" w:rsidRPr="00F77E7A">
        <w:t xml:space="preserve"> (lumacaftor/ivacaftor (aged 12+ years) PSD July 2018, paragraph 6.17).</w:t>
      </w:r>
    </w:p>
    <w:p w:rsidR="008A6ED5" w:rsidRPr="00F77E7A" w:rsidRDefault="00477F70" w:rsidP="00A57F14">
      <w:pPr>
        <w:pStyle w:val="ListParagraph"/>
        <w:widowControl/>
        <w:numPr>
          <w:ilvl w:val="1"/>
          <w:numId w:val="2"/>
        </w:numPr>
        <w:spacing w:before="120" w:after="120"/>
        <w:rPr>
          <w:rFonts w:cs="Calibri"/>
          <w:snapToGrid/>
          <w:color w:val="3366FF"/>
          <w:szCs w:val="24"/>
          <w:lang w:eastAsia="en-AU"/>
        </w:rPr>
      </w:pPr>
      <w:r w:rsidRPr="00F77E7A">
        <w:t>The mean absolute change from baseline in BMI was higher for tezacaftor/ivacaftor than for placebo (0.34 kg/m</w:t>
      </w:r>
      <w:r w:rsidRPr="00F77E7A">
        <w:rPr>
          <w:vertAlign w:val="superscript"/>
        </w:rPr>
        <w:t>2</w:t>
      </w:r>
      <w:r w:rsidRPr="00F77E7A">
        <w:t xml:space="preserve"> and 0.18kg/m</w:t>
      </w:r>
      <w:r w:rsidRPr="00F77E7A">
        <w:rPr>
          <w:vertAlign w:val="superscript"/>
        </w:rPr>
        <w:t>2</w:t>
      </w:r>
      <w:r w:rsidRPr="00F77E7A">
        <w:t xml:space="preserve"> respectively); however, given the short duration of the treatment period, the submission </w:t>
      </w:r>
      <w:r w:rsidR="00A0193D" w:rsidRPr="00F77E7A">
        <w:t xml:space="preserve">was unable to demonstrate </w:t>
      </w:r>
      <w:r w:rsidR="00493AD0" w:rsidRPr="00F77E7A">
        <w:t xml:space="preserve">that </w:t>
      </w:r>
      <w:r w:rsidR="00493AD0">
        <w:t>the</w:t>
      </w:r>
      <w:r w:rsidR="0088665F">
        <w:t xml:space="preserve"> changes in BMI and weight from baseline </w:t>
      </w:r>
      <w:r w:rsidR="00493AD0">
        <w:t xml:space="preserve">for </w:t>
      </w:r>
      <w:r w:rsidR="00493AD0" w:rsidRPr="00F77E7A">
        <w:t>tezacaftor</w:t>
      </w:r>
      <w:r w:rsidR="00A0193D" w:rsidRPr="00F77E7A">
        <w:t xml:space="preserve">/ivacaftor </w:t>
      </w:r>
      <w:r w:rsidR="0088665F">
        <w:t>equate to</w:t>
      </w:r>
      <w:r w:rsidR="0088665F" w:rsidRPr="00F77E7A">
        <w:t xml:space="preserve"> </w:t>
      </w:r>
      <w:r w:rsidR="00A0193D" w:rsidRPr="00F77E7A">
        <w:t xml:space="preserve">improvements in </w:t>
      </w:r>
      <w:r w:rsidR="008A6ED5" w:rsidRPr="00F77E7A">
        <w:t xml:space="preserve">nutritional status </w:t>
      </w:r>
      <w:r w:rsidR="00A0193D" w:rsidRPr="00F77E7A">
        <w:t>compared with placebo.</w:t>
      </w:r>
    </w:p>
    <w:p w:rsidR="00ED713E" w:rsidRPr="00F77E7A" w:rsidRDefault="00A77726" w:rsidP="00A57F14">
      <w:pPr>
        <w:pStyle w:val="ListParagraph"/>
        <w:widowControl/>
        <w:numPr>
          <w:ilvl w:val="1"/>
          <w:numId w:val="2"/>
        </w:numPr>
        <w:spacing w:before="120" w:after="120"/>
        <w:rPr>
          <w:bCs/>
        </w:rPr>
      </w:pPr>
      <w:r w:rsidRPr="00F77E7A">
        <w:rPr>
          <w:bCs/>
        </w:rPr>
        <w:t>The PSCR presented updated data from</w:t>
      </w:r>
      <w:r w:rsidR="00343A61" w:rsidRPr="00F77E7A">
        <w:rPr>
          <w:bCs/>
        </w:rPr>
        <w:t xml:space="preserve"> extension</w:t>
      </w:r>
      <w:r w:rsidRPr="00F77E7A">
        <w:rPr>
          <w:bCs/>
        </w:rPr>
        <w:t xml:space="preserve"> Study 110</w:t>
      </w:r>
      <w:r w:rsidR="003012EC" w:rsidRPr="00F77E7A">
        <w:rPr>
          <w:bCs/>
        </w:rPr>
        <w:t xml:space="preserve"> </w:t>
      </w:r>
      <w:r w:rsidRPr="00F77E7A">
        <w:rPr>
          <w:bCs/>
        </w:rPr>
        <w:t>from a recent interim analysis in which 100% of enrolled patients had reac</w:t>
      </w:r>
      <w:r w:rsidR="003012EC" w:rsidRPr="00F77E7A">
        <w:rPr>
          <w:bCs/>
        </w:rPr>
        <w:t>hed the week 16 follow-up visit</w:t>
      </w:r>
      <w:r w:rsidR="00432D0C" w:rsidRPr="00F77E7A">
        <w:rPr>
          <w:bCs/>
        </w:rPr>
        <w:t xml:space="preserve"> (i.e.</w:t>
      </w:r>
      <w:r w:rsidR="00755137" w:rsidRPr="00F77E7A">
        <w:rPr>
          <w:bCs/>
        </w:rPr>
        <w:t xml:space="preserve"> up to</w:t>
      </w:r>
      <w:r w:rsidR="00432D0C" w:rsidRPr="00F77E7A">
        <w:rPr>
          <w:bCs/>
        </w:rPr>
        <w:t xml:space="preserve"> 24 weeks</w:t>
      </w:r>
      <w:r w:rsidR="00052EE7" w:rsidRPr="00F77E7A">
        <w:rPr>
          <w:bCs/>
        </w:rPr>
        <w:t xml:space="preserve"> of treatment</w:t>
      </w:r>
      <w:r w:rsidR="00432D0C" w:rsidRPr="00F77E7A">
        <w:rPr>
          <w:bCs/>
        </w:rPr>
        <w:t xml:space="preserve"> in total</w:t>
      </w:r>
      <w:r w:rsidR="00052EE7" w:rsidRPr="00F77E7A">
        <w:rPr>
          <w:bCs/>
        </w:rPr>
        <w:t>, including 8 weeks from treatment period 2 in Study 108</w:t>
      </w:r>
      <w:r w:rsidR="00CD3523" w:rsidRPr="00F77E7A">
        <w:rPr>
          <w:bCs/>
        </w:rPr>
        <w:t>) – see Figure 3</w:t>
      </w:r>
      <w:r w:rsidR="003012EC" w:rsidRPr="00F77E7A">
        <w:rPr>
          <w:bCs/>
        </w:rPr>
        <w:t>.</w:t>
      </w:r>
    </w:p>
    <w:p w:rsidR="00A77726" w:rsidRPr="00F77E7A" w:rsidRDefault="00A77726" w:rsidP="00DC0949">
      <w:pPr>
        <w:keepNext/>
        <w:keepLines/>
        <w:widowControl/>
        <w:rPr>
          <w:rFonts w:ascii="Arial Narrow" w:hAnsi="Arial Narrow"/>
          <w:b/>
          <w:bCs/>
          <w:sz w:val="20"/>
        </w:rPr>
      </w:pPr>
      <w:r w:rsidRPr="00F77E7A">
        <w:rPr>
          <w:rFonts w:ascii="Arial Narrow" w:hAnsi="Arial Narrow"/>
          <w:b/>
          <w:sz w:val="20"/>
        </w:rPr>
        <w:t xml:space="preserve">Figure </w:t>
      </w:r>
      <w:r w:rsidR="00CD3523" w:rsidRPr="00F77E7A">
        <w:rPr>
          <w:rFonts w:ascii="Arial Narrow" w:hAnsi="Arial Narrow"/>
          <w:b/>
          <w:sz w:val="20"/>
        </w:rPr>
        <w:t>3</w:t>
      </w:r>
      <w:r w:rsidRPr="00F77E7A">
        <w:rPr>
          <w:rFonts w:ascii="Arial Narrow" w:hAnsi="Arial Narrow"/>
          <w:b/>
          <w:sz w:val="20"/>
        </w:rPr>
        <w:t xml:space="preserve">: MMRM analysis of absolute change from baseline in ppFEV1 at each visit, </w:t>
      </w:r>
      <w:r w:rsidR="003012EC" w:rsidRPr="00F77E7A">
        <w:rPr>
          <w:rFonts w:ascii="Arial Narrow" w:hAnsi="Arial Narrow"/>
          <w:b/>
          <w:sz w:val="20"/>
        </w:rPr>
        <w:t>Study 108 FAS and Study 108/110 Efficacy set</w:t>
      </w:r>
    </w:p>
    <w:p w:rsidR="00A77726" w:rsidRPr="00F77E7A" w:rsidRDefault="00A77726" w:rsidP="00DC0949">
      <w:pPr>
        <w:pStyle w:val="ListParagraph"/>
        <w:keepNext/>
        <w:keepLines/>
        <w:widowControl/>
        <w:rPr>
          <w:bCs/>
          <w:i/>
        </w:rPr>
      </w:pPr>
      <w:r w:rsidRPr="00F77E7A">
        <w:rPr>
          <w:bCs/>
          <w:i/>
          <w:noProof/>
          <w:lang w:eastAsia="en-AU"/>
        </w:rPr>
        <w:drawing>
          <wp:inline distT="0" distB="0" distL="0" distR="0" wp14:anchorId="13EA4A73" wp14:editId="4AF489EE">
            <wp:extent cx="5011200" cy="1776747"/>
            <wp:effectExtent l="0" t="0" r="0" b="0"/>
            <wp:docPr id="2" name="Picture 2" title="MMRM analysis of absolute change from baseline in ppFEV1 at each visit, Study 108 FAS and Study 108/110 Efficac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1200" cy="1776747"/>
                    </a:xfrm>
                    <a:prstGeom prst="rect">
                      <a:avLst/>
                    </a:prstGeom>
                    <a:noFill/>
                    <a:ln>
                      <a:noFill/>
                    </a:ln>
                  </pic:spPr>
                </pic:pic>
              </a:graphicData>
            </a:graphic>
          </wp:inline>
        </w:drawing>
      </w:r>
    </w:p>
    <w:p w:rsidR="008930B2" w:rsidRPr="00F77E7A" w:rsidRDefault="008930B2" w:rsidP="00DC0949">
      <w:pPr>
        <w:keepNext/>
        <w:keepLines/>
        <w:widowControl/>
        <w:rPr>
          <w:rFonts w:ascii="Arial Narrow" w:hAnsi="Arial Narrow"/>
          <w:sz w:val="18"/>
        </w:rPr>
      </w:pPr>
      <w:r w:rsidRPr="00F77E7A">
        <w:rPr>
          <w:rFonts w:ascii="Arial Narrow" w:hAnsi="Arial Narrow"/>
          <w:sz w:val="18"/>
        </w:rPr>
        <w:t>Abbreviations: BL</w:t>
      </w:r>
      <w:r w:rsidR="007A6D54" w:rsidRPr="00F77E7A">
        <w:rPr>
          <w:rFonts w:ascii="Arial Narrow" w:hAnsi="Arial Narrow"/>
          <w:sz w:val="18"/>
        </w:rPr>
        <w:t>=</w:t>
      </w:r>
      <w:r w:rsidRPr="00F77E7A">
        <w:rPr>
          <w:rFonts w:ascii="Arial Narrow" w:hAnsi="Arial Narrow"/>
          <w:sz w:val="18"/>
        </w:rPr>
        <w:t xml:space="preserve"> baseline; D</w:t>
      </w:r>
      <w:r w:rsidR="007A6D54" w:rsidRPr="00F77E7A">
        <w:rPr>
          <w:rFonts w:ascii="Arial Narrow" w:hAnsi="Arial Narrow"/>
          <w:sz w:val="18"/>
        </w:rPr>
        <w:t>=</w:t>
      </w:r>
      <w:r w:rsidRPr="00F77E7A">
        <w:rPr>
          <w:rFonts w:ascii="Arial Narrow" w:hAnsi="Arial Narrow"/>
          <w:sz w:val="18"/>
        </w:rPr>
        <w:t xml:space="preserve"> day; FEV</w:t>
      </w:r>
      <w:r w:rsidR="007A6D54" w:rsidRPr="00F77E7A">
        <w:rPr>
          <w:rFonts w:ascii="Arial Narrow" w:hAnsi="Arial Narrow"/>
          <w:sz w:val="18"/>
        </w:rPr>
        <w:t>=</w:t>
      </w:r>
      <w:r w:rsidRPr="00F77E7A">
        <w:rPr>
          <w:rFonts w:ascii="Arial Narrow" w:hAnsi="Arial Narrow"/>
          <w:sz w:val="18"/>
        </w:rPr>
        <w:t xml:space="preserve"> forced expiratory volume</w:t>
      </w:r>
      <w:r w:rsidR="007A6D54" w:rsidRPr="00F77E7A">
        <w:rPr>
          <w:rFonts w:ascii="Arial Narrow" w:hAnsi="Arial Narrow"/>
          <w:sz w:val="18"/>
        </w:rPr>
        <w:t>;</w:t>
      </w:r>
      <w:r w:rsidRPr="00F77E7A">
        <w:rPr>
          <w:rFonts w:ascii="Arial Narrow" w:hAnsi="Arial Narrow"/>
          <w:sz w:val="18"/>
        </w:rPr>
        <w:t xml:space="preserve"> IVA</w:t>
      </w:r>
      <w:r w:rsidR="007A6D54" w:rsidRPr="00F77E7A">
        <w:rPr>
          <w:rFonts w:ascii="Arial Narrow" w:hAnsi="Arial Narrow"/>
          <w:sz w:val="18"/>
        </w:rPr>
        <w:t>=</w:t>
      </w:r>
      <w:r w:rsidRPr="00F77E7A">
        <w:rPr>
          <w:rFonts w:ascii="Arial Narrow" w:hAnsi="Arial Narrow"/>
          <w:sz w:val="18"/>
        </w:rPr>
        <w:t xml:space="preserve"> ivacaftor;</w:t>
      </w:r>
      <w:r w:rsidR="00CD4657" w:rsidRPr="00F77E7A">
        <w:rPr>
          <w:rFonts w:ascii="Arial Narrow" w:hAnsi="Arial Narrow"/>
          <w:sz w:val="18"/>
        </w:rPr>
        <w:t xml:space="preserve"> MMRM= mixed-effects model for repeated measures;</w:t>
      </w:r>
      <w:r w:rsidRPr="00F77E7A">
        <w:rPr>
          <w:rFonts w:ascii="Arial Narrow" w:hAnsi="Arial Narrow"/>
          <w:sz w:val="18"/>
        </w:rPr>
        <w:t xml:space="preserve"> </w:t>
      </w:r>
      <w:r w:rsidR="007A6D54" w:rsidRPr="00F77E7A">
        <w:rPr>
          <w:rFonts w:ascii="Arial Narrow" w:hAnsi="Arial Narrow"/>
          <w:sz w:val="18"/>
        </w:rPr>
        <w:t xml:space="preserve">PBO= placebo; </w:t>
      </w:r>
      <w:r w:rsidRPr="00F77E7A">
        <w:rPr>
          <w:rFonts w:ascii="Arial Narrow" w:hAnsi="Arial Narrow"/>
          <w:sz w:val="18"/>
        </w:rPr>
        <w:t>TEZ</w:t>
      </w:r>
      <w:r w:rsidR="007A6D54" w:rsidRPr="00F77E7A">
        <w:rPr>
          <w:rFonts w:ascii="Arial Narrow" w:hAnsi="Arial Narrow"/>
          <w:sz w:val="18"/>
        </w:rPr>
        <w:t>=</w:t>
      </w:r>
      <w:r w:rsidRPr="00F77E7A">
        <w:rPr>
          <w:rFonts w:ascii="Arial Narrow" w:hAnsi="Arial Narrow"/>
          <w:sz w:val="18"/>
        </w:rPr>
        <w:t xml:space="preserve"> tezacaftor; WK</w:t>
      </w:r>
      <w:r w:rsidR="007A6D54" w:rsidRPr="00F77E7A">
        <w:rPr>
          <w:rFonts w:ascii="Arial Narrow" w:hAnsi="Arial Narrow"/>
          <w:sz w:val="18"/>
        </w:rPr>
        <w:t>=</w:t>
      </w:r>
      <w:r w:rsidRPr="00F77E7A">
        <w:rPr>
          <w:rFonts w:ascii="Arial Narrow" w:hAnsi="Arial Narrow"/>
          <w:sz w:val="18"/>
        </w:rPr>
        <w:t xml:space="preserve"> week</w:t>
      </w:r>
    </w:p>
    <w:p w:rsidR="008930B2" w:rsidRPr="00F77E7A" w:rsidRDefault="008930B2" w:rsidP="00DC0949">
      <w:pPr>
        <w:keepNext/>
        <w:keepLines/>
        <w:widowControl/>
        <w:rPr>
          <w:rFonts w:ascii="Arial Narrow" w:hAnsi="Arial Narrow"/>
          <w:sz w:val="18"/>
        </w:rPr>
      </w:pPr>
      <w:r w:rsidRPr="00F77E7A">
        <w:rPr>
          <w:rFonts w:ascii="Arial Narrow" w:hAnsi="Arial Narrow"/>
          <w:sz w:val="18"/>
        </w:rPr>
        <w:t>Source: P</w:t>
      </w:r>
      <w:r w:rsidR="008E4D42" w:rsidRPr="00F77E7A">
        <w:rPr>
          <w:rFonts w:ascii="Arial Narrow" w:hAnsi="Arial Narrow"/>
          <w:sz w:val="18"/>
        </w:rPr>
        <w:t>SCR</w:t>
      </w:r>
    </w:p>
    <w:p w:rsidR="002B7522" w:rsidRPr="00F77E7A" w:rsidRDefault="003012EC" w:rsidP="00A57F14">
      <w:pPr>
        <w:pStyle w:val="ListParagraph"/>
        <w:widowControl/>
        <w:numPr>
          <w:ilvl w:val="1"/>
          <w:numId w:val="2"/>
        </w:numPr>
        <w:spacing w:before="120" w:after="120"/>
        <w:rPr>
          <w:bCs/>
        </w:rPr>
      </w:pPr>
      <w:r w:rsidRPr="00F77E7A">
        <w:rPr>
          <w:bCs/>
        </w:rPr>
        <w:t xml:space="preserve">The PSCR noted that the absolute improvements in </w:t>
      </w:r>
      <w:r w:rsidR="00FA5712" w:rsidRPr="00F77E7A">
        <w:rPr>
          <w:bCs/>
        </w:rPr>
        <w:t>ppFEV</w:t>
      </w:r>
      <w:r w:rsidR="00FA5712" w:rsidRPr="00F77E7A">
        <w:rPr>
          <w:bCs/>
          <w:vertAlign w:val="subscript"/>
        </w:rPr>
        <w:t xml:space="preserve">1 </w:t>
      </w:r>
      <w:r w:rsidR="00FA5712" w:rsidRPr="00F77E7A">
        <w:rPr>
          <w:bCs/>
        </w:rPr>
        <w:t xml:space="preserve">observed in the tezacaftor/ivacaftor group during Study 108 were maintained through week 16 of Study 110. The PSCR </w:t>
      </w:r>
      <w:r w:rsidR="00A37AC8" w:rsidRPr="00F77E7A">
        <w:rPr>
          <w:bCs/>
        </w:rPr>
        <w:t xml:space="preserve">further </w:t>
      </w:r>
      <w:r w:rsidR="00FA5712" w:rsidRPr="00F77E7A">
        <w:rPr>
          <w:bCs/>
        </w:rPr>
        <w:t>noted that at week 16 of Study 110, the LS mean absolute change from baseline in ppFEV</w:t>
      </w:r>
      <w:r w:rsidR="00FA5712" w:rsidRPr="00F77E7A">
        <w:rPr>
          <w:bCs/>
          <w:vertAlign w:val="subscript"/>
        </w:rPr>
        <w:t>1</w:t>
      </w:r>
      <w:r w:rsidR="00FA5712" w:rsidRPr="00F77E7A">
        <w:rPr>
          <w:bCs/>
        </w:rPr>
        <w:t xml:space="preserve"> was 7.8% (95% CI</w:t>
      </w:r>
      <w:r w:rsidR="00705761" w:rsidRPr="00F77E7A">
        <w:rPr>
          <w:bCs/>
        </w:rPr>
        <w:t>:</w:t>
      </w:r>
      <w:r w:rsidR="00FA5712" w:rsidRPr="00F77E7A">
        <w:rPr>
          <w:bCs/>
        </w:rPr>
        <w:t xml:space="preserve"> 6.1</w:t>
      </w:r>
      <w:r w:rsidR="00432D0C" w:rsidRPr="00F77E7A">
        <w:rPr>
          <w:bCs/>
        </w:rPr>
        <w:t>-</w:t>
      </w:r>
      <w:r w:rsidR="00FA5712" w:rsidRPr="00F77E7A">
        <w:rPr>
          <w:bCs/>
        </w:rPr>
        <w:t xml:space="preserve">9.6) in </w:t>
      </w:r>
      <w:r w:rsidR="00AE0CAB" w:rsidRPr="00F77E7A">
        <w:rPr>
          <w:bCs/>
        </w:rPr>
        <w:t xml:space="preserve">the tezacaftor/ivacaftor group. </w:t>
      </w:r>
      <w:r w:rsidR="002B7522" w:rsidRPr="00F77E7A">
        <w:rPr>
          <w:bCs/>
        </w:rPr>
        <w:t>The ESC noted that as the mean ppFEV</w:t>
      </w:r>
      <w:r w:rsidR="002B7522" w:rsidRPr="00F77E7A">
        <w:rPr>
          <w:bCs/>
          <w:vertAlign w:val="subscript"/>
        </w:rPr>
        <w:t>1</w:t>
      </w:r>
      <w:r w:rsidR="002B7522" w:rsidRPr="00F77E7A">
        <w:rPr>
          <w:bCs/>
        </w:rPr>
        <w:t xml:space="preserve"> at baseline for treatment period 2 had not been provided, the mean ppFEV</w:t>
      </w:r>
      <w:r w:rsidR="002B7522" w:rsidRPr="00F77E7A">
        <w:rPr>
          <w:bCs/>
          <w:vertAlign w:val="subscript"/>
        </w:rPr>
        <w:t>1</w:t>
      </w:r>
      <w:r w:rsidR="002B7522" w:rsidRPr="00F77E7A">
        <w:rPr>
          <w:bCs/>
        </w:rPr>
        <w:t xml:space="preserve"> at week 16 of Study 110 was unknown.</w:t>
      </w:r>
    </w:p>
    <w:p w:rsidR="00AC0854" w:rsidRPr="00F77E7A" w:rsidRDefault="00BE4111" w:rsidP="00A57F14">
      <w:pPr>
        <w:pStyle w:val="ListParagraph"/>
        <w:widowControl/>
        <w:numPr>
          <w:ilvl w:val="1"/>
          <w:numId w:val="2"/>
        </w:numPr>
        <w:spacing w:before="120" w:after="120"/>
        <w:rPr>
          <w:bCs/>
        </w:rPr>
      </w:pPr>
      <w:r w:rsidRPr="00F77E7A">
        <w:rPr>
          <w:bCs/>
        </w:rPr>
        <w:t xml:space="preserve">Allowing for the complexity on interpreting the data from the crossover study which lasted 24 weeks </w:t>
      </w:r>
      <w:r w:rsidR="00755137" w:rsidRPr="00F77E7A">
        <w:rPr>
          <w:bCs/>
        </w:rPr>
        <w:t>(8 weeks per treatment period plus a wash-out period of at least 8</w:t>
      </w:r>
      <w:r w:rsidR="0064518D" w:rsidRPr="00F77E7A">
        <w:rPr>
          <w:bCs/>
        </w:rPr>
        <w:t> </w:t>
      </w:r>
      <w:r w:rsidR="00755137" w:rsidRPr="00F77E7A">
        <w:rPr>
          <w:bCs/>
        </w:rPr>
        <w:t xml:space="preserve">weeks) </w:t>
      </w:r>
      <w:r w:rsidRPr="00F77E7A">
        <w:rPr>
          <w:bCs/>
        </w:rPr>
        <w:t>but is presented as only 8 weeks, t</w:t>
      </w:r>
      <w:r w:rsidR="00343A61" w:rsidRPr="00F77E7A">
        <w:rPr>
          <w:bCs/>
        </w:rPr>
        <w:t xml:space="preserve">he ESC </w:t>
      </w:r>
      <w:r w:rsidR="006F10F1" w:rsidRPr="00F77E7A">
        <w:rPr>
          <w:bCs/>
        </w:rPr>
        <w:t>considered that while the Study</w:t>
      </w:r>
      <w:r w:rsidR="0064518D" w:rsidRPr="00F77E7A">
        <w:rPr>
          <w:bCs/>
        </w:rPr>
        <w:t> </w:t>
      </w:r>
      <w:r w:rsidR="006F10F1" w:rsidRPr="00F77E7A">
        <w:rPr>
          <w:bCs/>
        </w:rPr>
        <w:t>110 interim analysis</w:t>
      </w:r>
      <w:r w:rsidR="00AF5B35" w:rsidRPr="00F77E7A">
        <w:rPr>
          <w:bCs/>
        </w:rPr>
        <w:t xml:space="preserve"> data</w:t>
      </w:r>
      <w:r w:rsidR="006F10F1" w:rsidRPr="00F77E7A">
        <w:rPr>
          <w:bCs/>
        </w:rPr>
        <w:t xml:space="preserve"> </w:t>
      </w:r>
      <w:r w:rsidR="003314C8" w:rsidRPr="00F77E7A">
        <w:rPr>
          <w:bCs/>
        </w:rPr>
        <w:t xml:space="preserve">appear to </w:t>
      </w:r>
      <w:r w:rsidR="006F10F1" w:rsidRPr="00F77E7A">
        <w:rPr>
          <w:bCs/>
        </w:rPr>
        <w:t xml:space="preserve">support the maintenance of treatment effect </w:t>
      </w:r>
      <w:r w:rsidRPr="00F77E7A">
        <w:rPr>
          <w:bCs/>
        </w:rPr>
        <w:t>for 16 weeks beyond Study 108</w:t>
      </w:r>
      <w:r w:rsidR="00AF5B35" w:rsidRPr="00F77E7A">
        <w:rPr>
          <w:bCs/>
        </w:rPr>
        <w:t>, the long</w:t>
      </w:r>
      <w:r w:rsidR="0038370C" w:rsidRPr="00F77E7A">
        <w:rPr>
          <w:bCs/>
        </w:rPr>
        <w:t>-</w:t>
      </w:r>
      <w:r w:rsidR="00AF5B35" w:rsidRPr="00F77E7A">
        <w:rPr>
          <w:bCs/>
        </w:rPr>
        <w:t>term efficacy of tezacaftor/ivacaftor in</w:t>
      </w:r>
      <w:r w:rsidR="007D5119" w:rsidRPr="00F77E7A">
        <w:rPr>
          <w:bCs/>
        </w:rPr>
        <w:t xml:space="preserve"> this patient population remain</w:t>
      </w:r>
      <w:r w:rsidR="00BA5208" w:rsidRPr="00F77E7A">
        <w:rPr>
          <w:bCs/>
        </w:rPr>
        <w:t>s</w:t>
      </w:r>
      <w:r w:rsidR="007D5119" w:rsidRPr="00F77E7A">
        <w:rPr>
          <w:bCs/>
        </w:rPr>
        <w:t xml:space="preserve"> </w:t>
      </w:r>
      <w:r w:rsidR="0038370C" w:rsidRPr="00F77E7A">
        <w:rPr>
          <w:bCs/>
        </w:rPr>
        <w:t>unknown</w:t>
      </w:r>
      <w:r w:rsidR="007D5119" w:rsidRPr="00F77E7A">
        <w:rPr>
          <w:bCs/>
        </w:rPr>
        <w:t xml:space="preserve">. </w:t>
      </w:r>
    </w:p>
    <w:p w:rsidR="00B60939" w:rsidRPr="00F77E7A" w:rsidRDefault="00B60939" w:rsidP="00A57F14">
      <w:pPr>
        <w:pStyle w:val="Heading2"/>
        <w:widowControl/>
        <w:spacing w:before="120"/>
      </w:pPr>
      <w:bookmarkStart w:id="8" w:name="_Toc532280239"/>
      <w:r w:rsidRPr="00F77E7A">
        <w:t>Comparative harms</w:t>
      </w:r>
      <w:bookmarkEnd w:id="8"/>
    </w:p>
    <w:p w:rsidR="00B60939" w:rsidRPr="00F77E7A" w:rsidRDefault="00BE4111" w:rsidP="00A57F14">
      <w:pPr>
        <w:pStyle w:val="ListParagraph"/>
        <w:widowControl/>
        <w:numPr>
          <w:ilvl w:val="1"/>
          <w:numId w:val="2"/>
        </w:numPr>
        <w:spacing w:before="120" w:after="120"/>
      </w:pPr>
      <w:r w:rsidRPr="00F77E7A">
        <w:t>Allowing for the potential impact of differential carryover from the crossover design, n</w:t>
      </w:r>
      <w:r w:rsidR="00CA10A2" w:rsidRPr="00F77E7A">
        <w:t xml:space="preserve">o major differences were observed across the three study </w:t>
      </w:r>
      <w:r w:rsidR="00306AB8" w:rsidRPr="00F77E7A">
        <w:t xml:space="preserve">arms </w:t>
      </w:r>
      <w:r w:rsidR="00CA10A2" w:rsidRPr="00F77E7A">
        <w:t>(</w:t>
      </w:r>
      <w:r w:rsidR="007A6770" w:rsidRPr="00F77E7A">
        <w:t>see Table 6</w:t>
      </w:r>
      <w:r w:rsidR="00CA10A2" w:rsidRPr="00F77E7A">
        <w:t xml:space="preserve">). Most subjects had </w:t>
      </w:r>
      <w:r w:rsidR="006F55D7" w:rsidRPr="00F77E7A">
        <w:t>adverse events (</w:t>
      </w:r>
      <w:r w:rsidR="00CA10A2" w:rsidRPr="00F77E7A">
        <w:t>AEs</w:t>
      </w:r>
      <w:r w:rsidR="006F55D7" w:rsidRPr="00F77E7A">
        <w:t>)</w:t>
      </w:r>
      <w:r w:rsidR="00CA10A2" w:rsidRPr="00F77E7A">
        <w:t xml:space="preserve"> that were considered either mild or moderate in severity. Four (2.5%) </w:t>
      </w:r>
      <w:r w:rsidR="00657CD5" w:rsidRPr="00F77E7A">
        <w:t>patients</w:t>
      </w:r>
      <w:r w:rsidR="00CA10A2" w:rsidRPr="00F77E7A">
        <w:t xml:space="preserve"> in the tezacaftor/ivacaftor group</w:t>
      </w:r>
      <w:r w:rsidR="007A6770" w:rsidRPr="00F77E7A">
        <w:t xml:space="preserve"> </w:t>
      </w:r>
      <w:r w:rsidR="00CA10A2" w:rsidRPr="00F77E7A">
        <w:t xml:space="preserve">and nine (5.6%) </w:t>
      </w:r>
      <w:r w:rsidR="00657CD5" w:rsidRPr="00F77E7A">
        <w:t>patients</w:t>
      </w:r>
      <w:r w:rsidR="00CA10A2" w:rsidRPr="00F77E7A">
        <w:t xml:space="preserve"> in the placebo group had Grade 3 (severe) or Grade 4 (life-threatening) AEs.</w:t>
      </w:r>
      <w:r w:rsidR="00306AB8" w:rsidRPr="00F77E7A">
        <w:t xml:space="preserve"> There were few discontinuations due to the study drug with no discontinuations occurring in the tezacaftor/ivacaftor group</w:t>
      </w:r>
      <w:r w:rsidR="00A71459" w:rsidRPr="00F77E7A">
        <w:t xml:space="preserve"> and no </w:t>
      </w:r>
      <w:r w:rsidR="00306AB8" w:rsidRPr="00F77E7A">
        <w:t xml:space="preserve">deaths </w:t>
      </w:r>
      <w:r w:rsidR="00A71459" w:rsidRPr="00F77E7A">
        <w:t>reported</w:t>
      </w:r>
      <w:r w:rsidR="00306AB8" w:rsidRPr="00F77E7A">
        <w:t xml:space="preserve">. Some preliminary safety results </w:t>
      </w:r>
      <w:r w:rsidR="00E600AE" w:rsidRPr="00F77E7A">
        <w:t xml:space="preserve">from Study 110 </w:t>
      </w:r>
      <w:r w:rsidR="00306AB8" w:rsidRPr="00F77E7A">
        <w:t xml:space="preserve">were </w:t>
      </w:r>
      <w:r w:rsidR="00E600AE" w:rsidRPr="00F77E7A">
        <w:t xml:space="preserve">available from </w:t>
      </w:r>
      <w:r w:rsidR="00306AB8" w:rsidRPr="00F77E7A">
        <w:t xml:space="preserve">the TGA CER for both homozygous and heterozygous to the F508del mutation patients. No major differences were identified compared to the results reported in the pivotal trial. </w:t>
      </w:r>
    </w:p>
    <w:p w:rsidR="00CA2209" w:rsidRPr="00F77E7A" w:rsidRDefault="00CA2209" w:rsidP="00EF2E6B">
      <w:pPr>
        <w:pStyle w:val="BodyText"/>
        <w:keepNext/>
        <w:keepLines/>
        <w:widowControl/>
        <w:rPr>
          <w:rFonts w:ascii="Arial Narrow" w:hAnsi="Arial Narrow"/>
          <w:sz w:val="20"/>
          <w:szCs w:val="20"/>
        </w:rPr>
      </w:pPr>
      <w:r w:rsidRPr="00F77E7A">
        <w:rPr>
          <w:rStyle w:val="CommentReference"/>
          <w:szCs w:val="20"/>
        </w:rPr>
        <w:t xml:space="preserve">Table </w:t>
      </w:r>
      <w:r w:rsidR="007A6770" w:rsidRPr="00F77E7A">
        <w:rPr>
          <w:rStyle w:val="CommentReference"/>
          <w:szCs w:val="20"/>
        </w:rPr>
        <w:t>6</w:t>
      </w:r>
      <w:r w:rsidRPr="00F77E7A">
        <w:rPr>
          <w:rStyle w:val="CommentReference"/>
          <w:szCs w:val="20"/>
        </w:rPr>
        <w:t>: Overview of AEs, Safety Set</w:t>
      </w:r>
    </w:p>
    <w:tbl>
      <w:tblPr>
        <w:tblStyle w:val="HTATableshaded"/>
        <w:tblW w:w="0" w:type="auto"/>
        <w:tblLook w:val="04A0" w:firstRow="1" w:lastRow="0" w:firstColumn="1" w:lastColumn="0" w:noHBand="0" w:noVBand="1"/>
        <w:tblCaption w:val="Overview of AEs, Safety Set"/>
      </w:tblPr>
      <w:tblGrid>
        <w:gridCol w:w="2650"/>
        <w:gridCol w:w="1411"/>
        <w:gridCol w:w="1435"/>
        <w:gridCol w:w="1801"/>
        <w:gridCol w:w="1720"/>
      </w:tblGrid>
      <w:tr w:rsidR="00CA2209" w:rsidRPr="00F77E7A" w:rsidTr="0092371C">
        <w:trPr>
          <w:cnfStyle w:val="100000000000" w:firstRow="1" w:lastRow="0" w:firstColumn="0" w:lastColumn="0" w:oddVBand="0" w:evenVBand="0" w:oddHBand="0" w:evenHBand="0" w:firstRowFirstColumn="0" w:firstRowLastColumn="0" w:lastRowFirstColumn="0" w:lastRowLastColumn="0"/>
          <w:tblHeader/>
        </w:trPr>
        <w:tc>
          <w:tcPr>
            <w:tcW w:w="2650" w:type="dxa"/>
            <w:shd w:val="clear" w:color="auto" w:fill="auto"/>
          </w:tcPr>
          <w:p w:rsidR="00CA2209" w:rsidRPr="00F77E7A" w:rsidRDefault="00CA2209" w:rsidP="00EF2E6B">
            <w:pPr>
              <w:pStyle w:val="TableHeadingleft"/>
              <w:keepNext/>
              <w:keepLines/>
              <w:spacing w:before="0" w:after="0"/>
              <w:rPr>
                <w:rFonts w:ascii="Arial Narrow" w:hAnsi="Arial Narrow"/>
                <w:sz w:val="20"/>
                <w:szCs w:val="20"/>
                <w:lang w:val="en-AU"/>
              </w:rPr>
            </w:pPr>
          </w:p>
        </w:tc>
        <w:tc>
          <w:tcPr>
            <w:tcW w:w="1411" w:type="dxa"/>
            <w:shd w:val="clear" w:color="auto" w:fill="auto"/>
          </w:tcPr>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Placebo</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N=162</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 (%)</w:t>
            </w:r>
          </w:p>
        </w:tc>
        <w:tc>
          <w:tcPr>
            <w:tcW w:w="1435" w:type="dxa"/>
            <w:shd w:val="clear" w:color="auto" w:fill="auto"/>
          </w:tcPr>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Ivacaftor</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N=157</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 (%)</w:t>
            </w:r>
          </w:p>
        </w:tc>
        <w:tc>
          <w:tcPr>
            <w:tcW w:w="1801" w:type="dxa"/>
            <w:shd w:val="clear" w:color="auto" w:fill="auto"/>
          </w:tcPr>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Tezacaftor/ivacaftor</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N=162</w:t>
            </w:r>
          </w:p>
          <w:p w:rsidR="00CA2209" w:rsidRPr="00F77E7A" w:rsidRDefault="00CA2209" w:rsidP="00EF2E6B">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n (%)</w:t>
            </w:r>
          </w:p>
        </w:tc>
        <w:tc>
          <w:tcPr>
            <w:tcW w:w="1720" w:type="dxa"/>
          </w:tcPr>
          <w:p w:rsidR="00CA2209" w:rsidRPr="00F77E7A" w:rsidRDefault="00CA2209" w:rsidP="00EF2E6B">
            <w:pPr>
              <w:pStyle w:val="Tableheadingcent"/>
              <w:keepNext/>
              <w:keepLines/>
              <w:spacing w:before="0" w:after="0"/>
              <w:rPr>
                <w:rFonts w:ascii="Arial Narrow" w:hAnsi="Arial Narrow" w:cs="Arial"/>
                <w:sz w:val="20"/>
                <w:szCs w:val="20"/>
                <w:lang w:val="en-AU"/>
              </w:rPr>
            </w:pPr>
            <w:r w:rsidRPr="00F77E7A">
              <w:rPr>
                <w:rFonts w:ascii="Arial Narrow" w:hAnsi="Arial Narrow" w:cs="Arial"/>
                <w:sz w:val="20"/>
                <w:szCs w:val="20"/>
                <w:lang w:val="en-AU"/>
              </w:rPr>
              <w:t>Risk Ratio tezacaftor/ivacaftor vs BSC (95% CI)</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Number of AEs (Total)</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447</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342</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422</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any AEs</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126 (77.8)</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114 (72.6)</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117 (72.2)</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0.98 (0.79</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1.22)</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related AEs</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38 (23.5)</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31 (19.7)</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37 (22.8)</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1.03 (0.67</w:t>
            </w:r>
            <w:r w:rsidR="00F1660F"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1.59)</w:t>
            </w:r>
          </w:p>
        </w:tc>
      </w:tr>
      <w:tr w:rsidR="00CA2209" w:rsidRPr="00F77E7A" w:rsidTr="0092371C">
        <w:tc>
          <w:tcPr>
            <w:tcW w:w="7297" w:type="dxa"/>
            <w:gridSpan w:val="4"/>
            <w:shd w:val="clear" w:color="auto" w:fill="auto"/>
            <w:vAlign w:val="center"/>
          </w:tcPr>
          <w:p w:rsidR="00CA2209" w:rsidRPr="00F77E7A" w:rsidRDefault="00CA2209" w:rsidP="00EF2E6B">
            <w:pPr>
              <w:pStyle w:val="Tabletextcent"/>
              <w:keepNext/>
              <w:keepLines/>
              <w:spacing w:before="0" w:after="0"/>
              <w:jc w:val="left"/>
              <w:rPr>
                <w:rFonts w:ascii="Arial Narrow" w:hAnsi="Arial Narrow"/>
                <w:sz w:val="20"/>
                <w:lang w:val="en-AU"/>
              </w:rPr>
            </w:pPr>
            <w:r w:rsidRPr="00F77E7A">
              <w:rPr>
                <w:rFonts w:ascii="Arial Narrow" w:hAnsi="Arial Narrow"/>
                <w:b/>
                <w:sz w:val="20"/>
                <w:lang w:val="en-AU"/>
              </w:rPr>
              <w:t>Subjects with AEs by strongest relationship</w:t>
            </w:r>
          </w:p>
        </w:tc>
        <w:tc>
          <w:tcPr>
            <w:tcW w:w="1720" w:type="dxa"/>
          </w:tcPr>
          <w:p w:rsidR="00CA2209" w:rsidRPr="00F77E7A" w:rsidRDefault="00CA2209" w:rsidP="00EF2E6B">
            <w:pPr>
              <w:pStyle w:val="Tabletextcent"/>
              <w:keepNext/>
              <w:keepLines/>
              <w:spacing w:before="0" w:after="0"/>
              <w:jc w:val="left"/>
              <w:rPr>
                <w:rFonts w:ascii="Arial Narrow" w:hAnsi="Arial Narrow" w:cs="Arial"/>
                <w:b/>
                <w:sz w:val="20"/>
                <w:lang w:val="en-AU"/>
              </w:rPr>
            </w:pP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Related</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 (3.1)</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 (1.3)</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 (1.9)</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0.64 (0.15</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2.64)</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Possibly related</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33 (20.4)</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29 (18.5)</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34 (21.0)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1.09 (0.69</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1.73)</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Unlikely related</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25 (15.4)</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23 (14.6)</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30 (18.5)</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sz w:val="20"/>
                <w:lang w:val="en-AU"/>
              </w:rPr>
              <w:t>1.27 (0.76</w:t>
            </w:r>
            <w:r w:rsidR="00950232" w:rsidRPr="00F77E7A">
              <w:rPr>
                <w:rFonts w:ascii="Arial Narrow" w:hAnsi="Arial Narrow" w:cs="Arial"/>
                <w:sz w:val="20"/>
                <w:lang w:val="en-AU"/>
              </w:rPr>
              <w:t>,</w:t>
            </w:r>
            <w:r w:rsidRPr="00F77E7A">
              <w:rPr>
                <w:rFonts w:ascii="Arial Narrow" w:hAnsi="Arial Narrow" w:cs="Arial"/>
                <w:sz w:val="20"/>
                <w:lang w:val="en-AU"/>
              </w:rPr>
              <w:t xml:space="preserve"> 2.13)</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Not related</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63 (38.9)</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60 (38.2)</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50 (30.9)</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0.84 (0.59</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1.19)</w:t>
            </w:r>
          </w:p>
        </w:tc>
      </w:tr>
      <w:tr w:rsidR="00CA2209" w:rsidRPr="00F77E7A" w:rsidTr="0092371C">
        <w:tc>
          <w:tcPr>
            <w:tcW w:w="7297" w:type="dxa"/>
            <w:gridSpan w:val="4"/>
            <w:shd w:val="clear" w:color="auto" w:fill="auto"/>
            <w:vAlign w:val="center"/>
          </w:tcPr>
          <w:p w:rsidR="00CA2209" w:rsidRPr="00F77E7A" w:rsidRDefault="00CA2209" w:rsidP="00EF2E6B">
            <w:pPr>
              <w:pStyle w:val="Tabletextcent"/>
              <w:keepNext/>
              <w:keepLines/>
              <w:spacing w:before="0" w:after="0"/>
              <w:jc w:val="left"/>
              <w:rPr>
                <w:rFonts w:ascii="Arial Narrow" w:hAnsi="Arial Narrow"/>
                <w:sz w:val="20"/>
                <w:lang w:val="en-AU"/>
              </w:rPr>
            </w:pPr>
            <w:r w:rsidRPr="00F77E7A">
              <w:rPr>
                <w:rFonts w:ascii="Arial Narrow" w:hAnsi="Arial Narrow"/>
                <w:b/>
                <w:sz w:val="20"/>
                <w:lang w:val="en-AU"/>
              </w:rPr>
              <w:t>Subjects with AEs by maximum severity</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b/>
                <w:sz w:val="20"/>
                <w:lang w:val="en-AU"/>
              </w:rPr>
            </w:pP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Mild</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63 (38.9)</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55 (35.0)</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58 (35.8)</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0.98 (0.70</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1.36)</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Moderate</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54 (33.3)</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51 (32.5)</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55 (34.0)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1.08 (0.76</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1.53)</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Severe</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8 (4.9)</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8 (5.1)</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4 (2.5)</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sz w:val="20"/>
                <w:lang w:val="en-AU"/>
              </w:rPr>
              <w:t>0.53 (0.16</w:t>
            </w:r>
            <w:r w:rsidR="00950232" w:rsidRPr="00F77E7A">
              <w:rPr>
                <w:rFonts w:ascii="Arial Narrow" w:hAnsi="Arial Narrow" w:cs="Arial"/>
                <w:sz w:val="20"/>
                <w:lang w:val="en-AU"/>
              </w:rPr>
              <w:t>,</w:t>
            </w:r>
            <w:r w:rsidRPr="00F77E7A">
              <w:rPr>
                <w:rFonts w:ascii="Arial Narrow" w:hAnsi="Arial Narrow" w:cs="Arial"/>
                <w:sz w:val="20"/>
                <w:lang w:val="en-AU"/>
              </w:rPr>
              <w:t xml:space="preserve"> 1.75)</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ind w:left="164"/>
              <w:rPr>
                <w:rFonts w:ascii="Arial Narrow" w:hAnsi="Arial Narrow"/>
                <w:sz w:val="20"/>
              </w:rPr>
            </w:pPr>
            <w:r w:rsidRPr="00F77E7A">
              <w:rPr>
                <w:rFonts w:ascii="Arial Narrow" w:hAnsi="Arial Narrow"/>
                <w:sz w:val="20"/>
              </w:rPr>
              <w:t>Life-threatening</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 (0.6)</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Grade 3 or Grade 4 AEs</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9 (5.6)</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8 (5.1)</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4 (2.5)</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0.47 (0.15</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1.52)</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SAEs</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14 (8.6)</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vertAlign w:val="superscript"/>
                <w:lang w:val="en-AU"/>
              </w:rPr>
            </w:pPr>
            <w:r w:rsidRPr="00F77E7A">
              <w:rPr>
                <w:rFonts w:ascii="Arial Narrow" w:hAnsi="Arial Narrow"/>
                <w:sz w:val="20"/>
                <w:lang w:val="en-AU"/>
              </w:rPr>
              <w:t>10 (6.4)</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8 (4.9)</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0.61 (0.26</w:t>
            </w:r>
            <w:r w:rsidR="00950232" w:rsidRPr="00F77E7A">
              <w:rPr>
                <w:rFonts w:ascii="Arial Narrow" w:hAnsi="Arial Narrow" w:cs="Arial"/>
                <w:color w:val="000000"/>
                <w:sz w:val="20"/>
                <w:lang w:val="en-AU"/>
              </w:rPr>
              <w:t>,</w:t>
            </w:r>
            <w:r w:rsidRPr="00F77E7A">
              <w:rPr>
                <w:rFonts w:ascii="Arial Narrow" w:hAnsi="Arial Narrow" w:cs="Arial"/>
                <w:color w:val="000000"/>
                <w:sz w:val="20"/>
                <w:lang w:val="en-AU"/>
              </w:rPr>
              <w:t xml:space="preserve"> 1.43)</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related SAEs</w:t>
            </w:r>
          </w:p>
        </w:tc>
        <w:tc>
          <w:tcPr>
            <w:tcW w:w="141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 (1.2)</w:t>
            </w:r>
          </w:p>
        </w:tc>
        <w:tc>
          <w:tcPr>
            <w:tcW w:w="1435"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 (1.3)</w:t>
            </w:r>
          </w:p>
        </w:tc>
        <w:tc>
          <w:tcPr>
            <w:tcW w:w="1801" w:type="dxa"/>
            <w:shd w:val="clear" w:color="auto" w:fill="auto"/>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AEs leading to treatment discontinuation</w:t>
            </w:r>
          </w:p>
        </w:tc>
        <w:tc>
          <w:tcPr>
            <w:tcW w:w="1411"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1 (0.6)</w:t>
            </w:r>
          </w:p>
        </w:tc>
        <w:tc>
          <w:tcPr>
            <w:tcW w:w="1435"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 (1.3)</w:t>
            </w:r>
            <w:r w:rsidRPr="00F77E7A">
              <w:rPr>
                <w:rFonts w:ascii="Arial Narrow" w:hAnsi="Arial Narrow"/>
                <w:sz w:val="20"/>
                <w:vertAlign w:val="superscript"/>
                <w:lang w:val="en-AU"/>
              </w:rPr>
              <w:t>b</w:t>
            </w:r>
          </w:p>
        </w:tc>
        <w:tc>
          <w:tcPr>
            <w:tcW w:w="1801"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AEs leading to treatment interruption</w:t>
            </w:r>
          </w:p>
        </w:tc>
        <w:tc>
          <w:tcPr>
            <w:tcW w:w="1411" w:type="dxa"/>
            <w:shd w:val="clear" w:color="auto" w:fill="auto"/>
            <w:vAlign w:val="center"/>
          </w:tcPr>
          <w:p w:rsidR="00CA2209" w:rsidRPr="00F77E7A" w:rsidRDefault="00CA2209" w:rsidP="00EF2E6B">
            <w:pPr>
              <w:pStyle w:val="Tabletextcent"/>
              <w:keepNext/>
              <w:keepLines/>
              <w:spacing w:before="0" w:after="0"/>
              <w:rPr>
                <w:rFonts w:ascii="Arial Narrow" w:hAnsi="Arial Narrow"/>
                <w:caps/>
                <w:sz w:val="20"/>
                <w:lang w:val="en-AU"/>
              </w:rPr>
            </w:pPr>
            <w:r w:rsidRPr="00F77E7A">
              <w:rPr>
                <w:rFonts w:ascii="Arial Narrow" w:hAnsi="Arial Narrow"/>
                <w:sz w:val="20"/>
                <w:lang w:val="en-AU"/>
              </w:rPr>
              <w:t>6 (3.7)</w:t>
            </w:r>
            <w:r w:rsidRPr="00F77E7A">
              <w:rPr>
                <w:rFonts w:ascii="Arial Narrow" w:hAnsi="Arial Narrow"/>
                <w:sz w:val="20"/>
                <w:vertAlign w:val="superscript"/>
                <w:lang w:val="en-AU"/>
              </w:rPr>
              <w:t>a</w:t>
            </w:r>
          </w:p>
        </w:tc>
        <w:tc>
          <w:tcPr>
            <w:tcW w:w="1435"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5 (3.2)</w:t>
            </w:r>
          </w:p>
        </w:tc>
        <w:tc>
          <w:tcPr>
            <w:tcW w:w="1801"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2 (1.2)</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0.35 (0.072</w:t>
            </w:r>
            <w:r w:rsidR="00950232" w:rsidRPr="00F77E7A">
              <w:rPr>
                <w:rFonts w:ascii="Arial Narrow" w:hAnsi="Arial Narrow" w:cs="Arial"/>
                <w:color w:val="000000"/>
                <w:sz w:val="20"/>
                <w:lang w:val="en-AU"/>
              </w:rPr>
              <w:t xml:space="preserve">, </w:t>
            </w:r>
            <w:r w:rsidRPr="00F77E7A">
              <w:rPr>
                <w:rFonts w:ascii="Arial Narrow" w:hAnsi="Arial Narrow" w:cs="Arial"/>
                <w:color w:val="000000"/>
                <w:sz w:val="20"/>
                <w:lang w:val="en-AU"/>
              </w:rPr>
              <w:t>1.74)</w:t>
            </w:r>
          </w:p>
        </w:tc>
      </w:tr>
      <w:tr w:rsidR="00CA2209" w:rsidRPr="00F77E7A" w:rsidTr="0092371C">
        <w:tc>
          <w:tcPr>
            <w:tcW w:w="2650" w:type="dxa"/>
            <w:shd w:val="clear" w:color="auto" w:fill="auto"/>
          </w:tcPr>
          <w:p w:rsidR="00CA2209" w:rsidRPr="00F77E7A" w:rsidRDefault="00CA2209" w:rsidP="00EF2E6B">
            <w:pPr>
              <w:pStyle w:val="Tabletextleft"/>
              <w:keepNext/>
              <w:keepLines/>
              <w:spacing w:before="0" w:after="0"/>
              <w:rPr>
                <w:rFonts w:ascii="Arial Narrow" w:hAnsi="Arial Narrow"/>
                <w:b/>
                <w:sz w:val="20"/>
              </w:rPr>
            </w:pPr>
            <w:r w:rsidRPr="00F77E7A">
              <w:rPr>
                <w:rFonts w:ascii="Arial Narrow" w:hAnsi="Arial Narrow"/>
                <w:b/>
                <w:sz w:val="20"/>
              </w:rPr>
              <w:t>Subjects with AEs leading to death</w:t>
            </w:r>
          </w:p>
        </w:tc>
        <w:tc>
          <w:tcPr>
            <w:tcW w:w="1411"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435"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801" w:type="dxa"/>
            <w:shd w:val="clear" w:color="auto" w:fill="auto"/>
            <w:vAlign w:val="center"/>
          </w:tcPr>
          <w:p w:rsidR="00CA2209" w:rsidRPr="00F77E7A" w:rsidRDefault="00CA2209" w:rsidP="00EF2E6B">
            <w:pPr>
              <w:pStyle w:val="Tabletextcent"/>
              <w:keepNext/>
              <w:keepLines/>
              <w:spacing w:before="0" w:after="0"/>
              <w:rPr>
                <w:rFonts w:ascii="Arial Narrow" w:hAnsi="Arial Narrow"/>
                <w:sz w:val="20"/>
                <w:lang w:val="en-AU"/>
              </w:rPr>
            </w:pPr>
            <w:r w:rsidRPr="00F77E7A">
              <w:rPr>
                <w:rFonts w:ascii="Arial Narrow" w:hAnsi="Arial Narrow"/>
                <w:sz w:val="20"/>
                <w:lang w:val="en-AU"/>
              </w:rPr>
              <w:t>0</w:t>
            </w:r>
          </w:p>
        </w:tc>
        <w:tc>
          <w:tcPr>
            <w:tcW w:w="1720" w:type="dxa"/>
            <w:vAlign w:val="center"/>
          </w:tcPr>
          <w:p w:rsidR="00CA2209" w:rsidRPr="00F77E7A" w:rsidRDefault="00CA2209" w:rsidP="00EF2E6B">
            <w:pPr>
              <w:pStyle w:val="Tabletextcent"/>
              <w:keepNext/>
              <w:keepLines/>
              <w:spacing w:before="0" w:after="0"/>
              <w:rPr>
                <w:rFonts w:ascii="Arial Narrow" w:hAnsi="Arial Narrow" w:cs="Arial"/>
                <w:sz w:val="20"/>
                <w:lang w:val="en-AU"/>
              </w:rPr>
            </w:pPr>
            <w:r w:rsidRPr="00F77E7A">
              <w:rPr>
                <w:rFonts w:ascii="Arial Narrow" w:hAnsi="Arial Narrow" w:cs="Arial"/>
                <w:color w:val="000000"/>
                <w:sz w:val="20"/>
                <w:lang w:val="en-AU"/>
              </w:rPr>
              <w:t>NA</w:t>
            </w:r>
          </w:p>
        </w:tc>
      </w:tr>
    </w:tbl>
    <w:p w:rsidR="00CA2209" w:rsidRPr="00F77E7A" w:rsidRDefault="00CA2209" w:rsidP="00EF2E6B">
      <w:pPr>
        <w:pStyle w:val="TableFooter"/>
        <w:keepNext/>
        <w:keepLines/>
        <w:widowControl/>
      </w:pPr>
      <w:r w:rsidRPr="00F77E7A">
        <w:t>Abbreviations: AEs= adverse events; CI= confidence interval; CF= cystic fibrosis; CPK= creatine phosphokinase; MedDRA= Medical Dictionary for Regulatory activities; NA= not applicable; N/n= number; PEx= pulmonary exacerbation; SAEs= serious adverse events</w:t>
      </w:r>
    </w:p>
    <w:p w:rsidR="00B92523" w:rsidRPr="00F77E7A" w:rsidRDefault="00B92523" w:rsidP="00EF2E6B">
      <w:pPr>
        <w:pStyle w:val="TableFooter"/>
        <w:keepNext/>
        <w:keepLines/>
        <w:widowControl/>
      </w:pPr>
      <w:r w:rsidRPr="00F77E7A">
        <w:rPr>
          <w:vertAlign w:val="superscript"/>
        </w:rPr>
        <w:t>a</w:t>
      </w:r>
      <w:r w:rsidRPr="00F77E7A">
        <w:t xml:space="preserve"> Subject 108-015-003 had multiple life-threatening AEs (mental status changes, acute respiratory failure, pneumothorax, infective PEx of CF, and pneumonia) that were each considered serious. The study drug was interrupted, and the subject completed the study. </w:t>
      </w:r>
    </w:p>
    <w:p w:rsidR="00B92523" w:rsidRPr="00F77E7A" w:rsidRDefault="00B92523" w:rsidP="00EF2E6B">
      <w:pPr>
        <w:pStyle w:val="TableFooter"/>
        <w:keepNext/>
        <w:keepLines/>
        <w:widowControl/>
      </w:pPr>
      <w:r w:rsidRPr="00F77E7A">
        <w:rPr>
          <w:vertAlign w:val="superscript"/>
        </w:rPr>
        <w:t>b</w:t>
      </w:r>
      <w:r w:rsidRPr="00F77E7A">
        <w:t xml:space="preserve"> The case report form for Subject 108-301-008 incorrectly noted that the subject discontinued treatment for an SAE of blood CPK increased; however, the event occurred 1 day after the last dose of IVA in the Treatment Period, and this subject actually completed Treatment Period One. The subject did subsequently withdraw from the study during the washout period due to the event and did not participate in Period Two.</w:t>
      </w:r>
    </w:p>
    <w:p w:rsidR="00CA2209" w:rsidRPr="00F77E7A" w:rsidRDefault="00CA2209" w:rsidP="00EF2E6B">
      <w:pPr>
        <w:pStyle w:val="TableFooter"/>
        <w:keepNext/>
        <w:keepLines/>
        <w:widowControl/>
      </w:pPr>
      <w:r w:rsidRPr="00F77E7A">
        <w:t xml:space="preserve">Source: Table 2.2.22, p. 174 of the Submission. </w:t>
      </w:r>
    </w:p>
    <w:p w:rsidR="007F1017" w:rsidRPr="00F77E7A" w:rsidRDefault="007F1017" w:rsidP="00C33949">
      <w:pPr>
        <w:pStyle w:val="Heading2"/>
        <w:widowControl/>
        <w:spacing w:before="120"/>
      </w:pPr>
      <w:bookmarkStart w:id="9" w:name="_Toc532280240"/>
      <w:r w:rsidRPr="00F77E7A">
        <w:t>Benefits/harms</w:t>
      </w:r>
      <w:bookmarkEnd w:id="9"/>
    </w:p>
    <w:p w:rsidR="0058581F" w:rsidRPr="00F77E7A" w:rsidRDefault="0058581F" w:rsidP="00C33949">
      <w:pPr>
        <w:widowControl/>
        <w:numPr>
          <w:ilvl w:val="1"/>
          <w:numId w:val="2"/>
        </w:numPr>
        <w:spacing w:before="120" w:after="120"/>
        <w:ind w:left="709" w:hanging="709"/>
        <w:rPr>
          <w:rFonts w:cs="Calibri"/>
          <w:snapToGrid/>
          <w:szCs w:val="24"/>
          <w:lang w:eastAsia="en-AU"/>
        </w:rPr>
      </w:pPr>
      <w:r w:rsidRPr="00F77E7A">
        <w:rPr>
          <w:rFonts w:cs="Calibri"/>
          <w:snapToGrid/>
          <w:szCs w:val="24"/>
          <w:lang w:eastAsia="en-AU"/>
        </w:rPr>
        <w:t>On the basis o</w:t>
      </w:r>
      <w:r w:rsidR="00BD6486" w:rsidRPr="00F77E7A">
        <w:rPr>
          <w:rFonts w:cs="Calibri"/>
          <w:snapToGrid/>
          <w:szCs w:val="24"/>
          <w:lang w:eastAsia="en-AU"/>
        </w:rPr>
        <w:t>f direct evidence from Study 108</w:t>
      </w:r>
      <w:r w:rsidRPr="00F77E7A">
        <w:rPr>
          <w:rFonts w:cs="Calibri"/>
          <w:snapToGrid/>
          <w:szCs w:val="24"/>
          <w:lang w:eastAsia="en-AU"/>
        </w:rPr>
        <w:t xml:space="preserve"> presented by the submission, the comparison of </w:t>
      </w:r>
      <w:r w:rsidR="00BD6486" w:rsidRPr="00F77E7A">
        <w:rPr>
          <w:rFonts w:cs="Calibri"/>
          <w:snapToGrid/>
          <w:szCs w:val="24"/>
          <w:lang w:eastAsia="en-AU"/>
        </w:rPr>
        <w:t>tezacaftor</w:t>
      </w:r>
      <w:r w:rsidRPr="00F77E7A">
        <w:rPr>
          <w:rFonts w:cs="Calibri"/>
          <w:snapToGrid/>
          <w:szCs w:val="24"/>
          <w:lang w:eastAsia="en-AU"/>
        </w:rPr>
        <w:t xml:space="preserve">/ivacaftor and </w:t>
      </w:r>
      <w:r w:rsidR="00BD6486" w:rsidRPr="00F77E7A">
        <w:rPr>
          <w:rFonts w:cs="Calibri"/>
          <w:snapToGrid/>
          <w:szCs w:val="24"/>
          <w:lang w:eastAsia="en-AU"/>
        </w:rPr>
        <w:t>BSC</w:t>
      </w:r>
      <w:r w:rsidRPr="00F77E7A">
        <w:rPr>
          <w:rFonts w:cs="Calibri"/>
          <w:snapToGrid/>
          <w:szCs w:val="24"/>
          <w:lang w:eastAsia="en-AU"/>
        </w:rPr>
        <w:t xml:space="preserve"> resulted in: </w:t>
      </w:r>
    </w:p>
    <w:p w:rsidR="00BD6486" w:rsidRPr="00F77E7A" w:rsidRDefault="00BD6486" w:rsidP="00C33949">
      <w:pPr>
        <w:widowControl/>
        <w:numPr>
          <w:ilvl w:val="0"/>
          <w:numId w:val="14"/>
        </w:numPr>
        <w:spacing w:before="120" w:after="120"/>
        <w:ind w:left="1077" w:hanging="357"/>
      </w:pPr>
      <w:r w:rsidRPr="00F77E7A">
        <w:t>An increase in the lung capacity (as measured by ppFEV</w:t>
      </w:r>
      <w:r w:rsidRPr="00F77E7A">
        <w:rPr>
          <w:vertAlign w:val="subscript"/>
        </w:rPr>
        <w:t>1</w:t>
      </w:r>
      <w:r w:rsidRPr="00F77E7A">
        <w:t xml:space="preserve">) of 6.8% after 8 weeks of treatment. </w:t>
      </w:r>
    </w:p>
    <w:p w:rsidR="007F1017" w:rsidRPr="00F77E7A" w:rsidRDefault="00BD6486" w:rsidP="00C33949">
      <w:pPr>
        <w:widowControl/>
        <w:numPr>
          <w:ilvl w:val="0"/>
          <w:numId w:val="14"/>
        </w:numPr>
        <w:spacing w:before="120" w:after="120"/>
        <w:ind w:left="1077" w:hanging="357"/>
        <w:rPr>
          <w:color w:val="3366FF"/>
        </w:rPr>
      </w:pPr>
      <w:r w:rsidRPr="00F77E7A">
        <w:t>No difference in the likelihood of harm.</w:t>
      </w:r>
    </w:p>
    <w:p w:rsidR="00E723BA" w:rsidRPr="00F77E7A" w:rsidRDefault="00EC00C9" w:rsidP="00C33949">
      <w:pPr>
        <w:widowControl/>
        <w:numPr>
          <w:ilvl w:val="1"/>
          <w:numId w:val="2"/>
        </w:numPr>
        <w:spacing w:before="120" w:after="120"/>
        <w:ind w:left="709" w:hanging="709"/>
        <w:rPr>
          <w:rStyle w:val="CommentReference"/>
        </w:rPr>
      </w:pPr>
      <w:r w:rsidRPr="00F77E7A">
        <w:t xml:space="preserve">A summary of the comparative benefits and harms for </w:t>
      </w:r>
      <w:r w:rsidR="00BD6486" w:rsidRPr="00F77E7A">
        <w:t xml:space="preserve">tezacaftor/ivacaftor versus BSC is presented in Table </w:t>
      </w:r>
      <w:r w:rsidR="00E600AE" w:rsidRPr="00F77E7A">
        <w:t>7</w:t>
      </w:r>
      <w:r w:rsidR="00A03A26" w:rsidRPr="00F77E7A">
        <w:t xml:space="preserve">. </w:t>
      </w:r>
    </w:p>
    <w:p w:rsidR="00B62715" w:rsidRPr="00F77E7A" w:rsidRDefault="00461E25" w:rsidP="00EF2E6B">
      <w:pPr>
        <w:keepNext/>
        <w:keepLines/>
        <w:widowControl/>
        <w:rPr>
          <w:rStyle w:val="CommentReference"/>
        </w:rPr>
      </w:pPr>
      <w:r w:rsidRPr="00F77E7A">
        <w:rPr>
          <w:rStyle w:val="CommentReference"/>
        </w:rPr>
        <w:t xml:space="preserve">Table </w:t>
      </w:r>
      <w:r w:rsidR="00E600AE" w:rsidRPr="00F77E7A">
        <w:rPr>
          <w:rStyle w:val="CommentReference"/>
        </w:rPr>
        <w:t>7</w:t>
      </w:r>
      <w:r w:rsidR="00B62715" w:rsidRPr="00F77E7A">
        <w:rPr>
          <w:rStyle w:val="CommentReference"/>
        </w:rPr>
        <w:t xml:space="preserve">: Summary of comparative benefits and harms for </w:t>
      </w:r>
      <w:r w:rsidR="0010737B" w:rsidRPr="00F77E7A">
        <w:rPr>
          <w:rStyle w:val="CommentReference"/>
        </w:rPr>
        <w:t>tezacaftor</w:t>
      </w:r>
      <w:r w:rsidRPr="00F77E7A">
        <w:rPr>
          <w:rStyle w:val="CommentReference"/>
        </w:rPr>
        <w:t xml:space="preserve">/ivacaftor </w:t>
      </w:r>
      <w:r w:rsidR="00B62715" w:rsidRPr="00F77E7A">
        <w:rPr>
          <w:rStyle w:val="CommentReference"/>
        </w:rPr>
        <w:t xml:space="preserve">and </w:t>
      </w:r>
      <w:r w:rsidRPr="00F77E7A">
        <w:rPr>
          <w:rStyle w:val="CommentReference"/>
        </w:rPr>
        <w:t>BSC</w:t>
      </w:r>
    </w:p>
    <w:tbl>
      <w:tblPr>
        <w:tblW w:w="4994" w:type="pct"/>
        <w:tblInd w:w="5" w:type="dxa"/>
        <w:tblLayout w:type="fixed"/>
        <w:tblCellMar>
          <w:left w:w="28" w:type="dxa"/>
          <w:right w:w="28" w:type="dxa"/>
        </w:tblCellMar>
        <w:tblLook w:val="04A0" w:firstRow="1" w:lastRow="0" w:firstColumn="1" w:lastColumn="0" w:noHBand="0" w:noVBand="1"/>
        <w:tblCaption w:val="Summary of comparative benefits and harms for tezacaftor/ivacaftor and BSC"/>
      </w:tblPr>
      <w:tblGrid>
        <w:gridCol w:w="1136"/>
        <w:gridCol w:w="13"/>
        <w:gridCol w:w="7"/>
        <w:gridCol w:w="1101"/>
        <w:gridCol w:w="29"/>
        <w:gridCol w:w="7"/>
        <w:gridCol w:w="1239"/>
        <w:gridCol w:w="36"/>
        <w:gridCol w:w="1241"/>
        <w:gridCol w:w="1416"/>
        <w:gridCol w:w="31"/>
        <w:gridCol w:w="1367"/>
        <w:gridCol w:w="1383"/>
      </w:tblGrid>
      <w:tr w:rsidR="00B62715" w:rsidRPr="00F77E7A" w:rsidTr="00E73718">
        <w:trPr>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885250" w:rsidP="00EF2E6B">
            <w:pPr>
              <w:keepNext/>
              <w:keepLines/>
              <w:widowControl/>
              <w:rPr>
                <w:rFonts w:ascii="Arial Narrow" w:hAnsi="Arial Narrow"/>
                <w:b/>
                <w:color w:val="000000"/>
                <w:sz w:val="20"/>
                <w:szCs w:val="18"/>
              </w:rPr>
            </w:pPr>
            <w:r w:rsidRPr="00F77E7A">
              <w:rPr>
                <w:rFonts w:ascii="Arial Narrow" w:hAnsi="Arial Narrow"/>
                <w:b/>
                <w:color w:val="000000"/>
                <w:sz w:val="20"/>
                <w:szCs w:val="18"/>
              </w:rPr>
              <w:t>C</w:t>
            </w:r>
            <w:r w:rsidR="00B62715" w:rsidRPr="00F77E7A">
              <w:rPr>
                <w:rFonts w:ascii="Arial Narrow" w:hAnsi="Arial Narrow"/>
                <w:b/>
                <w:color w:val="000000"/>
                <w:sz w:val="20"/>
                <w:szCs w:val="18"/>
              </w:rPr>
              <w:t>hange from baseline</w:t>
            </w:r>
            <w:r w:rsidR="00461E25" w:rsidRPr="00F77E7A">
              <w:rPr>
                <w:rFonts w:ascii="Arial Narrow" w:hAnsi="Arial Narrow"/>
                <w:b/>
                <w:color w:val="000000"/>
                <w:sz w:val="20"/>
                <w:szCs w:val="18"/>
              </w:rPr>
              <w:t xml:space="preserve"> in absolute change in ppFEV</w:t>
            </w:r>
            <w:r w:rsidR="00461E25" w:rsidRPr="00F77E7A">
              <w:rPr>
                <w:rFonts w:ascii="Arial Narrow" w:hAnsi="Arial Narrow"/>
                <w:b/>
                <w:color w:val="000000"/>
                <w:sz w:val="20"/>
                <w:szCs w:val="18"/>
                <w:vertAlign w:val="subscript"/>
              </w:rPr>
              <w:t>1</w:t>
            </w:r>
          </w:p>
        </w:tc>
      </w:tr>
      <w:tr w:rsidR="007F4A61" w:rsidRPr="00F77E7A" w:rsidTr="00F1660F">
        <w:trPr>
          <w:trHeight w:val="225"/>
          <w:tblHeader/>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B62715" w:rsidP="00EF2E6B">
            <w:pPr>
              <w:keepNext/>
              <w:keepLines/>
              <w:widowControl/>
              <w:rPr>
                <w:rFonts w:ascii="Arial Narrow" w:hAnsi="Arial Narrow"/>
                <w:color w:val="000000"/>
                <w:sz w:val="20"/>
                <w:szCs w:val="18"/>
              </w:rPr>
            </w:pPr>
          </w:p>
        </w:tc>
        <w:tc>
          <w:tcPr>
            <w:tcW w:w="1330" w:type="pct"/>
            <w:gridSpan w:val="6"/>
            <w:tcBorders>
              <w:top w:val="single" w:sz="4" w:space="0" w:color="auto"/>
              <w:left w:val="single" w:sz="4" w:space="0" w:color="auto"/>
              <w:bottom w:val="single" w:sz="4" w:space="0" w:color="auto"/>
              <w:right w:val="single" w:sz="4" w:space="0" w:color="auto"/>
            </w:tcBorders>
            <w:vAlign w:val="center"/>
          </w:tcPr>
          <w:p w:rsidR="00B62715" w:rsidRPr="00F77E7A" w:rsidRDefault="00461E25" w:rsidP="00EF2E6B">
            <w:pPr>
              <w:keepNext/>
              <w:keepLines/>
              <w:widowControl/>
              <w:jc w:val="center"/>
              <w:rPr>
                <w:rFonts w:ascii="Arial Narrow" w:hAnsi="Arial Narrow"/>
                <w:color w:val="000000"/>
                <w:sz w:val="20"/>
                <w:szCs w:val="18"/>
              </w:rPr>
            </w:pPr>
            <w:r w:rsidRPr="00F77E7A">
              <w:rPr>
                <w:rFonts w:ascii="Arial Narrow" w:hAnsi="Arial Narrow"/>
                <w:b/>
                <w:color w:val="000000"/>
                <w:sz w:val="20"/>
                <w:szCs w:val="18"/>
              </w:rPr>
              <w:t>Tezacaftor/ivacaftor</w:t>
            </w:r>
          </w:p>
        </w:tc>
        <w:tc>
          <w:tcPr>
            <w:tcW w:w="1495" w:type="pct"/>
            <w:gridSpan w:val="3"/>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b/>
                <w:color w:val="000000"/>
                <w:sz w:val="20"/>
                <w:szCs w:val="18"/>
              </w:rPr>
              <w:t>BSC</w:t>
            </w:r>
          </w:p>
        </w:tc>
        <w:tc>
          <w:tcPr>
            <w:tcW w:w="1543" w:type="pct"/>
            <w:gridSpan w:val="3"/>
            <w:vMerge w:val="restart"/>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sz w:val="20"/>
                <w:szCs w:val="18"/>
              </w:rPr>
            </w:pPr>
            <w:r w:rsidRPr="00F77E7A">
              <w:rPr>
                <w:rFonts w:ascii="Arial Narrow" w:hAnsi="Arial Narrow"/>
                <w:b/>
                <w:sz w:val="20"/>
                <w:szCs w:val="18"/>
              </w:rPr>
              <w:t xml:space="preserve">Mean difference*: </w:t>
            </w:r>
          </w:p>
          <w:p w:rsidR="00B62715" w:rsidRPr="00F77E7A" w:rsidRDefault="00461E25" w:rsidP="00EF2E6B">
            <w:pPr>
              <w:keepNext/>
              <w:keepLines/>
              <w:widowControl/>
              <w:jc w:val="center"/>
              <w:rPr>
                <w:rFonts w:ascii="Arial Narrow" w:hAnsi="Arial Narrow"/>
                <w:b/>
                <w:sz w:val="20"/>
                <w:szCs w:val="18"/>
              </w:rPr>
            </w:pPr>
            <w:r w:rsidRPr="00F77E7A">
              <w:rPr>
                <w:rFonts w:ascii="Arial Narrow" w:hAnsi="Arial Narrow"/>
                <w:b/>
                <w:sz w:val="20"/>
                <w:szCs w:val="18"/>
              </w:rPr>
              <w:t>Tezacaftor/ivacaftor vs. BSC</w:t>
            </w:r>
          </w:p>
          <w:p w:rsidR="00B62715" w:rsidRPr="00F77E7A" w:rsidRDefault="00B62715" w:rsidP="00EF2E6B">
            <w:pPr>
              <w:keepNext/>
              <w:keepLines/>
              <w:widowControl/>
              <w:jc w:val="center"/>
              <w:rPr>
                <w:rFonts w:ascii="Arial Narrow" w:hAnsi="Arial Narrow"/>
                <w:b/>
                <w:sz w:val="20"/>
                <w:szCs w:val="18"/>
              </w:rPr>
            </w:pPr>
            <w:r w:rsidRPr="00F77E7A">
              <w:rPr>
                <w:rFonts w:ascii="Arial Narrow" w:hAnsi="Arial Narrow"/>
                <w:b/>
                <w:sz w:val="20"/>
                <w:szCs w:val="18"/>
              </w:rPr>
              <w:t>(95% CI)</w:t>
            </w:r>
          </w:p>
        </w:tc>
      </w:tr>
      <w:tr w:rsidR="00F1660F" w:rsidRPr="00F77E7A" w:rsidTr="00F1660F">
        <w:trPr>
          <w:trHeight w:val="225"/>
          <w:tblHeader/>
        </w:trPr>
        <w:tc>
          <w:tcPr>
            <w:tcW w:w="6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1660F" w:rsidRPr="00F77E7A" w:rsidRDefault="00F1660F" w:rsidP="00EF2E6B">
            <w:pPr>
              <w:keepNext/>
              <w:keepLines/>
              <w:widowControl/>
              <w:rPr>
                <w:rFonts w:ascii="Arial Narrow" w:hAnsi="Arial Narrow"/>
                <w:color w:val="000000"/>
                <w:sz w:val="20"/>
                <w:szCs w:val="18"/>
              </w:rPr>
            </w:pPr>
          </w:p>
        </w:tc>
        <w:tc>
          <w:tcPr>
            <w:tcW w:w="622" w:type="pct"/>
            <w:gridSpan w:val="3"/>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N</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b/>
                <w:sz w:val="20"/>
                <w:szCs w:val="18"/>
              </w:rPr>
            </w:pPr>
            <w:r w:rsidRPr="00F77E7A">
              <w:rPr>
                <w:rFonts w:ascii="Arial Narrow" w:hAnsi="Arial Narrow"/>
                <w:b/>
                <w:sz w:val="20"/>
                <w:szCs w:val="18"/>
              </w:rPr>
              <w:t>LS Mean (95% CI)</w:t>
            </w:r>
          </w:p>
        </w:tc>
        <w:tc>
          <w:tcPr>
            <w:tcW w:w="709" w:type="pct"/>
            <w:gridSpan w:val="2"/>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N</w:t>
            </w:r>
          </w:p>
        </w:tc>
        <w:tc>
          <w:tcPr>
            <w:tcW w:w="786" w:type="pct"/>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b/>
                <w:sz w:val="20"/>
                <w:szCs w:val="18"/>
              </w:rPr>
            </w:pPr>
            <w:r w:rsidRPr="00F77E7A">
              <w:rPr>
                <w:rFonts w:ascii="Arial Narrow" w:hAnsi="Arial Narrow"/>
                <w:b/>
                <w:sz w:val="20"/>
                <w:szCs w:val="18"/>
              </w:rPr>
              <w:t>LS Mean (95% CI)</w:t>
            </w:r>
          </w:p>
        </w:tc>
        <w:tc>
          <w:tcPr>
            <w:tcW w:w="1543" w:type="pct"/>
            <w:gridSpan w:val="3"/>
            <w:vMerge/>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b/>
                <w:sz w:val="20"/>
                <w:szCs w:val="18"/>
              </w:rPr>
            </w:pPr>
          </w:p>
        </w:tc>
      </w:tr>
      <w:tr w:rsidR="00F1660F" w:rsidRPr="00F77E7A" w:rsidTr="00F1660F">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F1660F" w:rsidRPr="00F77E7A" w:rsidRDefault="00F1660F" w:rsidP="00EF2E6B">
            <w:pPr>
              <w:keepNext/>
              <w:keepLines/>
              <w:widowControl/>
              <w:rPr>
                <w:rFonts w:ascii="Arial Narrow" w:hAnsi="Arial Narrow"/>
                <w:color w:val="000000"/>
                <w:sz w:val="20"/>
                <w:szCs w:val="18"/>
              </w:rPr>
            </w:pPr>
            <w:r w:rsidRPr="00F77E7A">
              <w:rPr>
                <w:rFonts w:ascii="Arial Narrow" w:hAnsi="Arial Narrow"/>
                <w:color w:val="000000"/>
                <w:sz w:val="20"/>
                <w:szCs w:val="18"/>
              </w:rPr>
              <w:t>Study 108</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161</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6.4 (5.6, 7.3)</w:t>
            </w:r>
          </w:p>
        </w:tc>
        <w:tc>
          <w:tcPr>
            <w:tcW w:w="709" w:type="pct"/>
            <w:gridSpan w:val="2"/>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161</w:t>
            </w:r>
          </w:p>
        </w:tc>
        <w:tc>
          <w:tcPr>
            <w:tcW w:w="786" w:type="pct"/>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-0.3 (-1.2, 0.6)</w:t>
            </w:r>
          </w:p>
        </w:tc>
        <w:tc>
          <w:tcPr>
            <w:tcW w:w="1543" w:type="pct"/>
            <w:gridSpan w:val="3"/>
            <w:tcBorders>
              <w:top w:val="single" w:sz="4" w:space="0" w:color="auto"/>
              <w:left w:val="single" w:sz="4" w:space="0" w:color="auto"/>
              <w:bottom w:val="single" w:sz="4" w:space="0" w:color="auto"/>
              <w:right w:val="single" w:sz="4" w:space="0" w:color="auto"/>
            </w:tcBorders>
            <w:vAlign w:val="center"/>
          </w:tcPr>
          <w:p w:rsidR="00F1660F" w:rsidRPr="00F77E7A" w:rsidRDefault="00F1660F" w:rsidP="00EF2E6B">
            <w:pPr>
              <w:keepNext/>
              <w:keepLines/>
              <w:widowControl/>
              <w:jc w:val="center"/>
              <w:rPr>
                <w:rFonts w:ascii="Arial Narrow" w:hAnsi="Arial Narrow"/>
                <w:sz w:val="20"/>
                <w:szCs w:val="18"/>
              </w:rPr>
            </w:pPr>
            <w:r w:rsidRPr="00F77E7A">
              <w:rPr>
                <w:rFonts w:ascii="Arial Narrow" w:hAnsi="Arial Narrow"/>
                <w:sz w:val="20"/>
                <w:szCs w:val="18"/>
              </w:rPr>
              <w:t>6.8 (5.7, 7.8)</w:t>
            </w:r>
          </w:p>
        </w:tc>
      </w:tr>
      <w:tr w:rsidR="00B62715" w:rsidRPr="00F77E7A" w:rsidTr="00461E25">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B62715" w:rsidRPr="00F77E7A" w:rsidRDefault="00B62715" w:rsidP="00EF2E6B">
            <w:pPr>
              <w:keepNext/>
              <w:keepLines/>
              <w:widowControl/>
              <w:rPr>
                <w:rFonts w:ascii="Arial Narrow" w:hAnsi="Arial Narrow"/>
                <w:b/>
                <w:color w:val="000000"/>
                <w:sz w:val="20"/>
                <w:szCs w:val="18"/>
              </w:rPr>
            </w:pPr>
            <w:r w:rsidRPr="00F77E7A">
              <w:rPr>
                <w:rFonts w:ascii="Arial Narrow" w:hAnsi="Arial Narrow"/>
                <w:b/>
                <w:color w:val="000000"/>
                <w:sz w:val="20"/>
                <w:szCs w:val="18"/>
              </w:rPr>
              <w:t xml:space="preserve">Harms </w:t>
            </w:r>
          </w:p>
        </w:tc>
      </w:tr>
      <w:tr w:rsidR="007F4A61" w:rsidRPr="00F77E7A" w:rsidTr="00F1660F">
        <w:trPr>
          <w:trHeight w:val="70"/>
        </w:trPr>
        <w:tc>
          <w:tcPr>
            <w:tcW w:w="6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B62715" w:rsidP="00EF2E6B">
            <w:pPr>
              <w:keepNext/>
              <w:keepLines/>
              <w:widowControl/>
              <w:rPr>
                <w:rFonts w:ascii="Arial Narrow" w:hAnsi="Arial Narrow"/>
                <w:b/>
                <w:color w:val="000000"/>
                <w:sz w:val="20"/>
                <w:szCs w:val="18"/>
              </w:rPr>
            </w:pPr>
          </w:p>
        </w:tc>
        <w:tc>
          <w:tcPr>
            <w:tcW w:w="631" w:type="pct"/>
            <w:gridSpan w:val="3"/>
            <w:vMerge w:val="restart"/>
            <w:tcBorders>
              <w:top w:val="single" w:sz="4" w:space="0" w:color="auto"/>
              <w:left w:val="single" w:sz="4" w:space="0" w:color="auto"/>
              <w:bottom w:val="single" w:sz="4" w:space="0" w:color="auto"/>
              <w:right w:val="single" w:sz="4" w:space="0" w:color="auto"/>
            </w:tcBorders>
            <w:vAlign w:val="center"/>
          </w:tcPr>
          <w:p w:rsidR="00B62715" w:rsidRPr="00F77E7A" w:rsidRDefault="0092371C"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Tezacaftor/</w:t>
            </w:r>
            <w:r w:rsidR="00353738" w:rsidRPr="00F77E7A">
              <w:rPr>
                <w:rFonts w:ascii="Arial Narrow" w:hAnsi="Arial Narrow"/>
                <w:b/>
                <w:color w:val="000000"/>
                <w:sz w:val="20"/>
                <w:szCs w:val="18"/>
              </w:rPr>
              <w:t xml:space="preserve"> </w:t>
            </w:r>
            <w:r w:rsidRPr="00F77E7A">
              <w:rPr>
                <w:rFonts w:ascii="Arial Narrow" w:hAnsi="Arial Narrow"/>
                <w:b/>
                <w:color w:val="000000"/>
                <w:sz w:val="20"/>
                <w:szCs w:val="18"/>
              </w:rPr>
              <w:t>ivacaftor</w:t>
            </w:r>
          </w:p>
          <w:p w:rsidR="00B24DF6" w:rsidRPr="00F77E7A" w:rsidRDefault="00B24DF6"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n/N</w:t>
            </w:r>
          </w:p>
        </w:tc>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rsidR="00B62715" w:rsidRPr="00F77E7A" w:rsidRDefault="0092371C"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BSC</w:t>
            </w:r>
          </w:p>
          <w:p w:rsidR="00B24DF6" w:rsidRPr="00F77E7A" w:rsidRDefault="00B24DF6"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n/N</w:t>
            </w:r>
          </w:p>
        </w:tc>
        <w:tc>
          <w:tcPr>
            <w:tcW w:w="689" w:type="pct"/>
            <w:vMerge w:val="restart"/>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RR</w:t>
            </w:r>
          </w:p>
          <w:p w:rsidR="00B62715" w:rsidRPr="00F77E7A" w:rsidRDefault="00B62715"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(95% CI)</w:t>
            </w:r>
          </w:p>
        </w:tc>
        <w:tc>
          <w:tcPr>
            <w:tcW w:w="1562" w:type="pct"/>
            <w:gridSpan w:val="3"/>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Event rate/100 patients*</w:t>
            </w:r>
          </w:p>
        </w:tc>
        <w:tc>
          <w:tcPr>
            <w:tcW w:w="767" w:type="pct"/>
            <w:vMerge w:val="restart"/>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RD</w:t>
            </w:r>
          </w:p>
          <w:p w:rsidR="00B62715" w:rsidRPr="00F77E7A" w:rsidRDefault="00B62715"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(95% CI)</w:t>
            </w:r>
          </w:p>
        </w:tc>
      </w:tr>
      <w:tr w:rsidR="007F4A61" w:rsidRPr="00F77E7A" w:rsidTr="00F1660F">
        <w:trPr>
          <w:trHeight w:val="390"/>
        </w:trPr>
        <w:tc>
          <w:tcPr>
            <w:tcW w:w="6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B62715" w:rsidP="00EF2E6B">
            <w:pPr>
              <w:keepNext/>
              <w:keepLines/>
              <w:widowControl/>
              <w:rPr>
                <w:rFonts w:ascii="Arial Narrow" w:hAnsi="Arial Narrow"/>
                <w:b/>
                <w:color w:val="000000"/>
                <w:sz w:val="20"/>
                <w:szCs w:val="18"/>
              </w:rPr>
            </w:pPr>
          </w:p>
        </w:tc>
        <w:tc>
          <w:tcPr>
            <w:tcW w:w="631" w:type="pct"/>
            <w:gridSpan w:val="3"/>
            <w:vMerge/>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p>
        </w:tc>
        <w:tc>
          <w:tcPr>
            <w:tcW w:w="712" w:type="pct"/>
            <w:gridSpan w:val="3"/>
            <w:vMerge/>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711454"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TEZ/IVA</w:t>
            </w:r>
          </w:p>
        </w:tc>
        <w:tc>
          <w:tcPr>
            <w:tcW w:w="759" w:type="pct"/>
            <w:tcBorders>
              <w:top w:val="single" w:sz="4" w:space="0" w:color="auto"/>
              <w:left w:val="single" w:sz="4" w:space="0" w:color="auto"/>
              <w:bottom w:val="single" w:sz="4" w:space="0" w:color="auto"/>
              <w:right w:val="single" w:sz="4" w:space="0" w:color="auto"/>
            </w:tcBorders>
            <w:vAlign w:val="center"/>
          </w:tcPr>
          <w:p w:rsidR="00B62715" w:rsidRPr="00F77E7A" w:rsidRDefault="00711454" w:rsidP="00EF2E6B">
            <w:pPr>
              <w:keepNext/>
              <w:keepLines/>
              <w:widowControl/>
              <w:jc w:val="center"/>
              <w:rPr>
                <w:rFonts w:ascii="Arial Narrow" w:hAnsi="Arial Narrow"/>
                <w:b/>
                <w:color w:val="000000"/>
                <w:sz w:val="20"/>
                <w:szCs w:val="18"/>
              </w:rPr>
            </w:pPr>
            <w:r w:rsidRPr="00F77E7A">
              <w:rPr>
                <w:rFonts w:ascii="Arial Narrow" w:hAnsi="Arial Narrow"/>
                <w:b/>
                <w:color w:val="000000"/>
                <w:sz w:val="20"/>
                <w:szCs w:val="18"/>
              </w:rPr>
              <w:t>BSC</w:t>
            </w:r>
          </w:p>
        </w:tc>
        <w:tc>
          <w:tcPr>
            <w:tcW w:w="767" w:type="pct"/>
            <w:vMerge/>
            <w:tcBorders>
              <w:top w:val="single" w:sz="4" w:space="0" w:color="auto"/>
              <w:left w:val="single" w:sz="4" w:space="0" w:color="auto"/>
              <w:bottom w:val="single" w:sz="4" w:space="0" w:color="auto"/>
              <w:right w:val="single" w:sz="4" w:space="0" w:color="auto"/>
            </w:tcBorders>
            <w:vAlign w:val="center"/>
          </w:tcPr>
          <w:p w:rsidR="00B62715" w:rsidRPr="00F77E7A" w:rsidRDefault="00B62715" w:rsidP="00EF2E6B">
            <w:pPr>
              <w:keepNext/>
              <w:keepLines/>
              <w:widowControl/>
              <w:jc w:val="center"/>
              <w:rPr>
                <w:rFonts w:ascii="Arial Narrow" w:hAnsi="Arial Narrow"/>
                <w:b/>
                <w:color w:val="000000"/>
                <w:sz w:val="20"/>
                <w:szCs w:val="18"/>
              </w:rPr>
            </w:pPr>
          </w:p>
        </w:tc>
      </w:tr>
      <w:tr w:rsidR="00B62715" w:rsidRPr="00F77E7A" w:rsidTr="00461E25">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353738" w:rsidP="00EF2E6B">
            <w:pPr>
              <w:keepNext/>
              <w:keepLines/>
              <w:widowControl/>
              <w:rPr>
                <w:rFonts w:ascii="Arial Narrow" w:hAnsi="Arial Narrow"/>
                <w:b/>
                <w:color w:val="000000"/>
                <w:sz w:val="20"/>
                <w:szCs w:val="18"/>
              </w:rPr>
            </w:pPr>
            <w:r w:rsidRPr="00F77E7A">
              <w:rPr>
                <w:rFonts w:ascii="Arial Narrow" w:hAnsi="Arial Narrow"/>
                <w:b/>
                <w:sz w:val="20"/>
              </w:rPr>
              <w:t xml:space="preserve">Patients </w:t>
            </w:r>
            <w:r w:rsidR="00711454" w:rsidRPr="00F77E7A">
              <w:rPr>
                <w:rFonts w:ascii="Arial Narrow" w:hAnsi="Arial Narrow"/>
                <w:b/>
                <w:sz w:val="20"/>
              </w:rPr>
              <w:t>with Grade 3 or Grade 4 AEs</w:t>
            </w:r>
          </w:p>
        </w:tc>
      </w:tr>
      <w:tr w:rsidR="007F4A61" w:rsidRPr="00F77E7A" w:rsidTr="00F1660F">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885250" w:rsidP="00EF2E6B">
            <w:pPr>
              <w:keepNext/>
              <w:keepLines/>
              <w:widowControl/>
              <w:rPr>
                <w:rFonts w:ascii="Arial Narrow" w:hAnsi="Arial Narrow"/>
                <w:color w:val="000000"/>
                <w:sz w:val="20"/>
                <w:szCs w:val="18"/>
              </w:rPr>
            </w:pPr>
            <w:r w:rsidRPr="00F77E7A">
              <w:rPr>
                <w:rFonts w:ascii="Arial Narrow" w:hAnsi="Arial Narrow"/>
                <w:color w:val="000000"/>
                <w:sz w:val="20"/>
                <w:szCs w:val="18"/>
              </w:rPr>
              <w:t>Study 108</w:t>
            </w:r>
          </w:p>
        </w:tc>
        <w:tc>
          <w:tcPr>
            <w:tcW w:w="631" w:type="pct"/>
            <w:gridSpan w:val="3"/>
            <w:tcBorders>
              <w:top w:val="single" w:sz="4" w:space="0" w:color="auto"/>
              <w:left w:val="single" w:sz="4" w:space="0" w:color="auto"/>
              <w:bottom w:val="single" w:sz="4" w:space="0" w:color="auto"/>
              <w:right w:val="single" w:sz="4" w:space="0" w:color="auto"/>
            </w:tcBorders>
            <w:vAlign w:val="center"/>
          </w:tcPr>
          <w:p w:rsidR="00B62715" w:rsidRPr="00F77E7A" w:rsidRDefault="00711454" w:rsidP="00EF2E6B">
            <w:pPr>
              <w:keepNext/>
              <w:keepLines/>
              <w:widowControl/>
              <w:jc w:val="center"/>
              <w:rPr>
                <w:rFonts w:ascii="Arial Narrow" w:hAnsi="Arial Narrow"/>
                <w:color w:val="000000"/>
                <w:sz w:val="20"/>
                <w:szCs w:val="18"/>
              </w:rPr>
            </w:pPr>
            <w:r w:rsidRPr="00F77E7A">
              <w:rPr>
                <w:rFonts w:ascii="Arial Narrow" w:hAnsi="Arial Narrow"/>
                <w:sz w:val="20"/>
              </w:rPr>
              <w:t>4</w:t>
            </w:r>
            <w:r w:rsidR="00885250" w:rsidRPr="00F77E7A">
              <w:rPr>
                <w:rFonts w:ascii="Arial Narrow" w:hAnsi="Arial Narrow"/>
                <w:sz w:val="20"/>
              </w:rPr>
              <w:t>/</w:t>
            </w:r>
            <w:r w:rsidR="002A7376" w:rsidRPr="00F77E7A">
              <w:rPr>
                <w:rFonts w:ascii="Arial Narrow" w:hAnsi="Arial Narrow"/>
                <w:sz w:val="20"/>
              </w:rPr>
              <w:t>162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711454" w:rsidP="00EF2E6B">
            <w:pPr>
              <w:keepNext/>
              <w:keepLines/>
              <w:widowControl/>
              <w:jc w:val="center"/>
              <w:rPr>
                <w:rFonts w:ascii="Arial Narrow" w:hAnsi="Arial Narrow"/>
                <w:color w:val="000000"/>
                <w:sz w:val="20"/>
                <w:szCs w:val="18"/>
              </w:rPr>
            </w:pPr>
            <w:r w:rsidRPr="00F77E7A">
              <w:rPr>
                <w:rFonts w:ascii="Arial Narrow" w:hAnsi="Arial Narrow"/>
                <w:sz w:val="20"/>
              </w:rPr>
              <w:t>9</w:t>
            </w:r>
            <w:r w:rsidR="00885250" w:rsidRPr="00F77E7A">
              <w:rPr>
                <w:rFonts w:ascii="Arial Narrow" w:hAnsi="Arial Narrow"/>
                <w:sz w:val="20"/>
              </w:rPr>
              <w:t>/</w:t>
            </w:r>
            <w:r w:rsidR="002A7376" w:rsidRPr="00F77E7A">
              <w:rPr>
                <w:rFonts w:ascii="Arial Narrow" w:hAnsi="Arial Narrow"/>
                <w:sz w:val="20"/>
              </w:rPr>
              <w:t>162</w:t>
            </w:r>
          </w:p>
        </w:tc>
        <w:tc>
          <w:tcPr>
            <w:tcW w:w="689" w:type="pct"/>
            <w:tcBorders>
              <w:top w:val="single" w:sz="4" w:space="0" w:color="auto"/>
              <w:left w:val="single" w:sz="4" w:space="0" w:color="auto"/>
              <w:bottom w:val="single" w:sz="4" w:space="0" w:color="auto"/>
              <w:right w:val="single" w:sz="4" w:space="0" w:color="auto"/>
            </w:tcBorders>
            <w:vAlign w:val="center"/>
          </w:tcPr>
          <w:p w:rsidR="00711454" w:rsidRPr="00F77E7A" w:rsidRDefault="00711454" w:rsidP="00EF2E6B">
            <w:pPr>
              <w:keepNext/>
              <w:keepLines/>
              <w:widowControl/>
              <w:jc w:val="center"/>
              <w:rPr>
                <w:rFonts w:ascii="Arial Narrow" w:hAnsi="Arial Narrow"/>
                <w:color w:val="000000"/>
                <w:sz w:val="20"/>
              </w:rPr>
            </w:pPr>
            <w:r w:rsidRPr="00F77E7A">
              <w:rPr>
                <w:rFonts w:ascii="Arial Narrow" w:hAnsi="Arial Narrow"/>
                <w:color w:val="000000"/>
                <w:sz w:val="20"/>
              </w:rPr>
              <w:t xml:space="preserve">0.47 </w:t>
            </w:r>
          </w:p>
          <w:p w:rsidR="00B62715" w:rsidRPr="00F77E7A" w:rsidRDefault="00711454"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(0.15</w:t>
            </w:r>
            <w:r w:rsidR="00950232" w:rsidRPr="00F77E7A">
              <w:rPr>
                <w:rFonts w:ascii="Arial Narrow" w:hAnsi="Arial Narrow"/>
                <w:color w:val="000000"/>
                <w:sz w:val="20"/>
              </w:rPr>
              <w:t>,</w:t>
            </w:r>
            <w:r w:rsidRPr="00F77E7A">
              <w:rPr>
                <w:rFonts w:ascii="Arial Narrow" w:hAnsi="Arial Narrow"/>
                <w:color w:val="000000"/>
                <w:sz w:val="20"/>
              </w:rPr>
              <w:t xml:space="preserve"> 1.52)</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885250"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2.48</w:t>
            </w:r>
          </w:p>
        </w:tc>
        <w:tc>
          <w:tcPr>
            <w:tcW w:w="759" w:type="pct"/>
            <w:tcBorders>
              <w:top w:val="single" w:sz="4" w:space="0" w:color="auto"/>
              <w:left w:val="single" w:sz="4" w:space="0" w:color="auto"/>
              <w:bottom w:val="single" w:sz="4" w:space="0" w:color="auto"/>
              <w:right w:val="single" w:sz="4" w:space="0" w:color="auto"/>
            </w:tcBorders>
            <w:vAlign w:val="center"/>
          </w:tcPr>
          <w:p w:rsidR="00B62715" w:rsidRPr="00F77E7A" w:rsidRDefault="00885250"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5.59</w:t>
            </w:r>
          </w:p>
        </w:tc>
        <w:tc>
          <w:tcPr>
            <w:tcW w:w="767" w:type="pct"/>
            <w:tcBorders>
              <w:top w:val="single" w:sz="4" w:space="0" w:color="auto"/>
              <w:left w:val="single" w:sz="4" w:space="0" w:color="auto"/>
              <w:bottom w:val="single" w:sz="4" w:space="0" w:color="auto"/>
              <w:right w:val="single" w:sz="4" w:space="0" w:color="auto"/>
            </w:tcBorders>
            <w:vAlign w:val="center"/>
          </w:tcPr>
          <w:p w:rsidR="00AC3A7B" w:rsidRPr="00F77E7A" w:rsidRDefault="0098563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 xml:space="preserve">-0.03 </w:t>
            </w:r>
          </w:p>
          <w:p w:rsidR="00B62715" w:rsidRPr="00F77E7A" w:rsidRDefault="0098563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(-0.07</w:t>
            </w:r>
            <w:r w:rsidR="00950232" w:rsidRPr="00F77E7A">
              <w:rPr>
                <w:rFonts w:ascii="Arial Narrow" w:hAnsi="Arial Narrow"/>
                <w:color w:val="000000"/>
                <w:sz w:val="20"/>
                <w:szCs w:val="18"/>
              </w:rPr>
              <w:t>,</w:t>
            </w:r>
            <w:r w:rsidRPr="00F77E7A">
              <w:rPr>
                <w:rFonts w:ascii="Arial Narrow" w:hAnsi="Arial Narrow"/>
                <w:color w:val="000000"/>
                <w:sz w:val="20"/>
                <w:szCs w:val="18"/>
              </w:rPr>
              <w:t xml:space="preserve"> 0.012</w:t>
            </w:r>
            <w:r w:rsidR="00AC3A7B" w:rsidRPr="00F77E7A">
              <w:rPr>
                <w:rFonts w:ascii="Arial Narrow" w:hAnsi="Arial Narrow"/>
                <w:color w:val="000000"/>
                <w:sz w:val="20"/>
                <w:szCs w:val="18"/>
              </w:rPr>
              <w:t>)</w:t>
            </w:r>
          </w:p>
        </w:tc>
      </w:tr>
      <w:tr w:rsidR="00B62715" w:rsidRPr="00F77E7A" w:rsidTr="00461E25">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58581F" w:rsidP="00EF2E6B">
            <w:pPr>
              <w:keepNext/>
              <w:keepLines/>
              <w:widowControl/>
              <w:rPr>
                <w:rFonts w:ascii="Arial Narrow" w:hAnsi="Arial Narrow"/>
                <w:b/>
                <w:color w:val="000000"/>
                <w:sz w:val="20"/>
                <w:szCs w:val="18"/>
              </w:rPr>
            </w:pPr>
            <w:r w:rsidRPr="00F77E7A">
              <w:rPr>
                <w:rFonts w:ascii="Arial Narrow" w:hAnsi="Arial Narrow"/>
                <w:b/>
                <w:color w:val="000000"/>
                <w:sz w:val="20"/>
                <w:szCs w:val="18"/>
              </w:rPr>
              <w:t>Possibly related AE</w:t>
            </w:r>
          </w:p>
        </w:tc>
      </w:tr>
      <w:tr w:rsidR="007F4A61" w:rsidRPr="00F77E7A" w:rsidTr="00F1660F">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58581F" w:rsidP="00EF2E6B">
            <w:pPr>
              <w:keepNext/>
              <w:keepLines/>
              <w:widowControl/>
              <w:rPr>
                <w:rFonts w:ascii="Arial Narrow" w:hAnsi="Arial Narrow"/>
                <w:color w:val="000000"/>
                <w:sz w:val="20"/>
                <w:szCs w:val="18"/>
              </w:rPr>
            </w:pPr>
            <w:r w:rsidRPr="00F77E7A">
              <w:rPr>
                <w:rFonts w:ascii="Arial Narrow" w:hAnsi="Arial Narrow"/>
                <w:color w:val="000000"/>
                <w:sz w:val="20"/>
                <w:szCs w:val="18"/>
              </w:rPr>
              <w:t>Study 108</w:t>
            </w:r>
          </w:p>
        </w:tc>
        <w:tc>
          <w:tcPr>
            <w:tcW w:w="631" w:type="pct"/>
            <w:gridSpan w:val="3"/>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34</w:t>
            </w:r>
            <w:r w:rsidR="00B62715" w:rsidRPr="00F77E7A">
              <w:rPr>
                <w:rFonts w:ascii="Arial Narrow" w:hAnsi="Arial Narrow"/>
                <w:color w:val="000000"/>
                <w:sz w:val="20"/>
                <w:szCs w:val="18"/>
              </w:rPr>
              <w:t>/</w:t>
            </w:r>
            <w:r w:rsidR="002A7376" w:rsidRPr="00F77E7A">
              <w:rPr>
                <w:rFonts w:ascii="Arial Narrow" w:hAnsi="Arial Narrow"/>
                <w:color w:val="000000"/>
                <w:sz w:val="20"/>
                <w:szCs w:val="18"/>
              </w:rPr>
              <w:t>162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33</w:t>
            </w:r>
            <w:r w:rsidR="00B62715" w:rsidRPr="00F77E7A">
              <w:rPr>
                <w:rFonts w:ascii="Arial Narrow" w:hAnsi="Arial Narrow"/>
                <w:color w:val="000000"/>
                <w:sz w:val="20"/>
                <w:szCs w:val="18"/>
              </w:rPr>
              <w:t>/</w:t>
            </w:r>
            <w:r w:rsidR="002A7376" w:rsidRPr="00F77E7A">
              <w:rPr>
                <w:rFonts w:ascii="Arial Narrow" w:hAnsi="Arial Narrow"/>
                <w:color w:val="000000"/>
                <w:sz w:val="20"/>
                <w:szCs w:val="18"/>
              </w:rPr>
              <w:t>162</w:t>
            </w:r>
          </w:p>
        </w:tc>
        <w:tc>
          <w:tcPr>
            <w:tcW w:w="689" w:type="pct"/>
            <w:tcBorders>
              <w:top w:val="single" w:sz="4" w:space="0" w:color="auto"/>
              <w:left w:val="single" w:sz="4" w:space="0" w:color="auto"/>
              <w:bottom w:val="single" w:sz="4" w:space="0" w:color="auto"/>
              <w:right w:val="single" w:sz="4" w:space="0" w:color="auto"/>
            </w:tcBorders>
            <w:vAlign w:val="center"/>
          </w:tcPr>
          <w:p w:rsidR="0058581F" w:rsidRPr="00F77E7A" w:rsidRDefault="0058581F" w:rsidP="00EF2E6B">
            <w:pPr>
              <w:keepNext/>
              <w:keepLines/>
              <w:widowControl/>
              <w:jc w:val="center"/>
              <w:rPr>
                <w:rFonts w:ascii="Arial Narrow" w:hAnsi="Arial Narrow"/>
                <w:color w:val="000000"/>
                <w:sz w:val="20"/>
              </w:rPr>
            </w:pPr>
            <w:r w:rsidRPr="00F77E7A">
              <w:rPr>
                <w:rFonts w:ascii="Arial Narrow" w:hAnsi="Arial Narrow"/>
                <w:color w:val="000000"/>
                <w:sz w:val="20"/>
              </w:rPr>
              <w:t xml:space="preserve">1.09 </w:t>
            </w:r>
          </w:p>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(0.69</w:t>
            </w:r>
            <w:r w:rsidR="00950232" w:rsidRPr="00F77E7A">
              <w:rPr>
                <w:rFonts w:ascii="Arial Narrow" w:hAnsi="Arial Narrow"/>
                <w:color w:val="000000"/>
                <w:sz w:val="20"/>
              </w:rPr>
              <w:t>,</w:t>
            </w:r>
            <w:r w:rsidRPr="00F77E7A">
              <w:rPr>
                <w:rFonts w:ascii="Arial Narrow" w:hAnsi="Arial Narrow"/>
                <w:color w:val="000000"/>
                <w:sz w:val="20"/>
              </w:rPr>
              <w:t xml:space="preserve"> 1.73)</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21.1</w:t>
            </w:r>
          </w:p>
        </w:tc>
        <w:tc>
          <w:tcPr>
            <w:tcW w:w="759" w:type="pct"/>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20.5</w:t>
            </w:r>
          </w:p>
        </w:tc>
        <w:tc>
          <w:tcPr>
            <w:tcW w:w="767" w:type="pct"/>
            <w:tcBorders>
              <w:top w:val="single" w:sz="4" w:space="0" w:color="auto"/>
              <w:left w:val="single" w:sz="4" w:space="0" w:color="auto"/>
              <w:bottom w:val="single" w:sz="4" w:space="0" w:color="auto"/>
              <w:right w:val="single" w:sz="4" w:space="0" w:color="auto"/>
            </w:tcBorders>
            <w:vAlign w:val="center"/>
          </w:tcPr>
          <w:p w:rsidR="00AC3A7B" w:rsidRPr="00F77E7A" w:rsidRDefault="00AC3A7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0.01</w:t>
            </w:r>
          </w:p>
          <w:p w:rsidR="00B62715" w:rsidRPr="00F77E7A" w:rsidRDefault="00AC3A7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(-0.08</w:t>
            </w:r>
            <w:r w:rsidR="00950232" w:rsidRPr="00F77E7A">
              <w:rPr>
                <w:rFonts w:ascii="Arial Narrow" w:hAnsi="Arial Narrow"/>
                <w:color w:val="000000"/>
                <w:sz w:val="20"/>
                <w:szCs w:val="18"/>
              </w:rPr>
              <w:t>,</w:t>
            </w:r>
            <w:r w:rsidRPr="00F77E7A">
              <w:rPr>
                <w:rFonts w:ascii="Arial Narrow" w:hAnsi="Arial Narrow"/>
                <w:color w:val="000000"/>
                <w:sz w:val="20"/>
                <w:szCs w:val="18"/>
              </w:rPr>
              <w:t xml:space="preserve"> 0.10)</w:t>
            </w:r>
          </w:p>
        </w:tc>
      </w:tr>
      <w:tr w:rsidR="00B62715" w:rsidRPr="00F77E7A" w:rsidTr="00461E25">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353738" w:rsidP="00EF2E6B">
            <w:pPr>
              <w:keepNext/>
              <w:keepLines/>
              <w:widowControl/>
              <w:rPr>
                <w:rFonts w:ascii="Arial Narrow" w:hAnsi="Arial Narrow"/>
                <w:color w:val="000000"/>
                <w:sz w:val="20"/>
                <w:szCs w:val="18"/>
              </w:rPr>
            </w:pPr>
            <w:r w:rsidRPr="00F77E7A">
              <w:rPr>
                <w:rFonts w:ascii="Arial Narrow" w:hAnsi="Arial Narrow"/>
                <w:b/>
                <w:color w:val="000000"/>
                <w:sz w:val="20"/>
                <w:szCs w:val="18"/>
              </w:rPr>
              <w:t>Patients with a</w:t>
            </w:r>
            <w:r w:rsidR="0058581F" w:rsidRPr="00F77E7A">
              <w:rPr>
                <w:rFonts w:ascii="Arial Narrow" w:hAnsi="Arial Narrow"/>
                <w:b/>
                <w:color w:val="000000"/>
                <w:sz w:val="20"/>
                <w:szCs w:val="18"/>
              </w:rPr>
              <w:t>ny AE</w:t>
            </w:r>
          </w:p>
        </w:tc>
      </w:tr>
      <w:tr w:rsidR="007F4A61" w:rsidRPr="00F77E7A" w:rsidTr="00F1660F">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715" w:rsidRPr="00F77E7A" w:rsidRDefault="0058581F" w:rsidP="00EF2E6B">
            <w:pPr>
              <w:keepNext/>
              <w:keepLines/>
              <w:widowControl/>
              <w:rPr>
                <w:rFonts w:ascii="Arial Narrow" w:hAnsi="Arial Narrow"/>
                <w:color w:val="000000"/>
                <w:sz w:val="20"/>
                <w:szCs w:val="18"/>
              </w:rPr>
            </w:pPr>
            <w:r w:rsidRPr="00F77E7A">
              <w:rPr>
                <w:rFonts w:ascii="Arial Narrow" w:hAnsi="Arial Narrow"/>
                <w:color w:val="000000"/>
                <w:sz w:val="20"/>
                <w:szCs w:val="18"/>
              </w:rPr>
              <w:t>Study 108</w:t>
            </w:r>
          </w:p>
        </w:tc>
        <w:tc>
          <w:tcPr>
            <w:tcW w:w="635" w:type="pct"/>
            <w:gridSpan w:val="4"/>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117/</w:t>
            </w:r>
            <w:r w:rsidR="002A7376" w:rsidRPr="00F77E7A">
              <w:rPr>
                <w:rFonts w:ascii="Arial Narrow" w:hAnsi="Arial Narrow"/>
                <w:color w:val="000000"/>
                <w:sz w:val="20"/>
              </w:rPr>
              <w:t>162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126/</w:t>
            </w:r>
            <w:r w:rsidR="002A7376" w:rsidRPr="00F77E7A">
              <w:rPr>
                <w:rFonts w:ascii="Arial Narrow" w:hAnsi="Arial Narrow"/>
                <w:color w:val="000000"/>
                <w:sz w:val="20"/>
              </w:rPr>
              <w:t>162</w:t>
            </w:r>
          </w:p>
        </w:tc>
        <w:tc>
          <w:tcPr>
            <w:tcW w:w="689" w:type="pct"/>
            <w:tcBorders>
              <w:top w:val="single" w:sz="4" w:space="0" w:color="auto"/>
              <w:left w:val="single" w:sz="4" w:space="0" w:color="auto"/>
              <w:bottom w:val="single" w:sz="4" w:space="0" w:color="auto"/>
              <w:right w:val="single" w:sz="4" w:space="0" w:color="auto"/>
            </w:tcBorders>
            <w:vAlign w:val="center"/>
          </w:tcPr>
          <w:p w:rsidR="0058581F" w:rsidRPr="00F77E7A" w:rsidRDefault="0058581F" w:rsidP="00EF2E6B">
            <w:pPr>
              <w:keepNext/>
              <w:keepLines/>
              <w:widowControl/>
              <w:jc w:val="center"/>
              <w:rPr>
                <w:rFonts w:ascii="Arial Narrow" w:hAnsi="Arial Narrow"/>
                <w:color w:val="000000"/>
                <w:sz w:val="20"/>
              </w:rPr>
            </w:pPr>
            <w:r w:rsidRPr="00F77E7A">
              <w:rPr>
                <w:rFonts w:ascii="Arial Narrow" w:hAnsi="Arial Narrow"/>
                <w:color w:val="000000"/>
                <w:sz w:val="20"/>
              </w:rPr>
              <w:t xml:space="preserve">0.98 </w:t>
            </w:r>
          </w:p>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 xml:space="preserve"> (0.79</w:t>
            </w:r>
            <w:r w:rsidR="00950232" w:rsidRPr="00F77E7A">
              <w:rPr>
                <w:rFonts w:ascii="Arial Narrow" w:hAnsi="Arial Narrow"/>
                <w:color w:val="000000"/>
                <w:sz w:val="20"/>
              </w:rPr>
              <w:t>,</w:t>
            </w:r>
            <w:r w:rsidRPr="00F77E7A">
              <w:rPr>
                <w:rFonts w:ascii="Arial Narrow" w:hAnsi="Arial Narrow"/>
                <w:color w:val="000000"/>
                <w:sz w:val="20"/>
              </w:rPr>
              <w:t xml:space="preserve"> 1.22)</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72.3</w:t>
            </w:r>
          </w:p>
        </w:tc>
        <w:tc>
          <w:tcPr>
            <w:tcW w:w="759" w:type="pct"/>
            <w:tcBorders>
              <w:top w:val="single" w:sz="4" w:space="0" w:color="auto"/>
              <w:left w:val="single" w:sz="4" w:space="0" w:color="auto"/>
              <w:bottom w:val="single" w:sz="4" w:space="0" w:color="auto"/>
              <w:right w:val="single" w:sz="4" w:space="0" w:color="auto"/>
            </w:tcBorders>
            <w:vAlign w:val="center"/>
          </w:tcPr>
          <w:p w:rsidR="00B62715" w:rsidRPr="00F77E7A" w:rsidRDefault="0058581F" w:rsidP="00EF2E6B">
            <w:pPr>
              <w:keepNext/>
              <w:keepLines/>
              <w:widowControl/>
              <w:jc w:val="center"/>
              <w:rPr>
                <w:rFonts w:ascii="Arial Narrow" w:hAnsi="Arial Narrow"/>
                <w:color w:val="000000"/>
                <w:sz w:val="20"/>
                <w:szCs w:val="18"/>
              </w:rPr>
            </w:pPr>
            <w:r w:rsidRPr="00F77E7A">
              <w:rPr>
                <w:rFonts w:ascii="Arial Narrow" w:hAnsi="Arial Narrow"/>
                <w:color w:val="000000"/>
                <w:sz w:val="20"/>
              </w:rPr>
              <w:t>78.3</w:t>
            </w:r>
          </w:p>
        </w:tc>
        <w:tc>
          <w:tcPr>
            <w:tcW w:w="767" w:type="pct"/>
            <w:tcBorders>
              <w:top w:val="single" w:sz="4" w:space="0" w:color="auto"/>
              <w:left w:val="single" w:sz="4" w:space="0" w:color="auto"/>
              <w:bottom w:val="single" w:sz="4" w:space="0" w:color="auto"/>
              <w:right w:val="single" w:sz="4" w:space="0" w:color="auto"/>
            </w:tcBorders>
            <w:vAlign w:val="center"/>
          </w:tcPr>
          <w:p w:rsidR="00AC3A7B" w:rsidRPr="00F77E7A" w:rsidRDefault="00AC3A7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-0.06</w:t>
            </w:r>
          </w:p>
          <w:p w:rsidR="00B62715" w:rsidRPr="00F77E7A" w:rsidRDefault="00AC3A7B" w:rsidP="00EF2E6B">
            <w:pPr>
              <w:keepNext/>
              <w:keepLines/>
              <w:widowControl/>
              <w:jc w:val="center"/>
              <w:rPr>
                <w:rFonts w:ascii="Arial Narrow" w:hAnsi="Arial Narrow"/>
                <w:color w:val="000000"/>
                <w:sz w:val="20"/>
                <w:szCs w:val="18"/>
              </w:rPr>
            </w:pPr>
            <w:r w:rsidRPr="00F77E7A">
              <w:rPr>
                <w:rFonts w:ascii="Arial Narrow" w:hAnsi="Arial Narrow"/>
                <w:color w:val="000000"/>
                <w:sz w:val="20"/>
                <w:szCs w:val="18"/>
              </w:rPr>
              <w:t>(-0.2</w:t>
            </w:r>
            <w:r w:rsidR="00950232" w:rsidRPr="00F77E7A">
              <w:rPr>
                <w:rFonts w:ascii="Arial Narrow" w:hAnsi="Arial Narrow"/>
                <w:color w:val="000000"/>
                <w:sz w:val="20"/>
                <w:szCs w:val="18"/>
              </w:rPr>
              <w:t>,</w:t>
            </w:r>
            <w:r w:rsidRPr="00F77E7A">
              <w:rPr>
                <w:rFonts w:ascii="Arial Narrow" w:hAnsi="Arial Narrow"/>
                <w:color w:val="000000"/>
                <w:sz w:val="20"/>
                <w:szCs w:val="18"/>
              </w:rPr>
              <w:t xml:space="preserve"> 0.04)</w:t>
            </w:r>
          </w:p>
        </w:tc>
      </w:tr>
    </w:tbl>
    <w:p w:rsidR="0092371C" w:rsidRPr="00F77E7A" w:rsidRDefault="0092371C" w:rsidP="00EF2E6B">
      <w:pPr>
        <w:pStyle w:val="TableFooter"/>
        <w:keepNext/>
        <w:keepLines/>
        <w:widowControl/>
      </w:pPr>
      <w:r w:rsidRPr="00F77E7A">
        <w:t xml:space="preserve">Abbreviations: AE = adverse event; </w:t>
      </w:r>
      <w:r w:rsidR="0058581F" w:rsidRPr="00F77E7A">
        <w:t xml:space="preserve">BSC= best supportive care; </w:t>
      </w:r>
      <w:r w:rsidRPr="00F77E7A">
        <w:t xml:space="preserve">CI = confidence interval; </w:t>
      </w:r>
      <w:r w:rsidR="0058581F" w:rsidRPr="00F77E7A">
        <w:t>IVA ivacaftor; pp</w:t>
      </w:r>
      <w:r w:rsidRPr="00F77E7A">
        <w:t>FEV</w:t>
      </w:r>
      <w:r w:rsidRPr="00F77E7A">
        <w:rPr>
          <w:vertAlign w:val="subscript"/>
        </w:rPr>
        <w:t>1</w:t>
      </w:r>
      <w:r w:rsidRPr="00F77E7A">
        <w:t xml:space="preserve"> = predicted </w:t>
      </w:r>
      <w:r w:rsidR="0058581F" w:rsidRPr="00F77E7A">
        <w:t>expiratory volume in one second;</w:t>
      </w:r>
      <w:r w:rsidRPr="00F77E7A">
        <w:t xml:space="preserve"> RD = risk difference; RR = risk ratio; SD = standard deviation; </w:t>
      </w:r>
      <w:r w:rsidR="0058581F" w:rsidRPr="00F77E7A">
        <w:t>TEZ= tezacaftor</w:t>
      </w:r>
    </w:p>
    <w:p w:rsidR="007F4A61" w:rsidRPr="00F77E7A" w:rsidRDefault="0058581F" w:rsidP="00EF2E6B">
      <w:pPr>
        <w:pStyle w:val="TableFooter"/>
        <w:keepNext/>
        <w:keepLines/>
        <w:widowControl/>
      </w:pPr>
      <w:r w:rsidRPr="00F77E7A">
        <w:t>Source: Table 2.2.22, p. 174 of the Submission.</w:t>
      </w:r>
    </w:p>
    <w:p w:rsidR="0058581F" w:rsidRPr="00F77E7A" w:rsidRDefault="0058581F" w:rsidP="00EF2E6B">
      <w:pPr>
        <w:pStyle w:val="TableFooter"/>
        <w:keepNext/>
        <w:keepLines/>
        <w:widowControl/>
      </w:pPr>
      <w:r w:rsidRPr="00F77E7A">
        <w:t xml:space="preserve">* Mean treatment duration: 7.9 weeks </w:t>
      </w:r>
    </w:p>
    <w:p w:rsidR="00B60939" w:rsidRPr="00F77E7A" w:rsidRDefault="00B60939" w:rsidP="00C33949">
      <w:pPr>
        <w:pStyle w:val="Heading2"/>
        <w:widowControl/>
        <w:spacing w:before="120"/>
      </w:pPr>
      <w:bookmarkStart w:id="10" w:name="_Toc532280241"/>
      <w:r w:rsidRPr="00F77E7A">
        <w:t>Clinical claim</w:t>
      </w:r>
      <w:bookmarkEnd w:id="10"/>
    </w:p>
    <w:p w:rsidR="00AA064A" w:rsidRPr="00F77E7A" w:rsidRDefault="00BD6486" w:rsidP="00C33949">
      <w:pPr>
        <w:pStyle w:val="ListParagraph"/>
        <w:widowControl/>
        <w:numPr>
          <w:ilvl w:val="1"/>
          <w:numId w:val="2"/>
        </w:numPr>
        <w:spacing w:before="120" w:after="120"/>
      </w:pPr>
      <w:r w:rsidRPr="00F77E7A">
        <w:t xml:space="preserve">The submission claimed that tezacaftor/ivacaftor was superior in terms of effectiveness compared with BSC and non-inferior in terms of safety compared </w:t>
      </w:r>
      <w:r w:rsidR="00242EB9" w:rsidRPr="00F77E7A">
        <w:t xml:space="preserve">with </w:t>
      </w:r>
      <w:r w:rsidRPr="00F77E7A">
        <w:t>BSC</w:t>
      </w:r>
      <w:r w:rsidR="00AA064A" w:rsidRPr="00F77E7A">
        <w:t>.</w:t>
      </w:r>
      <w:r w:rsidR="0044369C" w:rsidRPr="00F77E7A">
        <w:t xml:space="preserve"> </w:t>
      </w:r>
      <w:r w:rsidR="00145D97" w:rsidRPr="00F77E7A">
        <w:t xml:space="preserve">The submission </w:t>
      </w:r>
      <w:r w:rsidR="003F0A17" w:rsidRPr="00F77E7A">
        <w:t>claimed that the main objective of CF treatment is to minimise the rate of deterioration (in the lung</w:t>
      </w:r>
      <w:r w:rsidR="006D6D64" w:rsidRPr="00F77E7A">
        <w:t>, as measured by ppFEV</w:t>
      </w:r>
      <w:r w:rsidR="006D6D64" w:rsidRPr="00F77E7A">
        <w:rPr>
          <w:vertAlign w:val="subscript"/>
        </w:rPr>
        <w:t>1</w:t>
      </w:r>
      <w:r w:rsidR="006D6D64" w:rsidRPr="00F77E7A">
        <w:t>,</w:t>
      </w:r>
      <w:r w:rsidR="003F0A17" w:rsidRPr="00F77E7A">
        <w:t xml:space="preserve"> and elsewhere) over time</w:t>
      </w:r>
      <w:r w:rsidR="0044369C" w:rsidRPr="00F77E7A">
        <w:t xml:space="preserve">. </w:t>
      </w:r>
    </w:p>
    <w:p w:rsidR="001E5575" w:rsidRPr="00F77E7A" w:rsidRDefault="00754DDF" w:rsidP="00C33949">
      <w:pPr>
        <w:pStyle w:val="ListParagraph"/>
        <w:widowControl/>
        <w:numPr>
          <w:ilvl w:val="1"/>
          <w:numId w:val="2"/>
        </w:numPr>
        <w:spacing w:before="120" w:after="120"/>
      </w:pPr>
      <w:r w:rsidRPr="00F77E7A">
        <w:t xml:space="preserve">As per previous </w:t>
      </w:r>
      <w:r w:rsidR="00F1660F" w:rsidRPr="00F77E7A">
        <w:t xml:space="preserve">CFTR modulator </w:t>
      </w:r>
      <w:r w:rsidRPr="00F77E7A">
        <w:t>submissions, efficacy was defined in terms of intermediate outcomes, and the duration of follow-up was short (8 weeks in Study</w:t>
      </w:r>
      <w:r w:rsidR="004F5727" w:rsidRPr="00F77E7A">
        <w:t> </w:t>
      </w:r>
      <w:r w:rsidRPr="00F77E7A">
        <w:t>108)</w:t>
      </w:r>
      <w:r w:rsidR="00376B94" w:rsidRPr="00F77E7A">
        <w:t>, hence</w:t>
      </w:r>
      <w:r w:rsidR="00B35943" w:rsidRPr="00F77E7A">
        <w:t xml:space="preserve">, the </w:t>
      </w:r>
      <w:r w:rsidR="00DB1367" w:rsidRPr="00F77E7A">
        <w:t>clinical claim</w:t>
      </w:r>
      <w:r w:rsidR="00B35943" w:rsidRPr="00F77E7A">
        <w:t xml:space="preserve"> presented in the submission </w:t>
      </w:r>
      <w:r w:rsidR="00F1660F" w:rsidRPr="00F77E7A">
        <w:t>wa</w:t>
      </w:r>
      <w:r w:rsidR="00B35943" w:rsidRPr="00F77E7A">
        <w:t xml:space="preserve">s only partly supported by the evidence and the long-term implications for efficacy and safety are unknown. </w:t>
      </w:r>
      <w:r w:rsidR="00AA064A" w:rsidRPr="00F77E7A">
        <w:t xml:space="preserve">Data from the lumacaftor/ivacaftor PROGRESS study </w:t>
      </w:r>
      <w:r w:rsidR="009D33FA" w:rsidRPr="00F77E7A">
        <w:t>demonstrated</w:t>
      </w:r>
      <w:r w:rsidR="00AA064A" w:rsidRPr="00F77E7A">
        <w:t xml:space="preserve"> that the increase </w:t>
      </w:r>
      <w:r w:rsidR="002410CF" w:rsidRPr="00F77E7A">
        <w:t>in</w:t>
      </w:r>
      <w:r w:rsidR="00AA064A" w:rsidRPr="00F77E7A">
        <w:t xml:space="preserve"> ppFEV</w:t>
      </w:r>
      <w:r w:rsidR="00AA064A" w:rsidRPr="00F77E7A">
        <w:rPr>
          <w:vertAlign w:val="subscript"/>
        </w:rPr>
        <w:t>1</w:t>
      </w:r>
      <w:r w:rsidR="00AA064A" w:rsidRPr="00F77E7A">
        <w:t xml:space="preserve"> </w:t>
      </w:r>
      <w:r w:rsidR="00B81AD7" w:rsidRPr="00F77E7A">
        <w:t xml:space="preserve">at </w:t>
      </w:r>
      <w:r w:rsidR="007D162D" w:rsidRPr="00F77E7A">
        <w:t xml:space="preserve">extension week </w:t>
      </w:r>
      <w:r w:rsidR="00B35943" w:rsidRPr="00F77E7A">
        <w:t>96</w:t>
      </w:r>
      <w:r w:rsidR="00B81AD7" w:rsidRPr="00F77E7A">
        <w:t xml:space="preserve"> </w:t>
      </w:r>
      <w:r w:rsidR="007D162D" w:rsidRPr="00F77E7A">
        <w:t xml:space="preserve">(i.e. up to 120 weeks of continuous treatment) </w:t>
      </w:r>
      <w:r w:rsidR="009D33FA" w:rsidRPr="00F77E7A">
        <w:t xml:space="preserve">for patients homozygous for the F508del mutation </w:t>
      </w:r>
      <w:r w:rsidR="00AA064A" w:rsidRPr="00F77E7A">
        <w:t>was not maintained in the long</w:t>
      </w:r>
      <w:r w:rsidR="00DB1367" w:rsidRPr="00F77E7A">
        <w:t>-</w:t>
      </w:r>
      <w:r w:rsidR="00AA064A" w:rsidRPr="00F77E7A">
        <w:t>run</w:t>
      </w:r>
      <w:r w:rsidR="00F72E6B" w:rsidRPr="00F77E7A">
        <w:t xml:space="preserve"> </w:t>
      </w:r>
      <w:r w:rsidR="00AA064A" w:rsidRPr="00F77E7A">
        <w:t>(</w:t>
      </w:r>
      <w:r w:rsidR="00F72E6B" w:rsidRPr="00F77E7A">
        <w:t xml:space="preserve">lumacaftor/ivacaftor (aged 12+ years) </w:t>
      </w:r>
      <w:r w:rsidR="00AA064A" w:rsidRPr="00F77E7A">
        <w:t xml:space="preserve">PSD July 2018, </w:t>
      </w:r>
      <w:r w:rsidR="00F72E6B" w:rsidRPr="00F77E7A">
        <w:t>paragraph</w:t>
      </w:r>
      <w:r w:rsidR="00AA064A" w:rsidRPr="00F77E7A">
        <w:t xml:space="preserve"> 3.6)</w:t>
      </w:r>
      <w:r w:rsidR="004F5727" w:rsidRPr="00F77E7A">
        <w:t xml:space="preserve"> – see </w:t>
      </w:r>
      <w:r w:rsidR="00012ACD" w:rsidRPr="00F77E7A">
        <w:t xml:space="preserve">Figure </w:t>
      </w:r>
      <w:r w:rsidR="00CD3523" w:rsidRPr="00F77E7A">
        <w:t>4</w:t>
      </w:r>
      <w:r w:rsidR="00AA064A" w:rsidRPr="00F77E7A">
        <w:t xml:space="preserve">. </w:t>
      </w:r>
      <w:r w:rsidR="00E600AE" w:rsidRPr="00F77E7A">
        <w:t>T</w:t>
      </w:r>
      <w:r w:rsidR="0048168C" w:rsidRPr="00F77E7A">
        <w:t>he follow</w:t>
      </w:r>
      <w:r w:rsidR="00AC3A7B" w:rsidRPr="00F77E7A">
        <w:t>-</w:t>
      </w:r>
      <w:r w:rsidR="0048168C" w:rsidRPr="00F77E7A">
        <w:t xml:space="preserve">up period </w:t>
      </w:r>
      <w:r w:rsidR="00E600AE" w:rsidRPr="00F77E7A">
        <w:t xml:space="preserve">for </w:t>
      </w:r>
      <w:r w:rsidR="0048168C" w:rsidRPr="00F77E7A">
        <w:t xml:space="preserve">Study 108 </w:t>
      </w:r>
      <w:r w:rsidR="006338EE" w:rsidRPr="00F77E7A">
        <w:t xml:space="preserve">(of 8 weeks) </w:t>
      </w:r>
      <w:r w:rsidR="00DB1367" w:rsidRPr="00F77E7A">
        <w:t>wa</w:t>
      </w:r>
      <w:r w:rsidR="0048168C" w:rsidRPr="00F77E7A">
        <w:t xml:space="preserve">s shorter </w:t>
      </w:r>
      <w:r w:rsidR="00DB1367" w:rsidRPr="00F77E7A">
        <w:t>than</w:t>
      </w:r>
      <w:r w:rsidR="0048168C" w:rsidRPr="00F77E7A">
        <w:t xml:space="preserve"> that studied in patients</w:t>
      </w:r>
      <w:r w:rsidR="00F72E6B" w:rsidRPr="00F77E7A">
        <w:t xml:space="preserve"> who are</w:t>
      </w:r>
      <w:r w:rsidR="0048168C" w:rsidRPr="00F77E7A">
        <w:t xml:space="preserve"> homozygous </w:t>
      </w:r>
      <w:r w:rsidR="00F72E6B" w:rsidRPr="00F77E7A">
        <w:t>for the</w:t>
      </w:r>
      <w:r w:rsidR="0048168C" w:rsidRPr="00F77E7A">
        <w:t xml:space="preserve"> F508del mutation (24 weeks in EVOLVE</w:t>
      </w:r>
      <w:r w:rsidR="006D6D64" w:rsidRPr="00F77E7A">
        <w:t xml:space="preserve"> for tezacaftor/ivacaftor</w:t>
      </w:r>
      <w:r w:rsidR="0048168C" w:rsidRPr="00F77E7A">
        <w:t xml:space="preserve"> and TRAFFIC/TRANSPORT</w:t>
      </w:r>
      <w:r w:rsidR="006D6D64" w:rsidRPr="00F77E7A">
        <w:t xml:space="preserve"> in lumacaftor/ivacaftor</w:t>
      </w:r>
      <w:r w:rsidR="0048168C" w:rsidRPr="00F77E7A">
        <w:t xml:space="preserve">). Regarding CF treatment duration in clinical trials, the TGA </w:t>
      </w:r>
      <w:r w:rsidR="00AC3A7B" w:rsidRPr="00F77E7A">
        <w:t>CER</w:t>
      </w:r>
      <w:r w:rsidR="0048168C" w:rsidRPr="00F77E7A">
        <w:t xml:space="preserve"> noted that international guidelines for CF recommended that efficacy should be assessed at least with a treatment duration of </w:t>
      </w:r>
      <w:r w:rsidR="004C0A74" w:rsidRPr="00F77E7A">
        <w:t xml:space="preserve">at least </w:t>
      </w:r>
      <w:r w:rsidR="0048168C" w:rsidRPr="00F77E7A">
        <w:t>6 months to estimate efficacy.</w:t>
      </w:r>
      <w:r w:rsidR="00397E48" w:rsidRPr="00F77E7A">
        <w:t xml:space="preserve"> </w:t>
      </w:r>
    </w:p>
    <w:p w:rsidR="001E5575" w:rsidRPr="00F77E7A" w:rsidRDefault="001E5575" w:rsidP="001E5575">
      <w:pPr>
        <w:keepNext/>
        <w:keepLines/>
        <w:widowControl/>
        <w:rPr>
          <w:rStyle w:val="CommentReference"/>
        </w:rPr>
      </w:pPr>
      <w:r w:rsidRPr="00F77E7A">
        <w:rPr>
          <w:rStyle w:val="CommentReference"/>
        </w:rPr>
        <w:t>Figure 4: Absolute change from baseline in ppFEV</w:t>
      </w:r>
      <w:r w:rsidRPr="00F77E7A">
        <w:rPr>
          <w:rStyle w:val="CommentReference"/>
          <w:vertAlign w:val="subscript"/>
        </w:rPr>
        <w:t>1</w:t>
      </w:r>
      <w:r w:rsidRPr="00F77E7A">
        <w:rPr>
          <w:rStyle w:val="CommentReference"/>
        </w:rPr>
        <w:t xml:space="preserve"> at each visit for Study 108 (treatment period 2) and Study 110 in RF mutation patients treated with tezacaftor/ivacaftor, and for TRAFFIC/TRANSPORT and PROGRESS in F508del homozygous patients treated with lumacaftor/ivacaftor</w:t>
      </w:r>
    </w:p>
    <w:p w:rsidR="001E5575" w:rsidRPr="00F77E7A" w:rsidRDefault="001E5575" w:rsidP="001E5575">
      <w:pPr>
        <w:keepNext/>
        <w:keepLines/>
        <w:widowControl/>
      </w:pPr>
      <w:r w:rsidRPr="00F77E7A">
        <w:rPr>
          <w:noProof/>
          <w:lang w:eastAsia="en-AU"/>
        </w:rPr>
        <w:drawing>
          <wp:inline distT="0" distB="0" distL="0" distR="0" wp14:anchorId="4CED06FA" wp14:editId="3C318567">
            <wp:extent cx="5887720" cy="1692194"/>
            <wp:effectExtent l="0" t="0" r="0" b="3810"/>
            <wp:docPr id="8" name="Picture 8" title="Absolute change from baseline in ppFEV1 at each visit for Study 108 (treatment period 2) and Study 110 in RF mutation patients treated with tezacaftor/ivacaftor, and for TRAFFIC/TRANSPORT and PROGRESS in F508del homozygous patients treated with lumacaftor/ivacaf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887720" cy="1692194"/>
                    </a:xfrm>
                    <a:prstGeom prst="rect">
                      <a:avLst/>
                    </a:prstGeom>
                    <a:noFill/>
                    <a:ln>
                      <a:noFill/>
                    </a:ln>
                    <a:extLst>
                      <a:ext uri="{53640926-AAD7-44D8-BBD7-CCE9431645EC}">
                        <a14:shadowObscured xmlns:a14="http://schemas.microsoft.com/office/drawing/2010/main"/>
                      </a:ext>
                    </a:extLst>
                  </pic:spPr>
                </pic:pic>
              </a:graphicData>
            </a:graphic>
          </wp:inline>
        </w:drawing>
      </w:r>
    </w:p>
    <w:p w:rsidR="001E5575" w:rsidRPr="00F77E7A" w:rsidRDefault="001E5575" w:rsidP="001E5575">
      <w:pPr>
        <w:keepNext/>
        <w:keepLines/>
        <w:widowControl/>
        <w:rPr>
          <w:rFonts w:ascii="Arial Narrow" w:hAnsi="Arial Narrow"/>
          <w:sz w:val="18"/>
        </w:rPr>
      </w:pPr>
      <w:r w:rsidRPr="00F77E7A">
        <w:rPr>
          <w:rFonts w:ascii="Arial Narrow" w:hAnsi="Arial Narrow"/>
          <w:sz w:val="18"/>
        </w:rPr>
        <w:t>Abbreviations: ppFEV1= percent predicted forced expiratory volume in one second.</w:t>
      </w:r>
    </w:p>
    <w:p w:rsidR="001E5575" w:rsidRPr="00F77E7A" w:rsidRDefault="001E5575" w:rsidP="001E5575">
      <w:pPr>
        <w:keepNext/>
        <w:keepLines/>
        <w:widowControl/>
        <w:rPr>
          <w:rFonts w:ascii="Arial Narrow" w:hAnsi="Arial Narrow"/>
          <w:sz w:val="18"/>
        </w:rPr>
      </w:pPr>
      <w:r w:rsidRPr="00F77E7A">
        <w:rPr>
          <w:rFonts w:ascii="Arial Narrow" w:hAnsi="Arial Narrow"/>
          <w:sz w:val="18"/>
        </w:rPr>
        <w:t xml:space="preserve">Source: prepared within the evaluation. </w:t>
      </w:r>
    </w:p>
    <w:p w:rsidR="001E5575" w:rsidRPr="00F77E7A" w:rsidRDefault="001E5575" w:rsidP="001E5575">
      <w:pPr>
        <w:keepNext/>
        <w:keepLines/>
        <w:widowControl/>
        <w:rPr>
          <w:rFonts w:ascii="Arial Narrow" w:hAnsi="Arial Narrow"/>
          <w:sz w:val="18"/>
        </w:rPr>
      </w:pPr>
    </w:p>
    <w:p w:rsidR="006D6D64" w:rsidRPr="00F77E7A" w:rsidRDefault="00397E48" w:rsidP="00C33949">
      <w:pPr>
        <w:pStyle w:val="ListParagraph"/>
        <w:widowControl/>
        <w:numPr>
          <w:ilvl w:val="1"/>
          <w:numId w:val="2"/>
        </w:numPr>
        <w:spacing w:before="120" w:after="120"/>
      </w:pPr>
      <w:r w:rsidRPr="00F77E7A">
        <w:t>The ESC considered the</w:t>
      </w:r>
      <w:r w:rsidR="009D717A" w:rsidRPr="00F77E7A">
        <w:t xml:space="preserve"> claim of superior efficacy compared with BSC</w:t>
      </w:r>
      <w:r w:rsidRPr="00F77E7A">
        <w:t xml:space="preserve"> </w:t>
      </w:r>
      <w:r w:rsidR="009D717A" w:rsidRPr="00F77E7A">
        <w:t>was supported</w:t>
      </w:r>
      <w:r w:rsidR="00A24D71" w:rsidRPr="00F77E7A">
        <w:t xml:space="preserve"> in the short</w:t>
      </w:r>
      <w:r w:rsidR="006D6D64" w:rsidRPr="00F77E7A">
        <w:t>-</w:t>
      </w:r>
      <w:r w:rsidR="00A24D71" w:rsidRPr="00F77E7A">
        <w:t>term</w:t>
      </w:r>
      <w:r w:rsidR="009D717A" w:rsidRPr="00F77E7A">
        <w:t xml:space="preserve"> by the evidence from Study 108 and Study 110. However, the ESC considered the long</w:t>
      </w:r>
      <w:r w:rsidR="006D6D64" w:rsidRPr="00F77E7A">
        <w:t>-</w:t>
      </w:r>
      <w:r w:rsidR="009D717A" w:rsidRPr="00F77E7A">
        <w:t>term comparative efficacy of tezacaftor/ivacaftor to be uncertain given the absence of data beyond 24 weeks</w:t>
      </w:r>
      <w:r w:rsidR="00081033" w:rsidRPr="00F77E7A">
        <w:t>,</w:t>
      </w:r>
      <w:r w:rsidR="00A24D71" w:rsidRPr="00F77E7A">
        <w:t xml:space="preserve"> particularly in the context of a life-long disease</w:t>
      </w:r>
      <w:r w:rsidR="009D717A" w:rsidRPr="00F77E7A">
        <w:t>.</w:t>
      </w:r>
      <w:r w:rsidR="008D77EA" w:rsidRPr="00F77E7A">
        <w:rPr>
          <w:i/>
        </w:rPr>
        <w:t xml:space="preserve"> </w:t>
      </w:r>
    </w:p>
    <w:p w:rsidR="006E3718" w:rsidRPr="00F77E7A" w:rsidRDefault="008D77EA" w:rsidP="00C33949">
      <w:pPr>
        <w:pStyle w:val="ListParagraph"/>
        <w:widowControl/>
        <w:numPr>
          <w:ilvl w:val="1"/>
          <w:numId w:val="2"/>
        </w:numPr>
        <w:spacing w:before="120" w:after="120"/>
      </w:pPr>
      <w:r w:rsidRPr="00F77E7A">
        <w:t xml:space="preserve">The ESC noted that </w:t>
      </w:r>
      <w:r w:rsidR="00557694" w:rsidRPr="00F77E7A">
        <w:t>not all known RF mutations</w:t>
      </w:r>
      <w:r w:rsidR="006D6D64" w:rsidRPr="00F77E7A">
        <w:t xml:space="preserve"> have clinical data to suggest a positive clinical benefit</w:t>
      </w:r>
      <w:r w:rsidR="00557694" w:rsidRPr="00F77E7A">
        <w:t xml:space="preserve"> </w:t>
      </w:r>
      <w:r w:rsidR="006D6D64" w:rsidRPr="00F77E7A">
        <w:t xml:space="preserve">and of those RF mutations </w:t>
      </w:r>
      <w:r w:rsidR="00830A2B" w:rsidRPr="00F77E7A">
        <w:t>included</w:t>
      </w:r>
      <w:r w:rsidR="005155B5" w:rsidRPr="00F77E7A">
        <w:t xml:space="preserve"> in Study 108</w:t>
      </w:r>
      <w:r w:rsidR="006D6D64" w:rsidRPr="00F77E7A">
        <w:t xml:space="preserve">, each was associated with </w:t>
      </w:r>
      <w:r w:rsidR="00756705" w:rsidRPr="00F77E7A">
        <w:rPr>
          <w:rFonts w:cs="Calibri"/>
        </w:rPr>
        <w:t>≤</w:t>
      </w:r>
      <w:r w:rsidR="00756705" w:rsidRPr="00F77E7A">
        <w:t xml:space="preserve">21 </w:t>
      </w:r>
      <w:r w:rsidR="005155B5" w:rsidRPr="00F77E7A">
        <w:t>patients</w:t>
      </w:r>
      <w:r w:rsidR="00756705" w:rsidRPr="00F77E7A">
        <w:t xml:space="preserve">. </w:t>
      </w:r>
      <w:r w:rsidR="006D6D64" w:rsidRPr="00F77E7A">
        <w:t xml:space="preserve">The ESC noted the potential heterogeneity of outcomes across patients with RF mutations and therefore </w:t>
      </w:r>
      <w:r w:rsidR="00756705" w:rsidRPr="00F77E7A">
        <w:t>considered the</w:t>
      </w:r>
      <w:r w:rsidR="006D6D64" w:rsidRPr="00F77E7A">
        <w:t xml:space="preserve"> magnitude of</w:t>
      </w:r>
      <w:r w:rsidR="00756705" w:rsidRPr="00F77E7A">
        <w:t xml:space="preserve"> </w:t>
      </w:r>
      <w:r w:rsidR="006D6D64" w:rsidRPr="00F77E7A">
        <w:t>effectiveness of tezacaftor/ivacaftor across the group of requested RF mutations to be uncertain</w:t>
      </w:r>
      <w:r w:rsidR="00756705" w:rsidRPr="00F77E7A">
        <w:t xml:space="preserve">. </w:t>
      </w:r>
      <w:r w:rsidR="00FB6BAB" w:rsidRPr="00F77E7A">
        <w:t xml:space="preserve">The pre-PBAC Response </w:t>
      </w:r>
      <w:r w:rsidR="00901100" w:rsidRPr="00F77E7A">
        <w:t>noted</w:t>
      </w:r>
      <w:r w:rsidR="00FB6BAB" w:rsidRPr="00F77E7A">
        <w:t xml:space="preserve"> </w:t>
      </w:r>
      <w:r w:rsidR="001E5575" w:rsidRPr="00F77E7A">
        <w:t>“</w:t>
      </w:r>
      <w:r w:rsidR="00FB6BAB" w:rsidRPr="00F77E7A">
        <w:t xml:space="preserve">given the rarity of these mutations, well-powered clinical studies that evaluate each individual CFTR genotype </w:t>
      </w:r>
      <w:r w:rsidR="00421064" w:rsidRPr="00F77E7A">
        <w:t xml:space="preserve">will </w:t>
      </w:r>
      <w:r w:rsidR="00FB6BAB" w:rsidRPr="00F77E7A">
        <w:t>not be possible</w:t>
      </w:r>
      <w:r w:rsidR="001E5575" w:rsidRPr="00F77E7A">
        <w:t>”</w:t>
      </w:r>
      <w:r w:rsidR="00FB6BAB" w:rsidRPr="00F77E7A">
        <w:t>. The pre-PBAC Response further noted that all 10 RF mutations represented in the Australian Cystic Fibrosis Data Registry from 2015 to 2016 were included in the clinical trial</w:t>
      </w:r>
      <w:r w:rsidR="00A03A26" w:rsidRPr="00F77E7A">
        <w:t xml:space="preserve">. </w:t>
      </w:r>
    </w:p>
    <w:p w:rsidR="00012ACD" w:rsidRPr="00F77E7A" w:rsidRDefault="00A24D71" w:rsidP="00C33949">
      <w:pPr>
        <w:pStyle w:val="ListParagraph"/>
        <w:widowControl/>
        <w:numPr>
          <w:ilvl w:val="1"/>
          <w:numId w:val="2"/>
        </w:numPr>
        <w:spacing w:before="120" w:after="120"/>
      </w:pPr>
      <w:r w:rsidRPr="00F77E7A">
        <w:t xml:space="preserve">The ESC noted that tezacaftor/ivacaftor was similar in terms of </w:t>
      </w:r>
      <w:r w:rsidR="003314C8" w:rsidRPr="00F77E7A">
        <w:t xml:space="preserve">AEs </w:t>
      </w:r>
      <w:r w:rsidRPr="00F77E7A">
        <w:t>to BSC</w:t>
      </w:r>
      <w:r w:rsidR="00342176" w:rsidRPr="00F77E7A">
        <w:t>; however,</w:t>
      </w:r>
      <w:r w:rsidRPr="00F77E7A">
        <w:t xml:space="preserve"> </w:t>
      </w:r>
      <w:r w:rsidR="00081033" w:rsidRPr="00F77E7A">
        <w:t xml:space="preserve">the available evidence does not inform long-term </w:t>
      </w:r>
      <w:r w:rsidR="00342176" w:rsidRPr="00F77E7A">
        <w:t xml:space="preserve">comparative </w:t>
      </w:r>
      <w:r w:rsidR="00081033" w:rsidRPr="00F77E7A">
        <w:t xml:space="preserve">safety. </w:t>
      </w:r>
    </w:p>
    <w:p w:rsidR="007B1AB9" w:rsidRPr="00F77E7A" w:rsidRDefault="007B1AB9" w:rsidP="00C33949">
      <w:pPr>
        <w:widowControl/>
        <w:numPr>
          <w:ilvl w:val="1"/>
          <w:numId w:val="2"/>
        </w:numPr>
        <w:spacing w:before="120" w:after="120"/>
        <w:ind w:left="810" w:hanging="810"/>
        <w:rPr>
          <w:rFonts w:asciiTheme="minorHAnsi" w:hAnsiTheme="minorHAnsi"/>
          <w:szCs w:val="20"/>
        </w:rPr>
      </w:pPr>
      <w:r w:rsidRPr="00F77E7A">
        <w:rPr>
          <w:rFonts w:asciiTheme="minorHAnsi" w:hAnsiTheme="minorHAnsi"/>
          <w:szCs w:val="20"/>
        </w:rPr>
        <w:t xml:space="preserve">The PBAC considered the claim of superior comparative effectiveness was </w:t>
      </w:r>
      <w:r w:rsidR="0056616A" w:rsidRPr="00F77E7A">
        <w:rPr>
          <w:rFonts w:asciiTheme="minorHAnsi" w:hAnsiTheme="minorHAnsi"/>
          <w:szCs w:val="20"/>
        </w:rPr>
        <w:t xml:space="preserve">reasonable </w:t>
      </w:r>
      <w:r w:rsidR="00AC1B3E" w:rsidRPr="00F77E7A">
        <w:rPr>
          <w:rFonts w:asciiTheme="minorHAnsi" w:hAnsiTheme="minorHAnsi"/>
          <w:szCs w:val="20"/>
        </w:rPr>
        <w:t xml:space="preserve">in the short-term </w:t>
      </w:r>
      <w:r w:rsidR="0056616A" w:rsidRPr="00F77E7A">
        <w:rPr>
          <w:rFonts w:asciiTheme="minorHAnsi" w:hAnsiTheme="minorHAnsi"/>
          <w:szCs w:val="20"/>
        </w:rPr>
        <w:t>based on the available data</w:t>
      </w:r>
      <w:r w:rsidR="0004174D" w:rsidRPr="00F77E7A">
        <w:rPr>
          <w:rFonts w:asciiTheme="minorHAnsi" w:hAnsiTheme="minorHAnsi"/>
          <w:szCs w:val="20"/>
        </w:rPr>
        <w:t xml:space="preserve"> (with 8 weeks in Study 108 and 16 weeks of extension data in Study 110)</w:t>
      </w:r>
      <w:r w:rsidR="00E228FE" w:rsidRPr="00F77E7A">
        <w:rPr>
          <w:rFonts w:asciiTheme="minorHAnsi" w:hAnsiTheme="minorHAnsi"/>
          <w:szCs w:val="20"/>
        </w:rPr>
        <w:t xml:space="preserve">; </w:t>
      </w:r>
      <w:r w:rsidR="00E228FE" w:rsidRPr="00F77E7A">
        <w:t>however, the PBAC noted that given the short duration of follow-up, it was unknown whether the observed improvement in ppFEV</w:t>
      </w:r>
      <w:r w:rsidR="00E228FE" w:rsidRPr="00F77E7A">
        <w:rPr>
          <w:vertAlign w:val="subscript"/>
        </w:rPr>
        <w:t xml:space="preserve">1 </w:t>
      </w:r>
      <w:r w:rsidR="00E228FE" w:rsidRPr="00F77E7A">
        <w:t>would be maintained longer term in the context of a lifelong progressive disease.</w:t>
      </w:r>
      <w:r w:rsidR="0056616A" w:rsidRPr="00F77E7A">
        <w:rPr>
          <w:rFonts w:asciiTheme="minorHAnsi" w:hAnsiTheme="minorHAnsi"/>
          <w:szCs w:val="20"/>
        </w:rPr>
        <w:t xml:space="preserve"> </w:t>
      </w:r>
    </w:p>
    <w:p w:rsidR="007B1AB9" w:rsidRPr="00F77E7A" w:rsidRDefault="007B1AB9" w:rsidP="00C33949">
      <w:pPr>
        <w:widowControl/>
        <w:numPr>
          <w:ilvl w:val="1"/>
          <w:numId w:val="2"/>
        </w:numPr>
        <w:spacing w:before="120" w:after="120"/>
        <w:ind w:left="810" w:hanging="810"/>
      </w:pPr>
      <w:r w:rsidRPr="00F77E7A">
        <w:rPr>
          <w:rFonts w:asciiTheme="minorHAnsi" w:hAnsiTheme="minorHAnsi"/>
          <w:szCs w:val="20"/>
        </w:rPr>
        <w:t>The PBAC considered</w:t>
      </w:r>
      <w:r w:rsidR="001C1AD2" w:rsidRPr="00F77E7A">
        <w:rPr>
          <w:rFonts w:asciiTheme="minorHAnsi" w:hAnsiTheme="minorHAnsi"/>
          <w:szCs w:val="20"/>
        </w:rPr>
        <w:t xml:space="preserve"> there was inadequate data to determine the comparative safety of tezacaftor/ivacaftor given the short duration of available trial data. However, the PBAC noted there were no major safety signals from the available safety data. </w:t>
      </w:r>
    </w:p>
    <w:p w:rsidR="00B60939" w:rsidRPr="00F77E7A" w:rsidRDefault="00B60939" w:rsidP="00C33949">
      <w:pPr>
        <w:pStyle w:val="Heading2"/>
        <w:widowControl/>
        <w:spacing w:before="120"/>
      </w:pPr>
      <w:bookmarkStart w:id="11" w:name="_Toc532280242"/>
      <w:r w:rsidRPr="00F77E7A">
        <w:t>Economic analysis</w:t>
      </w:r>
      <w:bookmarkEnd w:id="11"/>
      <w:r w:rsidR="00491B3A" w:rsidRPr="00F77E7A">
        <w:t xml:space="preserve"> </w:t>
      </w:r>
    </w:p>
    <w:p w:rsidR="008111F5" w:rsidRPr="00F77E7A" w:rsidRDefault="008111F5" w:rsidP="00C33949">
      <w:pPr>
        <w:pStyle w:val="ListParagraph"/>
        <w:widowControl/>
        <w:numPr>
          <w:ilvl w:val="1"/>
          <w:numId w:val="2"/>
        </w:numPr>
        <w:spacing w:before="120" w:after="120"/>
      </w:pPr>
      <w:r w:rsidRPr="00F77E7A">
        <w:t xml:space="preserve">The economic evaluations presented were a cost-utility analysis (CUA) and a cost-effectiveness analysis (CEA). Health benefits were reported as quality adjusted life years (QALYs) gained and life years gained (LYGs), respectively. </w:t>
      </w:r>
      <w:r w:rsidR="004922FB" w:rsidRPr="00F77E7A">
        <w:t xml:space="preserve">The model structure was the same as </w:t>
      </w:r>
      <w:r w:rsidR="00AA45DD" w:rsidRPr="00F77E7A">
        <w:t xml:space="preserve">that for </w:t>
      </w:r>
      <w:r w:rsidR="004922FB" w:rsidRPr="00F77E7A">
        <w:t>previous CFTR modulator submissions.</w:t>
      </w:r>
    </w:p>
    <w:p w:rsidR="00275C5A" w:rsidRPr="00F77E7A" w:rsidRDefault="003068EC" w:rsidP="00C33949">
      <w:pPr>
        <w:pStyle w:val="ListParagraph"/>
        <w:widowControl/>
        <w:numPr>
          <w:ilvl w:val="1"/>
          <w:numId w:val="2"/>
        </w:numPr>
        <w:spacing w:before="120" w:after="120"/>
      </w:pPr>
      <w:r w:rsidRPr="00F77E7A">
        <w:rPr>
          <w:rFonts w:asciiTheme="minorHAnsi" w:hAnsiTheme="minorHAnsi" w:cstheme="minorHAnsi"/>
          <w:snapToGrid/>
          <w:szCs w:val="24"/>
          <w:lang w:eastAsia="en-AU"/>
        </w:rPr>
        <w:t xml:space="preserve">The key components of the economic evaluation are presented in Table </w:t>
      </w:r>
      <w:r w:rsidR="00E600AE" w:rsidRPr="00F77E7A">
        <w:rPr>
          <w:rFonts w:asciiTheme="minorHAnsi" w:hAnsiTheme="minorHAnsi" w:cstheme="minorHAnsi"/>
          <w:snapToGrid/>
          <w:szCs w:val="24"/>
          <w:lang w:eastAsia="en-AU"/>
        </w:rPr>
        <w:t>8</w:t>
      </w:r>
      <w:r w:rsidRPr="00F77E7A">
        <w:rPr>
          <w:rFonts w:asciiTheme="minorHAnsi" w:hAnsiTheme="minorHAnsi" w:cstheme="minorHAnsi"/>
          <w:snapToGrid/>
          <w:szCs w:val="24"/>
          <w:lang w:eastAsia="en-AU"/>
        </w:rPr>
        <w:t xml:space="preserve">. </w:t>
      </w:r>
    </w:p>
    <w:p w:rsidR="008111F5" w:rsidRPr="00F77E7A" w:rsidRDefault="00275C5A" w:rsidP="00EF2E6B">
      <w:pPr>
        <w:keepNext/>
        <w:widowControl/>
        <w:rPr>
          <w:rStyle w:val="CommentReference"/>
        </w:rPr>
      </w:pPr>
      <w:r w:rsidRPr="00F77E7A">
        <w:rPr>
          <w:rStyle w:val="CommentReference"/>
        </w:rPr>
        <w:t xml:space="preserve">Table </w:t>
      </w:r>
      <w:r w:rsidR="00E600AE" w:rsidRPr="00F77E7A">
        <w:rPr>
          <w:rStyle w:val="CommentReference"/>
        </w:rPr>
        <w:t>8</w:t>
      </w:r>
      <w:r w:rsidRPr="00F77E7A">
        <w:rPr>
          <w:rStyle w:val="CommentReference"/>
        </w:rPr>
        <w:t>: Summary of model structure and rationale</w:t>
      </w:r>
    </w:p>
    <w:tbl>
      <w:tblPr>
        <w:tblStyle w:val="HTATableshaded"/>
        <w:tblW w:w="5000" w:type="pct"/>
        <w:tblLook w:val="04A0" w:firstRow="1" w:lastRow="0" w:firstColumn="1" w:lastColumn="0" w:noHBand="0" w:noVBand="1"/>
        <w:tblCaption w:val="Absolute change from baseline in ppFEV1 at each visit for Study 108 (treatment period 2) and Study 110 in RF mutation patients treated with tezacaftor/ivacaftor, and for TRAFFIC/TRANSPORT and PROGRESS in F508del homozygous patients treated with lumacaftor/ivacaftor"/>
      </w:tblPr>
      <w:tblGrid>
        <w:gridCol w:w="2547"/>
        <w:gridCol w:w="6470"/>
      </w:tblGrid>
      <w:tr w:rsidR="008111F5" w:rsidRPr="00F77E7A" w:rsidTr="008E7C26">
        <w:trPr>
          <w:cnfStyle w:val="100000000000" w:firstRow="1" w:lastRow="0" w:firstColumn="0" w:lastColumn="0" w:oddVBand="0" w:evenVBand="0" w:oddHBand="0" w:evenHBand="0" w:firstRowFirstColumn="0" w:firstRowLastColumn="0" w:lastRowFirstColumn="0" w:lastRowLastColumn="0"/>
          <w:trHeight w:val="136"/>
          <w:tblHeader/>
        </w:trPr>
        <w:tc>
          <w:tcPr>
            <w:tcW w:w="2547" w:type="dxa"/>
            <w:shd w:val="clear" w:color="auto" w:fill="auto"/>
          </w:tcPr>
          <w:p w:rsidR="008111F5" w:rsidRPr="00F77E7A" w:rsidRDefault="008111F5" w:rsidP="00EF2E6B">
            <w:pPr>
              <w:pStyle w:val="TableH1"/>
              <w:spacing w:before="0" w:after="0"/>
              <w:rPr>
                <w:rFonts w:ascii="Arial Narrow" w:hAnsi="Arial Narrow"/>
                <w:sz w:val="20"/>
                <w:szCs w:val="20"/>
                <w:lang w:val="en-AU"/>
              </w:rPr>
            </w:pPr>
            <w:r w:rsidRPr="00F77E7A">
              <w:rPr>
                <w:rFonts w:ascii="Arial Narrow" w:hAnsi="Arial Narrow"/>
                <w:sz w:val="20"/>
                <w:szCs w:val="20"/>
                <w:lang w:val="en-AU"/>
              </w:rPr>
              <w:t>Component</w:t>
            </w:r>
          </w:p>
        </w:tc>
        <w:tc>
          <w:tcPr>
            <w:tcW w:w="6470" w:type="dxa"/>
            <w:shd w:val="clear" w:color="auto" w:fill="auto"/>
          </w:tcPr>
          <w:p w:rsidR="008111F5" w:rsidRPr="00F77E7A" w:rsidRDefault="008111F5" w:rsidP="00EF2E6B">
            <w:pPr>
              <w:pStyle w:val="TableH1"/>
              <w:spacing w:before="0" w:after="0"/>
              <w:rPr>
                <w:rFonts w:ascii="Arial Narrow" w:hAnsi="Arial Narrow"/>
                <w:sz w:val="20"/>
                <w:szCs w:val="20"/>
                <w:lang w:val="en-AU"/>
              </w:rPr>
            </w:pPr>
            <w:r w:rsidRPr="00F77E7A">
              <w:rPr>
                <w:rFonts w:ascii="Arial Narrow" w:hAnsi="Arial Narrow"/>
                <w:sz w:val="20"/>
                <w:szCs w:val="20"/>
                <w:lang w:val="en-AU"/>
              </w:rPr>
              <w:t>Description</w:t>
            </w:r>
          </w:p>
        </w:tc>
      </w:tr>
      <w:tr w:rsidR="008111F5" w:rsidRPr="00F77E7A" w:rsidTr="008E7C26">
        <w:trPr>
          <w:trHeight w:val="220"/>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Types of analysis</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 xml:space="preserve">CUA and CEA </w:t>
            </w:r>
          </w:p>
        </w:tc>
      </w:tr>
      <w:tr w:rsidR="008111F5" w:rsidRPr="00F77E7A" w:rsidTr="008E7C26">
        <w:trPr>
          <w:trHeight w:val="118"/>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Outcomes</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QALYs and LYGs</w:t>
            </w:r>
          </w:p>
        </w:tc>
      </w:tr>
      <w:tr w:rsidR="008111F5" w:rsidRPr="00F77E7A" w:rsidTr="008E7C26">
        <w:trPr>
          <w:trHeight w:val="220"/>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Time horizon</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 xml:space="preserve">Lifetime horizon </w:t>
            </w:r>
            <w:r w:rsidR="00CE796C" w:rsidRPr="00F77E7A">
              <w:rPr>
                <w:rFonts w:ascii="Arial Narrow" w:hAnsi="Arial Narrow"/>
                <w:sz w:val="20"/>
              </w:rPr>
              <w:t xml:space="preserve">vs. </w:t>
            </w:r>
            <w:r w:rsidR="0062487C" w:rsidRPr="00F77E7A">
              <w:rPr>
                <w:rFonts w:ascii="Arial Narrow" w:hAnsi="Arial Narrow"/>
                <w:sz w:val="20"/>
              </w:rPr>
              <w:t>8 weeks in Study 108</w:t>
            </w:r>
          </w:p>
        </w:tc>
      </w:tr>
      <w:tr w:rsidR="008111F5" w:rsidRPr="00F77E7A" w:rsidTr="008E7C26">
        <w:trPr>
          <w:trHeight w:val="216"/>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Method(s) used to generate results</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Individual patient microsimulation.</w:t>
            </w:r>
          </w:p>
        </w:tc>
      </w:tr>
      <w:tr w:rsidR="008111F5" w:rsidRPr="00F77E7A" w:rsidTr="008E7C26">
        <w:trPr>
          <w:trHeight w:val="118"/>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Health states</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 xml:space="preserve">Changes are recorded based on individual patient underlying risk factors. </w:t>
            </w:r>
            <w:r w:rsidR="00C96BED" w:rsidRPr="00F77E7A">
              <w:rPr>
                <w:rFonts w:ascii="Arial Narrow" w:hAnsi="Arial Narrow"/>
                <w:sz w:val="20"/>
              </w:rPr>
              <w:t>H</w:t>
            </w:r>
            <w:r w:rsidRPr="00F77E7A">
              <w:rPr>
                <w:rFonts w:ascii="Arial Narrow" w:hAnsi="Arial Narrow"/>
                <w:sz w:val="20"/>
              </w:rPr>
              <w:t>ealth states based on ppFEV</w:t>
            </w:r>
            <w:r w:rsidRPr="00F77E7A">
              <w:rPr>
                <w:rFonts w:ascii="Arial Narrow" w:hAnsi="Arial Narrow"/>
                <w:sz w:val="20"/>
                <w:vertAlign w:val="subscript"/>
              </w:rPr>
              <w:t>1</w:t>
            </w:r>
            <w:r w:rsidRPr="00F77E7A">
              <w:rPr>
                <w:rFonts w:ascii="Arial Narrow" w:hAnsi="Arial Narrow"/>
                <w:sz w:val="20"/>
              </w:rPr>
              <w:t xml:space="preserve"> status of normal (&gt;90%), mild (70-90%), moderate (40-70%) and severe (&lt;40%).</w:t>
            </w:r>
          </w:p>
        </w:tc>
      </w:tr>
      <w:tr w:rsidR="008111F5" w:rsidRPr="00F77E7A" w:rsidTr="008E7C26">
        <w:trPr>
          <w:trHeight w:val="220"/>
        </w:trPr>
        <w:tc>
          <w:tcPr>
            <w:tcW w:w="2547" w:type="dxa"/>
            <w:shd w:val="clear" w:color="auto" w:fill="auto"/>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Cycle length</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Four weekly cycle for the initial two years, annual thereafter.</w:t>
            </w:r>
          </w:p>
        </w:tc>
      </w:tr>
      <w:tr w:rsidR="008111F5" w:rsidRPr="00F77E7A" w:rsidTr="008E7C26">
        <w:trPr>
          <w:trHeight w:val="177"/>
        </w:trPr>
        <w:tc>
          <w:tcPr>
            <w:tcW w:w="2547" w:type="dxa"/>
            <w:vMerge w:val="restart"/>
            <w:shd w:val="clear" w:color="auto" w:fill="auto"/>
            <w:vAlign w:val="center"/>
          </w:tcPr>
          <w:p w:rsidR="008111F5" w:rsidRPr="00F77E7A" w:rsidRDefault="008111F5" w:rsidP="00EF2E6B">
            <w:pPr>
              <w:pStyle w:val="Tabletextleft"/>
              <w:keepNext/>
              <w:spacing w:before="0" w:after="0"/>
              <w:rPr>
                <w:rFonts w:ascii="Arial Narrow" w:hAnsi="Arial Narrow"/>
                <w:b/>
                <w:sz w:val="20"/>
              </w:rPr>
            </w:pPr>
            <w:r w:rsidRPr="00F77E7A">
              <w:rPr>
                <w:rFonts w:ascii="Arial Narrow" w:hAnsi="Arial Narrow"/>
                <w:b/>
                <w:sz w:val="20"/>
              </w:rPr>
              <w:t>Transition probabilities/</w:t>
            </w:r>
            <w:r w:rsidR="008E7C26" w:rsidRPr="00F77E7A">
              <w:rPr>
                <w:rFonts w:ascii="Arial Narrow" w:hAnsi="Arial Narrow"/>
                <w:b/>
                <w:sz w:val="20"/>
              </w:rPr>
              <w:t xml:space="preserve"> </w:t>
            </w:r>
            <w:r w:rsidRPr="00F77E7A">
              <w:rPr>
                <w:rFonts w:ascii="Arial Narrow" w:hAnsi="Arial Narrow"/>
                <w:b/>
                <w:sz w:val="20"/>
              </w:rPr>
              <w:t>event rates</w:t>
            </w: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 xml:space="preserve">Treatment effects based on Study 108 </w:t>
            </w:r>
          </w:p>
        </w:tc>
      </w:tr>
      <w:tr w:rsidR="008111F5" w:rsidRPr="00F77E7A" w:rsidTr="008E7C26">
        <w:trPr>
          <w:trHeight w:val="220"/>
        </w:trPr>
        <w:tc>
          <w:tcPr>
            <w:tcW w:w="2547" w:type="dxa"/>
            <w:vMerge/>
            <w:shd w:val="clear" w:color="auto" w:fill="auto"/>
          </w:tcPr>
          <w:p w:rsidR="008111F5" w:rsidRPr="00F77E7A" w:rsidRDefault="008111F5" w:rsidP="00EF2E6B">
            <w:pPr>
              <w:pStyle w:val="Tabletextleft"/>
              <w:keepNext/>
              <w:spacing w:before="0" w:after="0"/>
              <w:rPr>
                <w:rFonts w:ascii="Arial Narrow" w:hAnsi="Arial Narrow"/>
                <w:b/>
                <w:sz w:val="20"/>
              </w:rPr>
            </w:pP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Baseline ppFEV</w:t>
            </w:r>
            <w:r w:rsidRPr="00F77E7A">
              <w:rPr>
                <w:rFonts w:ascii="Arial Narrow" w:hAnsi="Arial Narrow"/>
                <w:sz w:val="20"/>
                <w:vertAlign w:val="subscript"/>
              </w:rPr>
              <w:t>1</w:t>
            </w:r>
            <w:r w:rsidRPr="00F77E7A">
              <w:rPr>
                <w:rFonts w:ascii="Arial Narrow" w:hAnsi="Arial Narrow"/>
                <w:sz w:val="20"/>
              </w:rPr>
              <w:t xml:space="preserve"> decline based on large longitudinal registry analyses.</w:t>
            </w:r>
          </w:p>
        </w:tc>
      </w:tr>
      <w:tr w:rsidR="008111F5" w:rsidRPr="00F77E7A" w:rsidTr="008E7C26">
        <w:trPr>
          <w:trHeight w:val="424"/>
        </w:trPr>
        <w:tc>
          <w:tcPr>
            <w:tcW w:w="2547" w:type="dxa"/>
            <w:vMerge/>
            <w:shd w:val="clear" w:color="auto" w:fill="auto"/>
          </w:tcPr>
          <w:p w:rsidR="008111F5" w:rsidRPr="00F77E7A" w:rsidRDefault="008111F5" w:rsidP="00EF2E6B">
            <w:pPr>
              <w:pStyle w:val="Tabletextleft"/>
              <w:keepNext/>
              <w:spacing w:before="0" w:after="0"/>
              <w:rPr>
                <w:rFonts w:ascii="Arial Narrow" w:hAnsi="Arial Narrow"/>
                <w:b/>
                <w:sz w:val="20"/>
              </w:rPr>
            </w:pP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 xml:space="preserve">Changes in treatment effect over time based on extension study </w:t>
            </w:r>
            <w:r w:rsidR="003068EC" w:rsidRPr="00F77E7A">
              <w:rPr>
                <w:rFonts w:ascii="Arial Narrow" w:hAnsi="Arial Narrow"/>
                <w:sz w:val="20"/>
              </w:rPr>
              <w:t>PR</w:t>
            </w:r>
            <w:r w:rsidR="000074C1" w:rsidRPr="00F77E7A">
              <w:rPr>
                <w:rFonts w:ascii="Arial Narrow" w:hAnsi="Arial Narrow"/>
                <w:sz w:val="20"/>
              </w:rPr>
              <w:t>O</w:t>
            </w:r>
            <w:r w:rsidR="003068EC" w:rsidRPr="00F77E7A">
              <w:rPr>
                <w:rFonts w:ascii="Arial Narrow" w:hAnsi="Arial Narrow"/>
                <w:sz w:val="20"/>
              </w:rPr>
              <w:t>GRESS</w:t>
            </w:r>
            <w:r w:rsidR="001B17A4" w:rsidRPr="00F77E7A">
              <w:rPr>
                <w:rFonts w:ascii="Arial Narrow" w:hAnsi="Arial Narrow"/>
                <w:sz w:val="20"/>
              </w:rPr>
              <w:t xml:space="preserve"> (</w:t>
            </w:r>
            <w:r w:rsidR="005F2128" w:rsidRPr="00F77E7A">
              <w:rPr>
                <w:rFonts w:ascii="Arial Narrow" w:hAnsi="Arial Narrow"/>
                <w:sz w:val="20"/>
              </w:rPr>
              <w:t>which studied lumacaftor/ivacaftor</w:t>
            </w:r>
            <w:r w:rsidR="005C6F33" w:rsidRPr="00F77E7A">
              <w:rPr>
                <w:rFonts w:ascii="Arial Narrow" w:hAnsi="Arial Narrow"/>
                <w:sz w:val="20"/>
              </w:rPr>
              <w:t xml:space="preserve"> for patients homozygous for the F508del mutation</w:t>
            </w:r>
            <w:r w:rsidRPr="00F77E7A">
              <w:rPr>
                <w:rFonts w:ascii="Arial Narrow" w:hAnsi="Arial Narrow"/>
                <w:sz w:val="20"/>
              </w:rPr>
              <w:t>) and large longitudinal registry analyses.</w:t>
            </w:r>
          </w:p>
        </w:tc>
      </w:tr>
      <w:tr w:rsidR="008111F5" w:rsidRPr="00F77E7A" w:rsidTr="008E7C26">
        <w:trPr>
          <w:trHeight w:val="263"/>
        </w:trPr>
        <w:tc>
          <w:tcPr>
            <w:tcW w:w="2547" w:type="dxa"/>
            <w:vMerge/>
            <w:shd w:val="clear" w:color="auto" w:fill="auto"/>
          </w:tcPr>
          <w:p w:rsidR="008111F5" w:rsidRPr="00F77E7A" w:rsidRDefault="008111F5" w:rsidP="00EF2E6B">
            <w:pPr>
              <w:pStyle w:val="Tabletextleft"/>
              <w:keepNext/>
              <w:spacing w:before="0" w:after="0"/>
              <w:rPr>
                <w:rFonts w:ascii="Arial Narrow" w:hAnsi="Arial Narrow"/>
                <w:b/>
                <w:sz w:val="20"/>
              </w:rPr>
            </w:pPr>
          </w:p>
        </w:tc>
        <w:tc>
          <w:tcPr>
            <w:tcW w:w="6470" w:type="dxa"/>
            <w:shd w:val="clear" w:color="auto" w:fill="auto"/>
          </w:tcPr>
          <w:p w:rsidR="008111F5" w:rsidRPr="00F77E7A" w:rsidRDefault="008111F5" w:rsidP="00EF2E6B">
            <w:pPr>
              <w:pStyle w:val="Tabletextleft"/>
              <w:keepNext/>
              <w:spacing w:before="0" w:after="0"/>
              <w:rPr>
                <w:rFonts w:ascii="Arial Narrow" w:hAnsi="Arial Narrow"/>
                <w:sz w:val="20"/>
              </w:rPr>
            </w:pPr>
            <w:r w:rsidRPr="00F77E7A">
              <w:rPr>
                <w:rFonts w:ascii="Arial Narrow" w:hAnsi="Arial Narrow"/>
                <w:sz w:val="20"/>
              </w:rPr>
              <w:t>Baseline hazard function derived survival data from Irish CF data registry.</w:t>
            </w:r>
          </w:p>
        </w:tc>
      </w:tr>
      <w:tr w:rsidR="008111F5" w:rsidRPr="00F77E7A" w:rsidTr="008E7C26">
        <w:trPr>
          <w:trHeight w:val="220"/>
        </w:trPr>
        <w:tc>
          <w:tcPr>
            <w:tcW w:w="2547" w:type="dxa"/>
            <w:vMerge/>
            <w:shd w:val="clear" w:color="auto" w:fill="auto"/>
          </w:tcPr>
          <w:p w:rsidR="008111F5" w:rsidRPr="00F77E7A" w:rsidRDefault="008111F5" w:rsidP="00EF2E6B">
            <w:pPr>
              <w:pStyle w:val="Tabletextleft"/>
              <w:keepNext/>
              <w:spacing w:before="0" w:after="0"/>
              <w:rPr>
                <w:rFonts w:ascii="Arial Narrow" w:hAnsi="Arial Narrow"/>
                <w:b/>
                <w:sz w:val="20"/>
              </w:rPr>
            </w:pPr>
          </w:p>
        </w:tc>
        <w:tc>
          <w:tcPr>
            <w:tcW w:w="6470" w:type="dxa"/>
            <w:shd w:val="clear" w:color="auto" w:fill="auto"/>
          </w:tcPr>
          <w:p w:rsidR="008111F5" w:rsidRPr="00F77E7A" w:rsidRDefault="003068EC" w:rsidP="00EF2E6B">
            <w:pPr>
              <w:pStyle w:val="Tabletextleft"/>
              <w:keepNext/>
              <w:spacing w:before="0" w:after="0"/>
              <w:rPr>
                <w:rFonts w:ascii="Arial Narrow" w:hAnsi="Arial Narrow"/>
                <w:sz w:val="20"/>
              </w:rPr>
            </w:pPr>
            <w:r w:rsidRPr="00F77E7A">
              <w:rPr>
                <w:rFonts w:ascii="Arial Narrow" w:hAnsi="Arial Narrow"/>
                <w:sz w:val="20"/>
              </w:rPr>
              <w:t>S</w:t>
            </w:r>
            <w:r w:rsidR="008111F5" w:rsidRPr="00F77E7A">
              <w:rPr>
                <w:rFonts w:ascii="Arial Narrow" w:hAnsi="Arial Narrow"/>
                <w:sz w:val="20"/>
              </w:rPr>
              <w:t xml:space="preserve">urvival </w:t>
            </w:r>
            <w:r w:rsidRPr="00F77E7A">
              <w:rPr>
                <w:rFonts w:ascii="Arial Narrow" w:hAnsi="Arial Narrow"/>
                <w:sz w:val="20"/>
              </w:rPr>
              <w:t xml:space="preserve">was modelled </w:t>
            </w:r>
            <w:r w:rsidR="008111F5" w:rsidRPr="00F77E7A">
              <w:rPr>
                <w:rFonts w:ascii="Arial Narrow" w:hAnsi="Arial Narrow"/>
                <w:sz w:val="20"/>
              </w:rPr>
              <w:t>using Liou CPH model (Liou et al 2001).</w:t>
            </w:r>
          </w:p>
        </w:tc>
      </w:tr>
      <w:tr w:rsidR="00C96BED" w:rsidRPr="00F77E7A" w:rsidTr="008E7C26">
        <w:trPr>
          <w:trHeight w:val="220"/>
        </w:trPr>
        <w:tc>
          <w:tcPr>
            <w:tcW w:w="2547" w:type="dxa"/>
            <w:shd w:val="clear" w:color="auto" w:fill="auto"/>
          </w:tcPr>
          <w:p w:rsidR="00C96BED" w:rsidRPr="00F77E7A" w:rsidRDefault="00C96BED" w:rsidP="00EF2E6B">
            <w:pPr>
              <w:pStyle w:val="Tabletextleft"/>
              <w:keepNext/>
              <w:spacing w:before="0" w:after="0"/>
              <w:rPr>
                <w:rFonts w:ascii="Arial Narrow" w:hAnsi="Arial Narrow"/>
                <w:b/>
                <w:sz w:val="20"/>
              </w:rPr>
            </w:pPr>
            <w:r w:rsidRPr="00F77E7A">
              <w:rPr>
                <w:rFonts w:ascii="Arial Narrow" w:hAnsi="Arial Narrow"/>
                <w:b/>
                <w:sz w:val="20"/>
              </w:rPr>
              <w:t>Utilities</w:t>
            </w:r>
          </w:p>
        </w:tc>
        <w:tc>
          <w:tcPr>
            <w:tcW w:w="6470" w:type="dxa"/>
            <w:shd w:val="clear" w:color="auto" w:fill="auto"/>
          </w:tcPr>
          <w:p w:rsidR="00C96BED" w:rsidRPr="00F77E7A" w:rsidRDefault="00C96BED" w:rsidP="00EF2E6B">
            <w:pPr>
              <w:pStyle w:val="Tabletextleft"/>
              <w:keepNext/>
              <w:spacing w:before="0" w:after="0"/>
              <w:rPr>
                <w:rFonts w:ascii="Arial Narrow" w:hAnsi="Arial Narrow"/>
                <w:sz w:val="20"/>
              </w:rPr>
            </w:pPr>
            <w:r w:rsidRPr="00F77E7A">
              <w:rPr>
                <w:rFonts w:ascii="Arial Narrow" w:hAnsi="Arial Narrow"/>
                <w:sz w:val="20"/>
              </w:rPr>
              <w:t xml:space="preserve">Derived from a clinician survey: </w:t>
            </w:r>
            <w:r w:rsidR="00B6291B" w:rsidRPr="00F77E7A">
              <w:rPr>
                <w:rFonts w:ascii="Arial Narrow" w:hAnsi="Arial Narrow"/>
                <w:sz w:val="20"/>
              </w:rPr>
              <w:t>Normal=0.98, Mild=</w:t>
            </w:r>
            <w:r w:rsidRPr="00F77E7A">
              <w:rPr>
                <w:rFonts w:ascii="Arial Narrow" w:hAnsi="Arial Narrow"/>
                <w:sz w:val="20"/>
              </w:rPr>
              <w:t>0.88</w:t>
            </w:r>
            <w:r w:rsidR="00B6291B" w:rsidRPr="00F77E7A">
              <w:rPr>
                <w:rFonts w:ascii="Arial Narrow" w:hAnsi="Arial Narrow"/>
                <w:sz w:val="20"/>
              </w:rPr>
              <w:t>, Moderate=0.67, Severe=0.37. Patients with lung transplant=</w:t>
            </w:r>
            <w:r w:rsidRPr="00F77E7A">
              <w:rPr>
                <w:rFonts w:ascii="Arial Narrow" w:hAnsi="Arial Narrow"/>
                <w:sz w:val="20"/>
              </w:rPr>
              <w:t>0.81 (Anyanwu et al 2002)</w:t>
            </w:r>
          </w:p>
        </w:tc>
      </w:tr>
    </w:tbl>
    <w:p w:rsidR="008111F5" w:rsidRPr="00F77E7A" w:rsidRDefault="008111F5" w:rsidP="00EF2E6B">
      <w:pPr>
        <w:pStyle w:val="TableFooter"/>
        <w:widowControl/>
      </w:pPr>
      <w:r w:rsidRPr="00F77E7A">
        <w:t>Abbreviations: ACFDR, Australia Cystic Fibrosis Disease Registry; CEA, cost effectiveness analysis; CF, cystic fibrosis; CUA, cost utility analysis; LYGs, life years gained; QALYs, quality adjusted life years; RF, residual function</w:t>
      </w:r>
    </w:p>
    <w:p w:rsidR="008E7C26" w:rsidRPr="00F77E7A" w:rsidRDefault="008111F5" w:rsidP="00EF2E6B">
      <w:pPr>
        <w:pStyle w:val="TableFooter"/>
        <w:widowControl/>
        <w:rPr>
          <w:sz w:val="20"/>
        </w:rPr>
      </w:pPr>
      <w:r w:rsidRPr="00F77E7A">
        <w:t>Source: Table 3.1.1, p. 180 of the Submission.</w:t>
      </w:r>
    </w:p>
    <w:p w:rsidR="00A73C12" w:rsidRPr="00F77E7A" w:rsidRDefault="00A73C12" w:rsidP="00C33949">
      <w:pPr>
        <w:pStyle w:val="ListParagraph"/>
        <w:widowControl/>
        <w:numPr>
          <w:ilvl w:val="1"/>
          <w:numId w:val="2"/>
        </w:numPr>
        <w:spacing w:before="120" w:after="120"/>
      </w:pPr>
      <w:r w:rsidRPr="00F77E7A">
        <w:rPr>
          <w:lang w:eastAsia="en-GB"/>
        </w:rPr>
        <w:t xml:space="preserve">The economic model included the baseline risk profiles from individual patients aged 12 years and over </w:t>
      </w:r>
      <w:r w:rsidR="000B30B2" w:rsidRPr="00F77E7A">
        <w:rPr>
          <w:lang w:eastAsia="en-GB"/>
        </w:rPr>
        <w:t>from Study 108</w:t>
      </w:r>
      <w:r w:rsidRPr="00F77E7A">
        <w:rPr>
          <w:lang w:eastAsia="en-GB"/>
        </w:rPr>
        <w:t xml:space="preserve">, irrespective of treatment group. </w:t>
      </w:r>
      <w:r w:rsidRPr="00F77E7A">
        <w:rPr>
          <w:bCs/>
        </w:rPr>
        <w:t xml:space="preserve">The </w:t>
      </w:r>
      <w:r w:rsidR="002E596B" w:rsidRPr="00F77E7A">
        <w:rPr>
          <w:bCs/>
        </w:rPr>
        <w:t xml:space="preserve">applicability of the </w:t>
      </w:r>
      <w:r w:rsidRPr="00F77E7A">
        <w:rPr>
          <w:bCs/>
        </w:rPr>
        <w:t xml:space="preserve">model </w:t>
      </w:r>
      <w:r w:rsidR="002E596B" w:rsidRPr="00F77E7A">
        <w:rPr>
          <w:bCs/>
        </w:rPr>
        <w:t>to the Australian</w:t>
      </w:r>
      <w:r w:rsidR="00F0295F" w:rsidRPr="00F77E7A">
        <w:rPr>
          <w:bCs/>
        </w:rPr>
        <w:t xml:space="preserve"> patient population was unclear. The evaluation considered that</w:t>
      </w:r>
      <w:r w:rsidRPr="00F77E7A">
        <w:rPr>
          <w:bCs/>
        </w:rPr>
        <w:t xml:space="preserve"> the </w:t>
      </w:r>
      <w:r w:rsidR="00AA5AD3" w:rsidRPr="00F77E7A">
        <w:rPr>
          <w:bCs/>
        </w:rPr>
        <w:t xml:space="preserve">RF mutation </w:t>
      </w:r>
      <w:r w:rsidRPr="00F77E7A">
        <w:rPr>
          <w:bCs/>
        </w:rPr>
        <w:t>patient population</w:t>
      </w:r>
      <w:r w:rsidR="00262679" w:rsidRPr="00F77E7A">
        <w:rPr>
          <w:bCs/>
        </w:rPr>
        <w:t xml:space="preserve"> </w:t>
      </w:r>
      <w:r w:rsidR="00760F84" w:rsidRPr="00F77E7A">
        <w:rPr>
          <w:bCs/>
        </w:rPr>
        <w:t>included</w:t>
      </w:r>
      <w:r w:rsidR="00AA5AD3" w:rsidRPr="00F77E7A">
        <w:rPr>
          <w:bCs/>
        </w:rPr>
        <w:t xml:space="preserve"> in the model </w:t>
      </w:r>
      <w:r w:rsidR="00F0295F" w:rsidRPr="00F77E7A">
        <w:rPr>
          <w:bCs/>
        </w:rPr>
        <w:t>could have been</w:t>
      </w:r>
      <w:r w:rsidRPr="00F77E7A">
        <w:rPr>
          <w:bCs/>
        </w:rPr>
        <w:t xml:space="preserve"> obtained from the Australian </w:t>
      </w:r>
      <w:r w:rsidR="00525E6F" w:rsidRPr="00F77E7A">
        <w:rPr>
          <w:bCs/>
        </w:rPr>
        <w:t>Cystic Fibrosis Data Registry</w:t>
      </w:r>
      <w:r w:rsidR="00284E04" w:rsidRPr="00F77E7A">
        <w:rPr>
          <w:bCs/>
        </w:rPr>
        <w:t xml:space="preserve"> (ACDFR)</w:t>
      </w:r>
      <w:r w:rsidR="00A03A26" w:rsidRPr="00F77E7A">
        <w:rPr>
          <w:bCs/>
        </w:rPr>
        <w:t xml:space="preserve">. </w:t>
      </w:r>
      <w:r w:rsidRPr="00F77E7A">
        <w:rPr>
          <w:rFonts w:ascii="Times New Roman" w:hAnsi="Times New Roman" w:cs="Times New Roman"/>
          <w:color w:val="000000"/>
          <w:szCs w:val="24"/>
          <w:lang w:eastAsia="en-GB"/>
        </w:rPr>
        <w:t xml:space="preserve"> </w:t>
      </w:r>
    </w:p>
    <w:p w:rsidR="00C85515" w:rsidRPr="00F77E7A" w:rsidRDefault="006339CF" w:rsidP="00C33949">
      <w:pPr>
        <w:pStyle w:val="ListParagraph"/>
        <w:widowControl/>
        <w:numPr>
          <w:ilvl w:val="1"/>
          <w:numId w:val="2"/>
        </w:numPr>
        <w:spacing w:before="120" w:after="120"/>
      </w:pPr>
      <w:r w:rsidRPr="00F77E7A">
        <w:t>To determine the baseline hazard function, a</w:t>
      </w:r>
      <w:r w:rsidR="00A73C12" w:rsidRPr="00F77E7A">
        <w:t xml:space="preserve"> Gompertz parametric distribution was </w:t>
      </w:r>
      <w:r w:rsidR="00F27A6B" w:rsidRPr="00F77E7A">
        <w:t xml:space="preserve">applied </w:t>
      </w:r>
      <w:r w:rsidR="00A73C12" w:rsidRPr="00F77E7A">
        <w:t xml:space="preserve">to extrapolate data from the Kaplan-Meier (KM) curve of Irish </w:t>
      </w:r>
      <w:r w:rsidR="009B51BD" w:rsidRPr="00F77E7A">
        <w:t xml:space="preserve">registry </w:t>
      </w:r>
      <w:r w:rsidR="00A73C12" w:rsidRPr="00F77E7A">
        <w:t>patients.</w:t>
      </w:r>
      <w:r w:rsidR="001223D3" w:rsidRPr="00F77E7A">
        <w:t xml:space="preserve"> The hazard was then adjusted based on individual patient characteristics and risk factors </w:t>
      </w:r>
      <w:r w:rsidR="00C85515" w:rsidRPr="00F77E7A">
        <w:t xml:space="preserve">(ppFEV1, weight‐for‐age z‐score, pancreatic sufficiency, diabetes mellitus, S. aureus, B. cepacia, </w:t>
      </w:r>
      <w:r w:rsidR="00A610D6" w:rsidRPr="00F77E7A">
        <w:t xml:space="preserve">annual number of acute </w:t>
      </w:r>
      <w:r w:rsidR="008E7C26" w:rsidRPr="00F77E7A">
        <w:t>pulmonary exacerbations</w:t>
      </w:r>
      <w:r w:rsidR="00A610D6" w:rsidRPr="00F77E7A">
        <w:t xml:space="preserve">, </w:t>
      </w:r>
      <w:r w:rsidR="008E7C26" w:rsidRPr="00F77E7A">
        <w:t>pulmonary exacerbations</w:t>
      </w:r>
      <w:r w:rsidR="008E7C26" w:rsidRPr="00F77E7A" w:rsidDel="008E7C26">
        <w:t xml:space="preserve"> </w:t>
      </w:r>
      <w:r w:rsidR="00C85515" w:rsidRPr="00F77E7A">
        <w:t xml:space="preserve">× B. cepacia) </w:t>
      </w:r>
      <w:r w:rsidR="001223D3" w:rsidRPr="00F77E7A">
        <w:t xml:space="preserve">for patients in Study 108. </w:t>
      </w:r>
      <w:r w:rsidR="00C85515" w:rsidRPr="00F77E7A">
        <w:t xml:space="preserve">It was noted during the evaluation that the entire </w:t>
      </w:r>
      <w:r w:rsidR="00E16CFC" w:rsidRPr="00F77E7A">
        <w:t xml:space="preserve">Irish </w:t>
      </w:r>
      <w:r w:rsidR="00C85515" w:rsidRPr="00F77E7A">
        <w:t xml:space="preserve">CF registry was used </w:t>
      </w:r>
      <w:r w:rsidR="0052452E" w:rsidRPr="00F77E7A">
        <w:t>rather than</w:t>
      </w:r>
      <w:r w:rsidR="00C85515" w:rsidRPr="00F77E7A">
        <w:t xml:space="preserve"> the subset of patients with the RF mutation. </w:t>
      </w:r>
      <w:r w:rsidR="0052452E" w:rsidRPr="00F77E7A">
        <w:t xml:space="preserve">In the PSCR it was argued that </w:t>
      </w:r>
      <w:r w:rsidR="00C85515" w:rsidRPr="00F77E7A">
        <w:t>the adjustment to the hazard for the entire registry</w:t>
      </w:r>
      <w:r w:rsidR="0052452E" w:rsidRPr="00F77E7A">
        <w:t xml:space="preserve"> population</w:t>
      </w:r>
      <w:r w:rsidR="00C85515" w:rsidRPr="00F77E7A">
        <w:t xml:space="preserve"> </w:t>
      </w:r>
      <w:r w:rsidR="0052452E" w:rsidRPr="00F77E7A">
        <w:t>using</w:t>
      </w:r>
      <w:r w:rsidR="00C85515" w:rsidRPr="00F77E7A">
        <w:t xml:space="preserve"> the characteristics of patients in Study 108 accounted for </w:t>
      </w:r>
      <w:r w:rsidR="0052452E" w:rsidRPr="00F77E7A">
        <w:t xml:space="preserve">the </w:t>
      </w:r>
      <w:r w:rsidR="00C85515" w:rsidRPr="00F77E7A">
        <w:t>expected mortality difference for patients with the RF mutation</w:t>
      </w:r>
      <w:r w:rsidR="0052452E" w:rsidRPr="00F77E7A">
        <w:t xml:space="preserve"> compared with the total population</w:t>
      </w:r>
      <w:r w:rsidR="00C85515" w:rsidRPr="00F77E7A">
        <w:t xml:space="preserve">. The ESC considered it was </w:t>
      </w:r>
      <w:r w:rsidR="0052452E" w:rsidRPr="00F77E7A">
        <w:t xml:space="preserve">unclear if the adjustment adequately accounted for the mortality difference and hence if the baseline hazard in the model reflects that for patients with the RF mutation. The ESC noted the adjustment increased the median survival from 39.9 years for the entire Irish cohort to 41.3 years. </w:t>
      </w:r>
      <w:r w:rsidR="008967EF" w:rsidRPr="00F77E7A">
        <w:t xml:space="preserve">As noted above, compared </w:t>
      </w:r>
      <w:r w:rsidR="00AA5AD3" w:rsidRPr="00F77E7A">
        <w:t xml:space="preserve">with </w:t>
      </w:r>
      <w:r w:rsidR="008967EF" w:rsidRPr="00F77E7A">
        <w:t>patients who are homozygous to the CFTR F508del mutation, studies have shown that heterozygous patients have a better prognosis</w:t>
      </w:r>
      <w:r w:rsidR="0049338D" w:rsidRPr="00F77E7A">
        <w:t xml:space="preserve">, and this is consistent with the predicted increase in survival. However, </w:t>
      </w:r>
      <w:r w:rsidR="0052452E" w:rsidRPr="00F77E7A">
        <w:t xml:space="preserve">for all CF patients in Australia </w:t>
      </w:r>
      <w:r w:rsidR="008967EF" w:rsidRPr="00F77E7A">
        <w:t xml:space="preserve">the median </w:t>
      </w:r>
      <w:r w:rsidR="000C09F7" w:rsidRPr="00F77E7A">
        <w:t xml:space="preserve">age at death </w:t>
      </w:r>
      <w:r w:rsidR="0049338D" w:rsidRPr="00F77E7A">
        <w:t>was 32.6 years</w:t>
      </w:r>
      <w:r w:rsidR="008967EF" w:rsidRPr="00F77E7A">
        <w:t xml:space="preserve"> in 2016</w:t>
      </w:r>
      <w:r w:rsidR="000C09F7" w:rsidRPr="00F77E7A">
        <w:t xml:space="preserve"> (Australian Cystic Fibrosis Data Registry (ACFDR) 2016)</w:t>
      </w:r>
      <w:r w:rsidR="0052452E" w:rsidRPr="00F77E7A">
        <w:t>. The ESC has previously expressed doubt as to whether the use of the Irish registry accurately reflects the current survival in the Australian CF population (lumacaftor/ivacaftor PSD July 2017, paragraph 6.48)</w:t>
      </w:r>
      <w:r w:rsidR="0049338D" w:rsidRPr="00F77E7A">
        <w:t>, and t</w:t>
      </w:r>
      <w:r w:rsidR="0052452E" w:rsidRPr="00F77E7A">
        <w:t>he applicability of those data may be reduced further when applying it to patients with an RF mutation.</w:t>
      </w:r>
      <w:r w:rsidR="000C09F7" w:rsidRPr="00F77E7A">
        <w:t xml:space="preserve"> The pre-PBAC response argued that “the median age at death derived in the ACFDR 2016</w:t>
      </w:r>
      <w:r w:rsidR="0052452E" w:rsidRPr="00F77E7A">
        <w:t xml:space="preserve"> </w:t>
      </w:r>
      <w:r w:rsidR="000C09F7" w:rsidRPr="00F77E7A">
        <w:t>is by its nature based on an older birth cohort (which may have a shorter life expectancy) than would be expected in the prospectively modelled analysis…i.e. the ACFDR median age of death is not the same as the expected survival of current patients going forward”.</w:t>
      </w:r>
    </w:p>
    <w:p w:rsidR="006B33EA" w:rsidRPr="00F77E7A" w:rsidRDefault="00E600AE" w:rsidP="00C33949">
      <w:pPr>
        <w:pStyle w:val="ListParagraph"/>
        <w:widowControl/>
        <w:numPr>
          <w:ilvl w:val="1"/>
          <w:numId w:val="2"/>
        </w:numPr>
        <w:spacing w:before="120" w:after="120"/>
      </w:pPr>
      <w:r w:rsidRPr="00F77E7A">
        <w:t xml:space="preserve">Overall, </w:t>
      </w:r>
      <w:r w:rsidRPr="00F77E7A">
        <w:rPr>
          <w:lang w:eastAsia="en-GB"/>
        </w:rPr>
        <w:t>the submission used the same model structure and</w:t>
      </w:r>
      <w:r w:rsidR="00B521CD" w:rsidRPr="00F77E7A">
        <w:rPr>
          <w:lang w:eastAsia="en-GB"/>
        </w:rPr>
        <w:t xml:space="preserve"> similar</w:t>
      </w:r>
      <w:r w:rsidRPr="00F77E7A">
        <w:rPr>
          <w:lang w:eastAsia="en-GB"/>
        </w:rPr>
        <w:t xml:space="preserve"> inputs as has been applied in previous submissions for CFTR </w:t>
      </w:r>
      <w:r w:rsidR="00FE5707" w:rsidRPr="00F77E7A">
        <w:rPr>
          <w:lang w:eastAsia="en-GB"/>
        </w:rPr>
        <w:t>modulato</w:t>
      </w:r>
      <w:r w:rsidR="00066878" w:rsidRPr="00F77E7A">
        <w:rPr>
          <w:lang w:eastAsia="en-GB"/>
        </w:rPr>
        <w:t>r</w:t>
      </w:r>
      <w:r w:rsidR="00FE5707" w:rsidRPr="00F77E7A">
        <w:rPr>
          <w:lang w:eastAsia="en-GB"/>
        </w:rPr>
        <w:t xml:space="preserve">s </w:t>
      </w:r>
      <w:r w:rsidRPr="00F77E7A">
        <w:rPr>
          <w:lang w:eastAsia="en-GB"/>
        </w:rPr>
        <w:t>in CF</w:t>
      </w:r>
      <w:r w:rsidR="00B92290" w:rsidRPr="00F77E7A">
        <w:rPr>
          <w:lang w:eastAsia="en-GB"/>
        </w:rPr>
        <w:t xml:space="preserve"> but </w:t>
      </w:r>
      <w:r w:rsidR="00531D59" w:rsidRPr="00F77E7A">
        <w:rPr>
          <w:lang w:eastAsia="en-GB"/>
        </w:rPr>
        <w:t>in the relevant setting (CF patients with an RF mutation)</w:t>
      </w:r>
      <w:r w:rsidRPr="00F77E7A">
        <w:rPr>
          <w:lang w:eastAsia="en-GB"/>
        </w:rPr>
        <w:t xml:space="preserve">. </w:t>
      </w:r>
      <w:r w:rsidR="00EE6026" w:rsidRPr="00F77E7A">
        <w:t xml:space="preserve">The PBAC has previously expressed a preference for modifications to the structure and inputs of that model (lumacaftor/ivacaftor (aged 12+ years) PSD July 2018, paragraph 6.52). The ESC considered that </w:t>
      </w:r>
      <w:r w:rsidR="00E16CFC" w:rsidRPr="00F77E7A">
        <w:t xml:space="preserve">many </w:t>
      </w:r>
      <w:r w:rsidR="00EE6026" w:rsidRPr="00F77E7A">
        <w:t xml:space="preserve">of these modifications </w:t>
      </w:r>
      <w:r w:rsidR="00C413FE" w:rsidRPr="00F77E7A">
        <w:t>were</w:t>
      </w:r>
      <w:r w:rsidR="00EE6026" w:rsidRPr="00F77E7A">
        <w:t xml:space="preserve"> also relevant to the application of the model to the RF treatment setting, as outlined in the paragraphs below and in Table 9.</w:t>
      </w:r>
    </w:p>
    <w:p w:rsidR="00BF6561" w:rsidRPr="00F77E7A" w:rsidRDefault="004874E6" w:rsidP="00C33949">
      <w:pPr>
        <w:pStyle w:val="ListParagraph"/>
        <w:widowControl/>
        <w:numPr>
          <w:ilvl w:val="1"/>
          <w:numId w:val="2"/>
        </w:numPr>
        <w:spacing w:before="120" w:after="120"/>
        <w:ind w:left="709" w:hanging="709"/>
      </w:pPr>
      <w:r w:rsidRPr="00F77E7A">
        <w:t xml:space="preserve">The model incorporated a </w:t>
      </w:r>
      <w:r w:rsidR="00831FA2" w:rsidRPr="00F77E7A">
        <w:t xml:space="preserve">42% decrease in the rate of </w:t>
      </w:r>
      <w:r w:rsidRPr="00F77E7A">
        <w:t>decline in ppFEV</w:t>
      </w:r>
      <w:r w:rsidRPr="00F77E7A">
        <w:rPr>
          <w:vertAlign w:val="subscript"/>
        </w:rPr>
        <w:t>1</w:t>
      </w:r>
      <w:r w:rsidRPr="00F77E7A">
        <w:t xml:space="preserve"> </w:t>
      </w:r>
      <w:r w:rsidR="00831FA2" w:rsidRPr="00F77E7A">
        <w:t xml:space="preserve">for </w:t>
      </w:r>
      <w:r w:rsidRPr="00F77E7A">
        <w:t>tezacaftor/ivacaftor patients beyond the 8</w:t>
      </w:r>
      <w:r w:rsidR="00FE5707" w:rsidRPr="00F77E7A">
        <w:t>-</w:t>
      </w:r>
      <w:r w:rsidRPr="00F77E7A">
        <w:t xml:space="preserve">week trial period to </w:t>
      </w:r>
      <w:r w:rsidR="00BF6561" w:rsidRPr="00F77E7A">
        <w:t xml:space="preserve">a </w:t>
      </w:r>
      <w:r w:rsidRPr="00F77E7A">
        <w:t>lifetime</w:t>
      </w:r>
      <w:r w:rsidR="00CB0A6A" w:rsidRPr="00F77E7A">
        <w:t xml:space="preserve"> time horizon</w:t>
      </w:r>
      <w:r w:rsidRPr="00F77E7A">
        <w:t xml:space="preserve"> (</w:t>
      </w:r>
      <w:r w:rsidRPr="00F77E7A">
        <w:rPr>
          <w:bCs/>
        </w:rPr>
        <w:t>13.5 years on average)</w:t>
      </w:r>
      <w:r w:rsidR="00831FA2" w:rsidRPr="00F77E7A">
        <w:rPr>
          <w:bCs/>
        </w:rPr>
        <w:t>, relative to BSC</w:t>
      </w:r>
      <w:r w:rsidRPr="00F77E7A">
        <w:rPr>
          <w:bCs/>
        </w:rPr>
        <w:t xml:space="preserve">. </w:t>
      </w:r>
      <w:r w:rsidRPr="00F77E7A">
        <w:t xml:space="preserve">This decline was informed by the </w:t>
      </w:r>
      <w:r w:rsidR="00345126" w:rsidRPr="00F77E7A">
        <w:t>longer-term</w:t>
      </w:r>
      <w:r w:rsidRPr="00F77E7A">
        <w:t xml:space="preserve"> ppFEV</w:t>
      </w:r>
      <w:r w:rsidRPr="00F77E7A">
        <w:rPr>
          <w:vertAlign w:val="subscript"/>
        </w:rPr>
        <w:t>1</w:t>
      </w:r>
      <w:r w:rsidRPr="00F77E7A">
        <w:t xml:space="preserve"> data from the extension trial PROGRESS (of lumacaftor/ivacaftor</w:t>
      </w:r>
      <w:r w:rsidR="00CA0937" w:rsidRPr="00F77E7A">
        <w:t xml:space="preserve"> in patients homozygous for the F508del mutation</w:t>
      </w:r>
      <w:r w:rsidRPr="00F77E7A">
        <w:t>)</w:t>
      </w:r>
      <w:r w:rsidR="00831FA2" w:rsidRPr="00F77E7A">
        <w:t xml:space="preserve"> compared with a matched control group</w:t>
      </w:r>
      <w:r w:rsidRPr="00F77E7A">
        <w:t xml:space="preserve">. </w:t>
      </w:r>
      <w:r w:rsidR="00831FA2" w:rsidRPr="00F77E7A">
        <w:t xml:space="preserve">The </w:t>
      </w:r>
      <w:r w:rsidR="00660566" w:rsidRPr="00F77E7A">
        <w:t>evaluation</w:t>
      </w:r>
      <w:r w:rsidR="00831FA2" w:rsidRPr="00F77E7A">
        <w:t xml:space="preserve"> noted that, w</w:t>
      </w:r>
      <w:r w:rsidR="008E5F0D" w:rsidRPr="00F77E7A">
        <w:t>hile</w:t>
      </w:r>
      <w:r w:rsidR="001D7BC8" w:rsidRPr="00F77E7A">
        <w:t xml:space="preserve"> </w:t>
      </w:r>
      <w:r w:rsidR="00831FA2" w:rsidRPr="00F77E7A">
        <w:t>this decrease in the rate of decline was effectively accepted for lumacaftor/ivacaftor</w:t>
      </w:r>
      <w:r w:rsidR="00660566" w:rsidRPr="00F77E7A">
        <w:t>,</w:t>
      </w:r>
      <w:r w:rsidR="00E157F8" w:rsidRPr="00F77E7A">
        <w:t xml:space="preserve"> this was in the context</w:t>
      </w:r>
      <w:r w:rsidR="001D7BC8" w:rsidRPr="00F77E7A">
        <w:t xml:space="preserve"> that a </w:t>
      </w:r>
      <w:r w:rsidR="005C467D" w:rsidRPr="00F77E7A">
        <w:t>Managed Access Program (</w:t>
      </w:r>
      <w:r w:rsidR="001D7BC8" w:rsidRPr="00F77E7A">
        <w:t>MAP</w:t>
      </w:r>
      <w:r w:rsidR="005C467D" w:rsidRPr="00F77E7A">
        <w:t>)</w:t>
      </w:r>
      <w:r w:rsidR="001D7BC8" w:rsidRPr="00F77E7A">
        <w:t xml:space="preserve"> could be agreed with the Sponsor that included </w:t>
      </w:r>
      <w:r w:rsidR="008F2DAC" w:rsidRPr="00F77E7A">
        <w:t xml:space="preserve">this 42% </w:t>
      </w:r>
      <w:r w:rsidR="00831FA2" w:rsidRPr="00F77E7A">
        <w:t xml:space="preserve">decrease </w:t>
      </w:r>
      <w:r w:rsidR="001D7BC8" w:rsidRPr="00F77E7A">
        <w:t>as part of the performance criteria (lumacaftor/ivacaftor (aged 12+), PSD July 2018 paragraph 6.75). However, a</w:t>
      </w:r>
      <w:r w:rsidR="00286C9C" w:rsidRPr="00F77E7A">
        <w:t>s a</w:t>
      </w:r>
      <w:r w:rsidR="001D7BC8" w:rsidRPr="00F77E7A">
        <w:t xml:space="preserve"> MAP was not pr</w:t>
      </w:r>
      <w:r w:rsidR="00286C9C" w:rsidRPr="00F77E7A">
        <w:t xml:space="preserve">oposed for tezacaftor/ivacaftor, the </w:t>
      </w:r>
      <w:r w:rsidR="001D7BC8" w:rsidRPr="00F77E7A">
        <w:t xml:space="preserve">inclusion of a 42% </w:t>
      </w:r>
      <w:r w:rsidR="0074474E" w:rsidRPr="00F77E7A">
        <w:t xml:space="preserve">decrease in the rate of </w:t>
      </w:r>
      <w:r w:rsidR="001D7BC8" w:rsidRPr="00F77E7A">
        <w:t>decline in ppFEV</w:t>
      </w:r>
      <w:r w:rsidR="001D7BC8" w:rsidRPr="00F77E7A">
        <w:rPr>
          <w:vertAlign w:val="subscript"/>
        </w:rPr>
        <w:t>1</w:t>
      </w:r>
      <w:r w:rsidR="001D7BC8" w:rsidRPr="00F77E7A">
        <w:t xml:space="preserve"> in the economic model was not appropriate. </w:t>
      </w:r>
      <w:r w:rsidR="00E84172" w:rsidRPr="00F77E7A">
        <w:t>The PSCR stated that uncertainty surrounding this estimate is dealt with via the lumacaftor/ivacaftor MAP.</w:t>
      </w:r>
      <w:r w:rsidR="00E22E60" w:rsidRPr="00F77E7A">
        <w:t xml:space="preserve"> Subsequent to the PSCR, the sponsor proposed that the outcome of the lumacaftor/ivacaftor </w:t>
      </w:r>
      <w:r w:rsidR="00163586" w:rsidRPr="00F77E7A">
        <w:t xml:space="preserve">MAP </w:t>
      </w:r>
      <w:r w:rsidR="00E22E60" w:rsidRPr="00F77E7A">
        <w:t>for patients homozygous for the F508del mutation be applied</w:t>
      </w:r>
      <w:r w:rsidR="00E84172" w:rsidRPr="00F77E7A">
        <w:t xml:space="preserve"> </w:t>
      </w:r>
      <w:r w:rsidR="00E22E60" w:rsidRPr="00F77E7A">
        <w:t xml:space="preserve">to the subsidisation caps for tezacaftor/ivacaftor for both of the requested indications. </w:t>
      </w:r>
      <w:r w:rsidR="00B66D11" w:rsidRPr="00F77E7A">
        <w:t>T</w:t>
      </w:r>
      <w:r w:rsidR="00CD5963" w:rsidRPr="00F77E7A">
        <w:t>he ESC</w:t>
      </w:r>
      <w:r w:rsidR="00B66D11" w:rsidRPr="00F77E7A">
        <w:t xml:space="preserve"> nevertheless</w:t>
      </w:r>
      <w:r w:rsidR="00CD5963" w:rsidRPr="00F77E7A">
        <w:t xml:space="preserve"> </w:t>
      </w:r>
      <w:r w:rsidR="00B66D11" w:rsidRPr="00F77E7A">
        <w:t xml:space="preserve">considered </w:t>
      </w:r>
      <w:r w:rsidR="001E47BC" w:rsidRPr="00F77E7A">
        <w:t xml:space="preserve">that the assumption of a 42% </w:t>
      </w:r>
      <w:r w:rsidR="00163586" w:rsidRPr="00F77E7A">
        <w:t xml:space="preserve">decrease in the rate of </w:t>
      </w:r>
      <w:r w:rsidR="001E47BC" w:rsidRPr="00F77E7A">
        <w:t>decline in ppFEV</w:t>
      </w:r>
      <w:r w:rsidR="001E47BC" w:rsidRPr="00F77E7A">
        <w:rPr>
          <w:vertAlign w:val="subscript"/>
        </w:rPr>
        <w:t>1</w:t>
      </w:r>
      <w:r w:rsidR="001E47BC" w:rsidRPr="00F77E7A">
        <w:t xml:space="preserve"> </w:t>
      </w:r>
      <w:r w:rsidR="00163586" w:rsidRPr="00F77E7A">
        <w:t xml:space="preserve">in the </w:t>
      </w:r>
      <w:r w:rsidR="00C413FE" w:rsidRPr="00F77E7A">
        <w:t>homozygous</w:t>
      </w:r>
      <w:r w:rsidR="00163586" w:rsidRPr="00F77E7A">
        <w:t xml:space="preserve"> F508del mutation population </w:t>
      </w:r>
      <w:r w:rsidR="001E47BC" w:rsidRPr="00F77E7A">
        <w:t xml:space="preserve">was not justified </w:t>
      </w:r>
      <w:r w:rsidR="00163586" w:rsidRPr="00F77E7A">
        <w:t xml:space="preserve">for this patient population </w:t>
      </w:r>
      <w:r w:rsidR="001E47BC" w:rsidRPr="00F77E7A">
        <w:t>given the uncertainty around the long</w:t>
      </w:r>
      <w:r w:rsidR="00B66D11" w:rsidRPr="00F77E7A">
        <w:t>-</w:t>
      </w:r>
      <w:r w:rsidR="001E47BC" w:rsidRPr="00F77E7A">
        <w:t xml:space="preserve">term efficacy of tezacaftor/ivacaftor </w:t>
      </w:r>
      <w:r w:rsidR="00E22E60" w:rsidRPr="00F77E7A">
        <w:t>for the RF mutation</w:t>
      </w:r>
      <w:r w:rsidR="001E47BC" w:rsidRPr="00F77E7A">
        <w:t xml:space="preserve"> patient population.</w:t>
      </w:r>
      <w:r w:rsidR="007F3956" w:rsidRPr="00F77E7A">
        <w:t xml:space="preserve"> Further, the ESC considered that the evidence presented did not adequately support the assumption of a lifetime treatment effect in the model.</w:t>
      </w:r>
      <w:r w:rsidR="00163586" w:rsidRPr="00F77E7A">
        <w:t xml:space="preserve"> In this regard, the ESC considered that a</w:t>
      </w:r>
      <w:r w:rsidR="00C413FE" w:rsidRPr="00F77E7A">
        <w:t>ssuming a</w:t>
      </w:r>
      <w:r w:rsidR="00163586" w:rsidRPr="00F77E7A">
        <w:t xml:space="preserve"> rate of decline for tezacaftor/ivacaftor equal to BSC </w:t>
      </w:r>
      <w:r w:rsidR="00C413FE" w:rsidRPr="00F77E7A">
        <w:t xml:space="preserve">after the trial period </w:t>
      </w:r>
      <w:r w:rsidR="00163586" w:rsidRPr="00F77E7A">
        <w:t>may still favour tezacaftor/ivacaftor as patients treated with the intervention would always maintain the 6.8 percentage point difference in ppFEV</w:t>
      </w:r>
      <w:r w:rsidR="00163586" w:rsidRPr="00F77E7A">
        <w:rPr>
          <w:vertAlign w:val="subscript"/>
        </w:rPr>
        <w:t>1</w:t>
      </w:r>
      <w:r w:rsidR="00163586" w:rsidRPr="00F77E7A">
        <w:t xml:space="preserve"> </w:t>
      </w:r>
      <w:r w:rsidR="008967EF" w:rsidRPr="00F77E7A">
        <w:t xml:space="preserve">observed at week </w:t>
      </w:r>
      <w:r w:rsidR="00AA5AD3" w:rsidRPr="00F77E7A">
        <w:t>8</w:t>
      </w:r>
      <w:r w:rsidR="008967EF" w:rsidRPr="00F77E7A">
        <w:t xml:space="preserve"> in </w:t>
      </w:r>
      <w:r w:rsidR="00163586" w:rsidRPr="00F77E7A">
        <w:t>Study 108; the difference in ppFEV</w:t>
      </w:r>
      <w:r w:rsidR="00163586" w:rsidRPr="00F77E7A">
        <w:rPr>
          <w:vertAlign w:val="subscript"/>
        </w:rPr>
        <w:t>1</w:t>
      </w:r>
      <w:r w:rsidR="00163586" w:rsidRPr="00F77E7A">
        <w:t xml:space="preserve"> may in fact reduce over the long term.</w:t>
      </w:r>
    </w:p>
    <w:p w:rsidR="00BF6561" w:rsidRPr="00F77E7A" w:rsidRDefault="004874E6" w:rsidP="00C33949">
      <w:pPr>
        <w:pStyle w:val="ListParagraph"/>
        <w:widowControl/>
        <w:numPr>
          <w:ilvl w:val="1"/>
          <w:numId w:val="2"/>
        </w:numPr>
        <w:spacing w:before="120" w:after="120"/>
      </w:pPr>
      <w:r w:rsidRPr="00F77E7A">
        <w:t xml:space="preserve">The model </w:t>
      </w:r>
      <w:r w:rsidR="00B40DE0" w:rsidRPr="00F77E7A">
        <w:t xml:space="preserve">assumed a reduction in </w:t>
      </w:r>
      <w:r w:rsidR="008E7C26" w:rsidRPr="00F77E7A">
        <w:t>pulmonary exacerbation</w:t>
      </w:r>
      <w:r w:rsidR="00B40DE0" w:rsidRPr="00F77E7A">
        <w:t>-related hospitalisation costs</w:t>
      </w:r>
      <w:r w:rsidR="00385AAD" w:rsidRPr="00F77E7A">
        <w:t xml:space="preserve">. </w:t>
      </w:r>
      <w:r w:rsidR="00B40DE0" w:rsidRPr="00F77E7A">
        <w:t xml:space="preserve">The ESC noted that the model </w:t>
      </w:r>
      <w:r w:rsidR="00385AAD" w:rsidRPr="00F77E7A">
        <w:t>assumed this</w:t>
      </w:r>
      <w:r w:rsidR="00B40DE0" w:rsidRPr="00F77E7A">
        <w:t xml:space="preserve"> benefit based </w:t>
      </w:r>
      <w:r w:rsidR="00385AAD" w:rsidRPr="00F77E7A">
        <w:t xml:space="preserve">on </w:t>
      </w:r>
      <w:r w:rsidR="00B40DE0" w:rsidRPr="00F77E7A">
        <w:t>non-statistical differences</w:t>
      </w:r>
      <w:r w:rsidR="00385AAD" w:rsidRPr="00F77E7A">
        <w:t xml:space="preserve"> in the rates</w:t>
      </w:r>
      <w:r w:rsidR="00385AAD" w:rsidRPr="00F77E7A">
        <w:rPr>
          <w:i/>
        </w:rPr>
        <w:t xml:space="preserve"> </w:t>
      </w:r>
      <w:r w:rsidR="00385AAD" w:rsidRPr="00F77E7A">
        <w:t xml:space="preserve">of </w:t>
      </w:r>
      <w:r w:rsidR="008E7C26" w:rsidRPr="00F77E7A">
        <w:t>pulmonary exacerbations</w:t>
      </w:r>
      <w:r w:rsidR="008E7C26" w:rsidRPr="00F77E7A" w:rsidDel="008E7C26">
        <w:t xml:space="preserve"> </w:t>
      </w:r>
      <w:r w:rsidR="00B40DE0" w:rsidRPr="00F77E7A">
        <w:t xml:space="preserve">between tezacaftor/ivacaftor and BSC </w:t>
      </w:r>
      <w:r w:rsidR="00300E63" w:rsidRPr="00F77E7A">
        <w:t xml:space="preserve">in Study 108 </w:t>
      </w:r>
      <w:r w:rsidR="005C7DCF" w:rsidRPr="00F77E7A">
        <w:t>(see paragraph 6.</w:t>
      </w:r>
      <w:r w:rsidR="00556B75" w:rsidRPr="00F77E7A">
        <w:t>1</w:t>
      </w:r>
      <w:r w:rsidR="00686935" w:rsidRPr="00F77E7A">
        <w:t>2</w:t>
      </w:r>
      <w:r w:rsidR="005C7DCF" w:rsidRPr="00F77E7A">
        <w:t xml:space="preserve">) </w:t>
      </w:r>
      <w:r w:rsidR="00300E63" w:rsidRPr="00F77E7A">
        <w:t>which may not have been appropriate.</w:t>
      </w:r>
      <w:r w:rsidR="00DB4B23" w:rsidRPr="00F77E7A">
        <w:t xml:space="preserve"> The pre-PBAC Response noted that while the rate of </w:t>
      </w:r>
      <w:r w:rsidR="008E7C26" w:rsidRPr="00F77E7A">
        <w:t>pulmonary exacerbations</w:t>
      </w:r>
      <w:r w:rsidR="008E7C26" w:rsidRPr="00F77E7A" w:rsidDel="008E7C26">
        <w:t xml:space="preserve"> </w:t>
      </w:r>
      <w:r w:rsidR="00DB4B23" w:rsidRPr="00F77E7A">
        <w:t xml:space="preserve">was not statistically significant, the lower rate of </w:t>
      </w:r>
      <w:r w:rsidR="008E7C26" w:rsidRPr="00F77E7A">
        <w:t xml:space="preserve">pulmonary exacerbations </w:t>
      </w:r>
      <w:r w:rsidR="00DB4B23" w:rsidRPr="00F77E7A">
        <w:t>in the tezacaftor/ivacaftor arm was maintained through extension Study 110</w:t>
      </w:r>
      <w:r w:rsidR="00FF11A4" w:rsidRPr="00F77E7A">
        <w:t xml:space="preserve"> whereas the rate of </w:t>
      </w:r>
      <w:r w:rsidR="008E7C26" w:rsidRPr="00F77E7A">
        <w:t>pulmonary exacerbations</w:t>
      </w:r>
      <w:r w:rsidR="008E7C26" w:rsidRPr="00F77E7A" w:rsidDel="008E7C26">
        <w:t xml:space="preserve"> </w:t>
      </w:r>
      <w:r w:rsidR="00FF11A4" w:rsidRPr="00F77E7A">
        <w:t xml:space="preserve">in the placebo arm increased. </w:t>
      </w:r>
      <w:r w:rsidR="00DB4B23" w:rsidRPr="00F77E7A">
        <w:t xml:space="preserve">The pre-PBAC Response </w:t>
      </w:r>
      <w:r w:rsidR="00FF11A4" w:rsidRPr="00F77E7A">
        <w:t xml:space="preserve">further </w:t>
      </w:r>
      <w:r w:rsidR="00DB4B23" w:rsidRPr="00F77E7A">
        <w:t xml:space="preserve">noted that the model only captures </w:t>
      </w:r>
      <w:r w:rsidR="008E7C26" w:rsidRPr="00F77E7A">
        <w:t>pulmonary exacerbations</w:t>
      </w:r>
      <w:r w:rsidR="008E7C26" w:rsidRPr="00F77E7A" w:rsidDel="008E7C26">
        <w:t xml:space="preserve"> </w:t>
      </w:r>
      <w:r w:rsidR="00DB4B23" w:rsidRPr="00F77E7A">
        <w:t xml:space="preserve">that require hospitalisation or treatment with IV antibiotics and therefore would underestimate the annual rate of all </w:t>
      </w:r>
      <w:r w:rsidR="008E7C26" w:rsidRPr="00F77E7A">
        <w:t>pulmonary exacerbations</w:t>
      </w:r>
      <w:r w:rsidR="00DB4B23" w:rsidRPr="00F77E7A">
        <w:t>.</w:t>
      </w:r>
    </w:p>
    <w:p w:rsidR="006E63A1" w:rsidRPr="00F77E7A" w:rsidRDefault="00BF6561" w:rsidP="00C33949">
      <w:pPr>
        <w:pStyle w:val="ListParagraph"/>
        <w:widowControl/>
        <w:numPr>
          <w:ilvl w:val="1"/>
          <w:numId w:val="2"/>
        </w:numPr>
        <w:spacing w:before="120" w:after="120"/>
      </w:pPr>
      <w:r w:rsidRPr="00F77E7A">
        <w:t xml:space="preserve">The </w:t>
      </w:r>
      <w:r w:rsidR="00190B66" w:rsidRPr="00F77E7A">
        <w:t xml:space="preserve">submission’s </w:t>
      </w:r>
      <w:r w:rsidRPr="00F77E7A">
        <w:t xml:space="preserve">base case assumed the annual cost of tezacaftor/ivacaftor based on the </w:t>
      </w:r>
      <w:r w:rsidR="00327817" w:rsidRPr="00F77E7A">
        <w:t xml:space="preserve">intended annual </w:t>
      </w:r>
      <w:r w:rsidR="00A537EF" w:rsidRPr="00F77E7A">
        <w:t xml:space="preserve">price </w:t>
      </w:r>
      <w:r w:rsidRPr="00F77E7A">
        <w:t>of $</w:t>
      </w:r>
      <w:r w:rsidR="007D10D3">
        <w:rPr>
          <w:noProof/>
          <w:color w:val="000000"/>
          <w:highlight w:val="black"/>
        </w:rPr>
        <w:t>''''''''''''''</w:t>
      </w:r>
      <w:r w:rsidRPr="00F77E7A">
        <w:t xml:space="preserve"> per patient, a 5% statutory price reduction </w:t>
      </w:r>
      <w:r w:rsidRPr="00DC0949">
        <w:t xml:space="preserve">and a further </w:t>
      </w:r>
      <w:r w:rsidR="007D10D3">
        <w:rPr>
          <w:noProof/>
          <w:color w:val="000000"/>
          <w:highlight w:val="black"/>
        </w:rPr>
        <w:t>''''''</w:t>
      </w:r>
      <w:r w:rsidR="00F44061" w:rsidRPr="00DC0949">
        <w:t xml:space="preserve">% percentage </w:t>
      </w:r>
      <w:r w:rsidRPr="00DC0949">
        <w:t xml:space="preserve"> reduction following</w:t>
      </w:r>
      <w:r w:rsidRPr="00F77E7A">
        <w:t xml:space="preserve"> </w:t>
      </w:r>
      <w:r w:rsidR="00F20088" w:rsidRPr="00F77E7A">
        <w:t>loss of exclusivity</w:t>
      </w:r>
      <w:r w:rsidRPr="00F77E7A">
        <w:t xml:space="preserve">. </w:t>
      </w:r>
      <w:r w:rsidR="0014390D" w:rsidRPr="00F77E7A">
        <w:t xml:space="preserve">The list price should have been used, in line with the </w:t>
      </w:r>
      <w:r w:rsidRPr="00F77E7A">
        <w:t xml:space="preserve">PBAC </w:t>
      </w:r>
      <w:r w:rsidR="007C5411" w:rsidRPr="00F77E7A">
        <w:t>G</w:t>
      </w:r>
      <w:r w:rsidRPr="00F77E7A">
        <w:t xml:space="preserve">uidelines </w:t>
      </w:r>
      <w:r w:rsidR="0014390D" w:rsidRPr="00F77E7A">
        <w:t xml:space="preserve">and previous </w:t>
      </w:r>
      <w:r w:rsidRPr="00F77E7A">
        <w:t xml:space="preserve">PBAC </w:t>
      </w:r>
      <w:r w:rsidR="0014390D" w:rsidRPr="00F77E7A">
        <w:t xml:space="preserve">statements </w:t>
      </w:r>
      <w:r w:rsidRPr="00F77E7A">
        <w:t>for other CFTR modulators</w:t>
      </w:r>
      <w:r w:rsidR="001E7BDB" w:rsidRPr="00F77E7A">
        <w:t xml:space="preserve"> (lumacaftor/ivacaftor (aged 12+</w:t>
      </w:r>
      <w:r w:rsidR="0004623E" w:rsidRPr="00F77E7A">
        <w:t>)</w:t>
      </w:r>
      <w:r w:rsidR="001E7BDB" w:rsidRPr="00F77E7A">
        <w:t>, PSD July 2018 paragraph 6.52)</w:t>
      </w:r>
      <w:r w:rsidRPr="00F77E7A">
        <w:t>.</w:t>
      </w:r>
      <w:r w:rsidR="001D7BC8" w:rsidRPr="00F77E7A">
        <w:t xml:space="preserve"> </w:t>
      </w:r>
      <w:r w:rsidR="002210D7" w:rsidRPr="00F77E7A">
        <w:t>The PSCR</w:t>
      </w:r>
      <w:r w:rsidR="00993766" w:rsidRPr="00F77E7A">
        <w:t xml:space="preserve"> </w:t>
      </w:r>
      <w:r w:rsidR="00901100" w:rsidRPr="00F77E7A">
        <w:t>argued</w:t>
      </w:r>
      <w:r w:rsidR="002210D7" w:rsidRPr="00F77E7A">
        <w:t xml:space="preserve"> </w:t>
      </w:r>
      <w:r w:rsidR="00993766" w:rsidRPr="00F77E7A">
        <w:t>“</w:t>
      </w:r>
      <w:r w:rsidR="002210D7" w:rsidRPr="00F77E7A">
        <w:t>these price changes mark real and significant decreases in future costs that may be borne by the Australian Government, and therefore, should be included in the analysis</w:t>
      </w:r>
      <w:r w:rsidR="00993766" w:rsidRPr="00F77E7A">
        <w:t>”</w:t>
      </w:r>
      <w:r w:rsidR="002210D7" w:rsidRPr="00F77E7A">
        <w:t xml:space="preserve">. The ESC considered that </w:t>
      </w:r>
      <w:r w:rsidR="006E63A1" w:rsidRPr="00F77E7A">
        <w:t>including these</w:t>
      </w:r>
      <w:r w:rsidR="002210D7" w:rsidRPr="00F77E7A">
        <w:t xml:space="preserve"> price reductions</w:t>
      </w:r>
      <w:r w:rsidR="002E0EB5" w:rsidRPr="00F77E7A">
        <w:t xml:space="preserve"> </w:t>
      </w:r>
      <w:r w:rsidR="006E63A1" w:rsidRPr="00F77E7A">
        <w:t xml:space="preserve">in the model was </w:t>
      </w:r>
      <w:r w:rsidR="002210D7" w:rsidRPr="00F77E7A">
        <w:t>inappropriate</w:t>
      </w:r>
      <w:r w:rsidR="006E63A1" w:rsidRPr="00F77E7A">
        <w:t xml:space="preserve"> </w:t>
      </w:r>
      <w:r w:rsidR="00EF7EA5" w:rsidRPr="00F77E7A">
        <w:t xml:space="preserve">and inconsistent with the PBAC Guidelines. Furthermore, the ESC disagreed with the PSCR that these price changes represent real decreases in future costs and considered these price changes were </w:t>
      </w:r>
      <w:r w:rsidR="00791D05" w:rsidRPr="00F77E7A">
        <w:t xml:space="preserve">unlikely to be realised in practice </w:t>
      </w:r>
      <w:r w:rsidR="006E63A1" w:rsidRPr="00F77E7A">
        <w:t>for the following reasons:</w:t>
      </w:r>
    </w:p>
    <w:p w:rsidR="006E63A1" w:rsidRPr="00F77E7A" w:rsidRDefault="00F27554" w:rsidP="00C33949">
      <w:pPr>
        <w:pStyle w:val="ListParagraph"/>
        <w:widowControl/>
        <w:numPr>
          <w:ilvl w:val="2"/>
          <w:numId w:val="2"/>
        </w:numPr>
        <w:spacing w:before="120" w:after="120"/>
        <w:ind w:left="993" w:hanging="284"/>
      </w:pPr>
      <w:r w:rsidRPr="00F77E7A">
        <w:t>As</w:t>
      </w:r>
      <w:r w:rsidR="006E63A1" w:rsidRPr="00F77E7A">
        <w:t xml:space="preserve"> tezacaftor/ivacaftor is likely to be replaced with triple therapy and other “next generation correctors” over the next several years, it is unlikely that tezacaftor/ivacaftor will be </w:t>
      </w:r>
      <w:r w:rsidR="005C3D1D" w:rsidRPr="00F77E7A">
        <w:t>widely used</w:t>
      </w:r>
      <w:r w:rsidR="006E63A1" w:rsidRPr="00F77E7A">
        <w:t xml:space="preserve"> at the time that the submission assumed the price will reduce by </w:t>
      </w:r>
      <w:r w:rsidR="007D10D3">
        <w:rPr>
          <w:noProof/>
          <w:color w:val="000000"/>
          <w:highlight w:val="black"/>
        </w:rPr>
        <w:t>'''''</w:t>
      </w:r>
      <w:r w:rsidR="006E63A1" w:rsidRPr="00F77E7A">
        <w:t>%.</w:t>
      </w:r>
      <w:r w:rsidR="002210D7" w:rsidRPr="00F77E7A">
        <w:t xml:space="preserve"> </w:t>
      </w:r>
    </w:p>
    <w:p w:rsidR="002210D7" w:rsidRPr="00F77E7A" w:rsidRDefault="006E63A1" w:rsidP="00C33949">
      <w:pPr>
        <w:pStyle w:val="ListParagraph"/>
        <w:widowControl/>
        <w:numPr>
          <w:ilvl w:val="2"/>
          <w:numId w:val="2"/>
        </w:numPr>
        <w:spacing w:before="120" w:after="120"/>
        <w:ind w:left="993" w:hanging="284"/>
      </w:pPr>
      <w:r w:rsidRPr="00F77E7A">
        <w:t xml:space="preserve">The 5% and </w:t>
      </w:r>
      <w:r w:rsidR="007D10D3">
        <w:rPr>
          <w:noProof/>
          <w:color w:val="000000"/>
          <w:highlight w:val="black"/>
        </w:rPr>
        <w:t>'''''</w:t>
      </w:r>
      <w:r w:rsidRPr="00F77E7A">
        <w:t xml:space="preserve">% price reductions </w:t>
      </w:r>
      <w:r w:rsidR="00674A15" w:rsidRPr="00F77E7A">
        <w:t xml:space="preserve">in the model </w:t>
      </w:r>
      <w:r w:rsidRPr="00F77E7A">
        <w:t xml:space="preserve">were </w:t>
      </w:r>
      <w:r w:rsidR="002210D7" w:rsidRPr="00F77E7A">
        <w:t>applied to the</w:t>
      </w:r>
      <w:r w:rsidRPr="00F77E7A">
        <w:t xml:space="preserve"> intended</w:t>
      </w:r>
      <w:r w:rsidR="00327817" w:rsidRPr="00F77E7A">
        <w:t xml:space="preserve"> annual </w:t>
      </w:r>
      <w:r w:rsidR="009711BC" w:rsidRPr="00F77E7A">
        <w:t xml:space="preserve">price </w:t>
      </w:r>
      <w:r w:rsidR="00327817" w:rsidRPr="00F77E7A">
        <w:t>of</w:t>
      </w:r>
      <w:r w:rsidR="002210D7" w:rsidRPr="00F77E7A">
        <w:t xml:space="preserve"> $</w:t>
      </w:r>
      <w:r w:rsidR="007D10D3">
        <w:rPr>
          <w:noProof/>
          <w:color w:val="000000"/>
          <w:highlight w:val="black"/>
        </w:rPr>
        <w:t>'''''''''''''</w:t>
      </w:r>
      <w:r w:rsidR="002210D7" w:rsidRPr="00F77E7A">
        <w:t xml:space="preserve"> per patient</w:t>
      </w:r>
      <w:r w:rsidR="009711BC" w:rsidRPr="00F77E7A">
        <w:t>; however,</w:t>
      </w:r>
      <w:r w:rsidRPr="00F77E7A">
        <w:t xml:space="preserve"> </w:t>
      </w:r>
      <w:r w:rsidR="009711BC" w:rsidRPr="00F77E7A">
        <w:t>t</w:t>
      </w:r>
      <w:r w:rsidRPr="00F77E7A">
        <w:t xml:space="preserve">he 5% statutory price reduction would apply to the </w:t>
      </w:r>
      <w:r w:rsidR="009711BC" w:rsidRPr="00F77E7A">
        <w:t xml:space="preserve">requested </w:t>
      </w:r>
      <w:r w:rsidR="00CF5A3E" w:rsidRPr="00F77E7A">
        <w:t xml:space="preserve">ex-manufacturer price </w:t>
      </w:r>
      <w:r w:rsidR="009711BC" w:rsidRPr="00F77E7A">
        <w:t>of $21,000 (or around $2</w:t>
      </w:r>
      <w:r w:rsidR="00234EDE" w:rsidRPr="00F77E7A">
        <w:t>7</w:t>
      </w:r>
      <w:r w:rsidR="009711BC" w:rsidRPr="00F77E7A">
        <w:t>0,000 per patient per year)</w:t>
      </w:r>
      <w:r w:rsidRPr="00F77E7A">
        <w:t>. Furthermore, the</w:t>
      </w:r>
      <w:r w:rsidR="00F0295F" w:rsidRPr="00F77E7A">
        <w:t xml:space="preserve">re is a significant risk that the </w:t>
      </w:r>
      <w:r w:rsidR="00791D05" w:rsidRPr="00F77E7A">
        <w:t>Government</w:t>
      </w:r>
      <w:r w:rsidR="00F0295F" w:rsidRPr="00F77E7A">
        <w:t xml:space="preserve"> would pay a higher amount than</w:t>
      </w:r>
      <w:r w:rsidR="00747D69" w:rsidRPr="00F77E7A">
        <w:t xml:space="preserve"> the intended</w:t>
      </w:r>
      <w:r w:rsidR="00F0295F" w:rsidRPr="00F77E7A">
        <w:t xml:space="preserve"> </w:t>
      </w:r>
      <w:r w:rsidR="009711BC" w:rsidRPr="00F77E7A">
        <w:t xml:space="preserve">price of </w:t>
      </w:r>
      <w:r w:rsidR="00F0295F" w:rsidRPr="00F77E7A">
        <w:t>$</w:t>
      </w:r>
      <w:r w:rsidR="007D10D3">
        <w:rPr>
          <w:noProof/>
          <w:color w:val="000000"/>
          <w:highlight w:val="black"/>
        </w:rPr>
        <w:t>'''''''''''''</w:t>
      </w:r>
      <w:r w:rsidR="00F0295F" w:rsidRPr="00F77E7A">
        <w:t xml:space="preserve"> per patient per year (</w:t>
      </w:r>
      <w:r w:rsidR="00327817" w:rsidRPr="00F77E7A">
        <w:t>see below paragraph</w:t>
      </w:r>
      <w:r w:rsidR="00F0295F" w:rsidRPr="00F77E7A">
        <w:t>) and the</w:t>
      </w:r>
      <w:r w:rsidRPr="00F77E7A">
        <w:t xml:space="preserve"> </w:t>
      </w:r>
      <w:r w:rsidR="009711BC" w:rsidRPr="00F77E7A">
        <w:t xml:space="preserve">terms of the current Deed of Agreement, including the subsidisation caps and intended resulting price per patient, </w:t>
      </w:r>
      <w:r w:rsidR="00CF5A3E" w:rsidRPr="00F77E7A">
        <w:t xml:space="preserve">may </w:t>
      </w:r>
      <w:r w:rsidRPr="00F77E7A">
        <w:t xml:space="preserve">not apply </w:t>
      </w:r>
      <w:r w:rsidR="00712F84">
        <w:t>when</w:t>
      </w:r>
      <w:r w:rsidRPr="00F77E7A">
        <w:t xml:space="preserve"> generic versions of tezacaftor/ivacaftor become available</w:t>
      </w:r>
      <w:r w:rsidR="00EF7EA5" w:rsidRPr="00F77E7A">
        <w:t>.</w:t>
      </w:r>
    </w:p>
    <w:p w:rsidR="003068EC" w:rsidRPr="00F77E7A" w:rsidRDefault="003F6652" w:rsidP="00C33949">
      <w:pPr>
        <w:pStyle w:val="ListParagraph"/>
        <w:widowControl/>
        <w:numPr>
          <w:ilvl w:val="1"/>
          <w:numId w:val="2"/>
        </w:numPr>
        <w:spacing w:before="120" w:after="120"/>
      </w:pPr>
      <w:r w:rsidRPr="00F77E7A">
        <w:t>Table 9 outlines the parameter changes to the submission base case that ESC thought were most appropriate for PBAC decision making. While the ESC noted that the submission was proposing a</w:t>
      </w:r>
      <w:r w:rsidR="00E14420" w:rsidRPr="00F77E7A">
        <w:t>n intended</w:t>
      </w:r>
      <w:r w:rsidRPr="00F77E7A">
        <w:t xml:space="preserve"> </w:t>
      </w:r>
      <w:r w:rsidR="00E14420" w:rsidRPr="00F77E7A">
        <w:t xml:space="preserve">annual </w:t>
      </w:r>
      <w:r w:rsidR="00FC2CA2" w:rsidRPr="00F77E7A">
        <w:t xml:space="preserve">price </w:t>
      </w:r>
      <w:r w:rsidRPr="00F77E7A">
        <w:t>of $</w:t>
      </w:r>
      <w:r w:rsidR="007D10D3">
        <w:rPr>
          <w:noProof/>
          <w:color w:val="000000"/>
          <w:highlight w:val="black"/>
        </w:rPr>
        <w:t>''''''''''''</w:t>
      </w:r>
      <w:r w:rsidR="00E14420" w:rsidRPr="00F77E7A">
        <w:t xml:space="preserve"> per patient</w:t>
      </w:r>
      <w:r w:rsidRPr="00F77E7A">
        <w:t xml:space="preserve">, it </w:t>
      </w:r>
      <w:r w:rsidR="00CA47EB" w:rsidRPr="00F77E7A">
        <w:t xml:space="preserve">reiterated its view that there was a </w:t>
      </w:r>
      <w:r w:rsidRPr="00F77E7A">
        <w:t>significant risk that the Government would pay a higher amount than this</w:t>
      </w:r>
      <w:r w:rsidR="00C105FC" w:rsidRPr="00F77E7A">
        <w:t>,</w:t>
      </w:r>
      <w:r w:rsidR="00E14420" w:rsidRPr="00F77E7A">
        <w:t xml:space="preserve"> as realisation of this price through subsidisation caps is dependent on estimated utilisation being achieved. </w:t>
      </w:r>
      <w:r w:rsidRPr="00F77E7A">
        <w:t>Accordingly,</w:t>
      </w:r>
      <w:r w:rsidR="00C53E9F" w:rsidRPr="00F77E7A">
        <w:t xml:space="preserve"> given the uncertainty in the utilisation estimates,</w:t>
      </w:r>
      <w:r w:rsidRPr="00F77E7A">
        <w:t xml:space="preserve"> t</w:t>
      </w:r>
      <w:r w:rsidR="00F0295F" w:rsidRPr="00F77E7A">
        <w:t xml:space="preserve">he ESC </w:t>
      </w:r>
      <w:r w:rsidRPr="00F77E7A">
        <w:t xml:space="preserve">advised </w:t>
      </w:r>
      <w:r w:rsidR="00F0295F" w:rsidRPr="00F77E7A">
        <w:t xml:space="preserve">it would be informative </w:t>
      </w:r>
      <w:r w:rsidRPr="00F77E7A">
        <w:t>to</w:t>
      </w:r>
      <w:r w:rsidR="00F0295F" w:rsidRPr="00F77E7A">
        <w:t xml:space="preserve"> consider </w:t>
      </w:r>
      <w:r w:rsidRPr="00F77E7A">
        <w:t xml:space="preserve">a range of </w:t>
      </w:r>
      <w:r w:rsidR="00F0295F" w:rsidRPr="00F77E7A">
        <w:t>ICER</w:t>
      </w:r>
      <w:r w:rsidR="00E14420" w:rsidRPr="00F77E7A">
        <w:t>s</w:t>
      </w:r>
      <w:r w:rsidRPr="00F77E7A">
        <w:t xml:space="preserve"> using the parameter changes outlined in Table 9 at </w:t>
      </w:r>
      <w:r w:rsidR="00F0295F" w:rsidRPr="00F77E7A">
        <w:t>$</w:t>
      </w:r>
      <w:r w:rsidR="007D10D3">
        <w:rPr>
          <w:noProof/>
          <w:color w:val="000000"/>
          <w:highlight w:val="black"/>
        </w:rPr>
        <w:t>'''''''''''''</w:t>
      </w:r>
      <w:r w:rsidR="00F0295F" w:rsidRPr="00F77E7A">
        <w:t xml:space="preserve"> per patient </w:t>
      </w:r>
      <w:r w:rsidR="00C105FC" w:rsidRPr="00F77E7A">
        <w:t>per year</w:t>
      </w:r>
      <w:r w:rsidR="00F57201" w:rsidRPr="00F77E7A">
        <w:t xml:space="preserve"> and the requested list price</w:t>
      </w:r>
      <w:r w:rsidR="00F0295F" w:rsidRPr="00F77E7A">
        <w:t>. In this regard, the ESC considered the incremental cost effectiveness</w:t>
      </w:r>
      <w:r w:rsidRPr="00F77E7A">
        <w:t xml:space="preserve"> of tezacaftor/ivacaftor for the RF mutation population</w:t>
      </w:r>
      <w:r w:rsidR="00F0295F" w:rsidRPr="00F77E7A">
        <w:t xml:space="preserve"> would likely be between </w:t>
      </w:r>
      <w:r w:rsidR="001C3A33">
        <w:t>more than $200</w:t>
      </w:r>
      <w:r w:rsidR="001C3A33" w:rsidRPr="00DC0949">
        <w:t xml:space="preserve">,000/QALY </w:t>
      </w:r>
      <w:r w:rsidR="00F0295F" w:rsidRPr="00DC0949">
        <w:t xml:space="preserve">and </w:t>
      </w:r>
      <w:r w:rsidR="001C3A33" w:rsidRPr="00DC0949">
        <w:t>more than $200,000/</w:t>
      </w:r>
      <w:r w:rsidRPr="00DC0949">
        <w:t>QALY gained</w:t>
      </w:r>
      <w:r w:rsidR="00BF5E9E" w:rsidRPr="00DC0949">
        <w:t xml:space="preserve"> (see Table 10), </w:t>
      </w:r>
      <w:r w:rsidR="00C105FC" w:rsidRPr="00DC0949">
        <w:t xml:space="preserve">with cost effectiveness being </w:t>
      </w:r>
      <w:r w:rsidR="00F44061" w:rsidRPr="00DC0949">
        <w:t>at the lower end of this range</w:t>
      </w:r>
      <w:r w:rsidR="00C105FC" w:rsidRPr="00DC0949">
        <w:t xml:space="preserve"> if </w:t>
      </w:r>
      <w:r w:rsidR="00BF5E9E" w:rsidRPr="00DC0949">
        <w:t>the estimates of utilisation for tezacaftor/ivacaftor are met</w:t>
      </w:r>
      <w:r w:rsidR="00F0295F" w:rsidRPr="00DC0949">
        <w:t>.</w:t>
      </w:r>
      <w:r w:rsidR="004306C3" w:rsidRPr="00DC0949">
        <w:t xml:space="preserve"> </w:t>
      </w:r>
      <w:r w:rsidR="001416C7" w:rsidRPr="00DC0949">
        <w:t xml:space="preserve">Similarly, the ESC noted that the incremental cost effectiveness ratio would be better (lower) than more than $200,000/QALY gained if the estimates of utilisation for tezacaftor/ivacaftor were exceeded; however, the ESC considered this outcome was less likely (see </w:t>
      </w:r>
      <w:r w:rsidR="001416C7" w:rsidRPr="00DC0949">
        <w:rPr>
          <w:i/>
        </w:rPr>
        <w:t>Estimated PBS usage &amp; financial implications</w:t>
      </w:r>
      <w:r w:rsidR="001416C7" w:rsidRPr="00DC0949">
        <w:t>)</w:t>
      </w:r>
    </w:p>
    <w:p w:rsidR="003068EC" w:rsidRPr="00F77E7A" w:rsidRDefault="003068EC" w:rsidP="00EF2E6B">
      <w:pPr>
        <w:keepNext/>
        <w:widowControl/>
        <w:rPr>
          <w:rStyle w:val="CommentReference"/>
          <w:b w:val="0"/>
        </w:rPr>
      </w:pPr>
      <w:r w:rsidRPr="00F77E7A">
        <w:rPr>
          <w:rStyle w:val="CommentReference"/>
        </w:rPr>
        <w:t xml:space="preserve">Table </w:t>
      </w:r>
      <w:r w:rsidR="00E600AE" w:rsidRPr="00F77E7A">
        <w:rPr>
          <w:rStyle w:val="CommentReference"/>
        </w:rPr>
        <w:t>9</w:t>
      </w:r>
      <w:r w:rsidRPr="00F77E7A">
        <w:rPr>
          <w:rStyle w:val="CommentReference"/>
        </w:rPr>
        <w:t xml:space="preserve">:  </w:t>
      </w:r>
      <w:r w:rsidR="009B705F" w:rsidRPr="00F77E7A">
        <w:rPr>
          <w:rStyle w:val="CommentReference"/>
        </w:rPr>
        <w:t>Parameter</w:t>
      </w:r>
      <w:r w:rsidR="008A6595" w:rsidRPr="00F77E7A">
        <w:rPr>
          <w:rStyle w:val="CommentReference"/>
        </w:rPr>
        <w:t xml:space="preserve"> changes in the ESC base case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ameter changes in the ESC base case "/>
      </w:tblPr>
      <w:tblGrid>
        <w:gridCol w:w="5184"/>
        <w:gridCol w:w="1821"/>
        <w:gridCol w:w="2012"/>
      </w:tblGrid>
      <w:tr w:rsidR="003068EC" w:rsidRPr="00F77E7A" w:rsidTr="000F613E">
        <w:trPr>
          <w:trHeight w:val="255"/>
        </w:trPr>
        <w:tc>
          <w:tcPr>
            <w:tcW w:w="2618" w:type="pct"/>
            <w:shd w:val="clear" w:color="auto" w:fill="auto"/>
            <w:noWrap/>
            <w:vAlign w:val="center"/>
            <w:hideMark/>
          </w:tcPr>
          <w:p w:rsidR="003068EC" w:rsidRPr="00F77E7A" w:rsidRDefault="003068EC" w:rsidP="00EF2E6B">
            <w:pPr>
              <w:keepNext/>
              <w:widowControl/>
              <w:jc w:val="left"/>
              <w:rPr>
                <w:rFonts w:ascii="Arial Narrow" w:hAnsi="Arial Narrow" w:cs="Times New Roman"/>
                <w:b/>
                <w:snapToGrid/>
                <w:sz w:val="20"/>
                <w:szCs w:val="20"/>
                <w:lang w:eastAsia="en-AU"/>
              </w:rPr>
            </w:pPr>
            <w:r w:rsidRPr="00F77E7A">
              <w:rPr>
                <w:rFonts w:ascii="Arial Narrow" w:hAnsi="Arial Narrow" w:cs="Times New Roman"/>
                <w:b/>
                <w:snapToGrid/>
                <w:sz w:val="20"/>
                <w:szCs w:val="20"/>
                <w:lang w:eastAsia="en-AU"/>
              </w:rPr>
              <w:t>Analysis description</w:t>
            </w:r>
          </w:p>
        </w:tc>
        <w:tc>
          <w:tcPr>
            <w:tcW w:w="1032" w:type="pct"/>
            <w:shd w:val="clear" w:color="auto" w:fill="auto"/>
            <w:noWrap/>
            <w:vAlign w:val="center"/>
            <w:hideMark/>
          </w:tcPr>
          <w:p w:rsidR="003068EC" w:rsidRPr="00F77E7A" w:rsidRDefault="003068EC" w:rsidP="00EF2E6B">
            <w:pPr>
              <w:keepNext/>
              <w:widowControl/>
              <w:jc w:val="center"/>
              <w:rPr>
                <w:rFonts w:ascii="Arial Narrow" w:hAnsi="Arial Narrow" w:cs="Calibri"/>
                <w:b/>
                <w:bCs/>
                <w:snapToGrid/>
                <w:color w:val="000000"/>
                <w:sz w:val="20"/>
                <w:szCs w:val="20"/>
                <w:lang w:eastAsia="en-AU"/>
              </w:rPr>
            </w:pPr>
            <w:r w:rsidRPr="00F77E7A">
              <w:rPr>
                <w:rFonts w:ascii="Arial Narrow" w:hAnsi="Arial Narrow" w:cs="Calibri"/>
                <w:b/>
                <w:bCs/>
                <w:snapToGrid/>
                <w:color w:val="000000"/>
                <w:sz w:val="20"/>
                <w:szCs w:val="20"/>
                <w:lang w:eastAsia="en-AU"/>
              </w:rPr>
              <w:t xml:space="preserve">Submission </w:t>
            </w:r>
            <w:r w:rsidR="008A6595" w:rsidRPr="00F77E7A">
              <w:rPr>
                <w:rFonts w:ascii="Arial Narrow" w:hAnsi="Arial Narrow" w:cs="Calibri"/>
                <w:b/>
                <w:bCs/>
                <w:snapToGrid/>
                <w:color w:val="000000"/>
                <w:sz w:val="20"/>
                <w:szCs w:val="20"/>
                <w:lang w:eastAsia="en-AU"/>
              </w:rPr>
              <w:t>b</w:t>
            </w:r>
            <w:r w:rsidRPr="00F77E7A">
              <w:rPr>
                <w:rFonts w:ascii="Arial Narrow" w:hAnsi="Arial Narrow" w:cs="Calibri"/>
                <w:b/>
                <w:bCs/>
                <w:snapToGrid/>
                <w:color w:val="000000"/>
                <w:sz w:val="20"/>
                <w:szCs w:val="20"/>
                <w:lang w:eastAsia="en-AU"/>
              </w:rPr>
              <w:t>ase case</w:t>
            </w:r>
          </w:p>
        </w:tc>
        <w:tc>
          <w:tcPr>
            <w:tcW w:w="1350" w:type="pct"/>
            <w:shd w:val="clear" w:color="auto" w:fill="auto"/>
            <w:noWrap/>
            <w:vAlign w:val="center"/>
            <w:hideMark/>
          </w:tcPr>
          <w:p w:rsidR="003068EC" w:rsidRPr="00F77E7A" w:rsidRDefault="008A6595" w:rsidP="00EF2E6B">
            <w:pPr>
              <w:keepNext/>
              <w:widowControl/>
              <w:jc w:val="center"/>
              <w:rPr>
                <w:rFonts w:ascii="Arial Narrow" w:hAnsi="Arial Narrow" w:cs="Calibri"/>
                <w:b/>
                <w:bCs/>
                <w:snapToGrid/>
                <w:color w:val="000000"/>
                <w:sz w:val="20"/>
                <w:szCs w:val="20"/>
                <w:lang w:eastAsia="en-AU"/>
              </w:rPr>
            </w:pPr>
            <w:r w:rsidRPr="00F77E7A">
              <w:rPr>
                <w:rFonts w:ascii="Arial Narrow" w:hAnsi="Arial Narrow" w:cs="Calibri"/>
                <w:b/>
                <w:bCs/>
                <w:snapToGrid/>
                <w:color w:val="000000"/>
                <w:sz w:val="20"/>
                <w:szCs w:val="20"/>
                <w:lang w:eastAsia="en-AU"/>
              </w:rPr>
              <w:t>ESC base case</w:t>
            </w:r>
          </w:p>
        </w:tc>
      </w:tr>
      <w:tr w:rsidR="003068EC" w:rsidRPr="00F77E7A" w:rsidTr="000F613E">
        <w:trPr>
          <w:trHeight w:val="255"/>
        </w:trPr>
        <w:tc>
          <w:tcPr>
            <w:tcW w:w="2618" w:type="pct"/>
            <w:shd w:val="clear" w:color="auto" w:fill="auto"/>
            <w:noWrap/>
            <w:vAlign w:val="center"/>
            <w:hideMark/>
          </w:tcPr>
          <w:p w:rsidR="003068EC" w:rsidRPr="00F77E7A" w:rsidRDefault="00831FA2" w:rsidP="00EF2E6B">
            <w:pPr>
              <w:keepNext/>
              <w:widowControl/>
              <w:jc w:val="left"/>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Decrease in the d</w:t>
            </w:r>
            <w:r w:rsidR="003E6E72" w:rsidRPr="00F77E7A">
              <w:rPr>
                <w:rFonts w:ascii="Arial Narrow" w:hAnsi="Arial Narrow" w:cs="Calibri"/>
                <w:snapToGrid/>
                <w:color w:val="000000"/>
                <w:sz w:val="20"/>
                <w:szCs w:val="20"/>
                <w:lang w:eastAsia="en-AU"/>
              </w:rPr>
              <w:t xml:space="preserve">ecline </w:t>
            </w:r>
            <w:r w:rsidR="003068EC" w:rsidRPr="00F77E7A">
              <w:rPr>
                <w:rFonts w:ascii="Arial Narrow" w:hAnsi="Arial Narrow" w:cs="Calibri"/>
                <w:snapToGrid/>
                <w:color w:val="000000"/>
                <w:sz w:val="20"/>
                <w:szCs w:val="20"/>
                <w:lang w:eastAsia="en-AU"/>
              </w:rPr>
              <w:t>in ppFEV</w:t>
            </w:r>
            <w:r w:rsidR="003068EC" w:rsidRPr="00F77E7A">
              <w:rPr>
                <w:rFonts w:ascii="Arial Narrow" w:hAnsi="Arial Narrow" w:cs="Calibri"/>
                <w:snapToGrid/>
                <w:color w:val="000000"/>
                <w:sz w:val="20"/>
                <w:szCs w:val="20"/>
                <w:vertAlign w:val="subscript"/>
                <w:lang w:eastAsia="en-AU"/>
              </w:rPr>
              <w:t>1</w:t>
            </w:r>
            <w:r w:rsidRPr="00F77E7A">
              <w:rPr>
                <w:rFonts w:ascii="Arial Narrow" w:hAnsi="Arial Narrow" w:cs="Calibri"/>
                <w:snapToGrid/>
                <w:color w:val="000000"/>
                <w:sz w:val="20"/>
                <w:szCs w:val="20"/>
                <w:lang w:eastAsia="en-AU"/>
              </w:rPr>
              <w:t xml:space="preserve"> following the trial period, relative to</w:t>
            </w:r>
            <w:r w:rsidR="003068EC" w:rsidRPr="00F77E7A">
              <w:rPr>
                <w:rFonts w:ascii="Arial Narrow" w:hAnsi="Arial Narrow" w:cs="Calibri"/>
                <w:snapToGrid/>
                <w:color w:val="000000"/>
                <w:sz w:val="20"/>
                <w:szCs w:val="20"/>
                <w:lang w:eastAsia="en-AU"/>
              </w:rPr>
              <w:t xml:space="preserve"> BSC</w:t>
            </w:r>
          </w:p>
        </w:tc>
        <w:tc>
          <w:tcPr>
            <w:tcW w:w="1032" w:type="pct"/>
            <w:shd w:val="clear" w:color="auto" w:fill="auto"/>
            <w:noWrap/>
            <w:vAlign w:val="center"/>
            <w:hideMark/>
          </w:tcPr>
          <w:p w:rsidR="003068EC" w:rsidRPr="00F77E7A" w:rsidRDefault="003068EC" w:rsidP="00EF2E6B">
            <w:pPr>
              <w:keepNext/>
              <w:widowControl/>
              <w:jc w:val="center"/>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42%</w:t>
            </w:r>
          </w:p>
        </w:tc>
        <w:tc>
          <w:tcPr>
            <w:tcW w:w="1350" w:type="pct"/>
            <w:shd w:val="clear" w:color="auto" w:fill="auto"/>
            <w:noWrap/>
            <w:vAlign w:val="center"/>
            <w:hideMark/>
          </w:tcPr>
          <w:p w:rsidR="003068EC" w:rsidRPr="00F77E7A" w:rsidRDefault="007766DA" w:rsidP="00EF2E6B">
            <w:pPr>
              <w:keepNext/>
              <w:widowControl/>
              <w:jc w:val="center"/>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0% (</w:t>
            </w:r>
            <w:r w:rsidR="008A6595" w:rsidRPr="00F77E7A">
              <w:rPr>
                <w:rFonts w:ascii="Arial Narrow" w:hAnsi="Arial Narrow" w:cs="Calibri"/>
                <w:snapToGrid/>
                <w:color w:val="000000"/>
                <w:sz w:val="20"/>
                <w:szCs w:val="20"/>
                <w:lang w:eastAsia="en-AU"/>
              </w:rPr>
              <w:t xml:space="preserve">i.e. </w:t>
            </w:r>
            <w:r w:rsidRPr="00F77E7A">
              <w:rPr>
                <w:rFonts w:ascii="Arial Narrow" w:hAnsi="Arial Narrow" w:cs="Calibri"/>
                <w:snapToGrid/>
                <w:color w:val="000000"/>
                <w:sz w:val="20"/>
                <w:szCs w:val="20"/>
                <w:lang w:eastAsia="en-AU"/>
              </w:rPr>
              <w:t>equivalent to BSC)</w:t>
            </w:r>
          </w:p>
        </w:tc>
      </w:tr>
      <w:tr w:rsidR="003068EC" w:rsidRPr="00F77E7A" w:rsidTr="000F613E">
        <w:trPr>
          <w:trHeight w:val="255"/>
        </w:trPr>
        <w:tc>
          <w:tcPr>
            <w:tcW w:w="2618" w:type="pct"/>
            <w:shd w:val="clear" w:color="auto" w:fill="auto"/>
            <w:noWrap/>
            <w:vAlign w:val="center"/>
            <w:hideMark/>
          </w:tcPr>
          <w:p w:rsidR="003068EC" w:rsidRPr="00F77E7A" w:rsidRDefault="00300E63" w:rsidP="00EF2E6B">
            <w:pPr>
              <w:keepNext/>
              <w:widowControl/>
              <w:jc w:val="left"/>
              <w:rPr>
                <w:rFonts w:ascii="Arial Narrow" w:hAnsi="Arial Narrow" w:cs="Calibri"/>
                <w:snapToGrid/>
                <w:color w:val="000000"/>
                <w:sz w:val="20"/>
                <w:szCs w:val="20"/>
                <w:highlight w:val="yellow"/>
                <w:lang w:eastAsia="en-AU"/>
              </w:rPr>
            </w:pPr>
            <w:r w:rsidRPr="00F77E7A">
              <w:rPr>
                <w:rFonts w:ascii="Arial Narrow" w:hAnsi="Arial Narrow" w:cs="Calibri"/>
                <w:snapToGrid/>
                <w:color w:val="000000"/>
                <w:sz w:val="20"/>
                <w:szCs w:val="20"/>
                <w:lang w:eastAsia="en-AU"/>
              </w:rPr>
              <w:t>Reduction in PEx</w:t>
            </w:r>
          </w:p>
        </w:tc>
        <w:tc>
          <w:tcPr>
            <w:tcW w:w="1032" w:type="pct"/>
            <w:shd w:val="clear" w:color="auto" w:fill="auto"/>
            <w:noWrap/>
            <w:vAlign w:val="center"/>
            <w:hideMark/>
          </w:tcPr>
          <w:p w:rsidR="003068EC" w:rsidRPr="00F77E7A" w:rsidRDefault="005C7DCF" w:rsidP="00EF2E6B">
            <w:pPr>
              <w:keepNext/>
              <w:widowControl/>
              <w:jc w:val="center"/>
              <w:rPr>
                <w:rFonts w:ascii="Arial Narrow" w:hAnsi="Arial Narrow" w:cs="Calibri"/>
                <w:snapToGrid/>
                <w:color w:val="000000"/>
                <w:sz w:val="20"/>
                <w:szCs w:val="20"/>
                <w:highlight w:val="yellow"/>
                <w:lang w:eastAsia="en-AU"/>
              </w:rPr>
            </w:pPr>
            <w:r w:rsidRPr="00F77E7A">
              <w:rPr>
                <w:rFonts w:ascii="Arial Narrow" w:hAnsi="Arial Narrow" w:cs="Calibri"/>
                <w:snapToGrid/>
                <w:color w:val="000000"/>
                <w:sz w:val="20"/>
                <w:szCs w:val="20"/>
                <w:lang w:eastAsia="en-AU"/>
              </w:rPr>
              <w:t>45% reduction</w:t>
            </w:r>
            <w:r w:rsidR="004612FE" w:rsidRPr="00F77E7A">
              <w:rPr>
                <w:rFonts w:ascii="Arial Narrow" w:hAnsi="Arial Narrow" w:cs="Calibri"/>
                <w:snapToGrid/>
                <w:color w:val="000000"/>
                <w:sz w:val="20"/>
                <w:szCs w:val="20"/>
                <w:lang w:eastAsia="en-AU"/>
              </w:rPr>
              <w:t>*</w:t>
            </w:r>
          </w:p>
        </w:tc>
        <w:tc>
          <w:tcPr>
            <w:tcW w:w="1350" w:type="pct"/>
            <w:shd w:val="clear" w:color="auto" w:fill="auto"/>
            <w:noWrap/>
            <w:vAlign w:val="center"/>
            <w:hideMark/>
          </w:tcPr>
          <w:p w:rsidR="003068EC" w:rsidRPr="00F77E7A" w:rsidRDefault="005C7DCF" w:rsidP="00EF2E6B">
            <w:pPr>
              <w:keepNext/>
              <w:widowControl/>
              <w:jc w:val="center"/>
              <w:rPr>
                <w:rFonts w:ascii="Arial Narrow" w:hAnsi="Arial Narrow" w:cs="Calibri"/>
                <w:snapToGrid/>
                <w:color w:val="000000"/>
                <w:sz w:val="20"/>
                <w:szCs w:val="20"/>
                <w:highlight w:val="yellow"/>
                <w:lang w:eastAsia="en-AU"/>
              </w:rPr>
            </w:pPr>
            <w:r w:rsidRPr="00F77E7A">
              <w:rPr>
                <w:rFonts w:ascii="Arial Narrow" w:hAnsi="Arial Narrow" w:cs="Calibri"/>
                <w:snapToGrid/>
                <w:color w:val="000000"/>
                <w:sz w:val="20"/>
                <w:szCs w:val="20"/>
                <w:lang w:eastAsia="en-AU"/>
              </w:rPr>
              <w:t>0% reduction</w:t>
            </w:r>
          </w:p>
        </w:tc>
      </w:tr>
      <w:tr w:rsidR="00D7718A" w:rsidRPr="00F77E7A" w:rsidTr="000F613E">
        <w:trPr>
          <w:trHeight w:val="255"/>
        </w:trPr>
        <w:tc>
          <w:tcPr>
            <w:tcW w:w="2618" w:type="pct"/>
            <w:shd w:val="clear" w:color="auto" w:fill="auto"/>
            <w:noWrap/>
            <w:vAlign w:val="center"/>
            <w:hideMark/>
          </w:tcPr>
          <w:p w:rsidR="00D7718A" w:rsidRPr="00F77E7A" w:rsidRDefault="00D7718A" w:rsidP="00EF2E6B">
            <w:pPr>
              <w:keepNext/>
              <w:widowControl/>
              <w:jc w:val="left"/>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F1 5% statutory price and generic price reduction</w:t>
            </w:r>
          </w:p>
        </w:tc>
        <w:tc>
          <w:tcPr>
            <w:tcW w:w="1032" w:type="pct"/>
            <w:shd w:val="clear" w:color="auto" w:fill="auto"/>
            <w:noWrap/>
            <w:vAlign w:val="center"/>
            <w:hideMark/>
          </w:tcPr>
          <w:p w:rsidR="00D7718A" w:rsidRPr="00F77E7A" w:rsidRDefault="00D7718A" w:rsidP="00EF2E6B">
            <w:pPr>
              <w:keepNext/>
              <w:widowControl/>
              <w:jc w:val="center"/>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5%</w:t>
            </w:r>
          </w:p>
        </w:tc>
        <w:tc>
          <w:tcPr>
            <w:tcW w:w="1350" w:type="pct"/>
            <w:shd w:val="clear" w:color="auto" w:fill="auto"/>
            <w:noWrap/>
            <w:vAlign w:val="center"/>
          </w:tcPr>
          <w:p w:rsidR="00D7718A" w:rsidRPr="00F77E7A" w:rsidRDefault="00D7718A" w:rsidP="00EF2E6B">
            <w:pPr>
              <w:keepNext/>
              <w:widowControl/>
              <w:jc w:val="center"/>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0%</w:t>
            </w:r>
          </w:p>
        </w:tc>
      </w:tr>
      <w:tr w:rsidR="00D7718A" w:rsidRPr="00F77E7A" w:rsidTr="000F613E">
        <w:trPr>
          <w:trHeight w:val="255"/>
        </w:trPr>
        <w:tc>
          <w:tcPr>
            <w:tcW w:w="2618" w:type="pct"/>
            <w:shd w:val="clear" w:color="auto" w:fill="auto"/>
            <w:noWrap/>
            <w:vAlign w:val="center"/>
            <w:hideMark/>
          </w:tcPr>
          <w:p w:rsidR="00D7718A" w:rsidRPr="00F77E7A" w:rsidRDefault="00D7718A" w:rsidP="00EF2E6B">
            <w:pPr>
              <w:keepNext/>
              <w:widowControl/>
              <w:jc w:val="left"/>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 xml:space="preserve">Percentage </w:t>
            </w:r>
            <w:r w:rsidR="008A6595" w:rsidRPr="00F77E7A">
              <w:rPr>
                <w:rFonts w:ascii="Arial Narrow" w:hAnsi="Arial Narrow" w:cs="Calibri"/>
                <w:snapToGrid/>
                <w:color w:val="000000"/>
                <w:sz w:val="20"/>
                <w:szCs w:val="20"/>
                <w:lang w:eastAsia="en-AU"/>
              </w:rPr>
              <w:t>reduction in cost following loss of exclusivity</w:t>
            </w:r>
          </w:p>
        </w:tc>
        <w:tc>
          <w:tcPr>
            <w:tcW w:w="1032" w:type="pct"/>
            <w:shd w:val="clear" w:color="auto" w:fill="auto"/>
            <w:noWrap/>
            <w:vAlign w:val="center"/>
            <w:hideMark/>
          </w:tcPr>
          <w:p w:rsidR="00D7718A" w:rsidRPr="00F77E7A" w:rsidRDefault="007D10D3" w:rsidP="00EF2E6B">
            <w:pPr>
              <w:keepNext/>
              <w:widowControl/>
              <w:jc w:val="center"/>
              <w:rPr>
                <w:rFonts w:ascii="Arial Narrow" w:hAnsi="Arial Narrow" w:cs="Calibri"/>
                <w:snapToGrid/>
                <w:color w:val="000000"/>
                <w:sz w:val="20"/>
                <w:szCs w:val="20"/>
                <w:lang w:eastAsia="en-AU"/>
              </w:rPr>
            </w:pPr>
            <w:r>
              <w:rPr>
                <w:rFonts w:ascii="Arial Narrow" w:hAnsi="Arial Narrow" w:cs="Calibri"/>
                <w:noProof/>
                <w:snapToGrid/>
                <w:color w:val="000000"/>
                <w:sz w:val="20"/>
                <w:szCs w:val="20"/>
                <w:highlight w:val="black"/>
                <w:lang w:eastAsia="en-AU"/>
              </w:rPr>
              <w:t>'''''</w:t>
            </w:r>
            <w:r w:rsidR="00D7718A" w:rsidRPr="00F77E7A">
              <w:rPr>
                <w:rFonts w:ascii="Arial Narrow" w:hAnsi="Arial Narrow" w:cs="Calibri"/>
                <w:snapToGrid/>
                <w:color w:val="000000"/>
                <w:sz w:val="20"/>
                <w:szCs w:val="20"/>
                <w:lang w:eastAsia="en-AU"/>
              </w:rPr>
              <w:t>%</w:t>
            </w:r>
          </w:p>
        </w:tc>
        <w:tc>
          <w:tcPr>
            <w:tcW w:w="1350" w:type="pct"/>
            <w:shd w:val="clear" w:color="auto" w:fill="auto"/>
            <w:noWrap/>
            <w:vAlign w:val="center"/>
          </w:tcPr>
          <w:p w:rsidR="00D7718A" w:rsidRPr="00F77E7A" w:rsidRDefault="008A6595" w:rsidP="00EF2E6B">
            <w:pPr>
              <w:keepNext/>
              <w:widowControl/>
              <w:jc w:val="center"/>
              <w:rPr>
                <w:rFonts w:ascii="Arial Narrow" w:hAnsi="Arial Narrow" w:cs="Calibri"/>
                <w:snapToGrid/>
                <w:color w:val="000000"/>
                <w:sz w:val="20"/>
                <w:szCs w:val="20"/>
                <w:lang w:eastAsia="en-AU"/>
              </w:rPr>
            </w:pPr>
            <w:r w:rsidRPr="00F77E7A">
              <w:rPr>
                <w:rFonts w:ascii="Arial Narrow" w:hAnsi="Arial Narrow" w:cs="Calibri"/>
                <w:snapToGrid/>
                <w:color w:val="000000"/>
                <w:sz w:val="20"/>
                <w:szCs w:val="20"/>
                <w:lang w:eastAsia="en-AU"/>
              </w:rPr>
              <w:t>0%</w:t>
            </w:r>
          </w:p>
        </w:tc>
      </w:tr>
    </w:tbl>
    <w:p w:rsidR="004612FE" w:rsidRPr="00F77E7A" w:rsidRDefault="003068EC" w:rsidP="00EF2E6B">
      <w:pPr>
        <w:pStyle w:val="TableFooter"/>
        <w:widowControl/>
      </w:pPr>
      <w:r w:rsidRPr="00F77E7A">
        <w:t>Abbreviations: BSC= best supportive care; CF= cystic fibrosis; CI= confidence interval; FEV1= forced expiratory volume in 1 second; LoE= loss of exclusivity; PEx= pulmonary exacerbations.</w:t>
      </w:r>
    </w:p>
    <w:p w:rsidR="003068EC" w:rsidRPr="00F77E7A" w:rsidRDefault="004612FE" w:rsidP="00EF2E6B">
      <w:pPr>
        <w:pStyle w:val="TableFooter"/>
        <w:widowControl/>
      </w:pPr>
      <w:r w:rsidRPr="00F77E7A">
        <w:t xml:space="preserve">* The submission </w:t>
      </w:r>
      <w:r w:rsidR="005C7DCF" w:rsidRPr="00F77E7A">
        <w:t xml:space="preserve">(p198) </w:t>
      </w:r>
      <w:r w:rsidRPr="00F77E7A">
        <w:t>applied a rate ratio of 0.55</w:t>
      </w:r>
      <w:r w:rsidR="005C7DCF" w:rsidRPr="00F77E7A">
        <w:t xml:space="preserve"> to the annual rate of PEx for patients treated with tezacaftor/ivacaftor. However, the rate ratio from Study 108 was 0.54, 95% CI 0.26, 1.13 (Study 108 CSR, p85 and pages 24, 165, and 172 of the submission).</w:t>
      </w:r>
    </w:p>
    <w:p w:rsidR="008E3C83" w:rsidRPr="00F77E7A" w:rsidRDefault="008E3C83" w:rsidP="00EF2E6B">
      <w:pPr>
        <w:pStyle w:val="TableFooter"/>
        <w:widowControl/>
      </w:pPr>
    </w:p>
    <w:p w:rsidR="0066183B" w:rsidRPr="00F77E7A" w:rsidRDefault="0066183B" w:rsidP="000F613E">
      <w:pPr>
        <w:keepNext/>
        <w:keepLines/>
        <w:widowControl/>
        <w:rPr>
          <w:rStyle w:val="CommentReference"/>
        </w:rPr>
      </w:pPr>
      <w:r w:rsidRPr="00F77E7A">
        <w:rPr>
          <w:rStyle w:val="CommentReference"/>
        </w:rPr>
        <w:t>Table 10: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255"/>
        <w:gridCol w:w="2254"/>
        <w:gridCol w:w="2254"/>
        <w:gridCol w:w="2254"/>
      </w:tblGrid>
      <w:tr w:rsidR="0066183B" w:rsidRPr="00F77E7A" w:rsidTr="000F613E">
        <w:trPr>
          <w:tblHeader/>
        </w:trPr>
        <w:tc>
          <w:tcPr>
            <w:tcW w:w="1250" w:type="pct"/>
            <w:vAlign w:val="center"/>
          </w:tcPr>
          <w:p w:rsidR="0066183B" w:rsidRPr="00F77E7A" w:rsidRDefault="0066183B" w:rsidP="000F613E">
            <w:pPr>
              <w:pStyle w:val="Tabletext"/>
              <w:keepNext/>
              <w:keepLines/>
              <w:rPr>
                <w:b/>
              </w:rPr>
            </w:pPr>
            <w:r w:rsidRPr="00F77E7A">
              <w:rPr>
                <w:b/>
              </w:rPr>
              <w:t>Component</w:t>
            </w:r>
          </w:p>
        </w:tc>
        <w:tc>
          <w:tcPr>
            <w:tcW w:w="1250" w:type="pct"/>
            <w:vAlign w:val="center"/>
          </w:tcPr>
          <w:p w:rsidR="0066183B" w:rsidRPr="00F77E7A" w:rsidRDefault="0066183B" w:rsidP="000F613E">
            <w:pPr>
              <w:pStyle w:val="Tabletext"/>
              <w:keepNext/>
              <w:keepLines/>
              <w:jc w:val="center"/>
              <w:rPr>
                <w:b/>
              </w:rPr>
            </w:pPr>
            <w:r w:rsidRPr="00F77E7A">
              <w:rPr>
                <w:b/>
              </w:rPr>
              <w:t>Tezacaftor/ivacaftor</w:t>
            </w:r>
          </w:p>
        </w:tc>
        <w:tc>
          <w:tcPr>
            <w:tcW w:w="1250" w:type="pct"/>
            <w:vAlign w:val="center"/>
          </w:tcPr>
          <w:p w:rsidR="0066183B" w:rsidRPr="00F77E7A" w:rsidRDefault="0066183B" w:rsidP="000F613E">
            <w:pPr>
              <w:pStyle w:val="Tabletext"/>
              <w:keepNext/>
              <w:keepLines/>
              <w:jc w:val="center"/>
              <w:rPr>
                <w:b/>
              </w:rPr>
            </w:pPr>
            <w:r w:rsidRPr="00F77E7A">
              <w:rPr>
                <w:b/>
              </w:rPr>
              <w:t>BSC</w:t>
            </w:r>
          </w:p>
        </w:tc>
        <w:tc>
          <w:tcPr>
            <w:tcW w:w="1250" w:type="pct"/>
            <w:vAlign w:val="center"/>
          </w:tcPr>
          <w:p w:rsidR="0066183B" w:rsidRPr="00F77E7A" w:rsidRDefault="0066183B" w:rsidP="000F613E">
            <w:pPr>
              <w:pStyle w:val="Tabletext"/>
              <w:keepNext/>
              <w:keepLines/>
              <w:jc w:val="center"/>
              <w:rPr>
                <w:b/>
              </w:rPr>
            </w:pPr>
            <w:r w:rsidRPr="00F77E7A">
              <w:rPr>
                <w:b/>
              </w:rPr>
              <w:t>Increment</w:t>
            </w:r>
          </w:p>
        </w:tc>
      </w:tr>
      <w:tr w:rsidR="0066183B" w:rsidRPr="00F77E7A" w:rsidTr="000F613E">
        <w:tc>
          <w:tcPr>
            <w:tcW w:w="5000" w:type="pct"/>
            <w:gridSpan w:val="4"/>
            <w:vAlign w:val="center"/>
          </w:tcPr>
          <w:p w:rsidR="0066183B" w:rsidRPr="00F77E7A" w:rsidRDefault="0066183B" w:rsidP="000F613E">
            <w:pPr>
              <w:pStyle w:val="Tabletext"/>
              <w:keepNext/>
              <w:keepLines/>
              <w:rPr>
                <w:b/>
              </w:rPr>
            </w:pPr>
            <w:r w:rsidRPr="00F77E7A">
              <w:rPr>
                <w:b/>
              </w:rPr>
              <w:t>Submission base case</w:t>
            </w:r>
          </w:p>
        </w:tc>
      </w:tr>
      <w:tr w:rsidR="0066183B" w:rsidRPr="00F77E7A" w:rsidTr="000F613E">
        <w:tc>
          <w:tcPr>
            <w:tcW w:w="1250" w:type="pct"/>
            <w:vAlign w:val="center"/>
          </w:tcPr>
          <w:p w:rsidR="0066183B" w:rsidRPr="00F77E7A" w:rsidRDefault="0066183B" w:rsidP="000F613E">
            <w:pPr>
              <w:pStyle w:val="Tabletext"/>
              <w:keepNext/>
              <w:keepLines/>
              <w:rPr>
                <w:rFonts w:ascii="Times" w:hAnsi="Times"/>
              </w:rPr>
            </w:pPr>
            <w:r w:rsidRPr="00F77E7A">
              <w:t>Costs</w:t>
            </w:r>
          </w:p>
        </w:tc>
        <w:tc>
          <w:tcPr>
            <w:tcW w:w="1250" w:type="pct"/>
            <w:vAlign w:val="center"/>
          </w:tcPr>
          <w:p w:rsidR="0066183B" w:rsidRPr="007D10D3" w:rsidRDefault="007D10D3" w:rsidP="000F613E">
            <w:pPr>
              <w:pStyle w:val="Tabletext"/>
              <w:keepNext/>
              <w:keepLines/>
              <w:jc w:val="center"/>
              <w:rPr>
                <w:rFonts w:ascii="Times" w:hAnsi="Times"/>
                <w:highlight w:val="black"/>
              </w:rPr>
            </w:pPr>
            <w:r>
              <w:rPr>
                <w:noProof/>
                <w:color w:val="000000"/>
                <w:szCs w:val="20"/>
                <w:highlight w:val="black"/>
              </w:rPr>
              <w:t>''''''''''''''''''''''</w:t>
            </w:r>
          </w:p>
        </w:tc>
        <w:tc>
          <w:tcPr>
            <w:tcW w:w="1250" w:type="pct"/>
            <w:vAlign w:val="center"/>
          </w:tcPr>
          <w:p w:rsidR="0066183B" w:rsidRPr="007D10D3" w:rsidRDefault="007D10D3" w:rsidP="000F613E">
            <w:pPr>
              <w:pStyle w:val="Tabletext"/>
              <w:keepNext/>
              <w:keepLines/>
              <w:jc w:val="center"/>
              <w:rPr>
                <w:rFonts w:ascii="Times" w:hAnsi="Times"/>
                <w:highlight w:val="black"/>
              </w:rPr>
            </w:pPr>
            <w:r>
              <w:rPr>
                <w:noProof/>
                <w:color w:val="000000"/>
                <w:szCs w:val="20"/>
                <w:highlight w:val="black"/>
              </w:rPr>
              <w:t>''''''''''''''''''''''</w:t>
            </w:r>
          </w:p>
        </w:tc>
        <w:tc>
          <w:tcPr>
            <w:tcW w:w="1250" w:type="pct"/>
            <w:vAlign w:val="center"/>
          </w:tcPr>
          <w:p w:rsidR="0066183B" w:rsidRPr="007D10D3" w:rsidRDefault="007D10D3" w:rsidP="000F613E">
            <w:pPr>
              <w:pStyle w:val="Tabletext"/>
              <w:keepNext/>
              <w:keepLines/>
              <w:jc w:val="center"/>
              <w:rPr>
                <w:rFonts w:ascii="Times" w:hAnsi="Times"/>
                <w:highlight w:val="black"/>
              </w:rPr>
            </w:pPr>
            <w:r>
              <w:rPr>
                <w:noProof/>
                <w:color w:val="000000"/>
                <w:szCs w:val="20"/>
                <w:highlight w:val="black"/>
              </w:rPr>
              <w:t>''''''''''''''''''''</w:t>
            </w:r>
          </w:p>
        </w:tc>
      </w:tr>
      <w:tr w:rsidR="0066183B" w:rsidRPr="00F77E7A" w:rsidTr="000F613E">
        <w:tc>
          <w:tcPr>
            <w:tcW w:w="1250" w:type="pct"/>
            <w:vAlign w:val="center"/>
          </w:tcPr>
          <w:p w:rsidR="0066183B" w:rsidRPr="00F77E7A" w:rsidRDefault="0066183B" w:rsidP="000F613E">
            <w:pPr>
              <w:pStyle w:val="Tabletext"/>
              <w:keepNext/>
              <w:keepLines/>
              <w:rPr>
                <w:rFonts w:ascii="Times" w:hAnsi="Times"/>
              </w:rPr>
            </w:pPr>
            <w:r w:rsidRPr="00F77E7A">
              <w:t>QALYs</w:t>
            </w:r>
          </w:p>
        </w:tc>
        <w:tc>
          <w:tcPr>
            <w:tcW w:w="1250" w:type="pct"/>
            <w:vAlign w:val="center"/>
          </w:tcPr>
          <w:p w:rsidR="0066183B" w:rsidRPr="00F77E7A" w:rsidRDefault="0066183B" w:rsidP="000F613E">
            <w:pPr>
              <w:pStyle w:val="Tabletext"/>
              <w:keepNext/>
              <w:keepLines/>
              <w:jc w:val="center"/>
              <w:rPr>
                <w:rFonts w:ascii="Times" w:hAnsi="Times"/>
              </w:rPr>
            </w:pPr>
            <w:r w:rsidRPr="00F77E7A">
              <w:rPr>
                <w:szCs w:val="20"/>
              </w:rPr>
              <w:t>8.82</w:t>
            </w:r>
          </w:p>
        </w:tc>
        <w:tc>
          <w:tcPr>
            <w:tcW w:w="1250" w:type="pct"/>
            <w:vAlign w:val="center"/>
          </w:tcPr>
          <w:p w:rsidR="0066183B" w:rsidRPr="00F77E7A" w:rsidRDefault="0066183B" w:rsidP="000F613E">
            <w:pPr>
              <w:pStyle w:val="Tabletext"/>
              <w:keepNext/>
              <w:keepLines/>
              <w:jc w:val="center"/>
              <w:rPr>
                <w:rFonts w:ascii="Times" w:hAnsi="Times"/>
              </w:rPr>
            </w:pPr>
            <w:r w:rsidRPr="00F77E7A">
              <w:rPr>
                <w:szCs w:val="20"/>
              </w:rPr>
              <w:t>6.38</w:t>
            </w:r>
          </w:p>
        </w:tc>
        <w:tc>
          <w:tcPr>
            <w:tcW w:w="1250" w:type="pct"/>
            <w:vAlign w:val="center"/>
          </w:tcPr>
          <w:p w:rsidR="0066183B" w:rsidRPr="00F77E7A" w:rsidRDefault="0066183B" w:rsidP="000F613E">
            <w:pPr>
              <w:pStyle w:val="Tabletext"/>
              <w:keepNext/>
              <w:keepLines/>
              <w:jc w:val="center"/>
            </w:pPr>
            <w:r w:rsidRPr="00F77E7A">
              <w:rPr>
                <w:szCs w:val="20"/>
              </w:rPr>
              <w:t>2.44</w:t>
            </w:r>
          </w:p>
        </w:tc>
      </w:tr>
      <w:tr w:rsidR="0066183B" w:rsidRPr="00F77E7A" w:rsidTr="000F613E">
        <w:tc>
          <w:tcPr>
            <w:tcW w:w="3750" w:type="pct"/>
            <w:gridSpan w:val="3"/>
            <w:vAlign w:val="center"/>
          </w:tcPr>
          <w:p w:rsidR="0066183B" w:rsidRPr="00F77E7A" w:rsidRDefault="0066183B" w:rsidP="000F613E">
            <w:pPr>
              <w:pStyle w:val="Tabletext"/>
              <w:keepNext/>
              <w:keepLines/>
              <w:rPr>
                <w:rFonts w:ascii="Times" w:hAnsi="Times"/>
                <w:snapToGrid w:val="0"/>
              </w:rPr>
            </w:pPr>
            <w:r w:rsidRPr="00F77E7A">
              <w:t>Incremental cost/QALY gained</w:t>
            </w:r>
          </w:p>
        </w:tc>
        <w:tc>
          <w:tcPr>
            <w:tcW w:w="1250" w:type="pct"/>
            <w:vAlign w:val="center"/>
          </w:tcPr>
          <w:p w:rsidR="0066183B" w:rsidRPr="007D10D3" w:rsidRDefault="007D10D3" w:rsidP="000F613E">
            <w:pPr>
              <w:pStyle w:val="Tabletext"/>
              <w:keepNext/>
              <w:keepLines/>
              <w:jc w:val="center"/>
              <w:rPr>
                <w:rFonts w:ascii="Times" w:hAnsi="Times"/>
                <w:b/>
                <w:highlight w:val="black"/>
              </w:rPr>
            </w:pPr>
            <w:r>
              <w:rPr>
                <w:noProof/>
                <w:color w:val="000000"/>
                <w:szCs w:val="20"/>
                <w:highlight w:val="black"/>
              </w:rPr>
              <w:t>'''''''''''''''''''''</w:t>
            </w:r>
          </w:p>
        </w:tc>
      </w:tr>
      <w:tr w:rsidR="0066183B" w:rsidRPr="00F77E7A" w:rsidTr="000F613E">
        <w:tc>
          <w:tcPr>
            <w:tcW w:w="5000" w:type="pct"/>
            <w:gridSpan w:val="4"/>
            <w:vAlign w:val="center"/>
          </w:tcPr>
          <w:p w:rsidR="0066183B" w:rsidRPr="00F77E7A" w:rsidRDefault="0066183B" w:rsidP="000F613E">
            <w:pPr>
              <w:pStyle w:val="Tabletext"/>
              <w:keepNext/>
              <w:keepLines/>
              <w:rPr>
                <w:b/>
                <w:szCs w:val="20"/>
              </w:rPr>
            </w:pPr>
            <w:r w:rsidRPr="00F77E7A">
              <w:rPr>
                <w:b/>
                <w:szCs w:val="20"/>
              </w:rPr>
              <w:t>ESC base case</w:t>
            </w:r>
            <w:r w:rsidR="007C02B7" w:rsidRPr="00F77E7A">
              <w:rPr>
                <w:b/>
                <w:szCs w:val="20"/>
              </w:rPr>
              <w:t>*</w:t>
            </w:r>
            <w:r w:rsidR="00E96364" w:rsidRPr="00F77E7A">
              <w:rPr>
                <w:b/>
                <w:szCs w:val="20"/>
              </w:rPr>
              <w:t xml:space="preserve"> </w:t>
            </w:r>
            <w:r w:rsidR="00DC7A66" w:rsidRPr="00F77E7A">
              <w:rPr>
                <w:b/>
                <w:szCs w:val="20"/>
              </w:rPr>
              <w:t>at the requested list price</w:t>
            </w:r>
            <w:r w:rsidR="001E6D94" w:rsidRPr="00F77E7A">
              <w:rPr>
                <w:b/>
                <w:szCs w:val="20"/>
              </w:rPr>
              <w:t xml:space="preserve"> of </w:t>
            </w:r>
            <w:r w:rsidR="003F6652" w:rsidRPr="00F77E7A">
              <w:rPr>
                <w:b/>
                <w:szCs w:val="20"/>
              </w:rPr>
              <w:t>$273,938</w:t>
            </w:r>
            <w:r w:rsidR="001E6D94" w:rsidRPr="00F77E7A">
              <w:rPr>
                <w:b/>
                <w:szCs w:val="20"/>
              </w:rPr>
              <w:t>/patient/year</w:t>
            </w:r>
          </w:p>
        </w:tc>
      </w:tr>
      <w:tr w:rsidR="0033618E" w:rsidRPr="00F77E7A" w:rsidTr="000F613E">
        <w:tc>
          <w:tcPr>
            <w:tcW w:w="1250" w:type="pct"/>
            <w:vAlign w:val="center"/>
          </w:tcPr>
          <w:p w:rsidR="0033618E" w:rsidRPr="00F77E7A" w:rsidRDefault="0033618E" w:rsidP="000F613E">
            <w:pPr>
              <w:pStyle w:val="Tabletext"/>
              <w:keepNext/>
              <w:keepLines/>
              <w:rPr>
                <w:b/>
              </w:rPr>
            </w:pPr>
            <w:r w:rsidRPr="00F77E7A">
              <w:t>Costs</w:t>
            </w:r>
          </w:p>
        </w:tc>
        <w:tc>
          <w:tcPr>
            <w:tcW w:w="1250" w:type="pct"/>
          </w:tcPr>
          <w:p w:rsidR="0033618E" w:rsidRPr="007D10D3" w:rsidRDefault="007D10D3" w:rsidP="000F613E">
            <w:pPr>
              <w:pStyle w:val="Tabletext"/>
              <w:keepNext/>
              <w:keepLines/>
              <w:jc w:val="center"/>
              <w:rPr>
                <w:b/>
                <w:highlight w:val="black"/>
              </w:rPr>
            </w:pPr>
            <w:r>
              <w:rPr>
                <w:noProof/>
                <w:color w:val="000000"/>
                <w:highlight w:val="black"/>
              </w:rPr>
              <w:t>''''''''''''''''''''''''</w:t>
            </w:r>
          </w:p>
        </w:tc>
        <w:tc>
          <w:tcPr>
            <w:tcW w:w="1250" w:type="pct"/>
          </w:tcPr>
          <w:p w:rsidR="0033618E" w:rsidRPr="007D10D3" w:rsidRDefault="007D10D3" w:rsidP="000F613E">
            <w:pPr>
              <w:pStyle w:val="Tabletext"/>
              <w:keepNext/>
              <w:keepLines/>
              <w:jc w:val="center"/>
              <w:rPr>
                <w:b/>
                <w:highlight w:val="black"/>
              </w:rPr>
            </w:pPr>
            <w:r>
              <w:rPr>
                <w:noProof/>
                <w:color w:val="000000"/>
                <w:highlight w:val="black"/>
              </w:rPr>
              <w:t>''''''''''''''''''''''</w:t>
            </w:r>
          </w:p>
        </w:tc>
        <w:tc>
          <w:tcPr>
            <w:tcW w:w="1250" w:type="pct"/>
          </w:tcPr>
          <w:p w:rsidR="0033618E" w:rsidRPr="007D10D3" w:rsidRDefault="007D10D3" w:rsidP="000F613E">
            <w:pPr>
              <w:pStyle w:val="Tabletext"/>
              <w:keepNext/>
              <w:keepLines/>
              <w:jc w:val="center"/>
              <w:rPr>
                <w:szCs w:val="20"/>
                <w:highlight w:val="black"/>
              </w:rPr>
            </w:pPr>
            <w:r>
              <w:rPr>
                <w:noProof/>
                <w:color w:val="000000"/>
                <w:highlight w:val="black"/>
              </w:rPr>
              <w:t>''''''''''''''''''''''''</w:t>
            </w:r>
          </w:p>
        </w:tc>
      </w:tr>
      <w:tr w:rsidR="0033618E" w:rsidRPr="00F77E7A" w:rsidTr="000F613E">
        <w:tc>
          <w:tcPr>
            <w:tcW w:w="1250" w:type="pct"/>
            <w:vAlign w:val="center"/>
          </w:tcPr>
          <w:p w:rsidR="0033618E" w:rsidRPr="00F77E7A" w:rsidRDefault="0033618E" w:rsidP="000F613E">
            <w:pPr>
              <w:pStyle w:val="Tabletext"/>
              <w:keepNext/>
              <w:keepLines/>
              <w:rPr>
                <w:b/>
              </w:rPr>
            </w:pPr>
            <w:r w:rsidRPr="00F77E7A">
              <w:t>QALYs</w:t>
            </w:r>
          </w:p>
        </w:tc>
        <w:tc>
          <w:tcPr>
            <w:tcW w:w="1250" w:type="pct"/>
            <w:vAlign w:val="center"/>
          </w:tcPr>
          <w:p w:rsidR="0033618E" w:rsidRPr="00F77E7A" w:rsidRDefault="0033618E" w:rsidP="000F613E">
            <w:pPr>
              <w:pStyle w:val="Tabletext"/>
              <w:keepNext/>
              <w:keepLines/>
              <w:jc w:val="center"/>
            </w:pPr>
            <w:r w:rsidRPr="00F77E7A">
              <w:t>7.95</w:t>
            </w:r>
          </w:p>
        </w:tc>
        <w:tc>
          <w:tcPr>
            <w:tcW w:w="1250" w:type="pct"/>
            <w:vAlign w:val="center"/>
          </w:tcPr>
          <w:p w:rsidR="0033618E" w:rsidRPr="00F77E7A" w:rsidRDefault="0033618E" w:rsidP="000F613E">
            <w:pPr>
              <w:pStyle w:val="Tabletext"/>
              <w:keepNext/>
              <w:keepLines/>
              <w:jc w:val="center"/>
            </w:pPr>
            <w:r w:rsidRPr="00F77E7A">
              <w:t>6.38</w:t>
            </w:r>
          </w:p>
        </w:tc>
        <w:tc>
          <w:tcPr>
            <w:tcW w:w="1250" w:type="pct"/>
            <w:vAlign w:val="center"/>
          </w:tcPr>
          <w:p w:rsidR="0033618E" w:rsidRPr="00F77E7A" w:rsidRDefault="0033618E" w:rsidP="000F613E">
            <w:pPr>
              <w:pStyle w:val="Tabletext"/>
              <w:keepNext/>
              <w:keepLines/>
              <w:jc w:val="center"/>
              <w:rPr>
                <w:szCs w:val="20"/>
              </w:rPr>
            </w:pPr>
            <w:r w:rsidRPr="00F77E7A">
              <w:t>1.57</w:t>
            </w:r>
          </w:p>
        </w:tc>
      </w:tr>
      <w:tr w:rsidR="0066183B" w:rsidRPr="00F77E7A" w:rsidTr="000F613E">
        <w:tc>
          <w:tcPr>
            <w:tcW w:w="3750" w:type="pct"/>
            <w:gridSpan w:val="3"/>
            <w:vAlign w:val="center"/>
          </w:tcPr>
          <w:p w:rsidR="0066183B" w:rsidRPr="00F77E7A" w:rsidRDefault="0066183B" w:rsidP="000F613E">
            <w:pPr>
              <w:pStyle w:val="Tabletext"/>
              <w:keepNext/>
              <w:keepLines/>
            </w:pPr>
            <w:r w:rsidRPr="00F77E7A">
              <w:t>Incremental cost/QALY gained</w:t>
            </w:r>
          </w:p>
        </w:tc>
        <w:tc>
          <w:tcPr>
            <w:tcW w:w="1250" w:type="pct"/>
            <w:vAlign w:val="center"/>
          </w:tcPr>
          <w:p w:rsidR="0066183B" w:rsidRPr="007D10D3" w:rsidRDefault="007D10D3" w:rsidP="000F613E">
            <w:pPr>
              <w:pStyle w:val="Tabletext"/>
              <w:keepNext/>
              <w:keepLines/>
              <w:jc w:val="center"/>
              <w:rPr>
                <w:szCs w:val="20"/>
                <w:highlight w:val="black"/>
              </w:rPr>
            </w:pPr>
            <w:r>
              <w:rPr>
                <w:noProof/>
                <w:color w:val="000000"/>
                <w:highlight w:val="black"/>
              </w:rPr>
              <w:t>''''''''''''''''''''''''''</w:t>
            </w:r>
          </w:p>
        </w:tc>
      </w:tr>
      <w:tr w:rsidR="0066183B" w:rsidRPr="00F77E7A" w:rsidTr="000F613E">
        <w:tc>
          <w:tcPr>
            <w:tcW w:w="3750" w:type="pct"/>
            <w:gridSpan w:val="3"/>
            <w:vAlign w:val="center"/>
          </w:tcPr>
          <w:p w:rsidR="0066183B" w:rsidRPr="00F77E7A" w:rsidRDefault="0066183B" w:rsidP="000F613E">
            <w:pPr>
              <w:pStyle w:val="Tabletext"/>
              <w:keepNext/>
              <w:keepLines/>
              <w:rPr>
                <w:b/>
              </w:rPr>
            </w:pPr>
            <w:r w:rsidRPr="00F77E7A">
              <w:rPr>
                <w:b/>
                <w:szCs w:val="20"/>
              </w:rPr>
              <w:t>ESC base case</w:t>
            </w:r>
            <w:r w:rsidR="007C02B7" w:rsidRPr="00F77E7A">
              <w:rPr>
                <w:b/>
                <w:szCs w:val="20"/>
              </w:rPr>
              <w:t>*</w:t>
            </w:r>
            <w:r w:rsidR="00E96364" w:rsidRPr="00F77E7A">
              <w:rPr>
                <w:b/>
                <w:szCs w:val="20"/>
              </w:rPr>
              <w:t xml:space="preserve"> </w:t>
            </w:r>
            <w:r w:rsidRPr="00F77E7A">
              <w:rPr>
                <w:b/>
                <w:szCs w:val="20"/>
              </w:rPr>
              <w:t xml:space="preserve">with </w:t>
            </w:r>
            <w:r w:rsidR="00DC7A66" w:rsidRPr="00F77E7A">
              <w:rPr>
                <w:b/>
                <w:szCs w:val="20"/>
              </w:rPr>
              <w:t xml:space="preserve">intended </w:t>
            </w:r>
            <w:r w:rsidR="00331D12" w:rsidRPr="00F77E7A">
              <w:rPr>
                <w:b/>
                <w:szCs w:val="20"/>
              </w:rPr>
              <w:t xml:space="preserve">price of </w:t>
            </w:r>
            <w:r w:rsidRPr="00F77E7A">
              <w:rPr>
                <w:b/>
                <w:szCs w:val="20"/>
              </w:rPr>
              <w:t>$</w:t>
            </w:r>
            <w:r w:rsidR="007D10D3">
              <w:rPr>
                <w:b/>
                <w:noProof/>
                <w:color w:val="000000"/>
                <w:szCs w:val="20"/>
                <w:highlight w:val="black"/>
              </w:rPr>
              <w:t>'''''''''''''</w:t>
            </w:r>
            <w:r w:rsidRPr="00F77E7A">
              <w:rPr>
                <w:b/>
                <w:szCs w:val="20"/>
              </w:rPr>
              <w:t xml:space="preserve">/patient/year </w:t>
            </w:r>
            <w:r w:rsidR="00E96364" w:rsidRPr="00F77E7A">
              <w:rPr>
                <w:b/>
                <w:szCs w:val="20"/>
              </w:rPr>
              <w:t>through an RSA</w:t>
            </w:r>
          </w:p>
        </w:tc>
        <w:tc>
          <w:tcPr>
            <w:tcW w:w="1250" w:type="pct"/>
            <w:vAlign w:val="center"/>
          </w:tcPr>
          <w:p w:rsidR="0066183B" w:rsidRPr="00F77E7A" w:rsidRDefault="0066183B" w:rsidP="000F613E">
            <w:pPr>
              <w:pStyle w:val="Tabletext"/>
              <w:keepNext/>
              <w:keepLines/>
              <w:jc w:val="center"/>
              <w:rPr>
                <w:szCs w:val="20"/>
              </w:rPr>
            </w:pPr>
          </w:p>
        </w:tc>
      </w:tr>
      <w:tr w:rsidR="0033618E" w:rsidRPr="00F77E7A" w:rsidTr="000F613E">
        <w:tc>
          <w:tcPr>
            <w:tcW w:w="1250" w:type="pct"/>
            <w:vAlign w:val="center"/>
          </w:tcPr>
          <w:p w:rsidR="0033618E" w:rsidRPr="00F77E7A" w:rsidRDefault="0033618E" w:rsidP="000F613E">
            <w:pPr>
              <w:pStyle w:val="Tabletext"/>
              <w:keepNext/>
              <w:keepLines/>
              <w:rPr>
                <w:b/>
              </w:rPr>
            </w:pPr>
            <w:r w:rsidRPr="00F77E7A">
              <w:t>Costs</w:t>
            </w:r>
          </w:p>
        </w:tc>
        <w:tc>
          <w:tcPr>
            <w:tcW w:w="1250" w:type="pct"/>
            <w:vAlign w:val="center"/>
          </w:tcPr>
          <w:p w:rsidR="0033618E" w:rsidRPr="007D10D3" w:rsidRDefault="007D10D3" w:rsidP="000F613E">
            <w:pPr>
              <w:pStyle w:val="Tabletext"/>
              <w:keepNext/>
              <w:keepLines/>
              <w:jc w:val="center"/>
              <w:rPr>
                <w:b/>
                <w:highlight w:val="black"/>
              </w:rPr>
            </w:pPr>
            <w:r>
              <w:rPr>
                <w:rFonts w:cs="Calibri"/>
                <w:noProof/>
                <w:color w:val="000000"/>
                <w:szCs w:val="20"/>
                <w:highlight w:val="black"/>
                <w:lang w:eastAsia="en-AU"/>
              </w:rPr>
              <w:t>'''''''''''''''''''''''''''''</w:t>
            </w:r>
          </w:p>
        </w:tc>
        <w:tc>
          <w:tcPr>
            <w:tcW w:w="1250" w:type="pct"/>
            <w:vAlign w:val="center"/>
          </w:tcPr>
          <w:p w:rsidR="0033618E" w:rsidRPr="007D10D3" w:rsidRDefault="007D10D3" w:rsidP="000F613E">
            <w:pPr>
              <w:pStyle w:val="Tabletext"/>
              <w:keepNext/>
              <w:keepLines/>
              <w:jc w:val="center"/>
              <w:rPr>
                <w:b/>
                <w:highlight w:val="black"/>
              </w:rPr>
            </w:pPr>
            <w:r>
              <w:rPr>
                <w:rFonts w:cs="Calibri"/>
                <w:noProof/>
                <w:color w:val="000000"/>
                <w:szCs w:val="20"/>
                <w:highlight w:val="black"/>
                <w:lang w:eastAsia="en-AU"/>
              </w:rPr>
              <w:t>'''''''''''''''''''''''</w:t>
            </w:r>
          </w:p>
        </w:tc>
        <w:tc>
          <w:tcPr>
            <w:tcW w:w="1250" w:type="pct"/>
            <w:vAlign w:val="center"/>
          </w:tcPr>
          <w:p w:rsidR="0033618E" w:rsidRPr="007D10D3" w:rsidRDefault="007D10D3" w:rsidP="000F613E">
            <w:pPr>
              <w:pStyle w:val="Tabletext"/>
              <w:keepNext/>
              <w:keepLines/>
              <w:jc w:val="center"/>
              <w:rPr>
                <w:szCs w:val="20"/>
                <w:highlight w:val="black"/>
              </w:rPr>
            </w:pPr>
            <w:r>
              <w:rPr>
                <w:noProof/>
                <w:color w:val="000000"/>
                <w:szCs w:val="20"/>
                <w:highlight w:val="black"/>
              </w:rPr>
              <w:t>''''''''''''''''''''</w:t>
            </w:r>
          </w:p>
        </w:tc>
      </w:tr>
      <w:tr w:rsidR="0033618E" w:rsidRPr="00F77E7A" w:rsidTr="000F613E">
        <w:tc>
          <w:tcPr>
            <w:tcW w:w="1250" w:type="pct"/>
            <w:vAlign w:val="center"/>
          </w:tcPr>
          <w:p w:rsidR="0033618E" w:rsidRPr="00F77E7A" w:rsidRDefault="0033618E" w:rsidP="000F613E">
            <w:pPr>
              <w:pStyle w:val="Tabletext"/>
              <w:keepNext/>
              <w:keepLines/>
              <w:rPr>
                <w:b/>
              </w:rPr>
            </w:pPr>
            <w:r w:rsidRPr="00F77E7A">
              <w:t>QALYs</w:t>
            </w:r>
          </w:p>
        </w:tc>
        <w:tc>
          <w:tcPr>
            <w:tcW w:w="1250" w:type="pct"/>
            <w:vAlign w:val="center"/>
          </w:tcPr>
          <w:p w:rsidR="0033618E" w:rsidRPr="00F77E7A" w:rsidRDefault="0033618E" w:rsidP="000F613E">
            <w:pPr>
              <w:pStyle w:val="Tabletext"/>
              <w:keepNext/>
              <w:keepLines/>
              <w:jc w:val="center"/>
              <w:rPr>
                <w:b/>
              </w:rPr>
            </w:pPr>
            <w:r w:rsidRPr="00F77E7A">
              <w:rPr>
                <w:rFonts w:cs="Calibri"/>
                <w:color w:val="000000"/>
                <w:szCs w:val="20"/>
                <w:lang w:eastAsia="en-AU"/>
              </w:rPr>
              <w:t>7.95</w:t>
            </w:r>
          </w:p>
        </w:tc>
        <w:tc>
          <w:tcPr>
            <w:tcW w:w="1250" w:type="pct"/>
            <w:vAlign w:val="center"/>
          </w:tcPr>
          <w:p w:rsidR="0033618E" w:rsidRPr="00F77E7A" w:rsidRDefault="0033618E" w:rsidP="000F613E">
            <w:pPr>
              <w:pStyle w:val="Tabletext"/>
              <w:keepNext/>
              <w:keepLines/>
              <w:jc w:val="center"/>
              <w:rPr>
                <w:b/>
              </w:rPr>
            </w:pPr>
            <w:r w:rsidRPr="00F77E7A">
              <w:rPr>
                <w:rFonts w:cs="Calibri"/>
                <w:color w:val="000000"/>
                <w:szCs w:val="20"/>
                <w:lang w:eastAsia="en-AU"/>
              </w:rPr>
              <w:t>6.38</w:t>
            </w:r>
          </w:p>
        </w:tc>
        <w:tc>
          <w:tcPr>
            <w:tcW w:w="1250" w:type="pct"/>
            <w:vAlign w:val="center"/>
          </w:tcPr>
          <w:p w:rsidR="0033618E" w:rsidRPr="00F77E7A" w:rsidRDefault="0033618E" w:rsidP="000F613E">
            <w:pPr>
              <w:pStyle w:val="Tabletext"/>
              <w:keepNext/>
              <w:keepLines/>
              <w:jc w:val="center"/>
              <w:rPr>
                <w:szCs w:val="20"/>
              </w:rPr>
            </w:pPr>
            <w:r w:rsidRPr="00F77E7A">
              <w:rPr>
                <w:szCs w:val="20"/>
              </w:rPr>
              <w:t>1.57</w:t>
            </w:r>
          </w:p>
        </w:tc>
      </w:tr>
      <w:tr w:rsidR="0066183B" w:rsidRPr="00F77E7A" w:rsidTr="000F613E">
        <w:tc>
          <w:tcPr>
            <w:tcW w:w="3750" w:type="pct"/>
            <w:gridSpan w:val="3"/>
            <w:vAlign w:val="center"/>
          </w:tcPr>
          <w:p w:rsidR="0066183B" w:rsidRPr="00F77E7A" w:rsidRDefault="0066183B" w:rsidP="000F613E">
            <w:pPr>
              <w:pStyle w:val="Tabletext"/>
              <w:keepNext/>
              <w:keepLines/>
              <w:rPr>
                <w:b/>
              </w:rPr>
            </w:pPr>
            <w:r w:rsidRPr="00F77E7A">
              <w:t>Incremental cost/QALY gained</w:t>
            </w:r>
          </w:p>
        </w:tc>
        <w:tc>
          <w:tcPr>
            <w:tcW w:w="1250" w:type="pct"/>
            <w:vAlign w:val="center"/>
          </w:tcPr>
          <w:p w:rsidR="0066183B" w:rsidRPr="007D10D3" w:rsidRDefault="007D10D3" w:rsidP="000F613E">
            <w:pPr>
              <w:pStyle w:val="Tabletext"/>
              <w:keepNext/>
              <w:keepLines/>
              <w:jc w:val="center"/>
              <w:rPr>
                <w:szCs w:val="20"/>
                <w:highlight w:val="black"/>
              </w:rPr>
            </w:pPr>
            <w:r>
              <w:rPr>
                <w:noProof/>
                <w:color w:val="000000"/>
                <w:szCs w:val="20"/>
                <w:highlight w:val="black"/>
              </w:rPr>
              <w:t>''''''''''''''''''''''</w:t>
            </w:r>
          </w:p>
        </w:tc>
      </w:tr>
    </w:tbl>
    <w:p w:rsidR="0066183B" w:rsidRPr="00F77E7A" w:rsidRDefault="0066183B" w:rsidP="000F613E">
      <w:pPr>
        <w:pStyle w:val="TableFooter"/>
        <w:keepNext/>
        <w:keepLines/>
        <w:widowControl/>
      </w:pPr>
      <w:r w:rsidRPr="00F77E7A">
        <w:t>Abbreviations: BSC</w:t>
      </w:r>
      <w:r w:rsidR="00CB2CD2" w:rsidRPr="00F77E7A">
        <w:t xml:space="preserve"> </w:t>
      </w:r>
      <w:r w:rsidRPr="00F77E7A">
        <w:t xml:space="preserve">= best supportive care; </w:t>
      </w:r>
      <w:r w:rsidR="00CB2CD2" w:rsidRPr="00F77E7A">
        <w:t>QALY = quality-adjusted life-year; RSA = risk sharing arrangement</w:t>
      </w:r>
      <w:r w:rsidRPr="00F77E7A">
        <w:t>.</w:t>
      </w:r>
    </w:p>
    <w:p w:rsidR="0066183B" w:rsidRPr="00F77E7A" w:rsidRDefault="0066183B" w:rsidP="000F613E">
      <w:pPr>
        <w:pStyle w:val="TableFooter"/>
        <w:keepNext/>
        <w:keepLines/>
        <w:widowControl/>
      </w:pPr>
      <w:r w:rsidRPr="00F77E7A">
        <w:t xml:space="preserve">Source: </w:t>
      </w:r>
      <w:r w:rsidR="00CB2CD2" w:rsidRPr="00F77E7A">
        <w:t>Table 3.7.5, p209 of the submission</w:t>
      </w:r>
      <w:r w:rsidRPr="00F77E7A">
        <w:t xml:space="preserve"> and calculated using</w:t>
      </w:r>
      <w:r w:rsidR="00CB2CD2" w:rsidRPr="00F77E7A">
        <w:t xml:space="preserve"> the submissions Section 3 economic model.</w:t>
      </w:r>
    </w:p>
    <w:p w:rsidR="007C02B7" w:rsidRPr="00F77E7A" w:rsidRDefault="007C02B7" w:rsidP="000F613E">
      <w:pPr>
        <w:pStyle w:val="TableFooter"/>
        <w:keepNext/>
        <w:keepLines/>
        <w:widowControl/>
      </w:pPr>
      <w:r w:rsidRPr="00F77E7A">
        <w:t>*ESC base case as per the parameter changes in Table 9.</w:t>
      </w:r>
    </w:p>
    <w:p w:rsidR="001C3A33" w:rsidRDefault="001C3A33" w:rsidP="00C33949">
      <w:pPr>
        <w:widowControl/>
        <w:spacing w:before="120" w:after="120"/>
      </w:pPr>
      <w:r>
        <w:t>The redacted table shows ICERs in the range of more than $200,000/QALY.</w:t>
      </w:r>
    </w:p>
    <w:p w:rsidR="00973306" w:rsidRPr="00F77E7A" w:rsidRDefault="00973306" w:rsidP="00C33949">
      <w:pPr>
        <w:widowControl/>
        <w:numPr>
          <w:ilvl w:val="1"/>
          <w:numId w:val="2"/>
        </w:numPr>
        <w:spacing w:before="120" w:after="120"/>
        <w:ind w:left="709" w:hanging="709"/>
      </w:pPr>
      <w:r w:rsidRPr="00F77E7A">
        <w:rPr>
          <w:rFonts w:asciiTheme="minorHAnsi" w:hAnsiTheme="minorHAnsi" w:cstheme="minorHAnsi"/>
          <w:szCs w:val="24"/>
        </w:rPr>
        <w:t xml:space="preserve">The key drivers of the model </w:t>
      </w:r>
      <w:r w:rsidR="00D7718A" w:rsidRPr="00F77E7A">
        <w:rPr>
          <w:rFonts w:asciiTheme="minorHAnsi" w:hAnsiTheme="minorHAnsi" w:cstheme="minorHAnsi"/>
          <w:szCs w:val="24"/>
        </w:rPr>
        <w:t xml:space="preserve">are summarised in Table </w:t>
      </w:r>
      <w:r w:rsidR="009E5E67" w:rsidRPr="00F77E7A">
        <w:rPr>
          <w:rFonts w:asciiTheme="minorHAnsi" w:hAnsiTheme="minorHAnsi" w:cstheme="minorHAnsi"/>
          <w:szCs w:val="24"/>
        </w:rPr>
        <w:t>11</w:t>
      </w:r>
      <w:r w:rsidR="00D7718A" w:rsidRPr="00F77E7A">
        <w:rPr>
          <w:rFonts w:asciiTheme="minorHAnsi" w:hAnsiTheme="minorHAnsi" w:cstheme="minorHAnsi"/>
          <w:szCs w:val="24"/>
        </w:rPr>
        <w:t>.</w:t>
      </w:r>
    </w:p>
    <w:p w:rsidR="00973306" w:rsidRPr="00F77E7A" w:rsidRDefault="00D110BD" w:rsidP="00EF2E6B">
      <w:pPr>
        <w:keepNext/>
        <w:keepLines/>
        <w:widowControl/>
        <w:rPr>
          <w:rStyle w:val="CommentReference"/>
        </w:rPr>
      </w:pPr>
      <w:r w:rsidRPr="00F77E7A">
        <w:rPr>
          <w:rStyle w:val="CommentReference"/>
        </w:rPr>
        <w:t>Table</w:t>
      </w:r>
      <w:r w:rsidR="00973306" w:rsidRPr="00F77E7A">
        <w:rPr>
          <w:rStyle w:val="CommentReference"/>
        </w:rPr>
        <w:t xml:space="preserve"> </w:t>
      </w:r>
      <w:r w:rsidR="009E5E67" w:rsidRPr="00F77E7A">
        <w:rPr>
          <w:rStyle w:val="CommentReference"/>
        </w:rPr>
        <w:t>11</w:t>
      </w:r>
      <w:r w:rsidRPr="00F77E7A">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1766"/>
        <w:gridCol w:w="5307"/>
        <w:gridCol w:w="1944"/>
      </w:tblGrid>
      <w:tr w:rsidR="00CA62DF" w:rsidRPr="00F77E7A" w:rsidTr="00CA62DF">
        <w:trPr>
          <w:trHeight w:val="19"/>
          <w:tblHeader/>
        </w:trPr>
        <w:tc>
          <w:tcPr>
            <w:tcW w:w="979"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b/>
                <w:snapToGrid/>
                <w:sz w:val="20"/>
              </w:rPr>
            </w:pPr>
            <w:r w:rsidRPr="00F77E7A">
              <w:rPr>
                <w:rFonts w:ascii="Arial Narrow" w:eastAsiaTheme="minorHAnsi" w:hAnsi="Arial Narrow" w:cstheme="minorBidi"/>
                <w:b/>
                <w:snapToGrid/>
                <w:sz w:val="20"/>
              </w:rPr>
              <w:t>Description</w:t>
            </w:r>
          </w:p>
        </w:tc>
        <w:tc>
          <w:tcPr>
            <w:tcW w:w="2943"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b/>
                <w:snapToGrid/>
                <w:sz w:val="20"/>
              </w:rPr>
            </w:pPr>
            <w:r w:rsidRPr="00F77E7A">
              <w:rPr>
                <w:rFonts w:ascii="Arial Narrow" w:eastAsiaTheme="minorHAnsi" w:hAnsi="Arial Narrow" w:cstheme="minorBidi"/>
                <w:b/>
                <w:snapToGrid/>
                <w:sz w:val="20"/>
              </w:rPr>
              <w:t>Method/Value</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b/>
                <w:snapToGrid/>
                <w:sz w:val="20"/>
              </w:rPr>
            </w:pPr>
            <w:r w:rsidRPr="00F77E7A">
              <w:rPr>
                <w:rFonts w:ascii="Arial Narrow" w:eastAsiaTheme="minorHAnsi" w:hAnsi="Arial Narrow" w:cstheme="minorBidi"/>
                <w:b/>
                <w:snapToGrid/>
                <w:sz w:val="20"/>
              </w:rPr>
              <w:t>Impact</w:t>
            </w:r>
          </w:p>
        </w:tc>
      </w:tr>
      <w:tr w:rsidR="00CA62DF" w:rsidRPr="00F77E7A" w:rsidTr="00CA62DF">
        <w:trPr>
          <w:trHeight w:val="19"/>
        </w:trPr>
        <w:tc>
          <w:tcPr>
            <w:tcW w:w="979" w:type="pct"/>
            <w:shd w:val="clear" w:color="auto" w:fill="auto"/>
            <w:vAlign w:val="center"/>
          </w:tcPr>
          <w:p w:rsidR="00CA62DF" w:rsidRPr="00F77E7A" w:rsidRDefault="004C5B1F" w:rsidP="004C5B1F">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I</w:t>
            </w:r>
            <w:r w:rsidR="00CA0715" w:rsidRPr="00F77E7A">
              <w:rPr>
                <w:rFonts w:ascii="Arial Narrow" w:eastAsiaTheme="minorHAnsi" w:hAnsi="Arial Narrow" w:cstheme="minorBidi"/>
                <w:snapToGrid/>
                <w:sz w:val="20"/>
              </w:rPr>
              <w:t xml:space="preserve">ntended price </w:t>
            </w:r>
            <w:r w:rsidR="00CA62DF" w:rsidRPr="00F77E7A">
              <w:rPr>
                <w:rFonts w:ascii="Arial Narrow" w:eastAsiaTheme="minorHAnsi" w:hAnsi="Arial Narrow" w:cstheme="minorBidi"/>
                <w:snapToGrid/>
                <w:sz w:val="20"/>
              </w:rPr>
              <w:t>plus price reductions</w:t>
            </w:r>
          </w:p>
        </w:tc>
        <w:tc>
          <w:tcPr>
            <w:tcW w:w="2943" w:type="pct"/>
            <w:shd w:val="clear" w:color="auto" w:fill="auto"/>
            <w:vAlign w:val="center"/>
          </w:tcPr>
          <w:p w:rsidR="00CA62DF" w:rsidRPr="00F77E7A" w:rsidRDefault="00CA0715" w:rsidP="004C5B1F">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 xml:space="preserve">Intended </w:t>
            </w:r>
            <w:r w:rsidRPr="00DC0949">
              <w:rPr>
                <w:rFonts w:ascii="Arial Narrow" w:eastAsiaTheme="minorHAnsi" w:hAnsi="Arial Narrow" w:cstheme="minorBidi"/>
                <w:snapToGrid/>
                <w:sz w:val="20"/>
              </w:rPr>
              <w:t>a</w:t>
            </w:r>
            <w:r w:rsidR="00CA62DF" w:rsidRPr="00DC0949">
              <w:rPr>
                <w:rFonts w:ascii="Arial Narrow" w:eastAsiaTheme="minorHAnsi" w:hAnsi="Arial Narrow" w:cstheme="minorBidi"/>
                <w:snapToGrid/>
                <w:sz w:val="20"/>
              </w:rPr>
              <w:t xml:space="preserve">nnual </w:t>
            </w:r>
            <w:r w:rsidRPr="00DC0949">
              <w:rPr>
                <w:rFonts w:ascii="Arial Narrow" w:eastAsiaTheme="minorHAnsi" w:hAnsi="Arial Narrow" w:cstheme="minorBidi"/>
                <w:snapToGrid/>
                <w:sz w:val="20"/>
              </w:rPr>
              <w:t xml:space="preserve">price </w:t>
            </w:r>
            <w:r w:rsidR="00CA62DF" w:rsidRPr="00DC0949">
              <w:rPr>
                <w:rFonts w:ascii="Arial Narrow" w:eastAsiaTheme="minorHAnsi" w:hAnsi="Arial Narrow" w:cstheme="minorBidi"/>
                <w:snapToGrid/>
                <w:sz w:val="20"/>
              </w:rPr>
              <w:t xml:space="preserve">of </w:t>
            </w:r>
            <w:r w:rsidR="001416C7" w:rsidRPr="00DC0949">
              <w:rPr>
                <w:rFonts w:ascii="Arial Narrow" w:eastAsiaTheme="minorHAnsi" w:hAnsi="Arial Narrow" w:cstheme="minorBidi"/>
                <w:snapToGrid/>
                <w:sz w:val="20"/>
              </w:rPr>
              <w:t>$</w:t>
            </w:r>
            <w:r w:rsidR="007D10D3">
              <w:rPr>
                <w:rFonts w:ascii="Arial Narrow" w:eastAsiaTheme="minorHAnsi" w:hAnsi="Arial Narrow" w:cstheme="minorBidi"/>
                <w:noProof/>
                <w:snapToGrid/>
                <w:color w:val="000000"/>
                <w:sz w:val="20"/>
                <w:highlight w:val="black"/>
              </w:rPr>
              <w:t>''''''''''''''''</w:t>
            </w:r>
            <w:r w:rsidR="001416C7" w:rsidRPr="00DC0949">
              <w:rPr>
                <w:rFonts w:ascii="Arial Narrow" w:eastAsiaTheme="minorHAnsi" w:hAnsi="Arial Narrow" w:cstheme="minorBidi"/>
                <w:snapToGrid/>
                <w:sz w:val="20"/>
              </w:rPr>
              <w:t xml:space="preserve"> </w:t>
            </w:r>
            <w:r w:rsidRPr="00DC0949">
              <w:rPr>
                <w:rFonts w:ascii="Arial Narrow" w:eastAsiaTheme="minorHAnsi" w:hAnsi="Arial Narrow" w:cstheme="minorBidi"/>
                <w:snapToGrid/>
                <w:sz w:val="20"/>
              </w:rPr>
              <w:t>per patient</w:t>
            </w:r>
            <w:r w:rsidR="004C5B1F" w:rsidRPr="00F77E7A">
              <w:rPr>
                <w:rFonts w:ascii="Arial Narrow" w:eastAsiaTheme="minorHAnsi" w:hAnsi="Arial Narrow" w:cstheme="minorBidi"/>
                <w:snapToGrid/>
                <w:sz w:val="20"/>
              </w:rPr>
              <w:t>, implemented through subsidisation caps,</w:t>
            </w:r>
            <w:r w:rsidRPr="00F77E7A">
              <w:rPr>
                <w:rFonts w:ascii="Arial Narrow" w:eastAsiaTheme="minorHAnsi" w:hAnsi="Arial Narrow" w:cstheme="minorBidi"/>
                <w:snapToGrid/>
                <w:sz w:val="20"/>
              </w:rPr>
              <w:t xml:space="preserve"> </w:t>
            </w:r>
            <w:r w:rsidR="00CA62DF" w:rsidRPr="00F77E7A">
              <w:rPr>
                <w:rFonts w:ascii="Arial Narrow" w:eastAsiaTheme="minorHAnsi" w:hAnsi="Arial Narrow" w:cstheme="minorBidi"/>
                <w:snapToGrid/>
                <w:sz w:val="20"/>
              </w:rPr>
              <w:t>applied for tezacaftor/ivacaftor drug cost. List price was considered</w:t>
            </w:r>
            <w:r w:rsidR="00A03A26" w:rsidRPr="00F77E7A">
              <w:rPr>
                <w:rFonts w:ascii="Arial Narrow" w:eastAsiaTheme="minorHAnsi" w:hAnsi="Arial Narrow" w:cstheme="minorBidi"/>
                <w:snapToGrid/>
                <w:sz w:val="20"/>
              </w:rPr>
              <w:t xml:space="preserve">. </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 xml:space="preserve">High, favours tezacaftor/ivacaftor </w:t>
            </w:r>
          </w:p>
        </w:tc>
      </w:tr>
      <w:tr w:rsidR="00CA62DF" w:rsidRPr="00F77E7A" w:rsidTr="00CA62DF">
        <w:trPr>
          <w:trHeight w:val="19"/>
        </w:trPr>
        <w:tc>
          <w:tcPr>
            <w:tcW w:w="979"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Extrapolation of pp</w:t>
            </w:r>
            <w:r w:rsidRPr="00F77E7A">
              <w:rPr>
                <w:rFonts w:ascii="Arial Narrow" w:eastAsiaTheme="minorHAnsi" w:hAnsi="Arial Narrow" w:cstheme="minorBidi"/>
                <w:snapToGrid/>
                <w:sz w:val="20"/>
                <w:szCs w:val="24"/>
              </w:rPr>
              <w:t>FEV</w:t>
            </w:r>
            <w:r w:rsidRPr="00F77E7A">
              <w:rPr>
                <w:rFonts w:ascii="Arial Narrow" w:eastAsiaTheme="minorHAnsi" w:hAnsi="Arial Narrow" w:cstheme="minorBidi"/>
                <w:snapToGrid/>
                <w:sz w:val="20"/>
                <w:szCs w:val="24"/>
                <w:vertAlign w:val="subscript"/>
              </w:rPr>
              <w:t>1</w:t>
            </w:r>
          </w:p>
        </w:tc>
        <w:tc>
          <w:tcPr>
            <w:tcW w:w="2943"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 xml:space="preserve">Treatment effect continued beyond trial period (8 weeks) for life time. Lumacaftor/ivacaftor extension study PROGRESS (for F508del homozygous patients) was used to extrapolate beyond the trial period. </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High, favours tezacaftor/ivacaftor</w:t>
            </w:r>
          </w:p>
        </w:tc>
      </w:tr>
      <w:tr w:rsidR="00CA62DF" w:rsidRPr="00F77E7A" w:rsidTr="00CA62DF">
        <w:trPr>
          <w:trHeight w:val="19"/>
        </w:trPr>
        <w:tc>
          <w:tcPr>
            <w:tcW w:w="979"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hAnsi="Arial Narrow"/>
                <w:sz w:val="20"/>
              </w:rPr>
              <w:t>Modelled ppFEV</w:t>
            </w:r>
            <w:r w:rsidRPr="00F77E7A">
              <w:rPr>
                <w:rFonts w:ascii="Arial Narrow" w:hAnsi="Arial Narrow"/>
                <w:sz w:val="20"/>
                <w:vertAlign w:val="subscript"/>
              </w:rPr>
              <w:t>1</w:t>
            </w:r>
            <w:r w:rsidRPr="00F77E7A">
              <w:rPr>
                <w:rFonts w:ascii="Arial Narrow" w:hAnsi="Arial Narrow"/>
                <w:sz w:val="20"/>
              </w:rPr>
              <w:t xml:space="preserve"> decline after trial period</w:t>
            </w:r>
          </w:p>
        </w:tc>
        <w:tc>
          <w:tcPr>
            <w:tcW w:w="2943"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 xml:space="preserve">Annual </w:t>
            </w:r>
            <w:r w:rsidR="00C80E35" w:rsidRPr="00F77E7A">
              <w:rPr>
                <w:rFonts w:ascii="Arial Narrow" w:eastAsiaTheme="minorHAnsi" w:hAnsi="Arial Narrow" w:cstheme="minorBidi"/>
                <w:snapToGrid/>
                <w:sz w:val="20"/>
              </w:rPr>
              <w:t xml:space="preserve">decrease in the rate of </w:t>
            </w:r>
            <w:r w:rsidRPr="00F77E7A">
              <w:rPr>
                <w:rFonts w:ascii="Arial Narrow" w:eastAsiaTheme="minorHAnsi" w:hAnsi="Arial Narrow" w:cstheme="minorBidi"/>
                <w:snapToGrid/>
                <w:sz w:val="20"/>
              </w:rPr>
              <w:t>decline</w:t>
            </w:r>
            <w:r w:rsidR="00C80E35" w:rsidRPr="00F77E7A">
              <w:rPr>
                <w:rFonts w:ascii="Arial Narrow" w:eastAsiaTheme="minorHAnsi" w:hAnsi="Arial Narrow" w:cstheme="minorBidi"/>
                <w:snapToGrid/>
                <w:sz w:val="20"/>
              </w:rPr>
              <w:t xml:space="preserve"> in ppFEV</w:t>
            </w:r>
            <w:r w:rsidR="00C80E35" w:rsidRPr="00F77E7A">
              <w:rPr>
                <w:rFonts w:ascii="Arial Narrow" w:eastAsiaTheme="minorHAnsi" w:hAnsi="Arial Narrow" w:cstheme="minorBidi"/>
                <w:snapToGrid/>
                <w:sz w:val="20"/>
                <w:vertAlign w:val="subscript"/>
              </w:rPr>
              <w:t>1</w:t>
            </w:r>
            <w:r w:rsidRPr="00F77E7A">
              <w:rPr>
                <w:rFonts w:ascii="Arial Narrow" w:eastAsiaTheme="minorHAnsi" w:hAnsi="Arial Narrow" w:cstheme="minorBidi"/>
                <w:snapToGrid/>
                <w:sz w:val="20"/>
              </w:rPr>
              <w:t xml:space="preserve"> was implemented relative to BSC (42%).</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High, favours tezacaftor/ivacaftor</w:t>
            </w:r>
          </w:p>
        </w:tc>
      </w:tr>
      <w:tr w:rsidR="00CA62DF" w:rsidRPr="00F77E7A" w:rsidTr="00CA62DF">
        <w:trPr>
          <w:trHeight w:val="19"/>
        </w:trPr>
        <w:tc>
          <w:tcPr>
            <w:tcW w:w="979"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Extrapolation of survival</w:t>
            </w:r>
          </w:p>
        </w:tc>
        <w:tc>
          <w:tcPr>
            <w:tcW w:w="2943"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 xml:space="preserve">Liou et al (2001), extrapolation of treatment effect of intermediate outcomes on survival. </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High, favours tezacaftor/ivacaftor</w:t>
            </w:r>
          </w:p>
        </w:tc>
      </w:tr>
      <w:tr w:rsidR="00CA62DF" w:rsidRPr="00F77E7A" w:rsidTr="00CA62DF">
        <w:trPr>
          <w:trHeight w:val="19"/>
        </w:trPr>
        <w:tc>
          <w:tcPr>
            <w:tcW w:w="979"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hAnsi="Arial Narrow"/>
                <w:sz w:val="20"/>
              </w:rPr>
              <w:t>Treatment effect on PEx</w:t>
            </w:r>
          </w:p>
        </w:tc>
        <w:tc>
          <w:tcPr>
            <w:tcW w:w="2943"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hAnsi="Arial Narrow"/>
                <w:sz w:val="20"/>
              </w:rPr>
              <w:t>The model assumed a benefit based on non-statistical differences between tezacaftor/ivacaftor and BSC. No treatment effect in terms of PEx reduction was assessed in a SA (RR = 1)</w:t>
            </w:r>
          </w:p>
        </w:tc>
        <w:tc>
          <w:tcPr>
            <w:tcW w:w="1078" w:type="pct"/>
            <w:shd w:val="clear" w:color="auto" w:fill="auto"/>
            <w:vAlign w:val="center"/>
          </w:tcPr>
          <w:p w:rsidR="00CA62DF" w:rsidRPr="00F77E7A" w:rsidRDefault="00CA62DF" w:rsidP="00EF2E6B">
            <w:pPr>
              <w:keepNext/>
              <w:widowControl/>
              <w:spacing w:before="40" w:after="40"/>
              <w:jc w:val="left"/>
              <w:rPr>
                <w:rFonts w:ascii="Arial Narrow" w:eastAsiaTheme="minorHAnsi" w:hAnsi="Arial Narrow" w:cstheme="minorBidi"/>
                <w:snapToGrid/>
                <w:sz w:val="20"/>
              </w:rPr>
            </w:pPr>
            <w:r w:rsidRPr="00F77E7A">
              <w:rPr>
                <w:rFonts w:ascii="Arial Narrow" w:eastAsiaTheme="minorHAnsi" w:hAnsi="Arial Narrow" w:cstheme="minorBidi"/>
                <w:snapToGrid/>
                <w:sz w:val="20"/>
              </w:rPr>
              <w:t>High, favours tezacaftor/ivacaftor</w:t>
            </w:r>
          </w:p>
        </w:tc>
      </w:tr>
    </w:tbl>
    <w:p w:rsidR="00973306" w:rsidRPr="00F77E7A" w:rsidRDefault="00973306" w:rsidP="00EF2E6B">
      <w:pPr>
        <w:pStyle w:val="TableFooter"/>
        <w:widowControl/>
      </w:pPr>
      <w:r w:rsidRPr="00F77E7A">
        <w:t>Abbreviations: BSC = best supportive care; PE = pulmonary exacerbation; pp</w:t>
      </w:r>
      <w:r w:rsidRPr="00F77E7A">
        <w:rPr>
          <w:szCs w:val="24"/>
        </w:rPr>
        <w:t>FEV</w:t>
      </w:r>
      <w:r w:rsidRPr="00F77E7A">
        <w:rPr>
          <w:szCs w:val="24"/>
          <w:vertAlign w:val="subscript"/>
        </w:rPr>
        <w:t>1</w:t>
      </w:r>
      <w:r w:rsidRPr="00F77E7A">
        <w:t>= per cent predicted forced expiratory volume in one second</w:t>
      </w:r>
      <w:r w:rsidR="00D7718A" w:rsidRPr="00F77E7A">
        <w:t xml:space="preserve">; RR= risk ratio; SA= sensitivity analysis </w:t>
      </w:r>
    </w:p>
    <w:p w:rsidR="00973306" w:rsidRPr="00F77E7A" w:rsidRDefault="00973306" w:rsidP="00EF2E6B">
      <w:pPr>
        <w:pStyle w:val="TableFooter"/>
        <w:widowControl/>
      </w:pPr>
      <w:r w:rsidRPr="00F77E7A">
        <w:t xml:space="preserve">Source: compiled during the evaluation. </w:t>
      </w:r>
    </w:p>
    <w:p w:rsidR="0048168C" w:rsidRPr="00F77E7A" w:rsidRDefault="00330626" w:rsidP="00C33949">
      <w:pPr>
        <w:pStyle w:val="ListParagraph"/>
        <w:widowControl/>
        <w:numPr>
          <w:ilvl w:val="1"/>
          <w:numId w:val="2"/>
        </w:numPr>
        <w:spacing w:before="120" w:after="120"/>
      </w:pPr>
      <w:r w:rsidRPr="00F77E7A">
        <w:t xml:space="preserve">Results of the univariate </w:t>
      </w:r>
      <w:r w:rsidR="009E5E67" w:rsidRPr="00F77E7A">
        <w:t xml:space="preserve">sensitivity analysis </w:t>
      </w:r>
      <w:r w:rsidR="00F64A20" w:rsidRPr="00F77E7A">
        <w:t xml:space="preserve">(Table 12) </w:t>
      </w:r>
      <w:r w:rsidRPr="00F77E7A">
        <w:t xml:space="preserve">showed that </w:t>
      </w:r>
      <w:r w:rsidR="009E5E67" w:rsidRPr="00F77E7A">
        <w:t xml:space="preserve">the </w:t>
      </w:r>
      <w:r w:rsidRPr="00F77E7A">
        <w:t xml:space="preserve">greatest variation </w:t>
      </w:r>
      <w:r w:rsidR="009E5E67" w:rsidRPr="00F77E7A">
        <w:t xml:space="preserve">in </w:t>
      </w:r>
      <w:r w:rsidRPr="00F77E7A">
        <w:t xml:space="preserve">the ICER occurred when it was assumed that there were no price reductions (as per PBAC Guidelines) resulting in a cost per QALY gained of </w:t>
      </w:r>
      <w:r w:rsidR="000F2218">
        <w:t>more than $</w:t>
      </w:r>
      <w:r w:rsidR="000F2218" w:rsidRPr="00DC0949">
        <w:t xml:space="preserve">200,000 </w:t>
      </w:r>
      <w:r w:rsidRPr="00DC0949">
        <w:t>(</w:t>
      </w:r>
      <w:r w:rsidR="007D10D3">
        <w:rPr>
          <w:noProof/>
          <w:color w:val="000000"/>
          <w:highlight w:val="black"/>
        </w:rPr>
        <w:t>''''''</w:t>
      </w:r>
      <w:r w:rsidR="001416C7" w:rsidRPr="00DC0949">
        <w:t>%</w:t>
      </w:r>
      <w:r w:rsidRPr="00DC0949">
        <w:t xml:space="preserve"> increase</w:t>
      </w:r>
      <w:r w:rsidRPr="00F77E7A">
        <w:t xml:space="preserve"> from baseline). The next most influential was the </w:t>
      </w:r>
      <w:r w:rsidR="00901100" w:rsidRPr="00F77E7A">
        <w:t>scenario that</w:t>
      </w:r>
      <w:r w:rsidRPr="00F77E7A">
        <w:t xml:space="preserve"> assumed an annual ppFEV</w:t>
      </w:r>
      <w:r w:rsidRPr="00F77E7A">
        <w:rPr>
          <w:vertAlign w:val="subscript"/>
        </w:rPr>
        <w:t>1</w:t>
      </w:r>
      <w:r w:rsidRPr="00F77E7A">
        <w:t xml:space="preserve"> decline equivalent to BSC</w:t>
      </w:r>
      <w:r w:rsidR="00B90A14" w:rsidRPr="00F77E7A">
        <w:t xml:space="preserve"> after the trial period</w:t>
      </w:r>
      <w:r w:rsidRPr="00F77E7A">
        <w:t xml:space="preserve">, resulting in an ICER of </w:t>
      </w:r>
      <w:r w:rsidR="000F2218">
        <w:t>more than $200,000</w:t>
      </w:r>
      <w:r w:rsidRPr="00F77E7A">
        <w:t xml:space="preserve">/QALY </w:t>
      </w:r>
      <w:r w:rsidRPr="001416C7">
        <w:t>(</w:t>
      </w:r>
      <w:r w:rsidR="007D10D3">
        <w:rPr>
          <w:noProof/>
          <w:color w:val="000000"/>
          <w:highlight w:val="black"/>
        </w:rPr>
        <w:t>''''''''</w:t>
      </w:r>
      <w:r w:rsidR="001416C7" w:rsidRPr="001416C7">
        <w:t xml:space="preserve">% </w:t>
      </w:r>
      <w:r w:rsidRPr="001416C7">
        <w:t>increase</w:t>
      </w:r>
      <w:r w:rsidRPr="00F77E7A">
        <w:t xml:space="preserve">). The results were also sensitive to assuming there was no treatment effect on the occurrence of </w:t>
      </w:r>
      <w:r w:rsidR="008E7C26" w:rsidRPr="00F77E7A">
        <w:t>pulmonary exacerbations</w:t>
      </w:r>
      <w:r w:rsidR="008E7C26" w:rsidRPr="00F77E7A" w:rsidDel="008E7C26">
        <w:t xml:space="preserve"> </w:t>
      </w:r>
      <w:r w:rsidRPr="00F77E7A">
        <w:t>(RR = 1; ICER=</w:t>
      </w:r>
      <w:r w:rsidR="000F2218">
        <w:t>more than $200,000/QALY</w:t>
      </w:r>
      <w:r w:rsidRPr="00F77E7A">
        <w:t xml:space="preserve">). </w:t>
      </w:r>
    </w:p>
    <w:p w:rsidR="00F64A20" w:rsidRPr="00F77E7A" w:rsidRDefault="00020EA4" w:rsidP="00EF2E6B">
      <w:pPr>
        <w:pStyle w:val="BodyText"/>
        <w:keepNext/>
        <w:widowControl/>
        <w:rPr>
          <w:rStyle w:val="CommentReference"/>
          <w:szCs w:val="20"/>
        </w:rPr>
      </w:pPr>
      <w:r w:rsidRPr="00F77E7A">
        <w:rPr>
          <w:rStyle w:val="CommentReference"/>
          <w:szCs w:val="20"/>
        </w:rPr>
        <w:t>Table 12:  Results of sensitivity analyses that result in variations greater than 10%</w:t>
      </w:r>
    </w:p>
    <w:tbl>
      <w:tblPr>
        <w:tblStyle w:val="HTATableshaded"/>
        <w:tblW w:w="5000" w:type="pct"/>
        <w:tblLook w:val="04A0" w:firstRow="1" w:lastRow="0" w:firstColumn="1" w:lastColumn="0" w:noHBand="0" w:noVBand="1"/>
        <w:tblCaption w:val="Results of sensitivity analyses that result in variations greater than 10%"/>
      </w:tblPr>
      <w:tblGrid>
        <w:gridCol w:w="4106"/>
        <w:gridCol w:w="1277"/>
        <w:gridCol w:w="1419"/>
        <w:gridCol w:w="1275"/>
        <w:gridCol w:w="940"/>
      </w:tblGrid>
      <w:tr w:rsidR="00F64A20" w:rsidRPr="00F77E7A" w:rsidTr="00F64A20">
        <w:trPr>
          <w:cnfStyle w:val="100000000000" w:firstRow="1" w:lastRow="0" w:firstColumn="0" w:lastColumn="0" w:oddVBand="0" w:evenVBand="0" w:oddHBand="0" w:evenHBand="0" w:firstRowFirstColumn="0" w:firstRowLastColumn="0" w:lastRowFirstColumn="0" w:lastRowLastColumn="0"/>
          <w:tblHeader/>
        </w:trPr>
        <w:tc>
          <w:tcPr>
            <w:tcW w:w="2277" w:type="pct"/>
            <w:shd w:val="clear" w:color="auto" w:fill="auto"/>
          </w:tcPr>
          <w:p w:rsidR="00F64A20" w:rsidRPr="00F77E7A" w:rsidRDefault="00F64A20" w:rsidP="00EF2E6B">
            <w:pPr>
              <w:pStyle w:val="TableHeadingleft"/>
              <w:keepNext/>
              <w:rPr>
                <w:rFonts w:ascii="Arial Narrow" w:hAnsi="Arial Narrow"/>
                <w:sz w:val="20"/>
                <w:szCs w:val="20"/>
                <w:lang w:val="en-AU" w:eastAsia="en-GB"/>
              </w:rPr>
            </w:pPr>
            <w:r w:rsidRPr="00F77E7A">
              <w:rPr>
                <w:rFonts w:ascii="Arial Narrow" w:hAnsi="Arial Narrow"/>
                <w:sz w:val="20"/>
                <w:szCs w:val="20"/>
                <w:lang w:val="en-AU" w:eastAsia="en-GB"/>
              </w:rPr>
              <w:t>Analysis description</w:t>
            </w:r>
          </w:p>
        </w:tc>
        <w:tc>
          <w:tcPr>
            <w:tcW w:w="708" w:type="pct"/>
            <w:shd w:val="clear" w:color="auto" w:fill="auto"/>
            <w:vAlign w:val="center"/>
          </w:tcPr>
          <w:p w:rsidR="00F64A20" w:rsidRPr="00F77E7A" w:rsidRDefault="00F64A20" w:rsidP="00EF2E6B">
            <w:pPr>
              <w:pStyle w:val="Tableheadingcent"/>
              <w:keepNext/>
              <w:rPr>
                <w:rFonts w:ascii="Arial Narrow" w:hAnsi="Arial Narrow"/>
                <w:sz w:val="20"/>
                <w:szCs w:val="20"/>
                <w:lang w:val="en-AU" w:eastAsia="en-GB"/>
              </w:rPr>
            </w:pPr>
            <w:r w:rsidRPr="00F77E7A">
              <w:rPr>
                <w:rFonts w:ascii="Arial Narrow" w:hAnsi="Arial Narrow"/>
                <w:sz w:val="20"/>
                <w:szCs w:val="20"/>
                <w:lang w:val="en-AU" w:eastAsia="en-GB"/>
              </w:rPr>
              <w:t>Incremental cost ($)</w:t>
            </w:r>
          </w:p>
        </w:tc>
        <w:tc>
          <w:tcPr>
            <w:tcW w:w="787" w:type="pct"/>
            <w:shd w:val="clear" w:color="auto" w:fill="auto"/>
            <w:vAlign w:val="center"/>
          </w:tcPr>
          <w:p w:rsidR="00F64A20" w:rsidRPr="00F77E7A" w:rsidRDefault="00F64A20" w:rsidP="00EF2E6B">
            <w:pPr>
              <w:pStyle w:val="Tableheadingcent"/>
              <w:keepNext/>
              <w:rPr>
                <w:rFonts w:ascii="Arial Narrow" w:hAnsi="Arial Narrow"/>
                <w:sz w:val="20"/>
                <w:szCs w:val="20"/>
                <w:lang w:val="en-AU" w:eastAsia="en-GB"/>
              </w:rPr>
            </w:pPr>
            <w:r w:rsidRPr="00F77E7A">
              <w:rPr>
                <w:rFonts w:ascii="Arial Narrow" w:hAnsi="Arial Narrow"/>
                <w:sz w:val="20"/>
                <w:szCs w:val="20"/>
                <w:lang w:val="en-AU" w:eastAsia="en-GB"/>
              </w:rPr>
              <w:t>Incremental effect (QALYs)</w:t>
            </w:r>
          </w:p>
        </w:tc>
        <w:tc>
          <w:tcPr>
            <w:tcW w:w="707" w:type="pct"/>
            <w:shd w:val="clear" w:color="auto" w:fill="auto"/>
            <w:vAlign w:val="center"/>
          </w:tcPr>
          <w:p w:rsidR="00F64A20" w:rsidRPr="00F77E7A" w:rsidRDefault="00F64A20" w:rsidP="00EF2E6B">
            <w:pPr>
              <w:pStyle w:val="Tableheadingcent"/>
              <w:keepNext/>
              <w:rPr>
                <w:rFonts w:ascii="Arial Narrow" w:hAnsi="Arial Narrow"/>
                <w:sz w:val="20"/>
                <w:szCs w:val="20"/>
                <w:lang w:val="en-AU" w:eastAsia="en-GB"/>
              </w:rPr>
            </w:pPr>
            <w:r w:rsidRPr="00F77E7A">
              <w:rPr>
                <w:rFonts w:ascii="Arial Narrow" w:hAnsi="Arial Narrow"/>
                <w:sz w:val="20"/>
                <w:szCs w:val="20"/>
                <w:lang w:val="en-AU" w:eastAsia="en-GB"/>
              </w:rPr>
              <w:t xml:space="preserve">ICER </w:t>
            </w:r>
            <w:r w:rsidRPr="00F77E7A">
              <w:rPr>
                <w:rFonts w:ascii="Arial Narrow" w:hAnsi="Arial Narrow"/>
                <w:sz w:val="20"/>
                <w:szCs w:val="20"/>
                <w:lang w:val="en-AU" w:eastAsia="en-GB"/>
              </w:rPr>
              <w:br/>
              <w:t>($/QALY)</w:t>
            </w:r>
          </w:p>
        </w:tc>
        <w:tc>
          <w:tcPr>
            <w:tcW w:w="522" w:type="pct"/>
            <w:vAlign w:val="center"/>
          </w:tcPr>
          <w:p w:rsidR="00F64A20" w:rsidRPr="00F77E7A" w:rsidRDefault="00F64A20" w:rsidP="00EF2E6B">
            <w:pPr>
              <w:pStyle w:val="Tableheadingcent"/>
              <w:keepNext/>
              <w:rPr>
                <w:rFonts w:ascii="Arial Narrow" w:hAnsi="Arial Narrow"/>
                <w:sz w:val="20"/>
                <w:szCs w:val="20"/>
                <w:lang w:val="en-AU" w:eastAsia="en-GB"/>
              </w:rPr>
            </w:pPr>
            <w:r w:rsidRPr="00F77E7A">
              <w:rPr>
                <w:rFonts w:ascii="Arial Narrow" w:hAnsi="Arial Narrow"/>
                <w:sz w:val="20"/>
                <w:szCs w:val="20"/>
                <w:lang w:val="en-AU" w:eastAsia="en-GB"/>
              </w:rPr>
              <w:t>% Variation</w:t>
            </w:r>
          </w:p>
        </w:tc>
      </w:tr>
      <w:tr w:rsidR="00F64A20" w:rsidRPr="00F77E7A" w:rsidTr="00F64A20">
        <w:trPr>
          <w:cnfStyle w:val="100000000000" w:firstRow="1" w:lastRow="0" w:firstColumn="0" w:lastColumn="0" w:oddVBand="0" w:evenVBand="0" w:oddHBand="0" w:evenHBand="0" w:firstRowFirstColumn="0" w:firstRowLastColumn="0" w:lastRowFirstColumn="0" w:lastRowLastColumn="0"/>
          <w:tblHeader/>
        </w:trPr>
        <w:tc>
          <w:tcPr>
            <w:tcW w:w="2277" w:type="pct"/>
            <w:shd w:val="clear" w:color="auto" w:fill="auto"/>
          </w:tcPr>
          <w:p w:rsidR="00F64A20" w:rsidRPr="00F77E7A" w:rsidRDefault="00F64A20" w:rsidP="00EF2E6B">
            <w:pPr>
              <w:pStyle w:val="Tabletextleft"/>
              <w:keepNext/>
              <w:rPr>
                <w:rFonts w:ascii="Arial Narrow" w:hAnsi="Arial Narrow"/>
                <w:b/>
                <w:i/>
                <w:sz w:val="20"/>
              </w:rPr>
            </w:pPr>
            <w:r w:rsidRPr="00F77E7A">
              <w:rPr>
                <w:rFonts w:ascii="Arial Narrow" w:hAnsi="Arial Narrow"/>
                <w:b/>
                <w:i/>
                <w:sz w:val="20"/>
              </w:rPr>
              <w:t xml:space="preserve">Base case </w:t>
            </w:r>
          </w:p>
        </w:tc>
        <w:tc>
          <w:tcPr>
            <w:tcW w:w="708" w:type="pct"/>
            <w:shd w:val="clear" w:color="auto" w:fill="auto"/>
          </w:tcPr>
          <w:p w:rsidR="00F64A20" w:rsidRPr="007D10D3" w:rsidRDefault="007D10D3" w:rsidP="00EF2E6B">
            <w:pPr>
              <w:pStyle w:val="Tabletextcent"/>
              <w:keepNext/>
              <w:rPr>
                <w:rFonts w:ascii="Arial Narrow" w:hAnsi="Arial Narrow"/>
                <w:b/>
                <w:i/>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b/>
                <w:i/>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b/>
                <w:i/>
                <w:sz w:val="20"/>
                <w:highlight w:val="black"/>
                <w:lang w:val="en-AU"/>
              </w:rPr>
            </w:pPr>
            <w:r>
              <w:rPr>
                <w:rFonts w:ascii="Arial Narrow" w:hAnsi="Arial Narrow"/>
                <w:noProof/>
                <w:color w:val="000000"/>
                <w:sz w:val="20"/>
                <w:highlight w:val="black"/>
                <w:lang w:val="en-AU"/>
              </w:rPr>
              <w:t>'''''''''''''''''''''</w:t>
            </w:r>
          </w:p>
        </w:tc>
        <w:tc>
          <w:tcPr>
            <w:tcW w:w="522" w:type="pct"/>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r>
      <w:tr w:rsidR="00F64A20" w:rsidRPr="00F77E7A" w:rsidTr="00F64A20">
        <w:tc>
          <w:tcPr>
            <w:tcW w:w="2277" w:type="pct"/>
            <w:tcBorders>
              <w:right w:val="nil"/>
            </w:tcBorders>
            <w:shd w:val="clear" w:color="auto" w:fill="auto"/>
          </w:tcPr>
          <w:p w:rsidR="00F64A20" w:rsidRPr="00F77E7A" w:rsidRDefault="00F64A20" w:rsidP="00EF2E6B">
            <w:pPr>
              <w:pStyle w:val="Tabletextleft"/>
              <w:keepNext/>
              <w:rPr>
                <w:rFonts w:ascii="Arial Narrow" w:hAnsi="Arial Narrow"/>
                <w:b/>
                <w:i/>
                <w:sz w:val="20"/>
              </w:rPr>
            </w:pPr>
            <w:r w:rsidRPr="00F77E7A">
              <w:rPr>
                <w:rFonts w:ascii="Arial Narrow" w:hAnsi="Arial Narrow"/>
                <w:b/>
                <w:i/>
                <w:sz w:val="20"/>
              </w:rPr>
              <w:t>Discount rates</w:t>
            </w:r>
          </w:p>
        </w:tc>
        <w:tc>
          <w:tcPr>
            <w:tcW w:w="708" w:type="pct"/>
            <w:tcBorders>
              <w:left w:val="nil"/>
              <w:right w:val="nil"/>
            </w:tcBorders>
            <w:shd w:val="clear" w:color="auto" w:fill="auto"/>
          </w:tcPr>
          <w:p w:rsidR="00F64A20" w:rsidRPr="007D10D3" w:rsidRDefault="00F64A20" w:rsidP="00EF2E6B">
            <w:pPr>
              <w:pStyle w:val="Tabletextcent"/>
              <w:keepNext/>
              <w:rPr>
                <w:rFonts w:ascii="Arial Narrow" w:hAnsi="Arial Narrow"/>
                <w:sz w:val="20"/>
                <w:lang w:val="en-AU"/>
              </w:rPr>
            </w:pPr>
          </w:p>
        </w:tc>
        <w:tc>
          <w:tcPr>
            <w:tcW w:w="787" w:type="pct"/>
            <w:tcBorders>
              <w:left w:val="nil"/>
              <w:right w:val="nil"/>
            </w:tcBorders>
            <w:shd w:val="clear" w:color="auto" w:fill="auto"/>
          </w:tcPr>
          <w:p w:rsidR="00F64A20" w:rsidRPr="007D10D3" w:rsidRDefault="00F64A20" w:rsidP="00EF2E6B">
            <w:pPr>
              <w:pStyle w:val="Tabletextcent"/>
              <w:keepNext/>
              <w:rPr>
                <w:rFonts w:ascii="Arial Narrow" w:hAnsi="Arial Narrow"/>
                <w:sz w:val="20"/>
                <w:lang w:val="en-AU"/>
              </w:rPr>
            </w:pPr>
          </w:p>
        </w:tc>
        <w:tc>
          <w:tcPr>
            <w:tcW w:w="707" w:type="pct"/>
            <w:tcBorders>
              <w:left w:val="nil"/>
            </w:tcBorders>
            <w:shd w:val="clear" w:color="auto" w:fill="auto"/>
          </w:tcPr>
          <w:p w:rsidR="00F64A20" w:rsidRPr="007D10D3" w:rsidRDefault="00F64A20" w:rsidP="00EF2E6B">
            <w:pPr>
              <w:pStyle w:val="Tabletextcent"/>
              <w:keepNext/>
              <w:rPr>
                <w:rFonts w:ascii="Arial Narrow" w:hAnsi="Arial Narrow"/>
                <w:sz w:val="20"/>
                <w:lang w:val="en-AU"/>
              </w:rPr>
            </w:pPr>
          </w:p>
        </w:tc>
        <w:tc>
          <w:tcPr>
            <w:tcW w:w="522" w:type="pct"/>
            <w:tcBorders>
              <w:left w:val="nil"/>
            </w:tcBorders>
          </w:tcPr>
          <w:p w:rsidR="00F64A20" w:rsidRPr="00F77E7A" w:rsidRDefault="00F64A20" w:rsidP="00EF2E6B">
            <w:pPr>
              <w:pStyle w:val="Tabletextcent"/>
              <w:keepNext/>
              <w:rPr>
                <w:rFonts w:ascii="Arial Narrow" w:hAnsi="Arial Narrow"/>
                <w:sz w:val="20"/>
                <w:lang w:val="en-AU"/>
              </w:rPr>
            </w:pP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Costs and benefits 0%</w:t>
            </w:r>
          </w:p>
        </w:tc>
        <w:tc>
          <w:tcPr>
            <w:tcW w:w="708"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Costs and benefits 1.5%</w:t>
            </w:r>
          </w:p>
        </w:tc>
        <w:tc>
          <w:tcPr>
            <w:tcW w:w="708"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tcBorders>
              <w:bottom w:val="single" w:sz="4" w:space="0" w:color="auto"/>
            </w:tcBorders>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Costs and benefits 3%</w:t>
            </w:r>
          </w:p>
        </w:tc>
        <w:tc>
          <w:tcPr>
            <w:tcW w:w="708"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Borders>
              <w:bottom w:val="single" w:sz="4" w:space="0" w:color="auto"/>
            </w:tcBorders>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tcBorders>
              <w:right w:val="nil"/>
            </w:tcBorders>
            <w:shd w:val="clear" w:color="auto" w:fill="auto"/>
          </w:tcPr>
          <w:p w:rsidR="00F64A20" w:rsidRPr="00F77E7A" w:rsidRDefault="00F64A20" w:rsidP="00EF2E6B">
            <w:pPr>
              <w:pStyle w:val="Tabletextleft"/>
              <w:keepNext/>
              <w:rPr>
                <w:rFonts w:ascii="Arial Narrow" w:hAnsi="Arial Narrow"/>
                <w:b/>
                <w:i/>
                <w:sz w:val="20"/>
              </w:rPr>
            </w:pPr>
            <w:r w:rsidRPr="00F77E7A">
              <w:rPr>
                <w:rFonts w:ascii="Arial Narrow" w:hAnsi="Arial Narrow"/>
                <w:b/>
                <w:i/>
                <w:sz w:val="20"/>
              </w:rPr>
              <w:t>Costs/prices</w:t>
            </w:r>
          </w:p>
        </w:tc>
        <w:tc>
          <w:tcPr>
            <w:tcW w:w="708" w:type="pct"/>
            <w:tcBorders>
              <w:left w:val="nil"/>
              <w:righ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787" w:type="pct"/>
            <w:tcBorders>
              <w:left w:val="nil"/>
              <w:righ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707" w:type="pct"/>
            <w:tcBorders>
              <w:lef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522" w:type="pct"/>
            <w:tcBorders>
              <w:left w:val="nil"/>
            </w:tcBorders>
          </w:tcPr>
          <w:p w:rsidR="00F64A20" w:rsidRPr="00F77E7A" w:rsidRDefault="00F64A20" w:rsidP="00EF2E6B">
            <w:pPr>
              <w:pStyle w:val="Tabletextcent"/>
              <w:keepNext/>
              <w:rPr>
                <w:rFonts w:ascii="Arial Narrow" w:hAnsi="Arial Narrow"/>
                <w:sz w:val="20"/>
                <w:lang w:val="en-AU"/>
              </w:rPr>
            </w:pP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Effective cost of tezacaftor/ivacaftor -10%</w:t>
            </w:r>
          </w:p>
        </w:tc>
        <w:tc>
          <w:tcPr>
            <w:tcW w:w="708"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Effective cost of tezacaftor/ivacaftor +10%</w:t>
            </w:r>
          </w:p>
        </w:tc>
        <w:tc>
          <w:tcPr>
            <w:tcW w:w="708"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C4571A">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 of BSC/disease management removed for the period of survival generated by tezacaftor/ivacaftor treatment</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 of PE</w:t>
            </w:r>
            <w:r w:rsidR="00E30145" w:rsidRPr="00F77E7A">
              <w:rPr>
                <w:rFonts w:ascii="Arial Narrow" w:hAnsi="Arial Narrow"/>
                <w:sz w:val="20"/>
              </w:rPr>
              <w:t>x</w:t>
            </w:r>
            <w:r w:rsidRPr="00F77E7A">
              <w:rPr>
                <w:rFonts w:ascii="Arial Narrow" w:hAnsi="Arial Narrow"/>
                <w:sz w:val="20"/>
              </w:rPr>
              <w:t xml:space="preserve"> halved</w:t>
            </w:r>
          </w:p>
        </w:tc>
        <w:tc>
          <w:tcPr>
            <w:tcW w:w="708"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tcBorders>
              <w:bottom w:val="single" w:sz="4" w:space="0" w:color="auto"/>
            </w:tcBorders>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Cost of PE</w:t>
            </w:r>
            <w:r w:rsidR="00E30145" w:rsidRPr="00F77E7A">
              <w:rPr>
                <w:rFonts w:ascii="Arial Narrow" w:hAnsi="Arial Narrow"/>
                <w:sz w:val="20"/>
              </w:rPr>
              <w:t>x</w:t>
            </w:r>
            <w:r w:rsidRPr="00F77E7A">
              <w:rPr>
                <w:rFonts w:ascii="Arial Narrow" w:hAnsi="Arial Narrow"/>
                <w:sz w:val="20"/>
              </w:rPr>
              <w:t xml:space="preserve"> doubled</w:t>
            </w:r>
          </w:p>
        </w:tc>
        <w:tc>
          <w:tcPr>
            <w:tcW w:w="708"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 ''''''''''''''''''''</w:t>
            </w:r>
          </w:p>
        </w:tc>
        <w:tc>
          <w:tcPr>
            <w:tcW w:w="787"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tcBorders>
              <w:bottom w:val="single" w:sz="4" w:space="0" w:color="auto"/>
            </w:tcBorders>
            <w:shd w:val="clear" w:color="auto" w:fill="auto"/>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tcBorders>
              <w:bottom w:val="single" w:sz="4" w:space="0" w:color="auto"/>
            </w:tcBorders>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tcBorders>
              <w:right w:val="nil"/>
            </w:tcBorders>
            <w:shd w:val="clear" w:color="auto" w:fill="auto"/>
          </w:tcPr>
          <w:p w:rsidR="00F64A20" w:rsidRPr="00F77E7A" w:rsidRDefault="00F64A20" w:rsidP="00EF2E6B">
            <w:pPr>
              <w:pStyle w:val="Tabletextleft"/>
              <w:keepNext/>
              <w:rPr>
                <w:rFonts w:ascii="Arial Narrow" w:hAnsi="Arial Narrow"/>
                <w:b/>
                <w:i/>
                <w:sz w:val="20"/>
              </w:rPr>
            </w:pPr>
            <w:r w:rsidRPr="00F77E7A">
              <w:rPr>
                <w:rFonts w:ascii="Arial Narrow" w:hAnsi="Arial Narrow"/>
                <w:b/>
                <w:i/>
                <w:sz w:val="20"/>
              </w:rPr>
              <w:t>Effects</w:t>
            </w:r>
          </w:p>
        </w:tc>
        <w:tc>
          <w:tcPr>
            <w:tcW w:w="708" w:type="pct"/>
            <w:tcBorders>
              <w:left w:val="nil"/>
              <w:righ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787" w:type="pct"/>
            <w:tcBorders>
              <w:left w:val="nil"/>
              <w:righ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707" w:type="pct"/>
            <w:tcBorders>
              <w:left w:val="nil"/>
            </w:tcBorders>
            <w:shd w:val="clear" w:color="auto" w:fill="auto"/>
            <w:vAlign w:val="center"/>
          </w:tcPr>
          <w:p w:rsidR="00F64A20" w:rsidRPr="007D10D3" w:rsidRDefault="00F64A20" w:rsidP="00EF2E6B">
            <w:pPr>
              <w:pStyle w:val="Tabletextcent"/>
              <w:keepNext/>
              <w:rPr>
                <w:rFonts w:ascii="Arial Narrow" w:hAnsi="Arial Narrow"/>
                <w:sz w:val="20"/>
                <w:lang w:val="en-AU"/>
              </w:rPr>
            </w:pPr>
          </w:p>
        </w:tc>
        <w:tc>
          <w:tcPr>
            <w:tcW w:w="522" w:type="pct"/>
            <w:tcBorders>
              <w:left w:val="nil"/>
            </w:tcBorders>
          </w:tcPr>
          <w:p w:rsidR="00F64A20" w:rsidRPr="00F77E7A" w:rsidRDefault="00F64A20" w:rsidP="00EF2E6B">
            <w:pPr>
              <w:pStyle w:val="Tabletextcent"/>
              <w:keepNext/>
              <w:rPr>
                <w:rFonts w:ascii="Arial Narrow" w:hAnsi="Arial Narrow"/>
                <w:sz w:val="20"/>
                <w:lang w:val="en-AU"/>
              </w:rPr>
            </w:pPr>
          </w:p>
        </w:tc>
      </w:tr>
      <w:tr w:rsidR="00F64A20" w:rsidRPr="00F77E7A" w:rsidTr="00C4571A">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 xml:space="preserve">Set annual decline in </w:t>
            </w:r>
            <w:r w:rsidRPr="00F77E7A">
              <w:rPr>
                <w:rFonts w:ascii="Arial Narrow" w:hAnsi="Arial Narrow" w:cs="Calibri"/>
                <w:sz w:val="20"/>
              </w:rPr>
              <w:t>FEV</w:t>
            </w:r>
            <w:r w:rsidRPr="00F77E7A">
              <w:rPr>
                <w:rFonts w:ascii="Arial Narrow" w:hAnsi="Arial Narrow" w:cs="Calibri"/>
                <w:sz w:val="20"/>
                <w:vertAlign w:val="subscript"/>
              </w:rPr>
              <w:t>1</w:t>
            </w:r>
            <w:r w:rsidRPr="00F77E7A">
              <w:rPr>
                <w:rFonts w:ascii="Arial Narrow" w:hAnsi="Arial Narrow"/>
                <w:sz w:val="20"/>
              </w:rPr>
              <w:t xml:space="preserve"> in tezacaftor/ivacaftor-treated patients to 25% of BSC</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C4571A">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 xml:space="preserve">Set annual decline in </w:t>
            </w:r>
            <w:r w:rsidRPr="00F77E7A">
              <w:rPr>
                <w:rFonts w:ascii="Arial Narrow" w:hAnsi="Arial Narrow" w:cs="Calibri"/>
                <w:sz w:val="20"/>
              </w:rPr>
              <w:t>FEV</w:t>
            </w:r>
            <w:r w:rsidRPr="00F77E7A">
              <w:rPr>
                <w:rFonts w:ascii="Arial Narrow" w:hAnsi="Arial Narrow" w:cs="Calibri"/>
                <w:sz w:val="20"/>
                <w:vertAlign w:val="subscript"/>
              </w:rPr>
              <w:t>1</w:t>
            </w:r>
            <w:r w:rsidRPr="00F77E7A">
              <w:rPr>
                <w:rFonts w:ascii="Arial Narrow" w:hAnsi="Arial Narrow"/>
                <w:sz w:val="20"/>
              </w:rPr>
              <w:t xml:space="preserve"> in tezacaftor/ivacaftor-treated patients to 75% of BSC</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C4571A">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PE</w:t>
            </w:r>
            <w:r w:rsidR="00B54E4B" w:rsidRPr="00F77E7A">
              <w:rPr>
                <w:rFonts w:ascii="Arial Narrow" w:hAnsi="Arial Narrow"/>
                <w:sz w:val="20"/>
              </w:rPr>
              <w:t>x</w:t>
            </w:r>
            <w:r w:rsidRPr="00F77E7A">
              <w:rPr>
                <w:rFonts w:ascii="Arial Narrow" w:hAnsi="Arial Narrow"/>
                <w:sz w:val="20"/>
              </w:rPr>
              <w:t xml:space="preserve"> reduction due to tezacaftor/ivacaftor treatment increased by 0.20 (rate ratio = 0.35 [65% reduction])</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C4571A">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PE</w:t>
            </w:r>
            <w:r w:rsidR="00B54E4B" w:rsidRPr="00F77E7A">
              <w:rPr>
                <w:rFonts w:ascii="Arial Narrow" w:hAnsi="Arial Narrow"/>
                <w:sz w:val="20"/>
              </w:rPr>
              <w:t>x</w:t>
            </w:r>
            <w:r w:rsidRPr="00F77E7A">
              <w:rPr>
                <w:rFonts w:ascii="Arial Narrow" w:hAnsi="Arial Narrow"/>
                <w:sz w:val="20"/>
              </w:rPr>
              <w:t xml:space="preserve"> reduction due to tezacaftor/ivacaftor treatment decreased by 0.20 (rate ratio = 0.75 [25% reduction])</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63137F">
        <w:tc>
          <w:tcPr>
            <w:tcW w:w="5000" w:type="pct"/>
            <w:gridSpan w:val="5"/>
            <w:shd w:val="clear" w:color="auto" w:fill="auto"/>
          </w:tcPr>
          <w:p w:rsidR="00F64A20" w:rsidRPr="007D10D3" w:rsidRDefault="007D10D3" w:rsidP="00EF2E6B">
            <w:pPr>
              <w:pStyle w:val="Tabletextcent"/>
              <w:keepNext/>
              <w:jc w:val="left"/>
              <w:rPr>
                <w:rFonts w:ascii="Arial Narrow" w:hAnsi="Arial Narrow"/>
                <w:b/>
                <w:sz w:val="20"/>
                <w:highlight w:val="black"/>
                <w:lang w:val="en-AU"/>
              </w:rPr>
            </w:pPr>
            <w:r>
              <w:rPr>
                <w:rFonts w:ascii="Arial Narrow" w:hAnsi="Arial Narrow"/>
                <w:b/>
                <w:noProof/>
                <w:color w:val="000000"/>
                <w:sz w:val="20"/>
                <w:highlight w:val="black"/>
                <w:lang w:val="en-AU"/>
              </w:rPr>
              <w:t>'''''''''''''''''''''' '''''''''''''''''''</w:t>
            </w: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Time horizon: life time – 1 year</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522" w:type="pct"/>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r>
      <w:tr w:rsidR="00F64A20" w:rsidRPr="00F77E7A" w:rsidTr="00F64A20">
        <w:tc>
          <w:tcPr>
            <w:tcW w:w="2277" w:type="pct"/>
            <w:shd w:val="clear" w:color="auto" w:fill="auto"/>
          </w:tcPr>
          <w:p w:rsidR="00F64A20" w:rsidRPr="00F77E7A" w:rsidRDefault="0066183B" w:rsidP="00EF2E6B">
            <w:pPr>
              <w:pStyle w:val="Tabletextleft"/>
              <w:keepNext/>
              <w:rPr>
                <w:rFonts w:ascii="Arial Narrow" w:hAnsi="Arial Narrow"/>
                <w:sz w:val="20"/>
              </w:rPr>
            </w:pPr>
            <w:r w:rsidRPr="00F77E7A">
              <w:rPr>
                <w:rFonts w:ascii="Arial Narrow" w:hAnsi="Arial Narrow"/>
                <w:sz w:val="20"/>
              </w:rPr>
              <w:t>D</w:t>
            </w:r>
            <w:r w:rsidR="00F64A20" w:rsidRPr="00F77E7A">
              <w:rPr>
                <w:rFonts w:ascii="Arial Narrow" w:hAnsi="Arial Narrow"/>
                <w:sz w:val="20"/>
              </w:rPr>
              <w:t>ecline in ppFEV</w:t>
            </w:r>
            <w:r w:rsidR="00F64A20" w:rsidRPr="00F77E7A">
              <w:rPr>
                <w:rFonts w:ascii="Arial Narrow" w:hAnsi="Arial Narrow"/>
                <w:sz w:val="20"/>
                <w:vertAlign w:val="subscript"/>
              </w:rPr>
              <w:t>1</w:t>
            </w:r>
            <w:r w:rsidR="00F64A20" w:rsidRPr="00F77E7A">
              <w:rPr>
                <w:rFonts w:ascii="Arial Narrow" w:hAnsi="Arial Narrow"/>
                <w:sz w:val="20"/>
              </w:rPr>
              <w:t xml:space="preserve"> 100% of BSC after trial period</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cs="Calibri"/>
                <w:color w:val="000000"/>
                <w:sz w:val="20"/>
                <w:highlight w:val="black"/>
                <w:lang w:val="en-AU"/>
              </w:rPr>
            </w:pPr>
            <w:r>
              <w:rPr>
                <w:rFonts w:ascii="Arial Narrow" w:hAnsi="Arial Narrow" w:cs="Calibri"/>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shd w:val="clear" w:color="auto" w:fill="auto"/>
            <w:vAlign w:val="center"/>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No treatment effect in terms of PE reduction due to tezacaftor/ivacaftor (RR = 1)</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cs="Calibri"/>
                <w:color w:val="000000"/>
                <w:sz w:val="20"/>
                <w:highlight w:val="black"/>
                <w:lang w:val="en-AU"/>
              </w:rPr>
            </w:pPr>
            <w:r>
              <w:rPr>
                <w:rFonts w:ascii="Arial Narrow" w:hAnsi="Arial Narrow" w:cs="Calibri"/>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w:t>
            </w:r>
            <w:r w:rsidR="00F64A20" w:rsidRPr="00F77E7A">
              <w:rPr>
                <w:rFonts w:ascii="Arial Narrow" w:hAnsi="Arial Narrow"/>
                <w:sz w:val="20"/>
                <w:lang w:val="en-AU"/>
              </w:rPr>
              <w:t>%</w:t>
            </w:r>
          </w:p>
        </w:tc>
      </w:tr>
      <w:tr w:rsidR="00F64A20" w:rsidRPr="00F77E7A" w:rsidTr="00F64A20">
        <w:tc>
          <w:tcPr>
            <w:tcW w:w="2277" w:type="pct"/>
            <w:shd w:val="clear" w:color="auto" w:fill="auto"/>
          </w:tcPr>
          <w:p w:rsidR="00F64A20" w:rsidRPr="00F77E7A" w:rsidRDefault="00F64A20" w:rsidP="00EF2E6B">
            <w:pPr>
              <w:pStyle w:val="Tabletextleft"/>
              <w:keepNext/>
              <w:rPr>
                <w:rFonts w:ascii="Arial Narrow" w:hAnsi="Arial Narrow"/>
                <w:sz w:val="20"/>
              </w:rPr>
            </w:pPr>
            <w:r w:rsidRPr="00F77E7A">
              <w:rPr>
                <w:rFonts w:ascii="Arial Narrow" w:hAnsi="Arial Narrow"/>
                <w:sz w:val="20"/>
              </w:rPr>
              <w:t>No Tezacaftor/ivacaftor price reduction</w:t>
            </w:r>
            <w:r w:rsidRPr="00F77E7A">
              <w:rPr>
                <w:rFonts w:ascii="Arial Narrow" w:hAnsi="Arial Narrow"/>
                <w:sz w:val="20"/>
                <w:vertAlign w:val="superscript"/>
              </w:rPr>
              <w:t>*</w:t>
            </w:r>
          </w:p>
        </w:tc>
        <w:tc>
          <w:tcPr>
            <w:tcW w:w="708"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87" w:type="pct"/>
            <w:shd w:val="clear" w:color="auto" w:fill="auto"/>
            <w:vAlign w:val="center"/>
          </w:tcPr>
          <w:p w:rsidR="00F64A20" w:rsidRPr="007D10D3" w:rsidRDefault="007D10D3" w:rsidP="00EF2E6B">
            <w:pPr>
              <w:pStyle w:val="Tabletextcent"/>
              <w:keepNext/>
              <w:rPr>
                <w:rFonts w:ascii="Arial Narrow" w:hAnsi="Arial Narrow"/>
                <w:sz w:val="20"/>
                <w:highlight w:val="black"/>
                <w:lang w:val="en-AU"/>
              </w:rPr>
            </w:pPr>
            <w:r>
              <w:rPr>
                <w:rFonts w:ascii="Arial Narrow" w:hAnsi="Arial Narrow"/>
                <w:noProof/>
                <w:color w:val="000000"/>
                <w:sz w:val="20"/>
                <w:highlight w:val="black"/>
                <w:lang w:val="en-AU"/>
              </w:rPr>
              <w:t>''''''''''</w:t>
            </w:r>
          </w:p>
        </w:tc>
        <w:tc>
          <w:tcPr>
            <w:tcW w:w="707" w:type="pct"/>
            <w:shd w:val="clear" w:color="auto" w:fill="auto"/>
            <w:vAlign w:val="center"/>
          </w:tcPr>
          <w:p w:rsidR="00F64A20" w:rsidRPr="007D10D3" w:rsidRDefault="007D10D3" w:rsidP="00EF2E6B">
            <w:pPr>
              <w:pStyle w:val="Tabletextcent"/>
              <w:keepNext/>
              <w:rPr>
                <w:rFonts w:ascii="Arial Narrow" w:hAnsi="Arial Narrow" w:cs="Calibri"/>
                <w:color w:val="000000"/>
                <w:sz w:val="20"/>
                <w:highlight w:val="black"/>
                <w:lang w:val="en-AU"/>
              </w:rPr>
            </w:pPr>
            <w:r>
              <w:rPr>
                <w:rFonts w:ascii="Arial Narrow" w:hAnsi="Arial Narrow" w:cs="Calibri"/>
                <w:noProof/>
                <w:color w:val="000000"/>
                <w:sz w:val="20"/>
                <w:highlight w:val="black"/>
                <w:lang w:val="en-AU"/>
              </w:rPr>
              <w:t>''''''''''''''''''''''''''''</w:t>
            </w:r>
          </w:p>
        </w:tc>
        <w:tc>
          <w:tcPr>
            <w:tcW w:w="522" w:type="pct"/>
            <w:vAlign w:val="center"/>
          </w:tcPr>
          <w:p w:rsidR="00F64A20" w:rsidRPr="00F77E7A" w:rsidRDefault="007D10D3" w:rsidP="00EF2E6B">
            <w:pPr>
              <w:pStyle w:val="Tabletextcent"/>
              <w:keepNext/>
              <w:rPr>
                <w:rFonts w:ascii="Arial Narrow" w:hAnsi="Arial Narrow"/>
                <w:sz w:val="20"/>
                <w:lang w:val="en-AU"/>
              </w:rPr>
            </w:pPr>
            <w:r>
              <w:rPr>
                <w:rFonts w:ascii="Arial Narrow" w:hAnsi="Arial Narrow"/>
                <w:noProof/>
                <w:color w:val="000000"/>
                <w:sz w:val="20"/>
                <w:highlight w:val="black"/>
                <w:lang w:val="en-AU"/>
              </w:rPr>
              <w:t>'''' ''''''''''''''</w:t>
            </w:r>
            <w:r w:rsidR="00F64A20" w:rsidRPr="00F77E7A">
              <w:rPr>
                <w:rFonts w:ascii="Arial Narrow" w:hAnsi="Arial Narrow"/>
                <w:sz w:val="20"/>
                <w:lang w:val="en-AU"/>
              </w:rPr>
              <w:t>%</w:t>
            </w:r>
          </w:p>
        </w:tc>
      </w:tr>
    </w:tbl>
    <w:p w:rsidR="00F64A20" w:rsidRPr="00F77E7A" w:rsidRDefault="00F64A20" w:rsidP="00EF2E6B">
      <w:pPr>
        <w:pStyle w:val="TableFooter"/>
        <w:widowControl/>
      </w:pPr>
      <w:r w:rsidRPr="00F77E7A">
        <w:t>Abbreviations: BSC= best supportive care; CF= cystic fibrosis; CI= confidence interval; FEV</w:t>
      </w:r>
      <w:r w:rsidRPr="00F77E7A">
        <w:rPr>
          <w:vertAlign w:val="subscript"/>
        </w:rPr>
        <w:t>1</w:t>
      </w:r>
      <w:r w:rsidRPr="00F77E7A">
        <w:t>= forced expiratory volume in 1 second; ICER= incremental cost effectiveness ratio; LoE= loss of exclusivity; NA= not applicable; PE</w:t>
      </w:r>
      <w:r w:rsidR="00E30145" w:rsidRPr="00F77E7A">
        <w:t>x</w:t>
      </w:r>
      <w:r w:rsidRPr="00F77E7A">
        <w:t xml:space="preserve">= pulmonary exacerbation; QALY= quality adjusted life years. </w:t>
      </w:r>
    </w:p>
    <w:p w:rsidR="00F64A20" w:rsidRPr="00F77E7A" w:rsidRDefault="00F64A20" w:rsidP="00EF2E6B">
      <w:pPr>
        <w:pStyle w:val="TableFooter"/>
        <w:widowControl/>
        <w:rPr>
          <w:vertAlign w:val="superscript"/>
        </w:rPr>
      </w:pPr>
      <w:r w:rsidRPr="00F77E7A">
        <w:t xml:space="preserve">Note: </w:t>
      </w:r>
      <w:r w:rsidRPr="00F77E7A">
        <w:rPr>
          <w:vertAlign w:val="superscript"/>
        </w:rPr>
        <w:t xml:space="preserve">* </w:t>
      </w:r>
      <w:r w:rsidRPr="00F77E7A">
        <w:t>Uses annual price by applying the list price (</w:t>
      </w:r>
      <w:r w:rsidR="00F67C2F" w:rsidRPr="00F77E7A">
        <w:t xml:space="preserve">DPMQ of </w:t>
      </w:r>
      <w:r w:rsidRPr="00F77E7A">
        <w:t xml:space="preserve">$21,000), removes statutory price and generic reductions and no LoE reductions during for years 1 and 2. </w:t>
      </w:r>
    </w:p>
    <w:p w:rsidR="00F64A20" w:rsidRPr="00F77E7A" w:rsidRDefault="00F64A20" w:rsidP="00EF2E6B">
      <w:pPr>
        <w:pStyle w:val="TableFooter"/>
        <w:widowControl/>
      </w:pPr>
      <w:r w:rsidRPr="00F77E7A">
        <w:t>Source: Table 3.8.1, p. 210 of the submission, additional analys</w:t>
      </w:r>
      <w:r w:rsidR="00E73718" w:rsidRPr="00F77E7A">
        <w:t>e</w:t>
      </w:r>
      <w:r w:rsidRPr="00F77E7A">
        <w:t xml:space="preserve">s were included as part of the evaluation. </w:t>
      </w:r>
    </w:p>
    <w:p w:rsidR="00C1762E" w:rsidRPr="00F77E7A" w:rsidRDefault="00C1762E" w:rsidP="00C33949">
      <w:pPr>
        <w:widowControl/>
        <w:spacing w:before="120" w:after="120"/>
      </w:pPr>
      <w:r>
        <w:t>The redacted table shows ICERs in the range of $75,000/QALY – more than $200,000/QALY.</w:t>
      </w:r>
    </w:p>
    <w:p w:rsidR="00C25D9C" w:rsidRPr="00F77E7A" w:rsidRDefault="008A6DC6" w:rsidP="00C33949">
      <w:pPr>
        <w:pStyle w:val="Heading2"/>
        <w:widowControl/>
        <w:spacing w:before="120"/>
      </w:pPr>
      <w:bookmarkStart w:id="12" w:name="_Toc532280243"/>
      <w:r w:rsidRPr="00F77E7A">
        <w:t>Drug cost/patient</w:t>
      </w:r>
      <w:r w:rsidR="00C25D9C" w:rsidRPr="00F77E7A">
        <w:t>/year</w:t>
      </w:r>
      <w:bookmarkEnd w:id="12"/>
    </w:p>
    <w:p w:rsidR="008A6DC6" w:rsidRPr="00F77E7A" w:rsidRDefault="008A6DC6" w:rsidP="00C33949">
      <w:pPr>
        <w:pStyle w:val="ListParagraph"/>
        <w:keepNext/>
        <w:widowControl/>
        <w:numPr>
          <w:ilvl w:val="1"/>
          <w:numId w:val="2"/>
        </w:numPr>
        <w:spacing w:before="120" w:after="120"/>
      </w:pPr>
      <w:r w:rsidRPr="00F77E7A">
        <w:t xml:space="preserve">The proposed published price in the </w:t>
      </w:r>
      <w:r w:rsidR="00E73718" w:rsidRPr="00F77E7A">
        <w:t xml:space="preserve">submission </w:t>
      </w:r>
      <w:r w:rsidRPr="00F77E7A">
        <w:t xml:space="preserve">was $21,000 per 28-day pack resulting in a per year cost of $273,938 ($21,000/56 tablets per pack*2 tablets per day*365.25 days per year). The submission proposed an </w:t>
      </w:r>
      <w:r w:rsidR="00564809" w:rsidRPr="00F77E7A">
        <w:t xml:space="preserve">intended </w:t>
      </w:r>
      <w:r w:rsidRPr="00F77E7A">
        <w:t xml:space="preserve">annual </w:t>
      </w:r>
      <w:r w:rsidR="00564809" w:rsidRPr="00F77E7A">
        <w:t xml:space="preserve">price </w:t>
      </w:r>
      <w:r w:rsidRPr="00F77E7A">
        <w:t xml:space="preserve">of </w:t>
      </w:r>
      <w:r w:rsidR="00564809" w:rsidRPr="00F77E7A">
        <w:t>$</w:t>
      </w:r>
      <w:r w:rsidR="007D10D3">
        <w:rPr>
          <w:noProof/>
          <w:color w:val="000000"/>
          <w:highlight w:val="black"/>
        </w:rPr>
        <w:t>''''''''''''''</w:t>
      </w:r>
      <w:r w:rsidR="00564809" w:rsidRPr="00F77E7A">
        <w:t xml:space="preserve"> per patient for </w:t>
      </w:r>
      <w:r w:rsidRPr="00F77E7A">
        <w:t xml:space="preserve">tezacaftor/ivacaftor </w:t>
      </w:r>
      <w:r w:rsidR="00564809" w:rsidRPr="00F77E7A">
        <w:t>to be implemented through subsidisation caps through a Risk Sharing Arrangement</w:t>
      </w:r>
      <w:r w:rsidRPr="00F77E7A">
        <w:t>.</w:t>
      </w:r>
      <w:r w:rsidR="00217C3E" w:rsidRPr="00F77E7A">
        <w:t xml:space="preserve"> The proposed published price is higher than that for lumacaftor/ivacaftor (DPMQ of $18,750</w:t>
      </w:r>
      <w:r w:rsidR="000D001A" w:rsidRPr="00F77E7A">
        <w:t xml:space="preserve"> for Section 100 (Highly Specialised Drugs Program) – public hospital)</w:t>
      </w:r>
      <w:r w:rsidR="006C4CDB" w:rsidRPr="00F77E7A">
        <w:t xml:space="preserve"> </w:t>
      </w:r>
      <w:r w:rsidR="00B36C37" w:rsidRPr="00F77E7A">
        <w:t>for patients aged ≥</w:t>
      </w:r>
      <w:r w:rsidR="00564809" w:rsidRPr="00F77E7A">
        <w:t xml:space="preserve">6 </w:t>
      </w:r>
      <w:r w:rsidR="00B36C37" w:rsidRPr="00F77E7A">
        <w:t>years who are homozygous for the F508del mutation.</w:t>
      </w:r>
      <w:r w:rsidR="006C4CDB" w:rsidRPr="00F77E7A">
        <w:t xml:space="preserve"> </w:t>
      </w:r>
    </w:p>
    <w:p w:rsidR="00B60939" w:rsidRPr="00F77E7A" w:rsidRDefault="00B60939" w:rsidP="00C33949">
      <w:pPr>
        <w:pStyle w:val="Heading2"/>
        <w:widowControl/>
        <w:spacing w:before="120"/>
      </w:pPr>
      <w:r w:rsidRPr="00F77E7A">
        <w:t>Estimated PBS usage &amp; financial implications</w:t>
      </w:r>
    </w:p>
    <w:p w:rsidR="00837A1D" w:rsidRPr="00F77E7A" w:rsidRDefault="00C25D9C" w:rsidP="00C33949">
      <w:pPr>
        <w:pStyle w:val="ListParagraph"/>
        <w:widowControl/>
        <w:numPr>
          <w:ilvl w:val="1"/>
          <w:numId w:val="2"/>
        </w:numPr>
        <w:spacing w:before="120" w:after="120"/>
      </w:pPr>
      <w:r w:rsidRPr="00F77E7A">
        <w:t>Th</w:t>
      </w:r>
      <w:r w:rsidR="009E5E67" w:rsidRPr="00F77E7A">
        <w:t xml:space="preserve">e </w:t>
      </w:r>
      <w:r w:rsidRPr="00F77E7A">
        <w:t xml:space="preserve">submission </w:t>
      </w:r>
      <w:r w:rsidR="007D7981" w:rsidRPr="00F77E7A">
        <w:t>was not</w:t>
      </w:r>
      <w:r w:rsidR="009E5E67" w:rsidRPr="00F77E7A">
        <w:t xml:space="preserve"> </w:t>
      </w:r>
      <w:r w:rsidRPr="00F77E7A">
        <w:t xml:space="preserve">considered by DUSC. </w:t>
      </w:r>
      <w:r w:rsidR="00820080" w:rsidRPr="00F77E7A">
        <w:rPr>
          <w:lang w:eastAsia="en-GB"/>
        </w:rPr>
        <w:t>An epidemiological approach was adopted</w:t>
      </w:r>
      <w:r w:rsidR="00820080" w:rsidRPr="00F77E7A">
        <w:t xml:space="preserve">. </w:t>
      </w:r>
      <w:r w:rsidR="00820080" w:rsidRPr="00F77E7A">
        <w:rPr>
          <w:lang w:eastAsia="en-GB"/>
        </w:rPr>
        <w:t>The submission acknowledged there is some uncertainty given the rarity of the condition.</w:t>
      </w:r>
      <w:r w:rsidR="009E5E67" w:rsidRPr="00F77E7A">
        <w:rPr>
          <w:lang w:eastAsia="en-GB"/>
        </w:rPr>
        <w:t xml:space="preserve"> The submissions’ estimates of patient numbers, use and cost to the PBS are summarised in Table 1</w:t>
      </w:r>
      <w:r w:rsidR="00E73718" w:rsidRPr="00F77E7A">
        <w:rPr>
          <w:lang w:eastAsia="en-GB"/>
        </w:rPr>
        <w:t>3</w:t>
      </w:r>
      <w:r w:rsidR="009E5E67" w:rsidRPr="00F77E7A">
        <w:rPr>
          <w:lang w:eastAsia="en-GB"/>
        </w:rPr>
        <w:t>.</w:t>
      </w:r>
    </w:p>
    <w:p w:rsidR="007972AF" w:rsidRPr="00F77E7A" w:rsidRDefault="007972AF" w:rsidP="00EF2E6B">
      <w:pPr>
        <w:pStyle w:val="BodyText"/>
        <w:keepNext/>
        <w:widowControl/>
        <w:rPr>
          <w:rStyle w:val="CommentReference"/>
          <w:b w:val="0"/>
          <w:szCs w:val="20"/>
        </w:rPr>
      </w:pPr>
      <w:r w:rsidRPr="00F77E7A">
        <w:rPr>
          <w:rStyle w:val="CommentReference"/>
          <w:szCs w:val="20"/>
        </w:rPr>
        <w:t>Table 13: Estimated use and financial implications</w:t>
      </w:r>
    </w:p>
    <w:tbl>
      <w:tblPr>
        <w:tblStyle w:val="HTATableshaded"/>
        <w:tblW w:w="5000" w:type="pct"/>
        <w:tblLayout w:type="fixed"/>
        <w:tblLook w:val="0000" w:firstRow="0" w:lastRow="0" w:firstColumn="0" w:lastColumn="0" w:noHBand="0" w:noVBand="0"/>
        <w:tblCaption w:val="Estimated use and financial implications"/>
      </w:tblPr>
      <w:tblGrid>
        <w:gridCol w:w="1838"/>
        <w:gridCol w:w="1196"/>
        <w:gridCol w:w="1197"/>
        <w:gridCol w:w="1197"/>
        <w:gridCol w:w="1196"/>
        <w:gridCol w:w="1197"/>
        <w:gridCol w:w="1196"/>
      </w:tblGrid>
      <w:tr w:rsidR="002E27DC" w:rsidRPr="00F77E7A" w:rsidTr="002E27DC">
        <w:trPr>
          <w:trHeight w:val="142"/>
          <w:tblHeader/>
        </w:trPr>
        <w:tc>
          <w:tcPr>
            <w:tcW w:w="1019" w:type="pct"/>
            <w:shd w:val="clear" w:color="auto" w:fill="auto"/>
            <w:vAlign w:val="center"/>
          </w:tcPr>
          <w:p w:rsidR="007972AF" w:rsidRPr="00F77E7A" w:rsidRDefault="007972AF" w:rsidP="00EF2E6B">
            <w:pPr>
              <w:pStyle w:val="TableH1"/>
              <w:keepLines/>
              <w:spacing w:before="0" w:after="0"/>
              <w:rPr>
                <w:rFonts w:ascii="Arial Narrow" w:hAnsi="Arial Narrow"/>
                <w:sz w:val="20"/>
                <w:szCs w:val="20"/>
                <w:lang w:val="en-AU"/>
              </w:rPr>
            </w:pPr>
            <w:r w:rsidRPr="00F77E7A">
              <w:rPr>
                <w:rFonts w:ascii="Arial Narrow" w:hAnsi="Arial Narrow"/>
                <w:sz w:val="20"/>
                <w:szCs w:val="20"/>
                <w:lang w:val="en-AU"/>
              </w:rPr>
              <w:t>Description</w:t>
            </w:r>
          </w:p>
        </w:tc>
        <w:tc>
          <w:tcPr>
            <w:tcW w:w="663" w:type="pct"/>
            <w:shd w:val="clear" w:color="auto" w:fill="auto"/>
            <w:noWrap/>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1</w:t>
            </w:r>
          </w:p>
        </w:tc>
        <w:tc>
          <w:tcPr>
            <w:tcW w:w="664" w:type="pct"/>
            <w:shd w:val="clear" w:color="auto" w:fill="auto"/>
            <w:noWrap/>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2</w:t>
            </w:r>
          </w:p>
        </w:tc>
        <w:tc>
          <w:tcPr>
            <w:tcW w:w="664" w:type="pct"/>
            <w:shd w:val="clear" w:color="auto" w:fill="auto"/>
            <w:noWrap/>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3</w:t>
            </w:r>
          </w:p>
        </w:tc>
        <w:tc>
          <w:tcPr>
            <w:tcW w:w="663" w:type="pct"/>
            <w:shd w:val="clear" w:color="auto" w:fill="auto"/>
            <w:noWrap/>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4</w:t>
            </w:r>
          </w:p>
        </w:tc>
        <w:tc>
          <w:tcPr>
            <w:tcW w:w="664" w:type="pct"/>
            <w:shd w:val="clear" w:color="auto" w:fill="auto"/>
            <w:noWrap/>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5</w:t>
            </w:r>
          </w:p>
        </w:tc>
        <w:tc>
          <w:tcPr>
            <w:tcW w:w="664" w:type="pct"/>
            <w:shd w:val="clear" w:color="auto" w:fill="auto"/>
            <w:vAlign w:val="center"/>
          </w:tcPr>
          <w:p w:rsidR="007972AF" w:rsidRPr="00F77E7A" w:rsidRDefault="007972AF" w:rsidP="002E27DC">
            <w:pPr>
              <w:pStyle w:val="Tableheadingcent"/>
              <w:keepNext/>
              <w:keepLines/>
              <w:spacing w:before="0" w:after="0"/>
              <w:rPr>
                <w:rFonts w:ascii="Arial Narrow" w:hAnsi="Arial Narrow"/>
                <w:sz w:val="20"/>
                <w:szCs w:val="20"/>
                <w:lang w:val="en-AU"/>
              </w:rPr>
            </w:pPr>
            <w:r w:rsidRPr="00F77E7A">
              <w:rPr>
                <w:rFonts w:ascii="Arial Narrow" w:hAnsi="Arial Narrow"/>
                <w:sz w:val="20"/>
                <w:szCs w:val="20"/>
                <w:lang w:val="en-AU"/>
              </w:rPr>
              <w:t>Year 6</w:t>
            </w:r>
          </w:p>
        </w:tc>
      </w:tr>
      <w:tr w:rsidR="007972AF" w:rsidRPr="00F77E7A" w:rsidTr="002E27DC">
        <w:trPr>
          <w:trHeight w:val="142"/>
        </w:trPr>
        <w:tc>
          <w:tcPr>
            <w:tcW w:w="5000" w:type="pct"/>
            <w:gridSpan w:val="7"/>
            <w:shd w:val="clear" w:color="auto" w:fill="auto"/>
            <w:vAlign w:val="center"/>
          </w:tcPr>
          <w:p w:rsidR="007972AF" w:rsidRPr="00F77E7A" w:rsidRDefault="007972AF" w:rsidP="00EF2E6B">
            <w:pPr>
              <w:pStyle w:val="Tableheadingcent"/>
              <w:keepNext/>
              <w:keepLines/>
              <w:spacing w:before="0" w:after="0"/>
              <w:jc w:val="left"/>
              <w:rPr>
                <w:rFonts w:ascii="Arial Narrow" w:hAnsi="Arial Narrow"/>
                <w:sz w:val="20"/>
                <w:szCs w:val="20"/>
                <w:lang w:val="en-AU"/>
              </w:rPr>
            </w:pPr>
            <w:r w:rsidRPr="00F77E7A">
              <w:rPr>
                <w:rFonts w:ascii="Arial Narrow" w:hAnsi="Arial Narrow"/>
                <w:sz w:val="20"/>
                <w:szCs w:val="20"/>
                <w:lang w:val="en-AU"/>
              </w:rPr>
              <w:t>Estimated extent of use</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Number of patients treated</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Total number of packs dispensed per year</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7972AF" w:rsidRPr="00F77E7A" w:rsidTr="002E27DC">
        <w:trPr>
          <w:trHeight w:val="142"/>
        </w:trPr>
        <w:tc>
          <w:tcPr>
            <w:tcW w:w="5000" w:type="pct"/>
            <w:gridSpan w:val="7"/>
            <w:shd w:val="clear" w:color="auto" w:fill="auto"/>
            <w:vAlign w:val="center"/>
          </w:tcPr>
          <w:p w:rsidR="007972AF" w:rsidRPr="00F77E7A" w:rsidRDefault="007972AF" w:rsidP="00EF2E6B">
            <w:pPr>
              <w:pStyle w:val="Tabletextcent"/>
              <w:keepNext/>
              <w:keepLines/>
              <w:spacing w:before="0" w:after="0"/>
              <w:jc w:val="left"/>
              <w:rPr>
                <w:rFonts w:ascii="Arial Narrow" w:hAnsi="Arial Narrow"/>
                <w:b/>
                <w:strike/>
                <w:sz w:val="20"/>
                <w:lang w:val="en-AU"/>
              </w:rPr>
            </w:pPr>
            <w:r w:rsidRPr="00F77E7A">
              <w:rPr>
                <w:rFonts w:ascii="Arial Narrow" w:hAnsi="Arial Narrow"/>
                <w:b/>
                <w:sz w:val="20"/>
                <w:lang w:val="en-AU"/>
              </w:rPr>
              <w:t>Estimated financial implications of tezacaftor/ivacaftor</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Gross PBS cost (without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Gross PBS cost (with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2E27DC">
            <w:pPr>
              <w:pStyle w:val="Tabletextleft"/>
              <w:keepNext/>
              <w:keepLines/>
              <w:spacing w:before="0" w:after="0"/>
              <w:rPr>
                <w:rFonts w:ascii="Arial Narrow" w:hAnsi="Arial Narrow"/>
                <w:sz w:val="20"/>
              </w:rPr>
            </w:pPr>
            <w:r w:rsidRPr="00F77E7A">
              <w:rPr>
                <w:rFonts w:ascii="Arial Narrow" w:hAnsi="Arial Narrow"/>
                <w:sz w:val="20"/>
              </w:rPr>
              <w:t>Total patient co-payment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Net cost to Government PBS (without financial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Net cost to Government PBS (with financial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7972AF" w:rsidRPr="00F77E7A" w:rsidTr="002E27DC">
        <w:trPr>
          <w:trHeight w:val="142"/>
        </w:trPr>
        <w:tc>
          <w:tcPr>
            <w:tcW w:w="5000" w:type="pct"/>
            <w:gridSpan w:val="7"/>
            <w:shd w:val="clear" w:color="auto" w:fill="auto"/>
            <w:vAlign w:val="center"/>
          </w:tcPr>
          <w:p w:rsidR="007972AF" w:rsidRPr="00F77E7A" w:rsidRDefault="007972AF" w:rsidP="00EF2E6B">
            <w:pPr>
              <w:pStyle w:val="Tabletextcent"/>
              <w:keepNext/>
              <w:keepLines/>
              <w:spacing w:before="0" w:after="0"/>
              <w:jc w:val="left"/>
              <w:rPr>
                <w:rFonts w:ascii="Arial Narrow" w:hAnsi="Arial Narrow"/>
                <w:b/>
                <w:sz w:val="20"/>
                <w:lang w:val="en-AU"/>
              </w:rPr>
            </w:pPr>
            <w:r w:rsidRPr="00F77E7A">
              <w:rPr>
                <w:rFonts w:ascii="Arial Narrow" w:hAnsi="Arial Narrow"/>
                <w:b/>
                <w:sz w:val="20"/>
                <w:lang w:val="en-AU"/>
              </w:rPr>
              <w:t xml:space="preserve">Net Financial implications </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Net cost to the MBS</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b/>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Overall impact on PBS/MBS (without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r w:rsidR="002E27DC" w:rsidRPr="00F77E7A" w:rsidTr="002E27DC">
        <w:trPr>
          <w:trHeight w:val="142"/>
        </w:trPr>
        <w:tc>
          <w:tcPr>
            <w:tcW w:w="1019" w:type="pct"/>
            <w:shd w:val="clear" w:color="auto" w:fill="auto"/>
            <w:vAlign w:val="center"/>
          </w:tcPr>
          <w:p w:rsidR="007972AF" w:rsidRPr="00F77E7A" w:rsidRDefault="007972AF" w:rsidP="00EF2E6B">
            <w:pPr>
              <w:pStyle w:val="Tabletextleft"/>
              <w:keepNext/>
              <w:keepLines/>
              <w:spacing w:before="0" w:after="0"/>
              <w:rPr>
                <w:rFonts w:ascii="Arial Narrow" w:hAnsi="Arial Narrow"/>
                <w:sz w:val="20"/>
              </w:rPr>
            </w:pPr>
            <w:r w:rsidRPr="00F77E7A">
              <w:rPr>
                <w:rFonts w:ascii="Arial Narrow" w:hAnsi="Arial Narrow"/>
                <w:sz w:val="20"/>
              </w:rPr>
              <w:t>Overall impact on PBS/MBS (with Cap)</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3"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noWrap/>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c>
          <w:tcPr>
            <w:tcW w:w="664" w:type="pct"/>
            <w:shd w:val="clear" w:color="auto" w:fill="auto"/>
            <w:vAlign w:val="center"/>
          </w:tcPr>
          <w:p w:rsidR="007972AF" w:rsidRPr="007D10D3" w:rsidRDefault="007D10D3" w:rsidP="00EF2E6B">
            <w:pPr>
              <w:pStyle w:val="Tabletextcent"/>
              <w:keepNext/>
              <w:keepLines/>
              <w:spacing w:before="0" w:after="0"/>
              <w:rPr>
                <w:rFonts w:ascii="Arial Narrow" w:hAnsi="Arial Narrow"/>
                <w:sz w:val="20"/>
                <w:highlight w:val="black"/>
                <w:lang w:val="en-AU"/>
              </w:rPr>
            </w:pPr>
            <w:r>
              <w:rPr>
                <w:rFonts w:ascii="Arial Narrow" w:hAnsi="Arial Narrow"/>
                <w:noProof/>
                <w:color w:val="000000"/>
                <w:sz w:val="20"/>
                <w:highlight w:val="black"/>
                <w:lang w:val="en-AU"/>
              </w:rPr>
              <w:t>''''''''''''''''''''''''''''</w:t>
            </w:r>
          </w:p>
        </w:tc>
      </w:tr>
    </w:tbl>
    <w:p w:rsidR="007972AF" w:rsidRPr="00F77E7A" w:rsidRDefault="007972AF" w:rsidP="00EF2E6B">
      <w:pPr>
        <w:pStyle w:val="TableFooter"/>
        <w:widowControl/>
      </w:pPr>
      <w:r w:rsidRPr="00F77E7A">
        <w:t>Abbreviations: IVA= ivacaftor; PBS= Pharmaceutical Benefit Scheme; RPBS= Repatriation Pharmaceutical Benefits Scheme</w:t>
      </w:r>
    </w:p>
    <w:p w:rsidR="007972AF" w:rsidRPr="00F77E7A" w:rsidRDefault="007972AF" w:rsidP="00EF2E6B">
      <w:pPr>
        <w:pStyle w:val="TableFooter"/>
        <w:widowControl/>
      </w:pPr>
      <w:r w:rsidRPr="00F77E7A">
        <w:t xml:space="preserve">Source: Table 4.2.11, p. 223 of the submission. </w:t>
      </w:r>
    </w:p>
    <w:p w:rsidR="00A35B0D" w:rsidRPr="00A35B0D" w:rsidRDefault="00A35B0D" w:rsidP="00C33949">
      <w:pPr>
        <w:pStyle w:val="TableFooter"/>
        <w:widowControl/>
        <w:spacing w:before="120" w:after="120"/>
        <w:rPr>
          <w:rFonts w:asciiTheme="minorHAnsi" w:hAnsiTheme="minorHAnsi" w:cstheme="minorHAnsi"/>
          <w:sz w:val="24"/>
          <w:szCs w:val="24"/>
        </w:rPr>
      </w:pPr>
      <w:r>
        <w:rPr>
          <w:rFonts w:asciiTheme="minorHAnsi" w:hAnsiTheme="minorHAnsi" w:cstheme="minorHAnsi"/>
          <w:sz w:val="24"/>
          <w:szCs w:val="24"/>
        </w:rPr>
        <w:t>The redacted table shows that at Year 6</w:t>
      </w:r>
      <w:r w:rsidRPr="00A35B0D">
        <w:rPr>
          <w:rFonts w:asciiTheme="minorHAnsi" w:hAnsiTheme="minorHAnsi" w:cstheme="minorHAnsi"/>
          <w:sz w:val="24"/>
          <w:szCs w:val="24"/>
        </w:rPr>
        <w:t xml:space="preserve">, the estimated number of patients was </w:t>
      </w:r>
      <w:r>
        <w:rPr>
          <w:rFonts w:asciiTheme="minorHAnsi" w:hAnsiTheme="minorHAnsi" w:cstheme="minorHAnsi"/>
          <w:sz w:val="24"/>
          <w:szCs w:val="24"/>
        </w:rPr>
        <w:t>less than 10,000</w:t>
      </w:r>
      <w:r w:rsidRPr="00A35B0D">
        <w:rPr>
          <w:rFonts w:asciiTheme="minorHAnsi" w:hAnsiTheme="minorHAnsi" w:cstheme="minorHAnsi"/>
          <w:sz w:val="24"/>
          <w:szCs w:val="24"/>
        </w:rPr>
        <w:t xml:space="preserve"> and the net cost to the PBS</w:t>
      </w:r>
      <w:r>
        <w:rPr>
          <w:rFonts w:asciiTheme="minorHAnsi" w:hAnsiTheme="minorHAnsi" w:cstheme="minorHAnsi"/>
          <w:sz w:val="24"/>
          <w:szCs w:val="24"/>
        </w:rPr>
        <w:t>/MBS would be $10 - $20 million (without Cap) and less than $10 million (with Cap).</w:t>
      </w:r>
    </w:p>
    <w:p w:rsidR="007F77DC" w:rsidRPr="00F77E7A" w:rsidRDefault="00837A1D" w:rsidP="00C33949">
      <w:pPr>
        <w:pStyle w:val="ListParagraph"/>
        <w:widowControl/>
        <w:numPr>
          <w:ilvl w:val="1"/>
          <w:numId w:val="2"/>
        </w:numPr>
        <w:spacing w:before="120" w:after="120"/>
      </w:pPr>
      <w:r w:rsidRPr="00F77E7A">
        <w:t xml:space="preserve">The submission stated there are no currently reimbursed therapies </w:t>
      </w:r>
      <w:r w:rsidR="009E5E67" w:rsidRPr="00F77E7A">
        <w:t xml:space="preserve">that </w:t>
      </w:r>
      <w:r w:rsidRPr="00F77E7A">
        <w:t xml:space="preserve">can be directly substituted </w:t>
      </w:r>
      <w:r w:rsidR="00901100" w:rsidRPr="00F77E7A">
        <w:t>because</w:t>
      </w:r>
      <w:r w:rsidRPr="00F77E7A">
        <w:t xml:space="preserve"> of tezacaftor/ivacaftor becoming PBS-listed. This was appropriate.</w:t>
      </w:r>
      <w:r w:rsidR="00F36DD7" w:rsidRPr="00F77E7A">
        <w:t xml:space="preserve"> </w:t>
      </w:r>
      <w:r w:rsidRPr="00F77E7A">
        <w:t xml:space="preserve">However, over the mid- to long-term, treatment with tezacaftor/ivacaftor may reduce the need for some supportive therapies. Due to a lack of information in this regard, </w:t>
      </w:r>
      <w:r w:rsidR="008D1C14" w:rsidRPr="00F77E7A">
        <w:t>the submission assumed</w:t>
      </w:r>
      <w:r w:rsidRPr="00F77E7A">
        <w:t xml:space="preserve"> that there </w:t>
      </w:r>
      <w:r w:rsidR="008D1C14" w:rsidRPr="00F77E7A">
        <w:t xml:space="preserve">would </w:t>
      </w:r>
      <w:r w:rsidRPr="00F77E7A">
        <w:t>be no reduction to PBS costs due to the reduction of concomitant therapies</w:t>
      </w:r>
      <w:r w:rsidR="00785D67" w:rsidRPr="00F77E7A">
        <w:t xml:space="preserve"> or</w:t>
      </w:r>
      <w:r w:rsidR="007F77DC" w:rsidRPr="00F77E7A">
        <w:t xml:space="preserve"> other PBS medicines. </w:t>
      </w:r>
      <w:r w:rsidR="009E5E67" w:rsidRPr="00F77E7A">
        <w:t xml:space="preserve">This </w:t>
      </w:r>
      <w:r w:rsidR="00C97D89" w:rsidRPr="00F77E7A">
        <w:t xml:space="preserve">was </w:t>
      </w:r>
      <w:r w:rsidR="00785D67" w:rsidRPr="00F77E7A">
        <w:t>consistent with the previous submission for lumacaftor/ivacaftor for patients</w:t>
      </w:r>
      <w:r w:rsidR="008D1C14" w:rsidRPr="00F77E7A">
        <w:t xml:space="preserve"> who are</w:t>
      </w:r>
      <w:r w:rsidR="00785D67" w:rsidRPr="00F77E7A">
        <w:t xml:space="preserve"> homozygous </w:t>
      </w:r>
      <w:r w:rsidR="008D1C14" w:rsidRPr="00F77E7A">
        <w:t xml:space="preserve">for the F508del mutation. </w:t>
      </w:r>
    </w:p>
    <w:p w:rsidR="007F77DC" w:rsidRPr="00F77E7A" w:rsidRDefault="007F77DC" w:rsidP="00C33949">
      <w:pPr>
        <w:pStyle w:val="ListParagraph"/>
        <w:widowControl/>
        <w:numPr>
          <w:ilvl w:val="1"/>
          <w:numId w:val="2"/>
        </w:numPr>
        <w:spacing w:before="120" w:after="120"/>
      </w:pPr>
      <w:r w:rsidRPr="00F77E7A">
        <w:t xml:space="preserve">The </w:t>
      </w:r>
      <w:r w:rsidR="009E5E67" w:rsidRPr="00F77E7A">
        <w:t xml:space="preserve">submission included the </w:t>
      </w:r>
      <w:r w:rsidRPr="00F77E7A">
        <w:t>non-PBS related government health services likely to be impacted by the proposed listing of tezacaftor/ivacaftor on the PBS includ</w:t>
      </w:r>
      <w:r w:rsidR="0066183B" w:rsidRPr="00F77E7A">
        <w:t>ing</w:t>
      </w:r>
      <w:r w:rsidRPr="00F77E7A">
        <w:t xml:space="preserve">: (1) MBS services for increased </w:t>
      </w:r>
      <w:r w:rsidR="00F81602" w:rsidRPr="00F77E7A">
        <w:t>liver function tests (</w:t>
      </w:r>
      <w:r w:rsidRPr="00F77E7A">
        <w:t>LFTs</w:t>
      </w:r>
      <w:r w:rsidR="00F81602" w:rsidRPr="00F77E7A">
        <w:t>)</w:t>
      </w:r>
      <w:r w:rsidRPr="00F77E7A">
        <w:t xml:space="preserve">; (2) MBS services for </w:t>
      </w:r>
      <w:r w:rsidR="00F5036F" w:rsidRPr="00F77E7A">
        <w:t>ophthalmological</w:t>
      </w:r>
      <w:r w:rsidRPr="00F77E7A">
        <w:t xml:space="preserve"> visits; (3) reduced transplantation costs. </w:t>
      </w:r>
      <w:r w:rsidR="00D70085" w:rsidRPr="00F77E7A">
        <w:t xml:space="preserve">The latter was not considered in the financial estimates. </w:t>
      </w:r>
      <w:r w:rsidR="008D1C14" w:rsidRPr="00F77E7A">
        <w:t xml:space="preserve">The evaluation </w:t>
      </w:r>
      <w:r w:rsidR="00D70085" w:rsidRPr="00F77E7A">
        <w:t xml:space="preserve">considered </w:t>
      </w:r>
      <w:r w:rsidR="008D1C14" w:rsidRPr="00F77E7A">
        <w:t xml:space="preserve">this was </w:t>
      </w:r>
      <w:r w:rsidR="00D70085" w:rsidRPr="00F77E7A">
        <w:t xml:space="preserve">appropriate. </w:t>
      </w:r>
    </w:p>
    <w:p w:rsidR="00F74D09" w:rsidRPr="00F77E7A" w:rsidRDefault="008F79AD" w:rsidP="00C33949">
      <w:pPr>
        <w:pStyle w:val="ListParagraph"/>
        <w:keepNext/>
        <w:widowControl/>
        <w:numPr>
          <w:ilvl w:val="1"/>
          <w:numId w:val="2"/>
        </w:numPr>
        <w:spacing w:before="120" w:after="120"/>
      </w:pPr>
      <w:r w:rsidRPr="00F77E7A">
        <w:t>The submission likely overestimated d</w:t>
      </w:r>
      <w:r w:rsidR="00F5036F" w:rsidRPr="00F77E7A">
        <w:t>rug utilisation each year on the basis that:</w:t>
      </w:r>
    </w:p>
    <w:p w:rsidR="00F74D09" w:rsidRPr="00F77E7A" w:rsidRDefault="008F79AD" w:rsidP="00C33949">
      <w:pPr>
        <w:pStyle w:val="ListParagraph"/>
        <w:widowControl/>
        <w:numPr>
          <w:ilvl w:val="2"/>
          <w:numId w:val="2"/>
        </w:numPr>
        <w:spacing w:before="120" w:after="120"/>
        <w:ind w:left="1134" w:hanging="425"/>
      </w:pPr>
      <w:r w:rsidRPr="00F77E7A">
        <w:t>The submission</w:t>
      </w:r>
      <w:r w:rsidR="00F5036F" w:rsidRPr="00F77E7A">
        <w:t xml:space="preserve"> assumed that no patients discontinue</w:t>
      </w:r>
      <w:r w:rsidR="009E5E67" w:rsidRPr="00F77E7A">
        <w:t>d</w:t>
      </w:r>
      <w:r w:rsidR="00F5036F" w:rsidRPr="00F77E7A">
        <w:t xml:space="preserve"> tezacaftor/ivacaftor after the initial 8 weeks of therapy.</w:t>
      </w:r>
      <w:r w:rsidR="00FF376F" w:rsidRPr="00F77E7A">
        <w:t xml:space="preserve"> This was not adequately justified.</w:t>
      </w:r>
      <w:r w:rsidR="00F5036F" w:rsidRPr="00F77E7A">
        <w:t xml:space="preserve"> </w:t>
      </w:r>
      <w:r w:rsidR="00E71F80" w:rsidRPr="00F77E7A">
        <w:rPr>
          <w:rFonts w:asciiTheme="minorHAnsi" w:eastAsiaTheme="minorHAnsi" w:hAnsiTheme="minorHAnsi" w:cstheme="minorBidi"/>
          <w:szCs w:val="24"/>
        </w:rPr>
        <w:t>The final PROGRESS study report indicates that 14.9% of the Final Analysis Set for this study discontinued study treatment because of an “adverse event” or “subject refused further dosing” (PROGRESS study report Version 1.0, 25 October 2016, pp 78).</w:t>
      </w:r>
      <w:r w:rsidR="00126BE7" w:rsidRPr="00F77E7A">
        <w:t xml:space="preserve"> </w:t>
      </w:r>
    </w:p>
    <w:p w:rsidR="00C83356" w:rsidRPr="00F77E7A" w:rsidRDefault="008F79AD" w:rsidP="00C33949">
      <w:pPr>
        <w:pStyle w:val="ListParagraph"/>
        <w:widowControl/>
        <w:numPr>
          <w:ilvl w:val="2"/>
          <w:numId w:val="2"/>
        </w:numPr>
        <w:spacing w:before="120" w:after="120"/>
        <w:ind w:left="1134" w:hanging="425"/>
      </w:pPr>
      <w:r w:rsidRPr="00F77E7A">
        <w:t xml:space="preserve">The submission </w:t>
      </w:r>
      <w:r w:rsidR="00C83356" w:rsidRPr="00F77E7A">
        <w:t>assumed that all patients initiate treatment from the first day of the first year of treatment.</w:t>
      </w:r>
      <w:r w:rsidRPr="00F77E7A">
        <w:t xml:space="preserve"> Previously, the PBAC noted that underestimation of discontinuation and assuming patients received a full year of treatment in their first year would result in an over-estimate of use: “A more reasonable assumption was that initiating patients would commence treatment throughout the year, so that on average each patient received the equivalent of half of a year’s supply in the year in which they commence treatment” (lumacaftor/ivacaftor (12+ years) PSD July 2018, paragraph 6.68). The submission did not incorporate this suggestion.</w:t>
      </w:r>
    </w:p>
    <w:p w:rsidR="00F5036F" w:rsidRPr="00F77E7A" w:rsidRDefault="00126BE7" w:rsidP="00C33949">
      <w:pPr>
        <w:pStyle w:val="ListParagraph"/>
        <w:widowControl/>
        <w:numPr>
          <w:ilvl w:val="2"/>
          <w:numId w:val="2"/>
        </w:numPr>
        <w:spacing w:before="120" w:after="120"/>
        <w:ind w:left="1134" w:hanging="425"/>
      </w:pPr>
      <w:r w:rsidRPr="00F77E7A">
        <w:t xml:space="preserve">A treatment adherence rate of 80% was assumed. This number was obtained from the </w:t>
      </w:r>
      <w:r w:rsidR="00F5036F" w:rsidRPr="00F77E7A">
        <w:t xml:space="preserve">compliance rate in Study 108 with some adjustment for real-world setting. The same </w:t>
      </w:r>
      <w:r w:rsidR="00012BF0" w:rsidRPr="00F77E7A">
        <w:t xml:space="preserve">approach </w:t>
      </w:r>
      <w:r w:rsidR="00A33D18" w:rsidRPr="00F77E7A">
        <w:t>was</w:t>
      </w:r>
      <w:r w:rsidR="00F5036F" w:rsidRPr="00F77E7A">
        <w:t xml:space="preserve"> adopted in previous submissions</w:t>
      </w:r>
      <w:r w:rsidR="00012BF0" w:rsidRPr="00F77E7A">
        <w:t>. The DUSC review of ivacaftor (</w:t>
      </w:r>
      <w:r w:rsidR="00E26035" w:rsidRPr="00F77E7A">
        <w:t>DUSC February 2018, p. 1-13)</w:t>
      </w:r>
      <w:r w:rsidR="00012BF0" w:rsidRPr="00F77E7A">
        <w:t>) noted that use was higher than expected</w:t>
      </w:r>
      <w:r w:rsidR="00F5036F" w:rsidRPr="00F77E7A">
        <w:t xml:space="preserve">, </w:t>
      </w:r>
      <w:r w:rsidR="00012BF0" w:rsidRPr="00F77E7A">
        <w:t>even though patient numbers were lower than estimated. This suggest</w:t>
      </w:r>
      <w:r w:rsidR="003E0802" w:rsidRPr="00F77E7A">
        <w:t>s</w:t>
      </w:r>
      <w:r w:rsidR="00012BF0" w:rsidRPr="00F77E7A">
        <w:t xml:space="preserve"> that </w:t>
      </w:r>
      <w:r w:rsidR="00CF39AC" w:rsidRPr="00F77E7A">
        <w:t>trial-based</w:t>
      </w:r>
      <w:r w:rsidR="00012BF0" w:rsidRPr="00F77E7A">
        <w:t xml:space="preserve"> compliance may underestimate real-world use in this setting.</w:t>
      </w:r>
      <w:r w:rsidR="001063A8" w:rsidRPr="00F77E7A">
        <w:t xml:space="preserve"> While this factor may underestimate utilisation, the net overall impact of these uncertainties was a likely overestimation of utilisation.</w:t>
      </w:r>
    </w:p>
    <w:p w:rsidR="00283EF9" w:rsidRPr="00F77E7A" w:rsidRDefault="00283EF9" w:rsidP="00C33949">
      <w:pPr>
        <w:widowControl/>
        <w:spacing w:before="120" w:after="120"/>
        <w:ind w:left="709"/>
      </w:pPr>
      <w:r w:rsidRPr="00F77E7A">
        <w:t xml:space="preserve">The PSCR stated that the sponsor will work with the Department to finalise patient and script numbers to cater </w:t>
      </w:r>
      <w:r w:rsidR="007B40CE" w:rsidRPr="00F77E7A">
        <w:t xml:space="preserve">for </w:t>
      </w:r>
      <w:r w:rsidRPr="00F77E7A">
        <w:t xml:space="preserve">half-years and variable discontinuation rates over time. </w:t>
      </w:r>
    </w:p>
    <w:p w:rsidR="00576972" w:rsidRPr="00F77E7A" w:rsidRDefault="00576972" w:rsidP="00C33949">
      <w:pPr>
        <w:pStyle w:val="Heading2"/>
        <w:widowControl/>
        <w:spacing w:before="120"/>
      </w:pPr>
      <w:r w:rsidRPr="00F77E7A">
        <w:t>Quality Use of Medicines</w:t>
      </w:r>
    </w:p>
    <w:p w:rsidR="008A6DC6" w:rsidRPr="00F77E7A" w:rsidRDefault="008A6DC6" w:rsidP="00C33949">
      <w:pPr>
        <w:pStyle w:val="ListParagraph"/>
        <w:widowControl/>
        <w:numPr>
          <w:ilvl w:val="1"/>
          <w:numId w:val="2"/>
        </w:numPr>
        <w:spacing w:before="120" w:after="120"/>
      </w:pPr>
      <w:r w:rsidRPr="00F77E7A">
        <w:t xml:space="preserve">The submission did not present any information </w:t>
      </w:r>
      <w:r w:rsidR="00012BF0" w:rsidRPr="00F77E7A">
        <w:t>with respect to the quality use of medicines</w:t>
      </w:r>
      <w:r w:rsidRPr="00F77E7A">
        <w:t xml:space="preserve">. However, some potential for medication errors exists given the differences in daily dosage administration (1 tablet containing tezacaftor/ivacaftor to </w:t>
      </w:r>
      <w:r w:rsidR="00771793" w:rsidRPr="00F77E7A">
        <w:t>b</w:t>
      </w:r>
      <w:r w:rsidRPr="00F77E7A">
        <w:t>e administered in the morning and 1 tablet containing ivacaftor only approximately 12 hours later). This potential issue was addressed in the R</w:t>
      </w:r>
      <w:r w:rsidR="0066183B" w:rsidRPr="00F77E7A">
        <w:t xml:space="preserve">isk </w:t>
      </w:r>
      <w:r w:rsidRPr="00F77E7A">
        <w:t>M</w:t>
      </w:r>
      <w:r w:rsidR="0066183B" w:rsidRPr="00F77E7A">
        <w:t xml:space="preserve">anagement </w:t>
      </w:r>
      <w:r w:rsidRPr="00F77E7A">
        <w:t>P</w:t>
      </w:r>
      <w:r w:rsidR="0066183B" w:rsidRPr="00F77E7A">
        <w:t>lan</w:t>
      </w:r>
      <w:r w:rsidRPr="00F77E7A">
        <w:t xml:space="preserve"> where the following was stated: “The 2 tablets are visually distinguishable (tablet size, colour, printing/debossing) and clearly marked in the label. Furthermore, patients with CF and/or their caregivers are accustomed with the administration of drugs and coordination of multiple therapies in their standard of care. This familiarity may further reduce the likelihood of medication errors.” </w:t>
      </w:r>
    </w:p>
    <w:p w:rsidR="00C62281" w:rsidRPr="00F77E7A" w:rsidRDefault="00C62281" w:rsidP="00C33949">
      <w:pPr>
        <w:widowControl/>
        <w:numPr>
          <w:ilvl w:val="1"/>
          <w:numId w:val="2"/>
        </w:numPr>
        <w:spacing w:before="120" w:after="120"/>
      </w:pPr>
      <w:r w:rsidRPr="00F77E7A">
        <w:t>The ESC considered that an additional quality use of medicines issue is the adjustment required when patient</w:t>
      </w:r>
      <w:r w:rsidR="00AC761E" w:rsidRPr="00F77E7A">
        <w:t>s</w:t>
      </w:r>
      <w:r w:rsidRPr="00F77E7A">
        <w:t xml:space="preserve"> are co-prescribed a moderate or strong CYP3A inhibitor.</w:t>
      </w:r>
    </w:p>
    <w:p w:rsidR="00C25D9C" w:rsidRPr="00F77E7A" w:rsidRDefault="00576972" w:rsidP="00C33949">
      <w:pPr>
        <w:pStyle w:val="Heading2"/>
        <w:widowControl/>
        <w:spacing w:before="120"/>
      </w:pPr>
      <w:bookmarkStart w:id="13" w:name="_Toc532280244"/>
      <w:r w:rsidRPr="00F77E7A">
        <w:t>Financial Management – Risk Sharing Arrangements</w:t>
      </w:r>
      <w:bookmarkEnd w:id="13"/>
    </w:p>
    <w:p w:rsidR="000507C1" w:rsidRPr="00F77E7A" w:rsidRDefault="00771793" w:rsidP="00C33949">
      <w:pPr>
        <w:pStyle w:val="ListParagraph"/>
        <w:widowControl/>
        <w:numPr>
          <w:ilvl w:val="1"/>
          <w:numId w:val="2"/>
        </w:numPr>
        <w:spacing w:before="120" w:after="120"/>
      </w:pPr>
      <w:r w:rsidRPr="00F77E7A">
        <w:t>T</w:t>
      </w:r>
      <w:r w:rsidR="008A6DC6" w:rsidRPr="00F77E7A">
        <w:t xml:space="preserve">he submission proposed a substantial reduction in the gross cost of tezacaftor/ivacaftor to the PBS via a </w:t>
      </w:r>
      <w:r w:rsidR="00283EF9" w:rsidRPr="00F77E7A">
        <w:t xml:space="preserve">subsidisation </w:t>
      </w:r>
      <w:r w:rsidR="008A6DC6" w:rsidRPr="00F77E7A">
        <w:t>cap</w:t>
      </w:r>
      <w:r w:rsidR="001017F2" w:rsidRPr="00F77E7A">
        <w:t>,</w:t>
      </w:r>
      <w:r w:rsidR="00283EF9" w:rsidRPr="00F77E7A">
        <w:t xml:space="preserve"> to be implemented through a Risk Sharing Arrangement (RSA)</w:t>
      </w:r>
      <w:r w:rsidR="00B56F6B" w:rsidRPr="00F77E7A">
        <w:t>, in line with lumacaftor/ivacaftor for patients who are homozygous for the F508del mutation</w:t>
      </w:r>
      <w:r w:rsidR="008A6DC6" w:rsidRPr="00F77E7A">
        <w:t xml:space="preserve">. The economic evaluation </w:t>
      </w:r>
      <w:r w:rsidR="007A4FA9" w:rsidRPr="00F77E7A">
        <w:t xml:space="preserve">and financial estimates used </w:t>
      </w:r>
      <w:r w:rsidR="00327817" w:rsidRPr="00F77E7A">
        <w:t>the</w:t>
      </w:r>
      <w:r w:rsidR="007A4FA9" w:rsidRPr="00F77E7A">
        <w:t xml:space="preserve"> </w:t>
      </w:r>
      <w:r w:rsidR="00327817" w:rsidRPr="00F77E7A">
        <w:t xml:space="preserve">intended annual </w:t>
      </w:r>
      <w:r w:rsidR="00556B75" w:rsidRPr="00F77E7A">
        <w:t xml:space="preserve">price </w:t>
      </w:r>
      <w:r w:rsidR="00327817" w:rsidRPr="00F77E7A">
        <w:t>of</w:t>
      </w:r>
      <w:r w:rsidR="008A6DC6" w:rsidRPr="00F77E7A">
        <w:t xml:space="preserve"> $</w:t>
      </w:r>
      <w:r w:rsidR="007D10D3">
        <w:rPr>
          <w:noProof/>
          <w:color w:val="000000"/>
          <w:highlight w:val="black"/>
        </w:rPr>
        <w:t>''''''''''''</w:t>
      </w:r>
      <w:r w:rsidR="006A70BF" w:rsidRPr="00F77E7A">
        <w:t xml:space="preserve"> per patient</w:t>
      </w:r>
      <w:r w:rsidR="008A6DC6" w:rsidRPr="00F77E7A">
        <w:t xml:space="preserve">. </w:t>
      </w:r>
    </w:p>
    <w:p w:rsidR="000507C1" w:rsidRPr="00F77E7A" w:rsidRDefault="000507C1" w:rsidP="00C33949">
      <w:pPr>
        <w:pStyle w:val="ListParagraph"/>
        <w:widowControl/>
        <w:numPr>
          <w:ilvl w:val="1"/>
          <w:numId w:val="2"/>
        </w:numPr>
        <w:spacing w:before="120" w:after="120"/>
      </w:pPr>
      <w:r w:rsidRPr="00F77E7A">
        <w:t xml:space="preserve">In estimating the financial impact to the PBS </w:t>
      </w:r>
      <w:r w:rsidR="00C94A1D" w:rsidRPr="00DC0949">
        <w:t xml:space="preserve">with the </w:t>
      </w:r>
      <w:r w:rsidRPr="00DC0949">
        <w:t xml:space="preserve">proposed cap (per Table 13 above), the submission applied a relative cost reduction per patient of </w:t>
      </w:r>
      <w:r w:rsidR="007D10D3">
        <w:rPr>
          <w:noProof/>
          <w:color w:val="000000"/>
          <w:highlight w:val="black"/>
        </w:rPr>
        <w:t>'''''</w:t>
      </w:r>
      <w:r w:rsidRPr="00DC0949">
        <w:t>%, rather</w:t>
      </w:r>
      <w:r w:rsidRPr="00F77E7A">
        <w:t xml:space="preserve"> than the annual price (of $</w:t>
      </w:r>
      <w:r w:rsidR="007D10D3">
        <w:rPr>
          <w:noProof/>
          <w:color w:val="000000"/>
          <w:highlight w:val="black"/>
        </w:rPr>
        <w:t>'''''''''''''</w:t>
      </w:r>
      <w:r w:rsidRPr="00F77E7A">
        <w:t xml:space="preserve"> per patient). The </w:t>
      </w:r>
      <w:r w:rsidR="007D10D3">
        <w:rPr>
          <w:noProof/>
          <w:color w:val="000000"/>
          <w:highlight w:val="black"/>
        </w:rPr>
        <w:t>'''''</w:t>
      </w:r>
      <w:r w:rsidRPr="00F77E7A">
        <w:t>% rebate aligns with the rebate needed to achieve the intended annual price of $</w:t>
      </w:r>
      <w:r w:rsidR="007D10D3">
        <w:rPr>
          <w:noProof/>
          <w:color w:val="000000"/>
          <w:highlight w:val="black"/>
        </w:rPr>
        <w:t>''''''''''''</w:t>
      </w:r>
      <w:r w:rsidRPr="00F77E7A">
        <w:t xml:space="preserve"> per patient for lumacaftor/ivacaftor, based on the published DPMQ of $18,750. As the current submission proposed a DPMQ for tezacaftor/ivacaftor of $21,000, a higher rebate would be required to achieve the intended annual price of $</w:t>
      </w:r>
      <w:r w:rsidR="007D10D3">
        <w:rPr>
          <w:noProof/>
          <w:color w:val="000000"/>
          <w:highlight w:val="black"/>
        </w:rPr>
        <w:t>''''''''''''</w:t>
      </w:r>
      <w:r w:rsidRPr="00F77E7A">
        <w:t xml:space="preserve"> per patient. The pre-PBAC response noted that the submission incorrectly calculated the annual financial caps for the RF population and presented revised annual caps for the gross cost the PBS</w:t>
      </w:r>
      <w:r w:rsidR="00C94A1D" w:rsidRPr="00F77E7A">
        <w:t xml:space="preserve"> based on the intended annual price of $</w:t>
      </w:r>
      <w:r w:rsidR="007D10D3">
        <w:rPr>
          <w:noProof/>
          <w:color w:val="000000"/>
          <w:highlight w:val="black"/>
        </w:rPr>
        <w:t>''''''''''''''</w:t>
      </w:r>
      <w:r w:rsidR="00C94A1D" w:rsidRPr="00F77E7A">
        <w:t xml:space="preserve"> per patient</w:t>
      </w:r>
      <w:r w:rsidRPr="00F77E7A">
        <w:t>.</w:t>
      </w:r>
    </w:p>
    <w:p w:rsidR="00D7789E" w:rsidRPr="00F77E7A" w:rsidRDefault="00EC13C9" w:rsidP="00C33949">
      <w:pPr>
        <w:pStyle w:val="ListParagraph"/>
        <w:widowControl/>
        <w:numPr>
          <w:ilvl w:val="1"/>
          <w:numId w:val="2"/>
        </w:numPr>
        <w:spacing w:before="120" w:after="120"/>
      </w:pPr>
      <w:r w:rsidRPr="00F77E7A">
        <w:t xml:space="preserve">The use of </w:t>
      </w:r>
      <w:r w:rsidR="00283EF9" w:rsidRPr="00F77E7A">
        <w:t>an RSA</w:t>
      </w:r>
      <w:r w:rsidRPr="00F77E7A">
        <w:t xml:space="preserve"> to achi</w:t>
      </w:r>
      <w:r w:rsidR="00E157F8" w:rsidRPr="00F77E7A">
        <w:t>e</w:t>
      </w:r>
      <w:r w:rsidRPr="00F77E7A">
        <w:t xml:space="preserve">ve </w:t>
      </w:r>
      <w:r w:rsidR="00166ED9" w:rsidRPr="00F77E7A">
        <w:t xml:space="preserve">an </w:t>
      </w:r>
      <w:r w:rsidRPr="00F77E7A">
        <w:t xml:space="preserve">“effective price per patient” </w:t>
      </w:r>
      <w:r w:rsidR="00166ED9" w:rsidRPr="00F77E7A">
        <w:t>is</w:t>
      </w:r>
      <w:r w:rsidR="00283EF9" w:rsidRPr="00F77E7A">
        <w:t xml:space="preserve"> </w:t>
      </w:r>
      <w:r w:rsidRPr="00F77E7A">
        <w:t xml:space="preserve">associated with a significant risk that the Government would pay a higher amount than </w:t>
      </w:r>
      <w:r w:rsidR="00166ED9" w:rsidRPr="00F77E7A">
        <w:t xml:space="preserve">the intended price of </w:t>
      </w:r>
      <w:r w:rsidRPr="00F77E7A">
        <w:t>$</w:t>
      </w:r>
      <w:r w:rsidR="007D10D3">
        <w:rPr>
          <w:noProof/>
          <w:color w:val="000000"/>
          <w:highlight w:val="black"/>
        </w:rPr>
        <w:t>''''''''''''</w:t>
      </w:r>
      <w:r w:rsidRPr="00F77E7A">
        <w:t xml:space="preserve"> per patient per year</w:t>
      </w:r>
      <w:r w:rsidR="008F2DAC" w:rsidRPr="00F77E7A">
        <w:t xml:space="preserve">, as </w:t>
      </w:r>
      <w:r w:rsidR="00F77E7A">
        <w:t xml:space="preserve">achieving </w:t>
      </w:r>
      <w:r w:rsidRPr="00F77E7A">
        <w:t xml:space="preserve">this price </w:t>
      </w:r>
      <w:r w:rsidR="000207BA">
        <w:t xml:space="preserve">through a </w:t>
      </w:r>
      <w:r w:rsidR="00283EF9" w:rsidRPr="00F77E7A">
        <w:t xml:space="preserve">subsidisation </w:t>
      </w:r>
      <w:r w:rsidRPr="00F77E7A">
        <w:t xml:space="preserve">cap </w:t>
      </w:r>
      <w:r w:rsidR="000207BA">
        <w:t xml:space="preserve">is </w:t>
      </w:r>
      <w:r w:rsidRPr="00F77E7A">
        <w:t xml:space="preserve">dependent on </w:t>
      </w:r>
      <w:r w:rsidR="000207BA">
        <w:t xml:space="preserve">the achievement of the </w:t>
      </w:r>
      <w:r w:rsidR="00283EF9" w:rsidRPr="00F77E7A">
        <w:t>estimated utilisation</w:t>
      </w:r>
      <w:r w:rsidRPr="00F77E7A">
        <w:t>.</w:t>
      </w:r>
      <w:r w:rsidR="00283EF9" w:rsidRPr="00F77E7A">
        <w:t xml:space="preserve"> </w:t>
      </w:r>
      <w:r w:rsidR="00166ED9" w:rsidRPr="00F77E7A">
        <w:t>T</w:t>
      </w:r>
      <w:r w:rsidR="00B56F6B" w:rsidRPr="00F77E7A">
        <w:t xml:space="preserve">he ESC noted that this approach may be less appropriate in this setting </w:t>
      </w:r>
      <w:r w:rsidR="00166ED9" w:rsidRPr="00F77E7A">
        <w:t xml:space="preserve">than for patients homozygous for the F508del mutations </w:t>
      </w:r>
      <w:r w:rsidR="00B56F6B" w:rsidRPr="00F77E7A">
        <w:t>as the utilisation estimates</w:t>
      </w:r>
      <w:r w:rsidR="00166ED9" w:rsidRPr="00F77E7A">
        <w:t xml:space="preserve"> are potentially more uncertain </w:t>
      </w:r>
      <w:r w:rsidR="000D31E0" w:rsidRPr="00F77E7A">
        <w:t xml:space="preserve">given the rarity of the </w:t>
      </w:r>
      <w:r w:rsidR="00166ED9" w:rsidRPr="00F77E7A">
        <w:t xml:space="preserve">RF mutations </w:t>
      </w:r>
      <w:r w:rsidR="000D31E0" w:rsidRPr="00F77E7A">
        <w:t xml:space="preserve">and that the submission likely overestimated drug </w:t>
      </w:r>
      <w:r w:rsidR="001550F6" w:rsidRPr="00F77E7A">
        <w:t>utilisation</w:t>
      </w:r>
      <w:r w:rsidR="000D31E0" w:rsidRPr="00F77E7A">
        <w:t xml:space="preserve"> each yea</w:t>
      </w:r>
      <w:r w:rsidR="0068528B" w:rsidRPr="00F77E7A">
        <w:t>r (see paragraph 6.</w:t>
      </w:r>
      <w:r w:rsidR="00556B75" w:rsidRPr="00F77E7A">
        <w:t>4</w:t>
      </w:r>
      <w:r w:rsidR="00686935" w:rsidRPr="00F77E7A">
        <w:t>2</w:t>
      </w:r>
      <w:r w:rsidR="0068528B" w:rsidRPr="00F77E7A">
        <w:t>).</w:t>
      </w:r>
      <w:r w:rsidR="000D31E0" w:rsidRPr="00F77E7A">
        <w:t xml:space="preserve"> </w:t>
      </w:r>
      <w:r w:rsidR="00C94A1D" w:rsidRPr="00F77E7A">
        <w:t xml:space="preserve">The ESC also noted that the higher DPMQ leads to a greater level of </w:t>
      </w:r>
      <w:r w:rsidR="00712F84">
        <w:t>risk that</w:t>
      </w:r>
      <w:r w:rsidR="00C94A1D" w:rsidRPr="00F77E7A">
        <w:t xml:space="preserve"> the </w:t>
      </w:r>
      <w:r w:rsidR="00CA4121" w:rsidRPr="00F77E7A">
        <w:t xml:space="preserve">annual price of </w:t>
      </w:r>
      <w:r w:rsidR="00C94A1D" w:rsidRPr="00F77E7A">
        <w:t>$</w:t>
      </w:r>
      <w:r w:rsidR="007D10D3">
        <w:rPr>
          <w:noProof/>
          <w:color w:val="000000"/>
          <w:highlight w:val="black"/>
        </w:rPr>
        <w:t>''''''''''''''</w:t>
      </w:r>
      <w:r w:rsidR="00C94A1D" w:rsidRPr="00F77E7A">
        <w:t xml:space="preserve"> per patient would</w:t>
      </w:r>
      <w:r w:rsidR="00712F84">
        <w:t xml:space="preserve"> not</w:t>
      </w:r>
      <w:r w:rsidR="00C94A1D" w:rsidRPr="00F77E7A">
        <w:t xml:space="preserve"> be achieved in practice.</w:t>
      </w:r>
      <w:r w:rsidR="00447101" w:rsidRPr="00F77E7A">
        <w:t xml:space="preserve"> </w:t>
      </w:r>
      <w:r w:rsidR="00B56F6B" w:rsidRPr="00F77E7A">
        <w:t>T</w:t>
      </w:r>
      <w:r w:rsidRPr="00F77E7A">
        <w:t xml:space="preserve">he </w:t>
      </w:r>
      <w:r w:rsidR="009830E0" w:rsidRPr="00F77E7A">
        <w:t xml:space="preserve">ESC </w:t>
      </w:r>
      <w:r w:rsidR="00B56F6B" w:rsidRPr="00F77E7A">
        <w:t xml:space="preserve">considered </w:t>
      </w:r>
      <w:r w:rsidR="009830E0" w:rsidRPr="00F77E7A">
        <w:t xml:space="preserve">that </w:t>
      </w:r>
      <w:r w:rsidR="000207BA">
        <w:t xml:space="preserve">a </w:t>
      </w:r>
      <w:r w:rsidRPr="00F77E7A">
        <w:t xml:space="preserve">more </w:t>
      </w:r>
      <w:r w:rsidR="00776ADF">
        <w:t xml:space="preserve">appropriate </w:t>
      </w:r>
      <w:r w:rsidRPr="00F77E7A">
        <w:t xml:space="preserve">approach of </w:t>
      </w:r>
      <w:r w:rsidR="000207BA">
        <w:t xml:space="preserve">using </w:t>
      </w:r>
      <w:r w:rsidR="0015344E" w:rsidRPr="00F77E7A">
        <w:t xml:space="preserve">a Special Pricing Arrangement </w:t>
      </w:r>
      <w:r w:rsidRPr="00F77E7A">
        <w:t xml:space="preserve">to achieve the cost-effective per patient price and an </w:t>
      </w:r>
      <w:r w:rsidR="00420465">
        <w:t xml:space="preserve">RSA to cap </w:t>
      </w:r>
      <w:r w:rsidRPr="00F77E7A">
        <w:t xml:space="preserve">overall </w:t>
      </w:r>
      <w:r w:rsidR="00420465">
        <w:t xml:space="preserve">expenditure </w:t>
      </w:r>
      <w:r w:rsidRPr="00F77E7A">
        <w:t xml:space="preserve">to manage the fiscal risk to Government. </w:t>
      </w:r>
    </w:p>
    <w:p w:rsidR="00D7789E" w:rsidRPr="00F77E7A" w:rsidRDefault="00D7789E" w:rsidP="00C33949">
      <w:pPr>
        <w:keepNext/>
        <w:widowControl/>
        <w:spacing w:before="120" w:after="120"/>
        <w:rPr>
          <w:u w:val="single"/>
        </w:rPr>
      </w:pPr>
      <w:r w:rsidRPr="00F77E7A">
        <w:rPr>
          <w:u w:val="single"/>
        </w:rPr>
        <w:t>Estimated Government expenditure per patient for Year 1 of listing for lumacaftor/ivacaftor</w:t>
      </w:r>
    </w:p>
    <w:p w:rsidR="00EC13C9" w:rsidRPr="00F77E7A" w:rsidRDefault="00EA255C" w:rsidP="00C33949">
      <w:pPr>
        <w:pStyle w:val="ListParagraph"/>
        <w:widowControl/>
        <w:numPr>
          <w:ilvl w:val="1"/>
          <w:numId w:val="2"/>
        </w:numPr>
        <w:spacing w:before="120" w:after="120"/>
      </w:pPr>
      <w:r w:rsidRPr="00F77E7A">
        <w:t xml:space="preserve">The PSCR </w:t>
      </w:r>
      <w:r w:rsidR="00F77E7A" w:rsidRPr="00F77E7A">
        <w:t>stated</w:t>
      </w:r>
      <w:r w:rsidRPr="00F77E7A">
        <w:t xml:space="preserve"> “even though only listed in October 2018, Orkambi®</w:t>
      </w:r>
      <w:r w:rsidR="00166ED9" w:rsidRPr="00F77E7A">
        <w:t xml:space="preserve"> [lumacaftor/ivacaftor]</w:t>
      </w:r>
      <w:r w:rsidRPr="00F77E7A">
        <w:t xml:space="preserve"> use alone is predicted to exceed the [subsidisation] cap, and therefore it is highly likely that even an increased cap would be readily exceeded”. </w:t>
      </w:r>
      <w:r w:rsidR="001550F6" w:rsidRPr="00F77E7A">
        <w:t>The ESC noted that exceeding the subsidisation cap would not be sufficient to achieve the intended price per patient; rather, the estimated patient numbers</w:t>
      </w:r>
      <w:r w:rsidR="00D24B1C" w:rsidRPr="00F77E7A">
        <w:t xml:space="preserve"> for each year</w:t>
      </w:r>
      <w:r w:rsidR="001550F6" w:rsidRPr="00F77E7A">
        <w:t xml:space="preserve"> that were used to determine the subsidisation caps would need to be </w:t>
      </w:r>
      <w:r w:rsidR="00D24B1C" w:rsidRPr="00F77E7A">
        <w:t>met</w:t>
      </w:r>
      <w:r w:rsidR="001550F6" w:rsidRPr="00F77E7A">
        <w:t xml:space="preserve">. </w:t>
      </w:r>
      <w:r w:rsidR="009830E0" w:rsidRPr="00F77E7A">
        <w:t xml:space="preserve">In this regard, the ESC requested that the Department provide the PBAC with an update on utilisation of lumacaftor/ivacaftor since </w:t>
      </w:r>
      <w:r w:rsidR="009723FD" w:rsidRPr="00F77E7A">
        <w:t>listing</w:t>
      </w:r>
      <w:r w:rsidR="009830E0" w:rsidRPr="00F77E7A">
        <w:t xml:space="preserve"> on the PBS on 1 October 2018 and an assessment of the likelihood of </w:t>
      </w:r>
      <w:r w:rsidR="009723FD" w:rsidRPr="00F77E7A">
        <w:t xml:space="preserve">achieving </w:t>
      </w:r>
      <w:r w:rsidR="009830E0" w:rsidRPr="00F77E7A">
        <w:t xml:space="preserve">the </w:t>
      </w:r>
      <w:r w:rsidR="009723FD" w:rsidRPr="00F77E7A">
        <w:t xml:space="preserve">price of </w:t>
      </w:r>
      <w:r w:rsidR="009830E0" w:rsidRPr="00F77E7A">
        <w:t>$</w:t>
      </w:r>
      <w:r w:rsidR="007D10D3">
        <w:rPr>
          <w:noProof/>
          <w:color w:val="000000"/>
          <w:highlight w:val="black"/>
        </w:rPr>
        <w:t>''''''''''''''</w:t>
      </w:r>
      <w:r w:rsidR="009830E0" w:rsidRPr="00F77E7A">
        <w:t xml:space="preserve"> per patient </w:t>
      </w:r>
      <w:r w:rsidR="009723FD" w:rsidRPr="00F77E7A">
        <w:t xml:space="preserve">in </w:t>
      </w:r>
      <w:r w:rsidR="009830E0" w:rsidRPr="00F77E7A">
        <w:t>Year 1 of listing.</w:t>
      </w:r>
    </w:p>
    <w:p w:rsidR="00024679" w:rsidRPr="00F77E7A" w:rsidRDefault="00024679" w:rsidP="00C33949">
      <w:pPr>
        <w:pStyle w:val="ListParagraph"/>
        <w:keepNext/>
        <w:widowControl/>
        <w:numPr>
          <w:ilvl w:val="1"/>
          <w:numId w:val="2"/>
        </w:numPr>
        <w:spacing w:before="120" w:after="120"/>
        <w:rPr>
          <w:rFonts w:ascii="Arial Narrow" w:hAnsi="Arial Narrow" w:cs="Calibri"/>
          <w:b/>
          <w:color w:val="000000"/>
          <w:sz w:val="20"/>
          <w:szCs w:val="20"/>
        </w:rPr>
      </w:pPr>
      <w:r w:rsidRPr="00F77E7A">
        <w:t xml:space="preserve">The Department advised the PBAC that the subsidisation cap for Year 1 of listing was set based on </w:t>
      </w:r>
      <w:r w:rsidR="002474B5">
        <w:t xml:space="preserve">10,000 – 50,000 </w:t>
      </w:r>
      <w:r w:rsidRPr="00F77E7A">
        <w:t xml:space="preserve">prescriptions (or </w:t>
      </w:r>
      <w:r w:rsidR="002474B5">
        <w:t>less than 10,000</w:t>
      </w:r>
      <w:r w:rsidRPr="00F77E7A">
        <w:t xml:space="preserve"> full-time equivalent (FTE) patients receiving </w:t>
      </w:r>
      <w:r w:rsidR="002474B5">
        <w:t>less than 10,000</w:t>
      </w:r>
      <w:r w:rsidR="002474B5" w:rsidRPr="00F77E7A">
        <w:t xml:space="preserve"> </w:t>
      </w:r>
      <w:r w:rsidRPr="00F77E7A">
        <w:t xml:space="preserve">prescriptions per year) being dispensed in Year 1 (see Table </w:t>
      </w:r>
      <w:r w:rsidR="00D7789E" w:rsidRPr="00F77E7A">
        <w:t>14</w:t>
      </w:r>
      <w:r w:rsidRPr="00F77E7A">
        <w:t>)</w:t>
      </w:r>
      <w:r w:rsidR="00D7789E" w:rsidRPr="00F77E7A">
        <w:t>. Table 15</w:t>
      </w:r>
      <w:r w:rsidRPr="00F77E7A">
        <w:t xml:space="preserve"> presents the number of prescriptions and government expenditure for lumacaftor/ivacaftor for the first four months of listing. </w:t>
      </w:r>
    </w:p>
    <w:p w:rsidR="00024679" w:rsidRPr="00F77E7A" w:rsidRDefault="00024679" w:rsidP="00024679">
      <w:pPr>
        <w:keepNext/>
        <w:widowControl/>
        <w:rPr>
          <w:rFonts w:ascii="Arial Narrow" w:hAnsi="Arial Narrow" w:cs="Calibri"/>
          <w:b/>
          <w:color w:val="000000"/>
          <w:sz w:val="20"/>
          <w:szCs w:val="20"/>
        </w:rPr>
      </w:pPr>
      <w:r w:rsidRPr="00F77E7A">
        <w:rPr>
          <w:rFonts w:ascii="Arial Narrow" w:hAnsi="Arial Narrow"/>
          <w:b/>
          <w:sz w:val="20"/>
          <w:szCs w:val="20"/>
        </w:rPr>
        <w:t xml:space="preserve">Table </w:t>
      </w:r>
      <w:r w:rsidR="00D7789E" w:rsidRPr="00F77E7A">
        <w:rPr>
          <w:rFonts w:ascii="Arial Narrow" w:hAnsi="Arial Narrow"/>
          <w:b/>
          <w:sz w:val="20"/>
          <w:szCs w:val="20"/>
        </w:rPr>
        <w:t>14</w:t>
      </w:r>
      <w:r w:rsidRPr="00F77E7A">
        <w:rPr>
          <w:rFonts w:ascii="Arial Narrow" w:hAnsi="Arial Narrow"/>
          <w:b/>
          <w:sz w:val="20"/>
          <w:szCs w:val="20"/>
        </w:rPr>
        <w:t>: Subsidisation caps for lumacaftor/ivacaftor by year of listing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Subsidisation caps for lumacaftor/ivacaftor by year of listing"/>
      </w:tblPr>
      <w:tblGrid>
        <w:gridCol w:w="1301"/>
        <w:gridCol w:w="1201"/>
        <w:gridCol w:w="1328"/>
        <w:gridCol w:w="1860"/>
        <w:gridCol w:w="3327"/>
      </w:tblGrid>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hideMark/>
          </w:tcPr>
          <w:p w:rsidR="00024679" w:rsidRPr="00F77E7A" w:rsidRDefault="00024679" w:rsidP="00255F44">
            <w:pPr>
              <w:keepNext/>
              <w:widowControl/>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Year of listing</w:t>
            </w:r>
          </w:p>
        </w:tc>
        <w:tc>
          <w:tcPr>
            <w:tcW w:w="0" w:type="auto"/>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FTE patients</w:t>
            </w:r>
          </w:p>
        </w:tc>
        <w:tc>
          <w:tcPr>
            <w:tcW w:w="0" w:type="auto"/>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Prescriptions*</w:t>
            </w:r>
          </w:p>
        </w:tc>
        <w:tc>
          <w:tcPr>
            <w:tcW w:w="1860" w:type="dxa"/>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Subsidisation cap</w:t>
            </w:r>
          </w:p>
          <w:p w:rsidR="00024679" w:rsidRPr="00F77E7A" w:rsidRDefault="00024679" w:rsidP="00255F44">
            <w:pPr>
              <w:keepNext/>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w:t>
            </w:r>
            <w:r w:rsidR="007D10D3">
              <w:rPr>
                <w:rFonts w:ascii="Arial Narrow" w:hAnsi="Arial Narrow"/>
                <w:b/>
                <w:bCs/>
                <w:noProof/>
                <w:color w:val="000000"/>
                <w:sz w:val="20"/>
                <w:szCs w:val="20"/>
                <w:highlight w:val="black"/>
                <w:lang w:eastAsia="en-AU"/>
              </w:rPr>
              <w:t>''''''''</w:t>
            </w:r>
            <w:r w:rsidRPr="00F77E7A">
              <w:rPr>
                <w:rFonts w:ascii="Arial Narrow" w:hAnsi="Arial Narrow"/>
                <w:b/>
                <w:bCs/>
                <w:color w:val="000000"/>
                <w:sz w:val="20"/>
                <w:szCs w:val="20"/>
                <w:lang w:eastAsia="en-AU"/>
              </w:rPr>
              <w:t>/patient)</w:t>
            </w:r>
          </w:p>
        </w:tc>
        <w:tc>
          <w:tcPr>
            <w:tcW w:w="3918" w:type="dxa"/>
            <w:shd w:val="clear" w:color="auto" w:fill="FFFFFF" w:themeFill="background1"/>
            <w:vAlign w:val="center"/>
          </w:tcPr>
          <w:p w:rsidR="00024679" w:rsidRPr="00F77E7A" w:rsidRDefault="00024679" w:rsidP="00255F44">
            <w:pPr>
              <w:keepNext/>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Minimum subsidisation cap if MAP conditions not met ($22k/patient after the first 2.5 years of listing)</w:t>
            </w:r>
          </w:p>
        </w:tc>
      </w:tr>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hideMark/>
          </w:tcPr>
          <w:p w:rsidR="00024679" w:rsidRPr="00F77E7A" w:rsidRDefault="00024679" w:rsidP="00255F44">
            <w:pPr>
              <w:keepNext/>
              <w:widowControl/>
              <w:jc w:val="center"/>
              <w:rPr>
                <w:rFonts w:ascii="Arial Narrow" w:hAnsi="Arial Narrow"/>
                <w:bCs/>
                <w:color w:val="000000"/>
                <w:sz w:val="20"/>
                <w:szCs w:val="20"/>
                <w:lang w:eastAsia="en-AU"/>
              </w:rPr>
            </w:pPr>
            <w:r w:rsidRPr="00F77E7A">
              <w:rPr>
                <w:rFonts w:ascii="Arial Narrow" w:hAnsi="Arial Narrow"/>
                <w:bCs/>
                <w:color w:val="000000"/>
                <w:sz w:val="20"/>
                <w:szCs w:val="20"/>
                <w:lang w:eastAsia="en-AU"/>
              </w:rPr>
              <w:t>Year 1</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tcPr>
          <w:p w:rsidR="00024679" w:rsidRPr="007D10D3" w:rsidRDefault="007D10D3" w:rsidP="00255F44">
            <w:pPr>
              <w:keepNext/>
              <w:widowControl/>
              <w:ind w:firstLine="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hideMark/>
          </w:tcPr>
          <w:p w:rsidR="00024679" w:rsidRPr="00F77E7A" w:rsidRDefault="00024679" w:rsidP="00255F44">
            <w:pPr>
              <w:keepNext/>
              <w:widowControl/>
              <w:jc w:val="center"/>
              <w:rPr>
                <w:rFonts w:ascii="Arial Narrow" w:hAnsi="Arial Narrow"/>
                <w:bCs/>
                <w:color w:val="000000"/>
                <w:sz w:val="20"/>
                <w:szCs w:val="20"/>
                <w:lang w:eastAsia="en-AU"/>
              </w:rPr>
            </w:pPr>
            <w:r w:rsidRPr="00F77E7A">
              <w:rPr>
                <w:rFonts w:ascii="Arial Narrow" w:hAnsi="Arial Narrow"/>
                <w:bCs/>
                <w:color w:val="000000"/>
                <w:sz w:val="20"/>
                <w:szCs w:val="20"/>
                <w:lang w:eastAsia="en-AU"/>
              </w:rPr>
              <w:t>Year 2</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tcPr>
          <w:p w:rsidR="00024679" w:rsidRPr="007D10D3" w:rsidRDefault="007D10D3" w:rsidP="00255F44">
            <w:pPr>
              <w:keepNext/>
              <w:widowControl/>
              <w:ind w:firstLine="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Cs/>
                <w:color w:val="000000"/>
                <w:sz w:val="20"/>
                <w:szCs w:val="20"/>
                <w:lang w:eastAsia="en-AU"/>
              </w:rPr>
            </w:pPr>
            <w:r w:rsidRPr="00F77E7A">
              <w:rPr>
                <w:rFonts w:ascii="Arial Narrow" w:hAnsi="Arial Narrow"/>
                <w:bCs/>
                <w:color w:val="000000"/>
                <w:sz w:val="20"/>
                <w:szCs w:val="20"/>
                <w:lang w:eastAsia="en-AU"/>
              </w:rPr>
              <w:t>Year 3</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024679" w:rsidRPr="007D10D3" w:rsidRDefault="007D10D3" w:rsidP="00255F44">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Cs/>
                <w:color w:val="000000"/>
                <w:sz w:val="20"/>
                <w:szCs w:val="20"/>
                <w:lang w:eastAsia="en-AU"/>
              </w:rPr>
            </w:pPr>
            <w:r w:rsidRPr="00F77E7A">
              <w:rPr>
                <w:rFonts w:ascii="Arial Narrow" w:hAnsi="Arial Narrow"/>
                <w:bCs/>
                <w:color w:val="000000"/>
                <w:sz w:val="20"/>
                <w:szCs w:val="20"/>
                <w:lang w:eastAsia="en-AU"/>
              </w:rPr>
              <w:t>Year 4</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024679" w:rsidRPr="007D10D3" w:rsidRDefault="007D10D3" w:rsidP="00255F44">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024679" w:rsidRPr="00F77E7A" w:rsidTr="00255F44">
        <w:trPr>
          <w:trHeight w:val="300"/>
        </w:trPr>
        <w:tc>
          <w:tcPr>
            <w:tcW w:w="0" w:type="auto"/>
            <w:shd w:val="clear" w:color="auto" w:fill="FFFFFF" w:themeFill="background1"/>
            <w:noWrap/>
            <w:tcMar>
              <w:top w:w="0" w:type="dxa"/>
              <w:left w:w="108" w:type="dxa"/>
              <w:bottom w:w="0" w:type="dxa"/>
              <w:right w:w="108" w:type="dxa"/>
            </w:tcMar>
            <w:vAlign w:val="center"/>
          </w:tcPr>
          <w:p w:rsidR="00024679" w:rsidRPr="00F77E7A" w:rsidRDefault="00024679" w:rsidP="00255F44">
            <w:pPr>
              <w:keepNext/>
              <w:widowControl/>
              <w:jc w:val="center"/>
              <w:rPr>
                <w:rFonts w:ascii="Arial Narrow" w:hAnsi="Arial Narrow"/>
                <w:bCs/>
                <w:color w:val="000000"/>
                <w:sz w:val="20"/>
                <w:szCs w:val="20"/>
                <w:lang w:eastAsia="en-AU"/>
              </w:rPr>
            </w:pPr>
            <w:r w:rsidRPr="00F77E7A">
              <w:rPr>
                <w:rFonts w:ascii="Arial Narrow" w:hAnsi="Arial Narrow"/>
                <w:bCs/>
                <w:color w:val="000000"/>
                <w:sz w:val="20"/>
                <w:szCs w:val="20"/>
                <w:lang w:eastAsia="en-AU"/>
              </w:rPr>
              <w:t>Year 5</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024679" w:rsidRPr="007D10D3" w:rsidRDefault="007D10D3" w:rsidP="00255F44">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024679" w:rsidRPr="007D10D3" w:rsidRDefault="007D10D3" w:rsidP="00255F44">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bl>
    <w:p w:rsidR="00024679" w:rsidRPr="00F77E7A" w:rsidRDefault="00024679" w:rsidP="00024679">
      <w:pPr>
        <w:widowControl/>
        <w:rPr>
          <w:rFonts w:ascii="Arial Narrow" w:hAnsi="Arial Narrow"/>
          <w:sz w:val="18"/>
          <w:szCs w:val="20"/>
        </w:rPr>
      </w:pPr>
      <w:r w:rsidRPr="00F77E7A">
        <w:rPr>
          <w:rFonts w:ascii="Arial Narrow" w:hAnsi="Arial Narrow"/>
          <w:sz w:val="18"/>
          <w:szCs w:val="20"/>
        </w:rPr>
        <w:t>FTE = full-time equivalent, MAP = Managed Access Program.</w:t>
      </w:r>
    </w:p>
    <w:p w:rsidR="00024679" w:rsidRPr="00F77E7A" w:rsidRDefault="00024679" w:rsidP="00024679">
      <w:pPr>
        <w:widowControl/>
        <w:rPr>
          <w:rFonts w:ascii="Arial Narrow" w:hAnsi="Arial Narrow"/>
          <w:sz w:val="18"/>
          <w:szCs w:val="20"/>
        </w:rPr>
      </w:pPr>
      <w:r w:rsidRPr="00F77E7A">
        <w:rPr>
          <w:rFonts w:ascii="Arial Narrow" w:hAnsi="Arial Narrow"/>
          <w:sz w:val="18"/>
          <w:szCs w:val="20"/>
        </w:rPr>
        <w:t>*Assuming 11 prescriptions per FTE patient per year.</w:t>
      </w:r>
    </w:p>
    <w:p w:rsidR="00024679" w:rsidRPr="00F77E7A" w:rsidRDefault="00024679" w:rsidP="00024679">
      <w:pPr>
        <w:widowControl/>
        <w:rPr>
          <w:rFonts w:ascii="Arial Narrow" w:hAnsi="Arial Narrow"/>
          <w:sz w:val="18"/>
          <w:szCs w:val="20"/>
        </w:rPr>
      </w:pPr>
    </w:p>
    <w:p w:rsidR="00024679" w:rsidRPr="00F77E7A" w:rsidRDefault="00D7789E" w:rsidP="00024679">
      <w:pPr>
        <w:pStyle w:val="NormalWeb"/>
        <w:spacing w:before="0" w:after="0"/>
        <w:rPr>
          <w:rFonts w:ascii="Arial Narrow" w:hAnsi="Arial Narrow"/>
          <w:b/>
          <w:sz w:val="20"/>
          <w:szCs w:val="20"/>
          <w:lang w:val="en-AU"/>
        </w:rPr>
      </w:pPr>
      <w:r w:rsidRPr="00F77E7A">
        <w:rPr>
          <w:rFonts w:ascii="Arial Narrow" w:hAnsi="Arial Narrow"/>
          <w:b/>
          <w:sz w:val="20"/>
          <w:szCs w:val="20"/>
          <w:lang w:val="en-AU"/>
        </w:rPr>
        <w:t>Table 15</w:t>
      </w:r>
      <w:r w:rsidR="00024679" w:rsidRPr="00F77E7A">
        <w:rPr>
          <w:rFonts w:ascii="Arial Narrow" w:hAnsi="Arial Narrow"/>
          <w:b/>
          <w:sz w:val="20"/>
          <w:szCs w:val="20"/>
          <w:lang w:val="en-AU"/>
        </w:rPr>
        <w:t>: Utilisation of lumacaftor/ivacaftor (by month of processing), October 2018 to 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Utilisation of lumacaftor/ivacaftor (by month of processing), October 2018 to January 2019"/>
      </w:tblPr>
      <w:tblGrid>
        <w:gridCol w:w="2387"/>
        <w:gridCol w:w="1334"/>
        <w:gridCol w:w="1335"/>
        <w:gridCol w:w="1335"/>
        <w:gridCol w:w="1335"/>
        <w:gridCol w:w="1291"/>
      </w:tblGrid>
      <w:tr w:rsidR="00024679" w:rsidRPr="00F77E7A" w:rsidTr="00255F44">
        <w:trPr>
          <w:trHeight w:val="300"/>
        </w:trPr>
        <w:tc>
          <w:tcPr>
            <w:tcW w:w="1324"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rPr>
                <w:rFonts w:ascii="Arial Narrow" w:hAnsi="Arial Narrow"/>
                <w:b/>
                <w:bCs/>
                <w:color w:val="000000"/>
                <w:sz w:val="20"/>
                <w:szCs w:val="20"/>
                <w:lang w:eastAsia="en-AU"/>
              </w:rPr>
            </w:pPr>
          </w:p>
        </w:tc>
        <w:tc>
          <w:tcPr>
            <w:tcW w:w="740"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Oct 2018</w:t>
            </w:r>
          </w:p>
        </w:tc>
        <w:tc>
          <w:tcPr>
            <w:tcW w:w="740"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Nov 2018</w:t>
            </w:r>
          </w:p>
        </w:tc>
        <w:tc>
          <w:tcPr>
            <w:tcW w:w="740"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Dec 2018</w:t>
            </w:r>
          </w:p>
        </w:tc>
        <w:tc>
          <w:tcPr>
            <w:tcW w:w="740"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Jan 2019</w:t>
            </w:r>
          </w:p>
        </w:tc>
        <w:tc>
          <w:tcPr>
            <w:tcW w:w="717"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jc w:val="center"/>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Total</w:t>
            </w:r>
          </w:p>
        </w:tc>
      </w:tr>
      <w:tr w:rsidR="00024679" w:rsidRPr="00F77E7A" w:rsidTr="00255F44">
        <w:trPr>
          <w:trHeight w:val="300"/>
        </w:trPr>
        <w:tc>
          <w:tcPr>
            <w:tcW w:w="1324"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Prescriptions</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17"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024679" w:rsidRPr="00F77E7A" w:rsidTr="00255F44">
        <w:trPr>
          <w:trHeight w:val="300"/>
        </w:trPr>
        <w:tc>
          <w:tcPr>
            <w:tcW w:w="1324" w:type="pct"/>
            <w:shd w:val="clear" w:color="auto" w:fill="FFFFFF" w:themeFill="background1"/>
            <w:noWrap/>
            <w:tcMar>
              <w:top w:w="0" w:type="dxa"/>
              <w:left w:w="108" w:type="dxa"/>
              <w:bottom w:w="0" w:type="dxa"/>
              <w:right w:w="108" w:type="dxa"/>
            </w:tcMar>
            <w:vAlign w:val="bottom"/>
            <w:hideMark/>
          </w:tcPr>
          <w:p w:rsidR="00024679" w:rsidRPr="00F77E7A" w:rsidRDefault="00024679" w:rsidP="00255F44">
            <w:pPr>
              <w:widowControl/>
              <w:rPr>
                <w:rFonts w:ascii="Arial Narrow" w:hAnsi="Arial Narrow"/>
                <w:b/>
                <w:bCs/>
                <w:color w:val="000000"/>
                <w:sz w:val="20"/>
                <w:szCs w:val="20"/>
                <w:lang w:eastAsia="en-AU"/>
              </w:rPr>
            </w:pPr>
            <w:r w:rsidRPr="00F77E7A">
              <w:rPr>
                <w:rFonts w:ascii="Arial Narrow" w:hAnsi="Arial Narrow"/>
                <w:b/>
                <w:bCs/>
                <w:color w:val="000000"/>
                <w:sz w:val="20"/>
                <w:szCs w:val="20"/>
                <w:lang w:eastAsia="en-AU"/>
              </w:rPr>
              <w:t>Government Expenditure</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17" w:type="pct"/>
            <w:shd w:val="clear" w:color="auto" w:fill="FFFFFF" w:themeFill="background1"/>
            <w:noWrap/>
            <w:tcMar>
              <w:top w:w="0" w:type="dxa"/>
              <w:left w:w="108" w:type="dxa"/>
              <w:bottom w:w="0" w:type="dxa"/>
              <w:right w:w="108" w:type="dxa"/>
            </w:tcMar>
            <w:vAlign w:val="bottom"/>
            <w:hideMark/>
          </w:tcPr>
          <w:p w:rsidR="00024679" w:rsidRPr="007D10D3" w:rsidRDefault="007D10D3" w:rsidP="00255F44">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bl>
    <w:p w:rsidR="00024679" w:rsidRPr="00F77E7A" w:rsidRDefault="00024679" w:rsidP="00024679">
      <w:pPr>
        <w:widowControl/>
        <w:rPr>
          <w:rFonts w:ascii="Arial Narrow" w:hAnsi="Arial Narrow"/>
          <w:sz w:val="18"/>
          <w:szCs w:val="20"/>
        </w:rPr>
      </w:pPr>
      <w:r w:rsidRPr="00F77E7A">
        <w:rPr>
          <w:rFonts w:ascii="Arial Narrow" w:hAnsi="Arial Narrow"/>
          <w:sz w:val="18"/>
          <w:szCs w:val="20"/>
        </w:rPr>
        <w:t>Data extracted on 4 February 2019 based on month of processing.</w:t>
      </w:r>
    </w:p>
    <w:p w:rsidR="00024679" w:rsidRPr="00F77E7A" w:rsidRDefault="00024679" w:rsidP="00127A51">
      <w:pPr>
        <w:pStyle w:val="ListParagraph"/>
        <w:widowControl/>
        <w:numPr>
          <w:ilvl w:val="1"/>
          <w:numId w:val="2"/>
        </w:numPr>
        <w:spacing w:before="120" w:after="120"/>
        <w:rPr>
          <w:rFonts w:ascii="Arial Narrow" w:hAnsi="Arial Narrow"/>
          <w:b/>
          <w:sz w:val="20"/>
          <w:szCs w:val="20"/>
        </w:rPr>
      </w:pPr>
      <w:r w:rsidRPr="00F77E7A">
        <w:t xml:space="preserve">Figure </w:t>
      </w:r>
      <w:r w:rsidR="00D7789E" w:rsidRPr="00F77E7A">
        <w:t>5</w:t>
      </w:r>
      <w:r w:rsidRPr="00F77E7A">
        <w:t xml:space="preserve"> illustrates four scenarios for utilisation for the remainder of Year 1</w:t>
      </w:r>
      <w:r w:rsidR="00D7789E" w:rsidRPr="00F77E7A">
        <w:t xml:space="preserve"> of listing</w:t>
      </w:r>
      <w:r w:rsidRPr="00F77E7A">
        <w:t xml:space="preserve"> and the resulting government expenditure per patient (see legend). </w:t>
      </w:r>
      <w:r w:rsidR="00D7789E" w:rsidRPr="00F77E7A">
        <w:t>For t</w:t>
      </w:r>
      <w:r w:rsidRPr="00F77E7A">
        <w:t xml:space="preserve">he most optimistic scenario, in which </w:t>
      </w:r>
      <w:r w:rsidR="002474B5">
        <w:t xml:space="preserve">less than 10,000 </w:t>
      </w:r>
      <w:r w:rsidRPr="00F77E7A">
        <w:t>patients are treated in February 2019 and for the remainder of Year 1, Government expenditure per patient would be around $</w:t>
      </w:r>
      <w:r w:rsidR="007D10D3">
        <w:rPr>
          <w:noProof/>
          <w:color w:val="000000"/>
          <w:highlight w:val="black"/>
        </w:rPr>
        <w:t>''''''''''''''</w:t>
      </w:r>
      <w:r w:rsidRPr="00F77E7A">
        <w:t xml:space="preserve"> – higher than the intended </w:t>
      </w:r>
      <w:r w:rsidR="007F7D2A" w:rsidRPr="00F77E7A">
        <w:t>annual</w:t>
      </w:r>
      <w:r w:rsidRPr="00F77E7A">
        <w:t xml:space="preserve"> price of $</w:t>
      </w:r>
      <w:r w:rsidR="007D10D3">
        <w:rPr>
          <w:noProof/>
          <w:color w:val="000000"/>
          <w:highlight w:val="black"/>
        </w:rPr>
        <w:t>''''''''''''</w:t>
      </w:r>
      <w:r w:rsidRPr="00F77E7A">
        <w:t xml:space="preserve"> per patient. </w:t>
      </w:r>
    </w:p>
    <w:p w:rsidR="00024679" w:rsidRPr="00F77E7A" w:rsidRDefault="00DB363F" w:rsidP="00024679">
      <w:pPr>
        <w:keepNext/>
        <w:widowControl/>
        <w:rPr>
          <w:rFonts w:ascii="Arial Narrow" w:hAnsi="Arial Narrow"/>
          <w:b/>
          <w:sz w:val="20"/>
          <w:szCs w:val="20"/>
        </w:rPr>
      </w:pPr>
      <w:r w:rsidRPr="00DC0949">
        <w:rPr>
          <w:rFonts w:ascii="Arial Narrow" w:hAnsi="Arial Narrow"/>
          <w:b/>
          <w:sz w:val="20"/>
          <w:szCs w:val="20"/>
        </w:rPr>
        <w:t>Figure 5: Lumacaftor/ivacaftor prescriptions based on month of processing (October 2018-January 2019) with four scenarios for utilisation and the resulting government expenditure per patient for the remainder of Year 1 of listing</w:t>
      </w:r>
    </w:p>
    <w:p w:rsidR="00024679" w:rsidRPr="00F77E7A" w:rsidRDefault="007D10D3" w:rsidP="00024679">
      <w:pPr>
        <w:widowControl/>
        <w:rPr>
          <w:color w:val="1F497D"/>
        </w:rPr>
      </w:pPr>
      <w:r>
        <w:rPr>
          <w:noProof/>
          <w:snapToGrid/>
          <w:color w:val="1F497D"/>
          <w:lang w:eastAsia="en-AU"/>
        </w:rPr>
        <w:drawing>
          <wp:inline distT="0" distB="0" distL="0" distR="0">
            <wp:extent cx="5669280" cy="3707765"/>
            <wp:effectExtent l="0" t="0" r="7620" b="6985"/>
            <wp:docPr id="1" name="Picture 1" title="Lumacaftor/ivacaftor prescriptions based on month of processing (October 2018-January 2019) with four scenarios for utilisation and the resulting government expenditure per patient for the remainder of Year 1 of listin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69280" cy="3707765"/>
                    </a:xfrm>
                    <a:prstGeom prst="rect">
                      <a:avLst/>
                    </a:prstGeom>
                  </pic:spPr>
                </pic:pic>
              </a:graphicData>
            </a:graphic>
          </wp:inline>
        </w:drawing>
      </w:r>
    </w:p>
    <w:p w:rsidR="00024679" w:rsidRPr="00F77E7A" w:rsidRDefault="00024679" w:rsidP="00024679">
      <w:pPr>
        <w:widowControl/>
        <w:rPr>
          <w:rFonts w:ascii="Arial Narrow" w:hAnsi="Arial Narrow"/>
          <w:sz w:val="18"/>
          <w:szCs w:val="20"/>
        </w:rPr>
      </w:pPr>
      <w:r w:rsidRPr="00F77E7A">
        <w:rPr>
          <w:rFonts w:ascii="Arial Narrow" w:hAnsi="Arial Narrow"/>
          <w:sz w:val="18"/>
          <w:szCs w:val="20"/>
        </w:rPr>
        <w:t xml:space="preserve">Data extracted on 4 February 2019. </w:t>
      </w:r>
    </w:p>
    <w:p w:rsidR="00024679" w:rsidRPr="00F77E7A" w:rsidRDefault="00024679" w:rsidP="00024679">
      <w:pPr>
        <w:widowControl/>
        <w:rPr>
          <w:rFonts w:ascii="Arial Narrow" w:hAnsi="Arial Narrow"/>
          <w:sz w:val="18"/>
          <w:szCs w:val="20"/>
        </w:rPr>
      </w:pPr>
    </w:p>
    <w:p w:rsidR="00024679" w:rsidRPr="00F77E7A" w:rsidRDefault="00024679" w:rsidP="00127A51">
      <w:pPr>
        <w:pStyle w:val="ListParagraph"/>
        <w:widowControl/>
        <w:numPr>
          <w:ilvl w:val="1"/>
          <w:numId w:val="2"/>
        </w:numPr>
        <w:spacing w:before="120" w:after="120"/>
      </w:pPr>
      <w:r w:rsidRPr="00F77E7A">
        <w:t xml:space="preserve">The pre-PBAC response </w:t>
      </w:r>
      <w:r w:rsidR="00D83FAA">
        <w:t>stated</w:t>
      </w:r>
      <w:r w:rsidR="00D83FAA" w:rsidRPr="00F77E7A">
        <w:t xml:space="preserve"> </w:t>
      </w:r>
      <w:r w:rsidRPr="00F77E7A">
        <w:t xml:space="preserve">that the utilisation data may be misleading given it is based only on the first four months of listing. The pre-PBAC response </w:t>
      </w:r>
      <w:r w:rsidR="00D83FAA">
        <w:t xml:space="preserve">stated </w:t>
      </w:r>
      <w:r w:rsidRPr="00F77E7A">
        <w:t xml:space="preserve">that very little uptake would be possible in the first month of listing (October 2018) and that uptake may have been lower in the December/January holiday period; the sponsor expects around </w:t>
      </w:r>
      <w:r w:rsidR="002474B5">
        <w:t xml:space="preserve">less than 10,000 </w:t>
      </w:r>
      <w:r w:rsidRPr="00F77E7A">
        <w:t xml:space="preserve">patients will initiate treatment in the first year of listing. </w:t>
      </w:r>
    </w:p>
    <w:p w:rsidR="00024679" w:rsidRPr="00DC0949" w:rsidRDefault="00024679" w:rsidP="00127A51">
      <w:pPr>
        <w:pStyle w:val="ListParagraph"/>
        <w:widowControl/>
        <w:numPr>
          <w:ilvl w:val="1"/>
          <w:numId w:val="2"/>
        </w:numPr>
        <w:spacing w:before="120" w:after="120"/>
      </w:pPr>
      <w:r w:rsidRPr="00F77E7A">
        <w:t xml:space="preserve">The PBAC </w:t>
      </w:r>
      <w:r w:rsidRPr="00F77E7A">
        <w:rPr>
          <w:rFonts w:asciiTheme="minorHAnsi" w:hAnsiTheme="minorHAnsi"/>
          <w:bCs/>
          <w:szCs w:val="24"/>
        </w:rPr>
        <w:t xml:space="preserve">noted the update on utilisation of lumacaftor/ivacaftor since its listing on 1 October 2018 provided by the Department. While the PBAC acknowledged </w:t>
      </w:r>
      <w:r w:rsidRPr="00F77E7A">
        <w:t xml:space="preserve">that it was relatively early to look at utilisation of lumacaftor/ivacaftor, it considered that there was enough information available to judge that Government </w:t>
      </w:r>
      <w:r w:rsidRPr="00DC0949">
        <w:t>expenditure per patient will be significantly more than $</w:t>
      </w:r>
      <w:r w:rsidR="007D10D3">
        <w:rPr>
          <w:noProof/>
          <w:color w:val="000000"/>
          <w:highlight w:val="black"/>
        </w:rPr>
        <w:t>''''''''''''</w:t>
      </w:r>
      <w:r w:rsidRPr="00DC0949">
        <w:t xml:space="preserve"> in Year 1 of listing. </w:t>
      </w:r>
      <w:r w:rsidR="00DB363F" w:rsidRPr="00DC0949">
        <w:t>The PBAC considered that utilisation for Year 1 was more likely to fall between scenarios B and C, resulting in expenditure of between $</w:t>
      </w:r>
      <w:r w:rsidR="007D10D3">
        <w:rPr>
          <w:noProof/>
          <w:color w:val="000000"/>
          <w:highlight w:val="black"/>
        </w:rPr>
        <w:t>''''''''''''''''</w:t>
      </w:r>
      <w:r w:rsidR="00DB363F" w:rsidRPr="00DC0949">
        <w:t xml:space="preserve"> and $</w:t>
      </w:r>
      <w:r w:rsidR="007D10D3">
        <w:rPr>
          <w:noProof/>
          <w:color w:val="000000"/>
          <w:highlight w:val="black"/>
        </w:rPr>
        <w:t>''''''''''''''</w:t>
      </w:r>
      <w:r w:rsidR="00DB363F" w:rsidRPr="00DC0949">
        <w:t xml:space="preserve"> per patient for Year 1. Accordingly, the PBAC considered that Government expenditure on lumacaftor/ivacaftor per patient in Year 1 is likely to be significantly higher than what was considered to be acceptably cost effective by the PBAC in July 2018 (paragraph 7.3, July 2018 PSD).</w:t>
      </w:r>
    </w:p>
    <w:p w:rsidR="00112ECC" w:rsidRPr="00F77E7A" w:rsidRDefault="00024679" w:rsidP="00127A51">
      <w:pPr>
        <w:pStyle w:val="ListParagraph"/>
        <w:widowControl/>
        <w:numPr>
          <w:ilvl w:val="1"/>
          <w:numId w:val="2"/>
        </w:numPr>
        <w:spacing w:before="120" w:after="120"/>
      </w:pPr>
      <w:r w:rsidRPr="00F77E7A">
        <w:t xml:space="preserve">The PBAC considered that the lower than expected rate uptake of lumacaftor/ivacaftor could be explained in part </w:t>
      </w:r>
      <w:r w:rsidR="00FD3903">
        <w:t xml:space="preserve">by </w:t>
      </w:r>
      <w:r w:rsidRPr="00F77E7A">
        <w:t>the significant hospital resource</w:t>
      </w:r>
      <w:r w:rsidR="00D83FAA">
        <w:t>s</w:t>
      </w:r>
      <w:r w:rsidRPr="00F77E7A">
        <w:t xml:space="preserve"> required to initiate patients on treatment as described by the clinician during the sponsor hearing (see paragraph 6.</w:t>
      </w:r>
      <w:r w:rsidR="00C0775F" w:rsidRPr="00F77E7A">
        <w:t>2</w:t>
      </w:r>
      <w:r w:rsidRPr="00F77E7A">
        <w:t>). The PBAC noted that it was previously unaware that treatment initiation may be associated with admission to hospital and that the costs of these significant hospital resources had not been taken into account in estimating the cost effectiveness of lumacaftor/ivacaftor.</w:t>
      </w:r>
      <w:r w:rsidR="000507C1" w:rsidRPr="00F77E7A">
        <w:t xml:space="preserve"> </w:t>
      </w:r>
    </w:p>
    <w:p w:rsidR="00112ECC" w:rsidRPr="00F77E7A" w:rsidRDefault="00112ECC" w:rsidP="00127A51">
      <w:pPr>
        <w:widowControl/>
        <w:numPr>
          <w:ilvl w:val="1"/>
          <w:numId w:val="2"/>
        </w:numPr>
        <w:spacing w:before="120" w:after="120"/>
      </w:pPr>
      <w:r w:rsidRPr="00F77E7A">
        <w:rPr>
          <w:rFonts w:asciiTheme="minorHAnsi" w:hAnsiTheme="minorHAnsi"/>
          <w:bCs/>
          <w:szCs w:val="24"/>
        </w:rPr>
        <w:t>The PBAC considered there was a significant risk that the proposed annual price per patient of $</w:t>
      </w:r>
      <w:r w:rsidR="007D10D3">
        <w:rPr>
          <w:rFonts w:asciiTheme="minorHAnsi" w:hAnsiTheme="minorHAnsi"/>
          <w:bCs/>
          <w:noProof/>
          <w:color w:val="000000"/>
          <w:szCs w:val="24"/>
          <w:highlight w:val="black"/>
        </w:rPr>
        <w:t>''''''''''''</w:t>
      </w:r>
      <w:r w:rsidRPr="00F77E7A">
        <w:rPr>
          <w:rFonts w:asciiTheme="minorHAnsi" w:hAnsiTheme="minorHAnsi"/>
          <w:bCs/>
          <w:szCs w:val="24"/>
        </w:rPr>
        <w:t xml:space="preserve"> for tezacaftor/ivacaftor for the RF mutation patient population would not be achieved through the proposed subsidisation caps through an RSA, particularly given the uncertainty around estimated utilisation given the rarity of the condition. </w:t>
      </w:r>
    </w:p>
    <w:p w:rsidR="00BC57E6" w:rsidRPr="00F77E7A" w:rsidRDefault="00BC57E6" w:rsidP="00127A51">
      <w:pPr>
        <w:widowControl/>
        <w:spacing w:before="120" w:after="120"/>
        <w:rPr>
          <w:u w:val="single"/>
        </w:rPr>
      </w:pPr>
      <w:r w:rsidRPr="00F77E7A">
        <w:rPr>
          <w:u w:val="single"/>
        </w:rPr>
        <w:t xml:space="preserve">Managed Access </w:t>
      </w:r>
      <w:r w:rsidR="009622E7" w:rsidRPr="00F77E7A">
        <w:rPr>
          <w:u w:val="single"/>
        </w:rPr>
        <w:t>Program</w:t>
      </w:r>
      <w:r w:rsidR="005C467D" w:rsidRPr="00F77E7A">
        <w:rPr>
          <w:u w:val="single"/>
        </w:rPr>
        <w:t xml:space="preserve"> (MAP)</w:t>
      </w:r>
    </w:p>
    <w:p w:rsidR="001134A0" w:rsidRPr="00F77E7A" w:rsidRDefault="00E81990" w:rsidP="00127A51">
      <w:pPr>
        <w:pStyle w:val="ListParagraph"/>
        <w:widowControl/>
        <w:numPr>
          <w:ilvl w:val="1"/>
          <w:numId w:val="2"/>
        </w:numPr>
        <w:spacing w:before="120" w:after="120"/>
      </w:pPr>
      <w:r w:rsidRPr="00F77E7A">
        <w:t xml:space="preserve">In its consideration of </w:t>
      </w:r>
      <w:r w:rsidR="00A744C5" w:rsidRPr="00F77E7A">
        <w:t>lumacaftor/ivacaftor</w:t>
      </w:r>
      <w:r w:rsidRPr="00F77E7A">
        <w:t xml:space="preserve"> for patients</w:t>
      </w:r>
      <w:r w:rsidR="009F6880" w:rsidRPr="00F77E7A">
        <w:t xml:space="preserve"> </w:t>
      </w:r>
      <w:r w:rsidRPr="00F77E7A">
        <w:t xml:space="preserve">aged ≥ 12 years who are homozygous for the F508del mutation, the PBAC </w:t>
      </w:r>
      <w:r w:rsidR="00A038D8" w:rsidRPr="00F77E7A">
        <w:t xml:space="preserve">considered that the cost-effectiveness of lumacaftor/ivacaftor would be acceptable if a MAP (along with other measures) were implemented. The PBAC </w:t>
      </w:r>
      <w:r w:rsidRPr="00F77E7A">
        <w:t>considered that a MAP would allow patients to access treatment through the PBS whilst providing the sponsor with an extended period to provide further data to satisfy the PBAC that the benefits of treatment are sustained over a longer period (</w:t>
      </w:r>
      <w:r w:rsidR="00C67B57" w:rsidRPr="00F77E7A">
        <w:t>lumacaftor/ivacaftor (12+ years), July 2018 PSD p</w:t>
      </w:r>
      <w:r w:rsidRPr="00F77E7A">
        <w:t>aragraph</w:t>
      </w:r>
      <w:r w:rsidR="00031224" w:rsidRPr="00F77E7A">
        <w:t>s 7.3</w:t>
      </w:r>
      <w:r w:rsidR="00B0775B" w:rsidRPr="00F77E7A">
        <w:t xml:space="preserve"> and</w:t>
      </w:r>
      <w:r w:rsidR="00031224" w:rsidRPr="00F77E7A">
        <w:t xml:space="preserve"> 6.73</w:t>
      </w:r>
      <w:r w:rsidRPr="00F77E7A">
        <w:t xml:space="preserve">). </w:t>
      </w:r>
      <w:r w:rsidR="001134A0" w:rsidRPr="00F77E7A">
        <w:t xml:space="preserve">The PBAC </w:t>
      </w:r>
      <w:r w:rsidR="00D07BDD">
        <w:t>PSD</w:t>
      </w:r>
      <w:r w:rsidR="00D07BDD" w:rsidRPr="00F77E7A">
        <w:t xml:space="preserve"> </w:t>
      </w:r>
      <w:r w:rsidR="001134A0" w:rsidRPr="00F77E7A">
        <w:t>state</w:t>
      </w:r>
      <w:r w:rsidR="00D07BDD">
        <w:t>s</w:t>
      </w:r>
      <w:r w:rsidR="001134A0" w:rsidRPr="00F77E7A">
        <w:t xml:space="preserve"> that, under the</w:t>
      </w:r>
      <w:r w:rsidRPr="00F77E7A">
        <w:t xml:space="preserve"> </w:t>
      </w:r>
      <w:r w:rsidR="00A744C5" w:rsidRPr="00F77E7A">
        <w:t>MAP</w:t>
      </w:r>
      <w:r w:rsidR="001134A0" w:rsidRPr="00F77E7A">
        <w:t>,</w:t>
      </w:r>
      <w:r w:rsidRPr="00F77E7A">
        <w:t xml:space="preserve"> </w:t>
      </w:r>
      <w:r w:rsidR="001134A0" w:rsidRPr="00F77E7A">
        <w:t>“subsidy could be paid at the sponsor’s asking price of $</w:t>
      </w:r>
      <w:r w:rsidR="007D10D3">
        <w:rPr>
          <w:noProof/>
          <w:color w:val="000000"/>
          <w:highlight w:val="black"/>
        </w:rPr>
        <w:t>'''''''''''''</w:t>
      </w:r>
      <w:r w:rsidR="001134A0" w:rsidRPr="00F77E7A">
        <w:t xml:space="preserve"> per patient per year for a period of 2.5 years to allow the sponsor to provide further data to satisfy the PBAC that the differences in the rates of decline in lung function (ppFEV</w:t>
      </w:r>
      <w:r w:rsidR="001134A0" w:rsidRPr="00F77E7A">
        <w:rPr>
          <w:vertAlign w:val="subscript"/>
        </w:rPr>
        <w:t>1</w:t>
      </w:r>
      <w:r w:rsidR="001134A0" w:rsidRPr="00F77E7A">
        <w:t xml:space="preserve">) and pulmonary exacerbations observed over the 96 week trial period are sustained over a longer time period of at least 4 years in real clinical practice. If, by the end of the 2.5 year initial period of the MAP, the sponsor’s assumptions on rate of decline have not been substantiated or have only been partially substantiated, through a submission …. the PBAC considered that the price paid for lumacaftor with ivacaftor should reduce to a level consistent with the evidence provided” (July 2018 </w:t>
      </w:r>
      <w:r w:rsidR="00D07BDD">
        <w:t>PSD</w:t>
      </w:r>
      <w:r w:rsidR="001134A0" w:rsidRPr="00F77E7A">
        <w:t xml:space="preserve">, </w:t>
      </w:r>
      <w:r w:rsidR="00861B88" w:rsidRPr="00F77E7A">
        <w:t>p</w:t>
      </w:r>
      <w:r w:rsidR="001134A0" w:rsidRPr="00F77E7A">
        <w:t xml:space="preserve">aragraphs 6.74 and 6.75). </w:t>
      </w:r>
    </w:p>
    <w:p w:rsidR="0081289C" w:rsidRPr="00F77E7A" w:rsidRDefault="00B0775B" w:rsidP="00127A51">
      <w:pPr>
        <w:pStyle w:val="ListParagraph"/>
        <w:widowControl/>
        <w:numPr>
          <w:ilvl w:val="1"/>
          <w:numId w:val="2"/>
        </w:numPr>
        <w:spacing w:before="120" w:after="120"/>
      </w:pPr>
      <w:r w:rsidRPr="00F77E7A">
        <w:t>T</w:t>
      </w:r>
      <w:r w:rsidR="00A038D8" w:rsidRPr="00F77E7A">
        <w:t xml:space="preserve">he submission did not propose a similar MAP for tezacaftor/ivacaftor, despite the clinical data being subject to </w:t>
      </w:r>
      <w:r w:rsidRPr="00F77E7A">
        <w:t xml:space="preserve">more </w:t>
      </w:r>
      <w:r w:rsidR="00A038D8" w:rsidRPr="00F77E7A">
        <w:t xml:space="preserve">uncertainty around the </w:t>
      </w:r>
      <w:r w:rsidR="00420465" w:rsidRPr="00F77E7A">
        <w:t>longer-term</w:t>
      </w:r>
      <w:r w:rsidR="00A038D8" w:rsidRPr="00F77E7A">
        <w:t xml:space="preserve"> impact on lung function</w:t>
      </w:r>
      <w:r w:rsidRPr="00F77E7A">
        <w:t>, compared with previous submission for lumacaftor/ivacaftor</w:t>
      </w:r>
      <w:r w:rsidR="00A038D8" w:rsidRPr="00F77E7A">
        <w:t xml:space="preserve">. </w:t>
      </w:r>
      <w:r w:rsidR="00D378EA" w:rsidRPr="00F77E7A">
        <w:t>The evaluation acknowledged that a</w:t>
      </w:r>
      <w:r w:rsidR="00A038D8" w:rsidRPr="00F77E7A">
        <w:t xml:space="preserve"> MAP may be more difficult to implement in this circumstance given </w:t>
      </w:r>
      <w:r w:rsidR="00AD0BAB" w:rsidRPr="00F77E7A">
        <w:t>the efficacy data for tezacaftor/ivacaftor are based on a shorter duration of follow-up (8 weeks</w:t>
      </w:r>
      <w:r w:rsidR="00157A02" w:rsidRPr="00F77E7A">
        <w:t xml:space="preserve"> plus 24 weeks of extension data</w:t>
      </w:r>
      <w:r w:rsidR="00AD0BAB" w:rsidRPr="00F77E7A">
        <w:t>) than those for lumacaftor/ivacaftor (</w:t>
      </w:r>
      <w:r w:rsidR="00157A02" w:rsidRPr="00F77E7A">
        <w:t xml:space="preserve">24 weeks plus </w:t>
      </w:r>
      <w:r w:rsidR="00AD0BAB" w:rsidRPr="00F77E7A">
        <w:t xml:space="preserve">96 weeks of </w:t>
      </w:r>
      <w:r w:rsidR="00157A02" w:rsidRPr="00F77E7A">
        <w:t xml:space="preserve">extension </w:t>
      </w:r>
      <w:r w:rsidR="00AD0BAB" w:rsidRPr="00F77E7A">
        <w:t xml:space="preserve">data). Further, </w:t>
      </w:r>
      <w:r w:rsidR="00A038D8" w:rsidRPr="00F77E7A">
        <w:t xml:space="preserve">the patient numbers are likely to be smaller </w:t>
      </w:r>
      <w:r w:rsidR="00E870A8" w:rsidRPr="00F77E7A">
        <w:t xml:space="preserve">and </w:t>
      </w:r>
      <w:r w:rsidR="00A038D8" w:rsidRPr="00F77E7A">
        <w:t>thus the necessary patient follow-up data may be more limited</w:t>
      </w:r>
      <w:r w:rsidR="000C1553" w:rsidRPr="00F77E7A">
        <w:t>.</w:t>
      </w:r>
    </w:p>
    <w:p w:rsidR="00364C41" w:rsidRPr="00F77E7A" w:rsidRDefault="0083678D" w:rsidP="00127A51">
      <w:pPr>
        <w:pStyle w:val="ListParagraph"/>
        <w:widowControl/>
        <w:numPr>
          <w:ilvl w:val="1"/>
          <w:numId w:val="2"/>
        </w:numPr>
        <w:spacing w:before="120" w:after="120"/>
      </w:pPr>
      <w:r w:rsidRPr="00F77E7A">
        <w:t xml:space="preserve">The PSCR </w:t>
      </w:r>
      <w:r w:rsidR="00AA75CC" w:rsidRPr="00F77E7A">
        <w:t xml:space="preserve">requested </w:t>
      </w:r>
      <w:r w:rsidRPr="00F77E7A">
        <w:t xml:space="preserve">that tezacaftor/ivacaftor patients should not be included “in the actual MAP data collection process </w:t>
      </w:r>
      <w:r w:rsidRPr="00F77E7A">
        <w:rPr>
          <w:i/>
        </w:rPr>
        <w:t>per se</w:t>
      </w:r>
      <w:r w:rsidRPr="00F77E7A">
        <w:t xml:space="preserve"> particularly given that the earliest possible listing date for tezacaftor/ivacaftor is one year into the MAP follow-up period. Furthermore, inclusion of the tezacaftor/ivacaftor-treated RF patients is particularly problematic due to relatively small number of these patients and the heterogeneity of the groups – therefore considerably increasing the chance of a spurious finding (in either direction)”. </w:t>
      </w:r>
      <w:r w:rsidR="00B0775B" w:rsidRPr="00F77E7A">
        <w:t>Subsequent to the</w:t>
      </w:r>
      <w:r w:rsidR="00394B53" w:rsidRPr="00F77E7A">
        <w:t xml:space="preserve"> PSCR, the sponsor confirmed </w:t>
      </w:r>
      <w:r w:rsidR="00B0775B" w:rsidRPr="00F77E7A">
        <w:t xml:space="preserve">to the Department </w:t>
      </w:r>
      <w:r w:rsidR="00394B53" w:rsidRPr="00F77E7A">
        <w:t xml:space="preserve">that </w:t>
      </w:r>
      <w:r w:rsidR="00B0775B" w:rsidRPr="00F77E7A">
        <w:t>it</w:t>
      </w:r>
      <w:r w:rsidR="00394B53" w:rsidRPr="00F77E7A">
        <w:t xml:space="preserve"> do</w:t>
      </w:r>
      <w:r w:rsidR="00B0775B" w:rsidRPr="00F77E7A">
        <w:t>es</w:t>
      </w:r>
      <w:r w:rsidR="00394B53" w:rsidRPr="00F77E7A">
        <w:t xml:space="preserve"> not intend to </w:t>
      </w:r>
      <w:r w:rsidR="00B0775B" w:rsidRPr="00F77E7A">
        <w:t>run</w:t>
      </w:r>
      <w:r w:rsidR="00394B53" w:rsidRPr="00F77E7A">
        <w:t xml:space="preserve"> a MAP for tezacaftor/ivacaftor. The sponsor proposed instead that any impact of the rate of decline in ppFEV</w:t>
      </w:r>
      <w:r w:rsidR="00394B53" w:rsidRPr="00F77E7A">
        <w:rPr>
          <w:vertAlign w:val="subscript"/>
        </w:rPr>
        <w:t>1</w:t>
      </w:r>
      <w:r w:rsidR="00394B53" w:rsidRPr="00F77E7A">
        <w:t xml:space="preserve"> </w:t>
      </w:r>
      <w:r w:rsidR="008D2167" w:rsidRPr="00F77E7A">
        <w:t xml:space="preserve">for patients treated with lumacaftor/ivacaftor </w:t>
      </w:r>
      <w:r w:rsidR="0078748B" w:rsidRPr="00F77E7A">
        <w:t xml:space="preserve">on the Year 3-5 </w:t>
      </w:r>
      <w:r w:rsidR="00B0775B" w:rsidRPr="00F77E7A">
        <w:t>subsidisation</w:t>
      </w:r>
      <w:r w:rsidR="0078748B" w:rsidRPr="00F77E7A">
        <w:t xml:space="preserve"> caps </w:t>
      </w:r>
      <w:r w:rsidR="00B0775B" w:rsidRPr="00F77E7A">
        <w:t>in</w:t>
      </w:r>
      <w:r w:rsidR="0078748B" w:rsidRPr="00F77E7A">
        <w:t xml:space="preserve"> the</w:t>
      </w:r>
      <w:r w:rsidR="00B0775B" w:rsidRPr="00F77E7A">
        <w:t xml:space="preserve"> lumacaftor/ivacaftor</w:t>
      </w:r>
      <w:r w:rsidR="0078748B" w:rsidRPr="00F77E7A">
        <w:t xml:space="preserve"> deed be applied </w:t>
      </w:r>
      <w:r w:rsidR="00B0775B" w:rsidRPr="00F77E7A">
        <w:t xml:space="preserve">to both the existing and requested listings of </w:t>
      </w:r>
      <w:r w:rsidR="0078748B" w:rsidRPr="00F77E7A">
        <w:t xml:space="preserve">lumacaftor/ivacaftor </w:t>
      </w:r>
      <w:r w:rsidR="00B0775B" w:rsidRPr="00F77E7A">
        <w:t>and</w:t>
      </w:r>
      <w:r w:rsidR="0078748B" w:rsidRPr="00F77E7A">
        <w:t xml:space="preserve"> tezacaftor/ivacaftor and regardless of which CFTR gene mutation the patient has</w:t>
      </w:r>
      <w:r w:rsidR="00AD5A92" w:rsidRPr="00F77E7A">
        <w:t xml:space="preserve"> (RF or </w:t>
      </w:r>
      <w:r w:rsidR="00B0775B" w:rsidRPr="00F77E7A">
        <w:t xml:space="preserve">homozygous for </w:t>
      </w:r>
      <w:r w:rsidR="00AD5A92" w:rsidRPr="00F77E7A">
        <w:t>F508del)</w:t>
      </w:r>
      <w:r w:rsidR="0078748B" w:rsidRPr="00F77E7A">
        <w:t xml:space="preserve">. </w:t>
      </w:r>
      <w:r w:rsidR="00D378EA" w:rsidRPr="00F77E7A">
        <w:t>The ESC considered that applying the result of the lumacaftor/ivacaftor MAP for the homozygous F508del population</w:t>
      </w:r>
      <w:r w:rsidR="00053394" w:rsidRPr="00F77E7A">
        <w:t xml:space="preserve"> alone</w:t>
      </w:r>
      <w:r w:rsidR="00D378EA" w:rsidRPr="00F77E7A">
        <w:t xml:space="preserve"> would not address the uncertainty in the long-term effectiveness of tezacaftor/ivacaftor for the RF mutation population.</w:t>
      </w:r>
    </w:p>
    <w:p w:rsidR="00913AAE" w:rsidRPr="00F77E7A" w:rsidRDefault="006405EE" w:rsidP="00127A51">
      <w:pPr>
        <w:keepNext/>
        <w:widowControl/>
        <w:numPr>
          <w:ilvl w:val="1"/>
          <w:numId w:val="2"/>
        </w:numPr>
        <w:spacing w:before="120" w:after="120"/>
      </w:pPr>
      <w:r w:rsidRPr="00F77E7A">
        <w:rPr>
          <w:rFonts w:asciiTheme="minorHAnsi" w:hAnsiTheme="minorHAnsi"/>
          <w:bCs/>
          <w:szCs w:val="24"/>
        </w:rPr>
        <w:t>The PBAC noted that the submission did not propose a MAP similar to which currently applies to lumacaftor/ivacaftor. However, the PBAC considered that a similar MAP might not adequately address the uncertainty around the longer-term efficacy of tezacaftor/ivacaftor as the operation of the MAP requires the availability of longer-term data, which may be limited in the context of this rare condition. In the absence of longer-term data for tezacaftor/ivacaftor for this patient population, t</w:t>
      </w:r>
      <w:r w:rsidR="00913AAE" w:rsidRPr="00F77E7A">
        <w:rPr>
          <w:rFonts w:asciiTheme="minorHAnsi" w:hAnsiTheme="minorHAnsi"/>
          <w:bCs/>
          <w:szCs w:val="24"/>
        </w:rPr>
        <w:t xml:space="preserve">he PBAC </w:t>
      </w:r>
      <w:r w:rsidRPr="00F77E7A">
        <w:rPr>
          <w:rFonts w:asciiTheme="minorHAnsi" w:hAnsiTheme="minorHAnsi"/>
          <w:bCs/>
          <w:szCs w:val="24"/>
        </w:rPr>
        <w:t xml:space="preserve">pragmatically </w:t>
      </w:r>
      <w:r w:rsidR="00913AAE" w:rsidRPr="00F77E7A">
        <w:rPr>
          <w:rFonts w:asciiTheme="minorHAnsi" w:hAnsiTheme="minorHAnsi"/>
          <w:bCs/>
          <w:szCs w:val="24"/>
        </w:rPr>
        <w:t>advised that</w:t>
      </w:r>
      <w:r w:rsidRPr="00F77E7A">
        <w:rPr>
          <w:rFonts w:asciiTheme="minorHAnsi" w:hAnsiTheme="minorHAnsi"/>
          <w:bCs/>
          <w:szCs w:val="24"/>
        </w:rPr>
        <w:t xml:space="preserve"> </w:t>
      </w:r>
      <w:r w:rsidR="001657DE" w:rsidRPr="00F77E7A">
        <w:rPr>
          <w:rFonts w:asciiTheme="minorHAnsi" w:hAnsiTheme="minorHAnsi"/>
          <w:bCs/>
          <w:szCs w:val="24"/>
        </w:rPr>
        <w:t xml:space="preserve">should the MAP for lumacaftor/ivacaftor result in any change to the lumacaftor/ivacaftor price per patient per year, this price should also be applicable to the listing of tezacaftor/ivacaftor </w:t>
      </w:r>
      <w:r w:rsidR="00913AAE" w:rsidRPr="00F77E7A">
        <w:rPr>
          <w:rFonts w:asciiTheme="minorHAnsi" w:hAnsiTheme="minorHAnsi"/>
          <w:bCs/>
          <w:szCs w:val="24"/>
        </w:rPr>
        <w:t xml:space="preserve">for the RF mutation patient population. </w:t>
      </w:r>
    </w:p>
    <w:p w:rsidR="00DB2577" w:rsidRPr="00F77E7A" w:rsidRDefault="00DB2577" w:rsidP="00127A51">
      <w:pPr>
        <w:pStyle w:val="ListParagraph"/>
        <w:widowControl/>
        <w:spacing w:before="120" w:after="120"/>
        <w:ind w:left="709"/>
        <w:rPr>
          <w:rFonts w:asciiTheme="minorHAnsi" w:hAnsiTheme="minorHAnsi"/>
          <w:i/>
        </w:rPr>
      </w:pPr>
      <w:r w:rsidRPr="00F77E7A">
        <w:rPr>
          <w:rFonts w:asciiTheme="minorHAnsi" w:hAnsiTheme="minorHAnsi"/>
          <w:i/>
        </w:rPr>
        <w:t>For more detail on PBAC’s view, see section 7 PBAC outcome.</w:t>
      </w:r>
    </w:p>
    <w:p w:rsidR="007B1AB9" w:rsidRPr="00F77E7A" w:rsidRDefault="007B1AB9" w:rsidP="00127A51">
      <w:pPr>
        <w:pStyle w:val="PBACHeading1"/>
        <w:numPr>
          <w:ilvl w:val="0"/>
          <w:numId w:val="22"/>
        </w:numPr>
        <w:spacing w:before="120"/>
      </w:pPr>
      <w:bookmarkStart w:id="14" w:name="_GoBack"/>
      <w:bookmarkEnd w:id="14"/>
      <w:r w:rsidRPr="00F77E7A">
        <w:t xml:space="preserve">PBAC Outcome </w:t>
      </w:r>
    </w:p>
    <w:p w:rsidR="007B1AB9" w:rsidRPr="00F77E7A" w:rsidRDefault="007B1AB9"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The PBAC recommended the</w:t>
      </w:r>
      <w:r w:rsidR="002E7FF3" w:rsidRPr="00F77E7A">
        <w:rPr>
          <w:rFonts w:asciiTheme="minorHAnsi" w:hAnsiTheme="minorHAnsi"/>
          <w:bCs/>
          <w:szCs w:val="24"/>
        </w:rPr>
        <w:t xml:space="preserve"> Authority Required</w:t>
      </w:r>
      <w:r w:rsidRPr="00F77E7A">
        <w:rPr>
          <w:rFonts w:asciiTheme="minorHAnsi" w:hAnsiTheme="minorHAnsi"/>
          <w:bCs/>
          <w:szCs w:val="24"/>
        </w:rPr>
        <w:t xml:space="preserve"> listing of </w:t>
      </w:r>
      <w:r w:rsidR="00C96DE2" w:rsidRPr="00F77E7A">
        <w:rPr>
          <w:rFonts w:asciiTheme="minorHAnsi" w:hAnsiTheme="minorHAnsi"/>
          <w:bCs/>
          <w:szCs w:val="24"/>
        </w:rPr>
        <w:t xml:space="preserve">tezacaftor with ivacaftor for the treatment of patients aged 12 years or older who have </w:t>
      </w:r>
      <w:r w:rsidR="00181D03" w:rsidRPr="00F77E7A">
        <w:rPr>
          <w:rFonts w:asciiTheme="minorHAnsi" w:hAnsiTheme="minorHAnsi"/>
          <w:bCs/>
          <w:szCs w:val="24"/>
        </w:rPr>
        <w:t xml:space="preserve">one copy of the F508del mutation and another </w:t>
      </w:r>
      <w:r w:rsidR="00C96DE2" w:rsidRPr="00F77E7A">
        <w:rPr>
          <w:rFonts w:asciiTheme="minorHAnsi" w:hAnsiTheme="minorHAnsi"/>
          <w:bCs/>
          <w:szCs w:val="24"/>
        </w:rPr>
        <w:t>residual function (RF) mutation</w:t>
      </w:r>
      <w:r w:rsidR="00181D03" w:rsidRPr="00F77E7A">
        <w:rPr>
          <w:rFonts w:asciiTheme="minorHAnsi" w:hAnsiTheme="minorHAnsi"/>
          <w:bCs/>
          <w:szCs w:val="24"/>
        </w:rPr>
        <w:t xml:space="preserve"> </w:t>
      </w:r>
      <w:r w:rsidR="00C96DE2" w:rsidRPr="00F77E7A">
        <w:rPr>
          <w:rFonts w:asciiTheme="minorHAnsi" w:hAnsiTheme="minorHAnsi"/>
          <w:bCs/>
          <w:szCs w:val="24"/>
        </w:rPr>
        <w:t>in the CFTR gene</w:t>
      </w:r>
      <w:r w:rsidRPr="00F77E7A">
        <w:rPr>
          <w:rFonts w:asciiTheme="minorHAnsi" w:hAnsiTheme="minorHAnsi"/>
          <w:bCs/>
          <w:szCs w:val="24"/>
        </w:rPr>
        <w:t>, on the basis that it should be available only under special arrangements under Section 100</w:t>
      </w:r>
      <w:r w:rsidR="00CC1119" w:rsidRPr="00F77E7A">
        <w:rPr>
          <w:rFonts w:asciiTheme="minorHAnsi" w:hAnsiTheme="minorHAnsi"/>
          <w:bCs/>
          <w:szCs w:val="24"/>
        </w:rPr>
        <w:t xml:space="preserve"> (Highly Specialised Drugs Program)</w:t>
      </w:r>
      <w:r w:rsidR="00A03A26" w:rsidRPr="00F77E7A">
        <w:rPr>
          <w:rFonts w:asciiTheme="minorHAnsi" w:hAnsiTheme="minorHAnsi"/>
          <w:bCs/>
          <w:szCs w:val="24"/>
        </w:rPr>
        <w:t xml:space="preserve">. </w:t>
      </w:r>
      <w:r w:rsidR="00CC1119" w:rsidRPr="00F77E7A">
        <w:rPr>
          <w:rFonts w:asciiTheme="minorHAnsi" w:hAnsiTheme="minorHAnsi"/>
          <w:bCs/>
          <w:szCs w:val="24"/>
        </w:rPr>
        <w:t xml:space="preserve">The PBAC is satisfied that tezacaftor/ivacaftor provides, for some patients, a significant improvement in efficacy over best supportive care (BSC). </w:t>
      </w:r>
      <w:r w:rsidRPr="00F77E7A">
        <w:rPr>
          <w:rFonts w:asciiTheme="minorHAnsi" w:hAnsiTheme="minorHAnsi"/>
          <w:bCs/>
          <w:szCs w:val="24"/>
        </w:rPr>
        <w:t>The PBAC recommended the special arrangements</w:t>
      </w:r>
      <w:r w:rsidR="002E7FF3" w:rsidRPr="00F77E7A">
        <w:rPr>
          <w:rFonts w:asciiTheme="minorHAnsi" w:hAnsiTheme="minorHAnsi"/>
          <w:bCs/>
          <w:szCs w:val="24"/>
        </w:rPr>
        <w:t xml:space="preserve"> and circumstances</w:t>
      </w:r>
      <w:r w:rsidRPr="00F77E7A">
        <w:rPr>
          <w:rFonts w:asciiTheme="minorHAnsi" w:hAnsiTheme="minorHAnsi"/>
          <w:bCs/>
          <w:szCs w:val="24"/>
        </w:rPr>
        <w:t xml:space="preserve"> described </w:t>
      </w:r>
      <w:r w:rsidR="002E7FF3" w:rsidRPr="00F77E7A">
        <w:rPr>
          <w:rFonts w:asciiTheme="minorHAnsi" w:hAnsiTheme="minorHAnsi"/>
          <w:bCs/>
          <w:szCs w:val="24"/>
        </w:rPr>
        <w:t xml:space="preserve">in the tables in section 8 </w:t>
      </w:r>
      <w:r w:rsidRPr="00F77E7A">
        <w:rPr>
          <w:rFonts w:asciiTheme="minorHAnsi" w:hAnsiTheme="minorHAnsi"/>
          <w:bCs/>
          <w:szCs w:val="24"/>
        </w:rPr>
        <w:t>below</w:t>
      </w:r>
      <w:r w:rsidR="002E7FF3" w:rsidRPr="00F77E7A">
        <w:rPr>
          <w:rFonts w:asciiTheme="minorHAnsi" w:hAnsiTheme="minorHAnsi"/>
          <w:bCs/>
          <w:szCs w:val="24"/>
        </w:rPr>
        <w:t>.</w:t>
      </w:r>
    </w:p>
    <w:p w:rsidR="00181D03" w:rsidRPr="00F77E7A" w:rsidRDefault="00181D03"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 xml:space="preserve">The PBAC considered that the restriction should restrict use to RF mutation patients who </w:t>
      </w:r>
      <w:r w:rsidR="00450DCE" w:rsidRPr="00F77E7A">
        <w:rPr>
          <w:rFonts w:asciiTheme="minorHAnsi" w:hAnsiTheme="minorHAnsi"/>
          <w:bCs/>
          <w:szCs w:val="24"/>
        </w:rPr>
        <w:t>have one copy of</w:t>
      </w:r>
      <w:r w:rsidRPr="00F77E7A">
        <w:rPr>
          <w:rFonts w:asciiTheme="minorHAnsi" w:hAnsiTheme="minorHAnsi"/>
          <w:bCs/>
          <w:szCs w:val="24"/>
        </w:rPr>
        <w:t xml:space="preserve"> the F508del mutation</w:t>
      </w:r>
      <w:r w:rsidR="00F14EEB" w:rsidRPr="00F77E7A">
        <w:rPr>
          <w:rFonts w:asciiTheme="minorHAnsi" w:hAnsiTheme="minorHAnsi"/>
          <w:bCs/>
          <w:szCs w:val="24"/>
        </w:rPr>
        <w:t xml:space="preserve"> </w:t>
      </w:r>
      <w:r w:rsidR="00450DCE" w:rsidRPr="00F77E7A">
        <w:rPr>
          <w:rFonts w:asciiTheme="minorHAnsi" w:hAnsiTheme="minorHAnsi"/>
          <w:bCs/>
          <w:szCs w:val="24"/>
        </w:rPr>
        <w:t xml:space="preserve">in the CFTR gene </w:t>
      </w:r>
      <w:r w:rsidR="00F14EEB" w:rsidRPr="00F77E7A">
        <w:rPr>
          <w:rFonts w:asciiTheme="minorHAnsi" w:hAnsiTheme="minorHAnsi"/>
          <w:bCs/>
          <w:szCs w:val="24"/>
        </w:rPr>
        <w:t xml:space="preserve">in line </w:t>
      </w:r>
      <w:r w:rsidRPr="00F77E7A">
        <w:rPr>
          <w:rFonts w:asciiTheme="minorHAnsi" w:hAnsiTheme="minorHAnsi"/>
          <w:bCs/>
          <w:szCs w:val="24"/>
        </w:rPr>
        <w:t xml:space="preserve">with the patient population in the clinical trial, Study 108. The list of approved RF mutations is </w:t>
      </w:r>
      <w:r w:rsidR="00C44EEC">
        <w:rPr>
          <w:rFonts w:asciiTheme="minorHAnsi" w:hAnsiTheme="minorHAnsi"/>
          <w:bCs/>
          <w:szCs w:val="24"/>
        </w:rPr>
        <w:t>as defined in</w:t>
      </w:r>
      <w:r w:rsidRPr="00F77E7A">
        <w:rPr>
          <w:rFonts w:asciiTheme="minorHAnsi" w:hAnsiTheme="minorHAnsi"/>
          <w:bCs/>
          <w:szCs w:val="24"/>
        </w:rPr>
        <w:t xml:space="preserve"> Table 1 of the TGA approved product information for tezacaftor/ivacaftor.</w:t>
      </w:r>
    </w:p>
    <w:p w:rsidR="00C80A3D" w:rsidRPr="008C7484" w:rsidRDefault="00D120D6"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 xml:space="preserve">The PBAC noted the many consumer comments and correspondence from Cystic Fibrosis Australia in support for subsidised access to tezacaftor/ivacaftor for CF patients with these rare mutations. </w:t>
      </w:r>
      <w:r w:rsidR="000F31A5" w:rsidRPr="00F77E7A">
        <w:t xml:space="preserve">The PBAC </w:t>
      </w:r>
      <w:r w:rsidR="00DB3650" w:rsidRPr="00F77E7A">
        <w:t>noted that the consumer comments indicated that patients and their families perceive that treatment with tezacaftor/ivacaftor (and other CFTR modulators) will be associated with a range of potential benefits (see paragraph 6.3).</w:t>
      </w:r>
    </w:p>
    <w:p w:rsidR="008C7484" w:rsidRPr="008C7484" w:rsidRDefault="008C7484" w:rsidP="00127A51">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accepted that </w:t>
      </w:r>
      <w:r>
        <w:rPr>
          <w:rFonts w:asciiTheme="minorHAnsi" w:hAnsiTheme="minorHAnsi"/>
          <w:bCs/>
          <w:szCs w:val="24"/>
        </w:rPr>
        <w:t xml:space="preserve">BSC </w:t>
      </w:r>
      <w:r w:rsidRPr="004C2D91">
        <w:rPr>
          <w:rFonts w:asciiTheme="minorHAnsi" w:hAnsiTheme="minorHAnsi"/>
          <w:bCs/>
          <w:szCs w:val="24"/>
        </w:rPr>
        <w:t>was the appropriate main comparator for the requested population</w:t>
      </w:r>
      <w:r>
        <w:rPr>
          <w:rFonts w:asciiTheme="minorHAnsi" w:hAnsiTheme="minorHAnsi"/>
          <w:bCs/>
          <w:szCs w:val="24"/>
        </w:rPr>
        <w:t xml:space="preserve">. </w:t>
      </w:r>
    </w:p>
    <w:p w:rsidR="00DC76E6" w:rsidRPr="00F77E7A" w:rsidRDefault="00541F93" w:rsidP="00127A51">
      <w:pPr>
        <w:widowControl/>
        <w:numPr>
          <w:ilvl w:val="1"/>
          <w:numId w:val="2"/>
        </w:numPr>
        <w:spacing w:before="120" w:after="120"/>
        <w:rPr>
          <w:rFonts w:asciiTheme="minorHAnsi" w:hAnsiTheme="minorHAnsi"/>
          <w:bCs/>
          <w:szCs w:val="24"/>
        </w:rPr>
      </w:pPr>
      <w:r w:rsidRPr="00F77E7A">
        <w:rPr>
          <w:bCs/>
        </w:rPr>
        <w:t xml:space="preserve">The </w:t>
      </w:r>
      <w:r w:rsidR="00D162CE" w:rsidRPr="00F77E7A">
        <w:rPr>
          <w:bCs/>
        </w:rPr>
        <w:t xml:space="preserve">PBAC noted the </w:t>
      </w:r>
      <w:r w:rsidRPr="00F77E7A">
        <w:rPr>
          <w:bCs/>
        </w:rPr>
        <w:t>primary outcome from Study 108, of absolute change from baseline in ppFEV</w:t>
      </w:r>
      <w:r w:rsidRPr="00F77E7A">
        <w:rPr>
          <w:bCs/>
          <w:vertAlign w:val="subscript"/>
        </w:rPr>
        <w:t>1</w:t>
      </w:r>
      <w:r w:rsidR="00FB4B48" w:rsidRPr="00FB4B48">
        <w:rPr>
          <w:bCs/>
        </w:rPr>
        <w:t>,</w:t>
      </w:r>
      <w:r w:rsidRPr="00F77E7A">
        <w:rPr>
          <w:bCs/>
        </w:rPr>
        <w:t xml:space="preserve"> indicated a statistically significant increase in ppFEV</w:t>
      </w:r>
      <w:r w:rsidRPr="00F77E7A">
        <w:rPr>
          <w:bCs/>
          <w:vertAlign w:val="subscript"/>
        </w:rPr>
        <w:t>1</w:t>
      </w:r>
      <w:r w:rsidRPr="00F77E7A">
        <w:rPr>
          <w:bCs/>
        </w:rPr>
        <w:t xml:space="preserve"> for patients treated with tezacaftor/ivacaftor compared with BSC of</w:t>
      </w:r>
      <w:r w:rsidRPr="00F77E7A">
        <w:rPr>
          <w:rFonts w:asciiTheme="minorHAnsi" w:hAnsiTheme="minorHAnsi"/>
          <w:bCs/>
          <w:szCs w:val="24"/>
        </w:rPr>
        <w:t xml:space="preserve"> </w:t>
      </w:r>
      <w:r w:rsidR="00792C8D" w:rsidRPr="00F77E7A">
        <w:rPr>
          <w:rFonts w:asciiTheme="minorHAnsi" w:hAnsiTheme="minorHAnsi"/>
          <w:bCs/>
          <w:szCs w:val="24"/>
        </w:rPr>
        <w:t>6.8% (</w:t>
      </w:r>
      <w:r w:rsidR="00A12617" w:rsidRPr="00F77E7A">
        <w:rPr>
          <w:rFonts w:asciiTheme="minorHAnsi" w:hAnsiTheme="minorHAnsi"/>
          <w:bCs/>
          <w:szCs w:val="24"/>
        </w:rPr>
        <w:t>95%</w:t>
      </w:r>
      <w:r w:rsidR="00255F44" w:rsidRPr="00F77E7A">
        <w:rPr>
          <w:rFonts w:asciiTheme="minorHAnsi" w:hAnsiTheme="minorHAnsi"/>
          <w:bCs/>
          <w:szCs w:val="24"/>
        </w:rPr>
        <w:t> </w:t>
      </w:r>
      <w:r w:rsidR="00A12617" w:rsidRPr="00F77E7A">
        <w:rPr>
          <w:rFonts w:asciiTheme="minorHAnsi" w:hAnsiTheme="minorHAnsi"/>
          <w:bCs/>
          <w:szCs w:val="24"/>
        </w:rPr>
        <w:t>CI</w:t>
      </w:r>
      <w:r w:rsidR="00907F58" w:rsidRPr="00F77E7A">
        <w:rPr>
          <w:rFonts w:asciiTheme="minorHAnsi" w:hAnsiTheme="minorHAnsi"/>
          <w:bCs/>
          <w:szCs w:val="24"/>
        </w:rPr>
        <w:t>:</w:t>
      </w:r>
      <w:r w:rsidR="00255F44" w:rsidRPr="00F77E7A">
        <w:rPr>
          <w:rFonts w:asciiTheme="minorHAnsi" w:hAnsiTheme="minorHAnsi"/>
          <w:bCs/>
          <w:szCs w:val="24"/>
        </w:rPr>
        <w:t> </w:t>
      </w:r>
      <w:r w:rsidR="00A12617" w:rsidRPr="00F77E7A">
        <w:rPr>
          <w:rFonts w:asciiTheme="minorHAnsi" w:hAnsiTheme="minorHAnsi"/>
          <w:bCs/>
          <w:szCs w:val="24"/>
        </w:rPr>
        <w:t>5.7,</w:t>
      </w:r>
      <w:r w:rsidR="00255F44" w:rsidRPr="00F77E7A">
        <w:rPr>
          <w:rFonts w:asciiTheme="minorHAnsi" w:hAnsiTheme="minorHAnsi"/>
          <w:bCs/>
          <w:szCs w:val="24"/>
        </w:rPr>
        <w:t> </w:t>
      </w:r>
      <w:r w:rsidR="00A12617" w:rsidRPr="00F77E7A">
        <w:rPr>
          <w:rFonts w:asciiTheme="minorHAnsi" w:hAnsiTheme="minorHAnsi"/>
          <w:bCs/>
          <w:szCs w:val="24"/>
        </w:rPr>
        <w:t xml:space="preserve">7.8) </w:t>
      </w:r>
      <w:r w:rsidR="00A47048" w:rsidRPr="00F77E7A">
        <w:rPr>
          <w:rFonts w:asciiTheme="minorHAnsi" w:hAnsiTheme="minorHAnsi"/>
          <w:bCs/>
          <w:szCs w:val="24"/>
        </w:rPr>
        <w:t>after 8 weeks of treatment</w:t>
      </w:r>
      <w:r w:rsidR="004F46F8" w:rsidRPr="00F77E7A">
        <w:rPr>
          <w:rFonts w:asciiTheme="minorHAnsi" w:hAnsiTheme="minorHAnsi"/>
          <w:bCs/>
          <w:szCs w:val="24"/>
        </w:rPr>
        <w:t xml:space="preserve">. </w:t>
      </w:r>
      <w:r w:rsidR="007B48F9" w:rsidRPr="00F77E7A">
        <w:rPr>
          <w:rFonts w:asciiTheme="minorHAnsi" w:hAnsiTheme="minorHAnsi"/>
          <w:bCs/>
          <w:szCs w:val="24"/>
        </w:rPr>
        <w:t>The interim</w:t>
      </w:r>
      <w:r w:rsidR="00A737ED" w:rsidRPr="00F77E7A">
        <w:rPr>
          <w:rFonts w:asciiTheme="minorHAnsi" w:hAnsiTheme="minorHAnsi"/>
          <w:bCs/>
          <w:szCs w:val="24"/>
        </w:rPr>
        <w:t xml:space="preserve"> analysis</w:t>
      </w:r>
      <w:r w:rsidR="007B48F9" w:rsidRPr="00F77E7A">
        <w:rPr>
          <w:rFonts w:asciiTheme="minorHAnsi" w:hAnsiTheme="minorHAnsi"/>
          <w:bCs/>
          <w:szCs w:val="24"/>
        </w:rPr>
        <w:t xml:space="preserve"> </w:t>
      </w:r>
      <w:r w:rsidR="00557263" w:rsidRPr="00F77E7A">
        <w:rPr>
          <w:rFonts w:asciiTheme="minorHAnsi" w:hAnsiTheme="minorHAnsi"/>
          <w:bCs/>
          <w:szCs w:val="24"/>
        </w:rPr>
        <w:t xml:space="preserve">of </w:t>
      </w:r>
      <w:r w:rsidR="003C634A" w:rsidRPr="00F77E7A">
        <w:rPr>
          <w:rFonts w:asciiTheme="minorHAnsi" w:hAnsiTheme="minorHAnsi"/>
          <w:bCs/>
          <w:szCs w:val="24"/>
        </w:rPr>
        <w:t xml:space="preserve">extension </w:t>
      </w:r>
      <w:r w:rsidR="00557263" w:rsidRPr="00F77E7A">
        <w:rPr>
          <w:rFonts w:asciiTheme="minorHAnsi" w:hAnsiTheme="minorHAnsi"/>
          <w:bCs/>
          <w:szCs w:val="24"/>
        </w:rPr>
        <w:t xml:space="preserve">data from </w:t>
      </w:r>
      <w:r w:rsidR="003C634A" w:rsidRPr="00F77E7A">
        <w:rPr>
          <w:rFonts w:asciiTheme="minorHAnsi" w:hAnsiTheme="minorHAnsi"/>
          <w:bCs/>
          <w:szCs w:val="24"/>
        </w:rPr>
        <w:t xml:space="preserve">Study 110 </w:t>
      </w:r>
      <w:r w:rsidR="00A47048" w:rsidRPr="00F77E7A">
        <w:rPr>
          <w:rFonts w:asciiTheme="minorHAnsi" w:hAnsiTheme="minorHAnsi"/>
          <w:bCs/>
          <w:szCs w:val="24"/>
        </w:rPr>
        <w:t xml:space="preserve">indicated that the </w:t>
      </w:r>
      <w:r w:rsidR="003C634A" w:rsidRPr="00F77E7A">
        <w:rPr>
          <w:rFonts w:asciiTheme="minorHAnsi" w:hAnsiTheme="minorHAnsi"/>
          <w:bCs/>
          <w:szCs w:val="24"/>
        </w:rPr>
        <w:t xml:space="preserve">absolute change from baseline in </w:t>
      </w:r>
      <w:r w:rsidR="00A47048" w:rsidRPr="00F77E7A">
        <w:rPr>
          <w:rFonts w:asciiTheme="minorHAnsi" w:hAnsiTheme="minorHAnsi"/>
          <w:bCs/>
          <w:szCs w:val="24"/>
        </w:rPr>
        <w:t>pp</w:t>
      </w:r>
      <w:r w:rsidR="003C634A" w:rsidRPr="00F77E7A">
        <w:t>FEV</w:t>
      </w:r>
      <w:r w:rsidR="003C634A" w:rsidRPr="00F77E7A">
        <w:rPr>
          <w:vertAlign w:val="subscript"/>
        </w:rPr>
        <w:t>1</w:t>
      </w:r>
      <w:r w:rsidR="001D35E5" w:rsidRPr="00F77E7A">
        <w:t xml:space="preserve"> observed in the tezacaftor/ivacaftor group </w:t>
      </w:r>
      <w:r w:rsidR="00A47048" w:rsidRPr="00F77E7A">
        <w:t>afte</w:t>
      </w:r>
      <w:r w:rsidR="00F14EEB" w:rsidRPr="00F77E7A">
        <w:t>r 8 </w:t>
      </w:r>
      <w:r w:rsidR="00A47048" w:rsidRPr="00F77E7A">
        <w:t xml:space="preserve">weeks of treatment in </w:t>
      </w:r>
      <w:r w:rsidR="00557263" w:rsidRPr="00F77E7A">
        <w:t xml:space="preserve">treatment period 2 of </w:t>
      </w:r>
      <w:r w:rsidR="00A47048" w:rsidRPr="00F77E7A">
        <w:t>Study 10</w:t>
      </w:r>
      <w:r w:rsidR="00557263" w:rsidRPr="00F77E7A">
        <w:t>8</w:t>
      </w:r>
      <w:r w:rsidR="00A47048" w:rsidRPr="00F77E7A">
        <w:t xml:space="preserve"> was maintained for an additional 16 weeks of treatment (i.e. </w:t>
      </w:r>
      <w:r w:rsidR="001D35E5" w:rsidRPr="00F77E7A">
        <w:t>up</w:t>
      </w:r>
      <w:r w:rsidR="00654EA0" w:rsidRPr="00F77E7A">
        <w:t xml:space="preserve"> to</w:t>
      </w:r>
      <w:r w:rsidR="001D35E5" w:rsidRPr="00F77E7A">
        <w:t xml:space="preserve"> 24</w:t>
      </w:r>
      <w:r w:rsidR="00AC22E4" w:rsidRPr="00F77E7A">
        <w:t> </w:t>
      </w:r>
      <w:r w:rsidR="001D35E5" w:rsidRPr="00F77E7A">
        <w:t>weeks</w:t>
      </w:r>
      <w:r w:rsidR="00A47048" w:rsidRPr="00F77E7A">
        <w:t xml:space="preserve"> of continuous treatment)</w:t>
      </w:r>
      <w:r w:rsidR="001D35E5" w:rsidRPr="00F77E7A">
        <w:t>.</w:t>
      </w:r>
      <w:r w:rsidR="001035AC" w:rsidRPr="00F77E7A">
        <w:t xml:space="preserve"> </w:t>
      </w:r>
      <w:r w:rsidR="00255F44" w:rsidRPr="00F77E7A">
        <w:t xml:space="preserve">However, the PBAC considered that the </w:t>
      </w:r>
      <w:r w:rsidR="00420465" w:rsidRPr="00F77E7A">
        <w:t>crossover</w:t>
      </w:r>
      <w:r w:rsidR="00255F44" w:rsidRPr="00F77E7A">
        <w:t xml:space="preserve"> design of Study 108 may have confounded the comparison to Study 110 (see paragraph 6.8). Overall, </w:t>
      </w:r>
      <w:r w:rsidR="009C4AF4" w:rsidRPr="00F77E7A">
        <w:t xml:space="preserve">the PBAC considered the claim of superior efficacy compared </w:t>
      </w:r>
      <w:r w:rsidR="00557263" w:rsidRPr="00F77E7A">
        <w:t xml:space="preserve">with </w:t>
      </w:r>
      <w:r w:rsidR="009C4AF4" w:rsidRPr="00F77E7A">
        <w:t>BSC was adequately supported in the short-term</w:t>
      </w:r>
      <w:r w:rsidR="00635598" w:rsidRPr="00F77E7A">
        <w:t>;</w:t>
      </w:r>
      <w:r w:rsidR="009C4AF4" w:rsidRPr="00F77E7A">
        <w:t xml:space="preserve"> however, the PBAC </w:t>
      </w:r>
      <w:r w:rsidR="00AA57EF" w:rsidRPr="00F77E7A">
        <w:t>noted</w:t>
      </w:r>
      <w:r w:rsidR="005C043B" w:rsidRPr="00F77E7A">
        <w:t xml:space="preserve"> that given the short duration of follow-up, it</w:t>
      </w:r>
      <w:r w:rsidR="00AA57EF" w:rsidRPr="00F77E7A">
        <w:t xml:space="preserve"> was unknown whether the observed improvement in </w:t>
      </w:r>
      <w:r w:rsidR="00E228FE" w:rsidRPr="00F77E7A">
        <w:t>pp</w:t>
      </w:r>
      <w:r w:rsidR="00AA57EF" w:rsidRPr="00F77E7A">
        <w:t>FEV</w:t>
      </w:r>
      <w:r w:rsidR="00AA57EF" w:rsidRPr="00F77E7A">
        <w:rPr>
          <w:vertAlign w:val="subscript"/>
        </w:rPr>
        <w:t xml:space="preserve">1 </w:t>
      </w:r>
      <w:r w:rsidR="00AA57EF" w:rsidRPr="00F77E7A">
        <w:t xml:space="preserve">would be maintained </w:t>
      </w:r>
      <w:r w:rsidR="00B56C4B" w:rsidRPr="00F77E7A">
        <w:t xml:space="preserve">in the </w:t>
      </w:r>
      <w:r w:rsidR="00AA57EF" w:rsidRPr="00F77E7A">
        <w:t>long</w:t>
      </w:r>
      <w:r w:rsidR="00B56C4B" w:rsidRPr="00F77E7A">
        <w:t>-</w:t>
      </w:r>
      <w:r w:rsidR="00AA57EF" w:rsidRPr="00F77E7A">
        <w:t>term</w:t>
      </w:r>
      <w:r w:rsidR="00B56C4B" w:rsidRPr="00F77E7A">
        <w:t xml:space="preserve">, </w:t>
      </w:r>
      <w:r w:rsidR="0084782C" w:rsidRPr="00F77E7A">
        <w:t>particularly</w:t>
      </w:r>
      <w:r w:rsidR="00AA57EF" w:rsidRPr="00F77E7A">
        <w:t xml:space="preserve"> in the context of </w:t>
      </w:r>
      <w:r w:rsidR="00C060CB" w:rsidRPr="00F77E7A">
        <w:t xml:space="preserve">a lifelong progressive disease. </w:t>
      </w:r>
      <w:r w:rsidR="00907F58" w:rsidRPr="00F77E7A">
        <w:rPr>
          <w:rFonts w:asciiTheme="minorHAnsi" w:hAnsiTheme="minorHAnsi"/>
          <w:szCs w:val="20"/>
        </w:rPr>
        <w:t>T</w:t>
      </w:r>
      <w:r w:rsidR="00907F58" w:rsidRPr="00F77E7A">
        <w:t xml:space="preserve">he PBAC considered the long-term effectiveness of tezacaftor/ivacaftor for this patient population was even </w:t>
      </w:r>
      <w:r w:rsidR="00B53865">
        <w:t>more uncertain</w:t>
      </w:r>
      <w:r w:rsidR="00B53865" w:rsidRPr="00F77E7A">
        <w:t xml:space="preserve"> </w:t>
      </w:r>
      <w:r w:rsidR="00907F58" w:rsidRPr="00F77E7A">
        <w:t xml:space="preserve">than the evidence for </w:t>
      </w:r>
      <w:r w:rsidR="00B53865">
        <w:t>lumacaftor/ivacaftor</w:t>
      </w:r>
      <w:r w:rsidR="00907F58" w:rsidRPr="00F77E7A">
        <w:t xml:space="preserve"> for the F508del homozygous population (with 24 weeks in TRAFFIC/TRANSPORT plus 96 weeks of extension data from PROGRESS for lumacaftor/ivacaftor and 24 weeks from EVOLVE plus 24 weeks of extension data from Study 110 for tezacaftor/ivacaftor).</w:t>
      </w:r>
    </w:p>
    <w:p w:rsidR="00257149" w:rsidRPr="00F77E7A" w:rsidRDefault="00C25689" w:rsidP="00127A51">
      <w:pPr>
        <w:widowControl/>
        <w:numPr>
          <w:ilvl w:val="1"/>
          <w:numId w:val="2"/>
        </w:numPr>
        <w:spacing w:before="120" w:after="120"/>
        <w:rPr>
          <w:rFonts w:asciiTheme="minorHAnsi" w:hAnsiTheme="minorHAnsi"/>
          <w:bCs/>
          <w:szCs w:val="24"/>
        </w:rPr>
      </w:pPr>
      <w:r w:rsidRPr="00F77E7A">
        <w:t>T</w:t>
      </w:r>
      <w:r w:rsidR="00C060CB" w:rsidRPr="00F77E7A">
        <w:t xml:space="preserve">he PBAC </w:t>
      </w:r>
      <w:r w:rsidR="00F67C2F" w:rsidRPr="00F77E7A">
        <w:t xml:space="preserve">was </w:t>
      </w:r>
      <w:r w:rsidRPr="00F77E7A">
        <w:t xml:space="preserve">also </w:t>
      </w:r>
      <w:r w:rsidR="00C060CB" w:rsidRPr="00F77E7A">
        <w:t xml:space="preserve">uncertain that the magnitude of treatment effect was representative of </w:t>
      </w:r>
      <w:r w:rsidR="00AF605D" w:rsidRPr="00F77E7A">
        <w:t xml:space="preserve">the likely clinical benefit </w:t>
      </w:r>
      <w:r w:rsidR="00DC76E6" w:rsidRPr="00F77E7A">
        <w:t xml:space="preserve">across the group of requested </w:t>
      </w:r>
      <w:r w:rsidRPr="00F77E7A">
        <w:t>RF mutation</w:t>
      </w:r>
      <w:r w:rsidR="00DC76E6" w:rsidRPr="00F77E7A">
        <w:t>s</w:t>
      </w:r>
      <w:r w:rsidRPr="00F77E7A">
        <w:t xml:space="preserve"> </w:t>
      </w:r>
      <w:r w:rsidR="00C060CB" w:rsidRPr="00F77E7A">
        <w:t>given</w:t>
      </w:r>
      <w:r w:rsidR="002231AC" w:rsidRPr="00F77E7A">
        <w:t xml:space="preserve"> the</w:t>
      </w:r>
      <w:r w:rsidR="006F0DF5" w:rsidRPr="00F77E7A">
        <w:t xml:space="preserve"> potential</w:t>
      </w:r>
      <w:r w:rsidR="002231AC" w:rsidRPr="00F77E7A">
        <w:t xml:space="preserve"> va</w:t>
      </w:r>
      <w:r w:rsidR="006F0DF5" w:rsidRPr="00F77E7A">
        <w:t xml:space="preserve">riability of treatment outcomes </w:t>
      </w:r>
      <w:r w:rsidR="00BD51AB">
        <w:t xml:space="preserve">between patients with different </w:t>
      </w:r>
      <w:r w:rsidR="006F0DF5" w:rsidRPr="00F77E7A">
        <w:t>RF mutations</w:t>
      </w:r>
      <w:r w:rsidR="00DC76E6" w:rsidRPr="00F77E7A">
        <w:t>. The PBAC noted</w:t>
      </w:r>
      <w:r w:rsidR="006F0DF5" w:rsidRPr="00F77E7A">
        <w:t xml:space="preserve"> </w:t>
      </w:r>
      <w:r w:rsidR="00AF605D" w:rsidRPr="00F77E7A">
        <w:t xml:space="preserve">that </w:t>
      </w:r>
      <w:r w:rsidR="00DC76E6" w:rsidRPr="00F77E7A">
        <w:t xml:space="preserve">not all known RF mutations have clinical data to suggest a positive clinical benefit and of those RF mutations included in Study 108, each was associated with </w:t>
      </w:r>
      <w:r w:rsidR="00DC76E6" w:rsidRPr="00F77E7A">
        <w:rPr>
          <w:rFonts w:cs="Calibri"/>
        </w:rPr>
        <w:t>≤</w:t>
      </w:r>
      <w:r w:rsidR="00DC76E6" w:rsidRPr="00F77E7A">
        <w:t>21 patients</w:t>
      </w:r>
      <w:r w:rsidR="006F0DF5" w:rsidRPr="00F77E7A">
        <w:t xml:space="preserve">. </w:t>
      </w:r>
      <w:r w:rsidR="00DC76E6" w:rsidRPr="00F77E7A">
        <w:t xml:space="preserve">Given the rarity of the RF mutations, however, the PBAC acknowledged that </w:t>
      </w:r>
      <w:r w:rsidR="0095493F" w:rsidRPr="00F77E7A">
        <w:t xml:space="preserve">more </w:t>
      </w:r>
      <w:r w:rsidR="00DC76E6" w:rsidRPr="00F77E7A">
        <w:t xml:space="preserve">reliable clinical data from studies </w:t>
      </w:r>
      <w:r w:rsidR="00D162CE" w:rsidRPr="00F77E7A">
        <w:t xml:space="preserve">with adequate power to assess the impact of treatment </w:t>
      </w:r>
      <w:r w:rsidR="00DC76E6" w:rsidRPr="00F77E7A">
        <w:t xml:space="preserve">across all RF mutations </w:t>
      </w:r>
      <w:r w:rsidR="0095493F" w:rsidRPr="00F77E7A">
        <w:t>would not be</w:t>
      </w:r>
      <w:r w:rsidR="00DC76E6" w:rsidRPr="00F77E7A">
        <w:t xml:space="preserve"> </w:t>
      </w:r>
      <w:r w:rsidR="0005722F" w:rsidRPr="00F77E7A">
        <w:t>forthcoming</w:t>
      </w:r>
      <w:r w:rsidR="00DC76E6" w:rsidRPr="00F77E7A">
        <w:t xml:space="preserve">. </w:t>
      </w:r>
    </w:p>
    <w:p w:rsidR="00FC4220" w:rsidRPr="00F77E7A" w:rsidRDefault="00DB3650" w:rsidP="00127A51">
      <w:pPr>
        <w:pStyle w:val="ListParagraph"/>
        <w:widowControl/>
        <w:numPr>
          <w:ilvl w:val="1"/>
          <w:numId w:val="2"/>
        </w:numPr>
        <w:spacing w:before="120" w:after="120"/>
      </w:pPr>
      <w:r w:rsidRPr="00F77E7A">
        <w:t xml:space="preserve">The PBAC noted that Study 108 </w:t>
      </w:r>
      <w:r w:rsidR="007B5A0E">
        <w:t>found</w:t>
      </w:r>
      <w:r w:rsidR="007B5A0E" w:rsidRPr="00F77E7A">
        <w:t xml:space="preserve"> </w:t>
      </w:r>
      <w:r w:rsidRPr="00F77E7A">
        <w:t xml:space="preserve">an improvement in </w:t>
      </w:r>
      <w:r w:rsidR="00AD7163" w:rsidRPr="00F77E7A">
        <w:t xml:space="preserve">quality of life, </w:t>
      </w:r>
      <w:r w:rsidRPr="00F77E7A">
        <w:t>as measured by the CFQ-R Respiratory Domain Score</w:t>
      </w:r>
      <w:r w:rsidR="00AD7163" w:rsidRPr="00F77E7A">
        <w:t>,</w:t>
      </w:r>
      <w:r w:rsidRPr="00F77E7A">
        <w:t xml:space="preserve"> compared with BSC </w:t>
      </w:r>
      <w:r w:rsidR="00AD7163" w:rsidRPr="00F77E7A">
        <w:t>after 8 weeks of treatment; however, it was uncertain whether this difference would be maintained over the long-term</w:t>
      </w:r>
      <w:r w:rsidRPr="00F77E7A">
        <w:t>. The difference in the rate of pulmonary exacerbations was lower for tezacaftor/ivacaftor than for placebo (6.8% and 11.8% respectively); however, the difference in event rates was not statistically significant (RR: 0.54; 95% CI 0.26-1.13).</w:t>
      </w:r>
      <w:r w:rsidR="00AD7163" w:rsidRPr="00F77E7A">
        <w:t xml:space="preserve"> </w:t>
      </w:r>
      <w:r w:rsidR="0095493F" w:rsidRPr="00F77E7A">
        <w:t>The</w:t>
      </w:r>
      <w:r w:rsidR="00D162CE" w:rsidRPr="00F77E7A">
        <w:t>re was insufficient clinical evidence to determine if</w:t>
      </w:r>
      <w:r w:rsidR="0095493F" w:rsidRPr="00F77E7A">
        <w:t xml:space="preserve"> treatment with tezacaftor/ivacaftor for the RF mutation patient population would be associated with improvements in life expectancy, nutritional status (i</w:t>
      </w:r>
      <w:r w:rsidR="00073A8F" w:rsidRPr="00F77E7A">
        <w:t>ncluding weight and height) or reduction</w:t>
      </w:r>
      <w:r w:rsidR="0095493F" w:rsidRPr="00F77E7A">
        <w:t xml:space="preserve"> in need for other medications. However, the PBAC acknowledged the </w:t>
      </w:r>
      <w:r w:rsidR="007B5A0E">
        <w:t>high clinical need for</w:t>
      </w:r>
      <w:r w:rsidR="0095493F" w:rsidRPr="00F77E7A">
        <w:t xml:space="preserve"> </w:t>
      </w:r>
      <w:r w:rsidR="007B5A0E">
        <w:t>therapy</w:t>
      </w:r>
      <w:r w:rsidR="0095493F" w:rsidRPr="00F77E7A">
        <w:t xml:space="preserve"> for this patient population and considered there is a clinical place for this medicine at a price commensurate with its potential clinical benefits. </w:t>
      </w:r>
    </w:p>
    <w:p w:rsidR="00296DC2" w:rsidRPr="00F77E7A" w:rsidRDefault="00F67C2F"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Given the short duration of the trial, t</w:t>
      </w:r>
      <w:r w:rsidR="00296DC2" w:rsidRPr="00F77E7A">
        <w:rPr>
          <w:rFonts w:asciiTheme="minorHAnsi" w:hAnsiTheme="minorHAnsi"/>
          <w:bCs/>
          <w:szCs w:val="24"/>
        </w:rPr>
        <w:t xml:space="preserve">he PBAC considered there were insufficient data to adequately evaluate the safety of tezacaftor/ivacaftor in this patient population. However, the PBAC </w:t>
      </w:r>
      <w:r w:rsidR="002104D7" w:rsidRPr="00F77E7A">
        <w:rPr>
          <w:rFonts w:asciiTheme="minorHAnsi" w:hAnsiTheme="minorHAnsi"/>
          <w:bCs/>
          <w:szCs w:val="24"/>
        </w:rPr>
        <w:t xml:space="preserve">noted there were no major safety signals for tezacaftor/ivacaftor in the context of the known safety profiles of other CFTR modulators. </w:t>
      </w:r>
    </w:p>
    <w:p w:rsidR="00710B3E" w:rsidRPr="00F77E7A" w:rsidRDefault="00710B3E"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The PBAC noted the economic model presented had the same structure as that for previous CFTR modulator submissions. The PBAC noted the decrease in the rate of decline in ppFEV</w:t>
      </w:r>
      <w:r w:rsidRPr="00F77E7A">
        <w:rPr>
          <w:rFonts w:asciiTheme="minorHAnsi" w:hAnsiTheme="minorHAnsi"/>
          <w:bCs/>
          <w:szCs w:val="24"/>
          <w:vertAlign w:val="subscript"/>
        </w:rPr>
        <w:t>1</w:t>
      </w:r>
      <w:r w:rsidRPr="00F77E7A">
        <w:rPr>
          <w:rFonts w:asciiTheme="minorHAnsi" w:hAnsiTheme="minorHAnsi"/>
          <w:bCs/>
          <w:szCs w:val="24"/>
        </w:rPr>
        <w:t xml:space="preserve"> of 42% applied in the model was </w:t>
      </w:r>
      <w:r w:rsidR="00C44EEC">
        <w:rPr>
          <w:rFonts w:asciiTheme="minorHAnsi" w:hAnsiTheme="minorHAnsi"/>
          <w:bCs/>
          <w:szCs w:val="24"/>
        </w:rPr>
        <w:t>based on</w:t>
      </w:r>
      <w:r w:rsidRPr="00F77E7A">
        <w:rPr>
          <w:rFonts w:asciiTheme="minorHAnsi" w:hAnsiTheme="minorHAnsi"/>
          <w:bCs/>
          <w:szCs w:val="24"/>
        </w:rPr>
        <w:t xml:space="preserve"> longer-term data from the lumacaftor/ivacaftor PROGRESS study for </w:t>
      </w:r>
      <w:r w:rsidR="00D83FAA">
        <w:rPr>
          <w:rFonts w:asciiTheme="minorHAnsi" w:hAnsiTheme="minorHAnsi"/>
          <w:bCs/>
          <w:szCs w:val="24"/>
        </w:rPr>
        <w:t xml:space="preserve">patients homozygous for the </w:t>
      </w:r>
      <w:r w:rsidRPr="00F77E7A">
        <w:rPr>
          <w:rFonts w:asciiTheme="minorHAnsi" w:hAnsiTheme="minorHAnsi"/>
          <w:bCs/>
          <w:szCs w:val="24"/>
        </w:rPr>
        <w:t xml:space="preserve">F508del </w:t>
      </w:r>
      <w:r w:rsidR="00D83FAA">
        <w:rPr>
          <w:rFonts w:asciiTheme="minorHAnsi" w:hAnsiTheme="minorHAnsi"/>
          <w:bCs/>
          <w:szCs w:val="24"/>
        </w:rPr>
        <w:t>mutation</w:t>
      </w:r>
      <w:r w:rsidRPr="00F77E7A">
        <w:rPr>
          <w:rFonts w:asciiTheme="minorHAnsi" w:hAnsiTheme="minorHAnsi"/>
          <w:bCs/>
          <w:szCs w:val="24"/>
        </w:rPr>
        <w:t xml:space="preserve">, compared with a matched historical control cohort, and </w:t>
      </w:r>
      <w:r w:rsidR="00073A8F" w:rsidRPr="00F77E7A">
        <w:rPr>
          <w:rFonts w:asciiTheme="minorHAnsi" w:hAnsiTheme="minorHAnsi"/>
          <w:bCs/>
          <w:szCs w:val="24"/>
        </w:rPr>
        <w:t>therefore may not reflect the decrease in the rate of decline that would occur for the RF mutation population</w:t>
      </w:r>
      <w:r w:rsidRPr="00F77E7A">
        <w:rPr>
          <w:rFonts w:asciiTheme="minorHAnsi" w:hAnsiTheme="minorHAnsi"/>
          <w:bCs/>
          <w:szCs w:val="24"/>
        </w:rPr>
        <w:t xml:space="preserve">. Further, the PBAC recalled it previously considered this </w:t>
      </w:r>
      <w:r w:rsidR="00DD3ECC" w:rsidRPr="00F77E7A">
        <w:rPr>
          <w:rFonts w:asciiTheme="minorHAnsi" w:hAnsiTheme="minorHAnsi"/>
          <w:bCs/>
          <w:szCs w:val="24"/>
        </w:rPr>
        <w:t xml:space="preserve">assumed </w:t>
      </w:r>
      <w:r w:rsidRPr="00F77E7A">
        <w:rPr>
          <w:rFonts w:asciiTheme="minorHAnsi" w:hAnsiTheme="minorHAnsi"/>
          <w:bCs/>
          <w:szCs w:val="24"/>
        </w:rPr>
        <w:t>rate of decline to be overly optimistic</w:t>
      </w:r>
      <w:r w:rsidR="00DB46F1">
        <w:rPr>
          <w:rFonts w:asciiTheme="minorHAnsi" w:hAnsiTheme="minorHAnsi"/>
          <w:bCs/>
          <w:szCs w:val="24"/>
        </w:rPr>
        <w:t>,</w:t>
      </w:r>
      <w:r w:rsidRPr="00F77E7A">
        <w:rPr>
          <w:rFonts w:asciiTheme="minorHAnsi" w:hAnsiTheme="minorHAnsi"/>
          <w:bCs/>
          <w:szCs w:val="24"/>
        </w:rPr>
        <w:t xml:space="preserve"> noting that lumacaftor/ivacaftor was recommended using this estimate on the basis that (among other factors) a MAP would apply </w:t>
      </w:r>
      <w:r w:rsidR="00932DF9" w:rsidRPr="00F77E7A">
        <w:rPr>
          <w:rFonts w:asciiTheme="minorHAnsi" w:hAnsiTheme="minorHAnsi"/>
          <w:bCs/>
          <w:szCs w:val="24"/>
        </w:rPr>
        <w:t xml:space="preserve">to ensure that the price paid was </w:t>
      </w:r>
      <w:r w:rsidR="00932DF9" w:rsidRPr="00F77E7A">
        <w:t xml:space="preserve">consistent with the evidence </w:t>
      </w:r>
      <w:r w:rsidRPr="00F77E7A">
        <w:rPr>
          <w:rFonts w:asciiTheme="minorHAnsi" w:hAnsiTheme="minorHAnsi"/>
          <w:bCs/>
          <w:szCs w:val="24"/>
        </w:rPr>
        <w:t>(see paragraph 6.5</w:t>
      </w:r>
      <w:r w:rsidR="00717F2C" w:rsidRPr="00F77E7A">
        <w:rPr>
          <w:rFonts w:asciiTheme="minorHAnsi" w:hAnsiTheme="minorHAnsi"/>
          <w:bCs/>
          <w:szCs w:val="24"/>
        </w:rPr>
        <w:t>5</w:t>
      </w:r>
      <w:r w:rsidR="00DD3ECC" w:rsidRPr="00F77E7A">
        <w:rPr>
          <w:rFonts w:asciiTheme="minorHAnsi" w:hAnsiTheme="minorHAnsi"/>
          <w:bCs/>
          <w:szCs w:val="24"/>
        </w:rPr>
        <w:t>)</w:t>
      </w:r>
      <w:r w:rsidRPr="00F77E7A">
        <w:rPr>
          <w:rFonts w:asciiTheme="minorHAnsi" w:hAnsiTheme="minorHAnsi"/>
          <w:bCs/>
          <w:szCs w:val="24"/>
        </w:rPr>
        <w:t xml:space="preserve">. The PBAC </w:t>
      </w:r>
      <w:r w:rsidRPr="00DC0949">
        <w:rPr>
          <w:rFonts w:asciiTheme="minorHAnsi" w:hAnsiTheme="minorHAnsi"/>
          <w:bCs/>
          <w:szCs w:val="24"/>
        </w:rPr>
        <w:t xml:space="preserve">also noted that the base case ICER inappropriately included 5% statutory </w:t>
      </w:r>
      <w:r w:rsidR="00DB46F1" w:rsidRPr="00DC0949">
        <w:rPr>
          <w:rFonts w:asciiTheme="minorHAnsi" w:hAnsiTheme="minorHAnsi"/>
          <w:bCs/>
          <w:szCs w:val="24"/>
        </w:rPr>
        <w:t xml:space="preserve">price reductions </w:t>
      </w:r>
      <w:r w:rsidRPr="00DC0949">
        <w:rPr>
          <w:rFonts w:asciiTheme="minorHAnsi" w:hAnsiTheme="minorHAnsi"/>
          <w:bCs/>
          <w:szCs w:val="24"/>
        </w:rPr>
        <w:t xml:space="preserve">and a </w:t>
      </w:r>
      <w:r w:rsidR="007D10D3">
        <w:rPr>
          <w:rFonts w:asciiTheme="minorHAnsi" w:hAnsiTheme="minorHAnsi"/>
          <w:bCs/>
          <w:noProof/>
          <w:color w:val="000000"/>
          <w:szCs w:val="24"/>
          <w:highlight w:val="black"/>
        </w:rPr>
        <w:t>'''''</w:t>
      </w:r>
      <w:r w:rsidRPr="00DC0949">
        <w:rPr>
          <w:rFonts w:asciiTheme="minorHAnsi" w:hAnsiTheme="minorHAnsi"/>
          <w:bCs/>
          <w:szCs w:val="24"/>
        </w:rPr>
        <w:t>% price reduction</w:t>
      </w:r>
      <w:r w:rsidRPr="00F77E7A">
        <w:rPr>
          <w:rFonts w:asciiTheme="minorHAnsi" w:hAnsiTheme="minorHAnsi"/>
          <w:bCs/>
          <w:szCs w:val="24"/>
        </w:rPr>
        <w:t xml:space="preserve"> for loss of exclusivity from the intended annual price of $</w:t>
      </w:r>
      <w:r w:rsidR="007D10D3">
        <w:rPr>
          <w:rFonts w:asciiTheme="minorHAnsi" w:hAnsiTheme="minorHAnsi"/>
          <w:bCs/>
          <w:noProof/>
          <w:color w:val="000000"/>
          <w:szCs w:val="24"/>
          <w:highlight w:val="black"/>
        </w:rPr>
        <w:t>''''''''''''</w:t>
      </w:r>
      <w:r w:rsidRPr="00F77E7A">
        <w:rPr>
          <w:rFonts w:asciiTheme="minorHAnsi" w:hAnsiTheme="minorHAnsi"/>
          <w:bCs/>
          <w:szCs w:val="24"/>
        </w:rPr>
        <w:t xml:space="preserve"> per patient</w:t>
      </w:r>
      <w:r w:rsidR="005464DA" w:rsidRPr="00F77E7A">
        <w:rPr>
          <w:rFonts w:asciiTheme="minorHAnsi" w:hAnsiTheme="minorHAnsi"/>
          <w:bCs/>
          <w:szCs w:val="24"/>
        </w:rPr>
        <w:t>, which may not be achieved</w:t>
      </w:r>
      <w:r w:rsidRPr="00F77E7A">
        <w:rPr>
          <w:rFonts w:asciiTheme="minorHAnsi" w:hAnsiTheme="minorHAnsi"/>
          <w:bCs/>
          <w:szCs w:val="24"/>
        </w:rPr>
        <w:t>.</w:t>
      </w:r>
      <w:r w:rsidR="001346FF">
        <w:rPr>
          <w:rFonts w:asciiTheme="minorHAnsi" w:hAnsiTheme="minorHAnsi"/>
          <w:bCs/>
          <w:szCs w:val="24"/>
        </w:rPr>
        <w:t xml:space="preserve"> </w:t>
      </w:r>
      <w:r w:rsidR="00710C67">
        <w:rPr>
          <w:rFonts w:asciiTheme="minorHAnsi" w:hAnsiTheme="minorHAnsi"/>
          <w:bCs/>
          <w:szCs w:val="24"/>
        </w:rPr>
        <w:t xml:space="preserve">The PBAC also noted </w:t>
      </w:r>
      <w:r w:rsidR="00C1290D">
        <w:rPr>
          <w:rFonts w:asciiTheme="minorHAnsi" w:hAnsiTheme="minorHAnsi"/>
          <w:bCs/>
          <w:szCs w:val="24"/>
        </w:rPr>
        <w:t>that</w:t>
      </w:r>
      <w:r w:rsidR="00710C67">
        <w:rPr>
          <w:rFonts w:asciiTheme="minorHAnsi" w:hAnsiTheme="minorHAnsi"/>
          <w:bCs/>
          <w:szCs w:val="24"/>
        </w:rPr>
        <w:t xml:space="preserve"> </w:t>
      </w:r>
      <w:r w:rsidR="00C1290D">
        <w:rPr>
          <w:rFonts w:asciiTheme="minorHAnsi" w:hAnsiTheme="minorHAnsi"/>
          <w:bCs/>
          <w:szCs w:val="24"/>
        </w:rPr>
        <w:t xml:space="preserve">the economic model did not include the </w:t>
      </w:r>
      <w:r w:rsidR="00710C67">
        <w:rPr>
          <w:rFonts w:asciiTheme="minorHAnsi" w:hAnsiTheme="minorHAnsi"/>
          <w:bCs/>
          <w:szCs w:val="24"/>
        </w:rPr>
        <w:t xml:space="preserve">significant hospital resources </w:t>
      </w:r>
      <w:r w:rsidR="00C1290D">
        <w:rPr>
          <w:rFonts w:asciiTheme="minorHAnsi" w:hAnsiTheme="minorHAnsi"/>
          <w:bCs/>
          <w:szCs w:val="24"/>
        </w:rPr>
        <w:t xml:space="preserve">that may be </w:t>
      </w:r>
      <w:r w:rsidR="00710C67">
        <w:rPr>
          <w:rFonts w:asciiTheme="minorHAnsi" w:hAnsiTheme="minorHAnsi"/>
          <w:bCs/>
          <w:szCs w:val="24"/>
        </w:rPr>
        <w:t xml:space="preserve">required to initiate patients on </w:t>
      </w:r>
      <w:r w:rsidR="00C1290D">
        <w:rPr>
          <w:rFonts w:asciiTheme="minorHAnsi" w:hAnsiTheme="minorHAnsi"/>
          <w:bCs/>
          <w:szCs w:val="24"/>
        </w:rPr>
        <w:t>tezacaftor</w:t>
      </w:r>
      <w:r w:rsidR="00710C67">
        <w:rPr>
          <w:rFonts w:asciiTheme="minorHAnsi" w:hAnsiTheme="minorHAnsi"/>
          <w:bCs/>
          <w:szCs w:val="24"/>
        </w:rPr>
        <w:t xml:space="preserve">/ivacaftor, </w:t>
      </w:r>
      <w:r w:rsidR="00C1290D">
        <w:rPr>
          <w:rFonts w:asciiTheme="minorHAnsi" w:hAnsiTheme="minorHAnsi"/>
          <w:bCs/>
          <w:szCs w:val="24"/>
        </w:rPr>
        <w:t xml:space="preserve">in line with the clinical protocol for initiation of lumacaftor/ivacaftor that was </w:t>
      </w:r>
      <w:r w:rsidR="00710C67">
        <w:rPr>
          <w:rFonts w:asciiTheme="minorHAnsi" w:hAnsiTheme="minorHAnsi"/>
          <w:bCs/>
          <w:szCs w:val="24"/>
        </w:rPr>
        <w:t xml:space="preserve">described by the clinician during the sponsor hearing (see paragraph 6.2). </w:t>
      </w:r>
      <w:r w:rsidRPr="00F77E7A">
        <w:rPr>
          <w:rFonts w:asciiTheme="minorHAnsi" w:hAnsiTheme="minorHAnsi"/>
          <w:bCs/>
          <w:szCs w:val="24"/>
        </w:rPr>
        <w:t>Overall, the PBAC considered that the base case ICER presented in the submission</w:t>
      </w:r>
      <w:r w:rsidR="00934747" w:rsidRPr="00F77E7A">
        <w:rPr>
          <w:rFonts w:asciiTheme="minorHAnsi" w:hAnsiTheme="minorHAnsi"/>
          <w:bCs/>
          <w:szCs w:val="24"/>
        </w:rPr>
        <w:t xml:space="preserve"> </w:t>
      </w:r>
      <w:r w:rsidRPr="00F77E7A">
        <w:rPr>
          <w:rFonts w:asciiTheme="minorHAnsi" w:hAnsiTheme="minorHAnsi"/>
          <w:bCs/>
          <w:szCs w:val="24"/>
        </w:rPr>
        <w:t xml:space="preserve">was uninformative for decision making. </w:t>
      </w:r>
    </w:p>
    <w:p w:rsidR="005464DA" w:rsidRPr="00DB46F1" w:rsidRDefault="005464DA"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The PBAC acknowledged that more reliable data regarding the decrease in the rate of decline in ppFEV</w:t>
      </w:r>
      <w:r w:rsidRPr="00F77E7A">
        <w:rPr>
          <w:rFonts w:asciiTheme="minorHAnsi" w:hAnsiTheme="minorHAnsi"/>
          <w:bCs/>
          <w:szCs w:val="24"/>
          <w:vertAlign w:val="subscript"/>
        </w:rPr>
        <w:t>1</w:t>
      </w:r>
      <w:r w:rsidRPr="00F77E7A">
        <w:rPr>
          <w:rFonts w:asciiTheme="minorHAnsi" w:hAnsiTheme="minorHAnsi"/>
          <w:bCs/>
          <w:szCs w:val="24"/>
        </w:rPr>
        <w:t xml:space="preserve"> associated with treatment with tezacaftor/ivacaftor (as well as other clinical benefits) for this patient population are unlikely to become available. Accordingly, the PBAC pragmatically considered that the </w:t>
      </w:r>
      <w:r w:rsidR="001657DE" w:rsidRPr="00F77E7A">
        <w:rPr>
          <w:rFonts w:asciiTheme="minorHAnsi" w:hAnsiTheme="minorHAnsi"/>
          <w:bCs/>
          <w:szCs w:val="24"/>
        </w:rPr>
        <w:t xml:space="preserve">ICER for </w:t>
      </w:r>
      <w:r w:rsidRPr="00F77E7A">
        <w:rPr>
          <w:rFonts w:asciiTheme="minorHAnsi" w:hAnsiTheme="minorHAnsi"/>
          <w:bCs/>
          <w:szCs w:val="24"/>
        </w:rPr>
        <w:t xml:space="preserve">tezacaftor/ivacaftor </w:t>
      </w:r>
      <w:r w:rsidR="001657DE" w:rsidRPr="00F77E7A">
        <w:rPr>
          <w:rFonts w:asciiTheme="minorHAnsi" w:hAnsiTheme="minorHAnsi"/>
          <w:bCs/>
          <w:szCs w:val="24"/>
        </w:rPr>
        <w:t xml:space="preserve">for the RF mutation patient population would likely be no higher than that for lumacaftor/ivacaftor for the F508del homozygous patient population </w:t>
      </w:r>
      <w:r w:rsidR="00934747" w:rsidRPr="00F77E7A">
        <w:t>if the price for tezacaftor/ivacaftor was no higher than the price previously recommended for lumacaftor</w:t>
      </w:r>
      <w:r w:rsidR="00112ECC" w:rsidRPr="00F77E7A">
        <w:t>/</w:t>
      </w:r>
      <w:r w:rsidR="00934747" w:rsidRPr="00F77E7A">
        <w:t>ivacaftor</w:t>
      </w:r>
      <w:r w:rsidR="00DD3ECC" w:rsidRPr="00F77E7A">
        <w:t xml:space="preserve"> (</w:t>
      </w:r>
      <w:r w:rsidR="00DB46F1">
        <w:t xml:space="preserve">of </w:t>
      </w:r>
      <w:r w:rsidR="001657DE" w:rsidRPr="00F77E7A">
        <w:rPr>
          <w:rFonts w:asciiTheme="minorHAnsi" w:hAnsiTheme="minorHAnsi"/>
          <w:bCs/>
          <w:szCs w:val="24"/>
        </w:rPr>
        <w:t>$</w:t>
      </w:r>
      <w:r w:rsidR="009514EB">
        <w:rPr>
          <w:rFonts w:asciiTheme="minorHAnsi" w:hAnsiTheme="minorHAnsi"/>
          <w:bCs/>
          <w:noProof/>
          <w:color w:val="000000"/>
          <w:szCs w:val="24"/>
          <w:highlight w:val="black"/>
        </w:rPr>
        <w:t>''''''''''''''</w:t>
      </w:r>
      <w:r w:rsidR="001657DE" w:rsidRPr="00F77E7A">
        <w:rPr>
          <w:rFonts w:asciiTheme="minorHAnsi" w:hAnsiTheme="minorHAnsi"/>
          <w:bCs/>
          <w:szCs w:val="24"/>
        </w:rPr>
        <w:t xml:space="preserve"> per patient per year</w:t>
      </w:r>
      <w:r w:rsidR="00DD3ECC" w:rsidRPr="00F77E7A">
        <w:rPr>
          <w:rFonts w:asciiTheme="minorHAnsi" w:hAnsiTheme="minorHAnsi"/>
          <w:bCs/>
          <w:szCs w:val="24"/>
        </w:rPr>
        <w:t>)</w:t>
      </w:r>
      <w:r w:rsidR="00112ECC" w:rsidRPr="00F77E7A">
        <w:rPr>
          <w:rFonts w:asciiTheme="minorHAnsi" w:hAnsiTheme="minorHAnsi"/>
          <w:bCs/>
          <w:szCs w:val="24"/>
        </w:rPr>
        <w:t xml:space="preserve">. The PBAC further advised </w:t>
      </w:r>
      <w:r w:rsidR="00934747" w:rsidRPr="00F77E7A">
        <w:rPr>
          <w:rFonts w:asciiTheme="minorHAnsi" w:hAnsiTheme="minorHAnsi"/>
          <w:bCs/>
          <w:szCs w:val="24"/>
        </w:rPr>
        <w:t xml:space="preserve">that tezacaftor/ivacaftor should be listed with a </w:t>
      </w:r>
      <w:r w:rsidR="004C362C" w:rsidRPr="00F77E7A">
        <w:rPr>
          <w:rFonts w:asciiTheme="minorHAnsi" w:hAnsiTheme="minorHAnsi"/>
          <w:bCs/>
          <w:szCs w:val="24"/>
        </w:rPr>
        <w:t xml:space="preserve">published </w:t>
      </w:r>
      <w:r w:rsidR="00934747" w:rsidRPr="00F77E7A">
        <w:rPr>
          <w:rFonts w:asciiTheme="minorHAnsi" w:hAnsiTheme="minorHAnsi"/>
          <w:bCs/>
          <w:szCs w:val="24"/>
        </w:rPr>
        <w:t>DPMQ no higher than that for lumacaftor/ivacaftor</w:t>
      </w:r>
      <w:r w:rsidR="001657DE" w:rsidRPr="00F77E7A">
        <w:rPr>
          <w:rFonts w:asciiTheme="minorHAnsi" w:hAnsiTheme="minorHAnsi"/>
          <w:bCs/>
          <w:szCs w:val="24"/>
        </w:rPr>
        <w:t>.</w:t>
      </w:r>
    </w:p>
    <w:p w:rsidR="007B1AB9" w:rsidRDefault="00820E03" w:rsidP="00127A51">
      <w:pPr>
        <w:widowControl/>
        <w:numPr>
          <w:ilvl w:val="1"/>
          <w:numId w:val="2"/>
        </w:numPr>
        <w:spacing w:before="120" w:after="120"/>
        <w:rPr>
          <w:rFonts w:asciiTheme="minorHAnsi" w:hAnsiTheme="minorHAnsi"/>
          <w:bCs/>
          <w:szCs w:val="24"/>
        </w:rPr>
      </w:pPr>
      <w:r w:rsidRPr="00F77E7A">
        <w:rPr>
          <w:rFonts w:asciiTheme="minorHAnsi" w:hAnsiTheme="minorHAnsi"/>
          <w:bCs/>
          <w:szCs w:val="24"/>
        </w:rPr>
        <w:t>The PBAC considered that the submission</w:t>
      </w:r>
      <w:r w:rsidR="007B5A0E">
        <w:rPr>
          <w:rFonts w:asciiTheme="minorHAnsi" w:hAnsiTheme="minorHAnsi"/>
          <w:bCs/>
          <w:szCs w:val="24"/>
        </w:rPr>
        <w:t>’s</w:t>
      </w:r>
      <w:r w:rsidRPr="00F77E7A">
        <w:rPr>
          <w:rFonts w:asciiTheme="minorHAnsi" w:hAnsiTheme="minorHAnsi"/>
          <w:bCs/>
          <w:szCs w:val="24"/>
        </w:rPr>
        <w:t xml:space="preserve"> estimate</w:t>
      </w:r>
      <w:r w:rsidR="003906DE">
        <w:rPr>
          <w:rFonts w:asciiTheme="minorHAnsi" w:hAnsiTheme="minorHAnsi"/>
          <w:bCs/>
          <w:szCs w:val="24"/>
        </w:rPr>
        <w:t xml:space="preserve"> of</w:t>
      </w:r>
      <w:r w:rsidRPr="00F77E7A">
        <w:rPr>
          <w:rFonts w:asciiTheme="minorHAnsi" w:hAnsiTheme="minorHAnsi"/>
          <w:bCs/>
          <w:szCs w:val="24"/>
        </w:rPr>
        <w:t xml:space="preserve"> utilisation of tezacaftor/ivacaftor for this patient population</w:t>
      </w:r>
      <w:r w:rsidR="007B5A0E">
        <w:rPr>
          <w:rFonts w:asciiTheme="minorHAnsi" w:hAnsiTheme="minorHAnsi"/>
          <w:bCs/>
          <w:szCs w:val="24"/>
        </w:rPr>
        <w:t xml:space="preserve"> was uncertain and likely overestimated</w:t>
      </w:r>
      <w:r w:rsidRPr="00F77E7A">
        <w:rPr>
          <w:rFonts w:asciiTheme="minorHAnsi" w:hAnsiTheme="minorHAnsi"/>
          <w:bCs/>
          <w:szCs w:val="24"/>
        </w:rPr>
        <w:t>, for the reasons outlined in paragraph 6.</w:t>
      </w:r>
      <w:r w:rsidRPr="00042FE1">
        <w:rPr>
          <w:rFonts w:asciiTheme="minorHAnsi" w:hAnsiTheme="minorHAnsi"/>
          <w:bCs/>
          <w:szCs w:val="24"/>
        </w:rPr>
        <w:t xml:space="preserve">42. </w:t>
      </w:r>
      <w:r w:rsidR="005309BE" w:rsidRPr="00042FE1">
        <w:rPr>
          <w:rFonts w:asciiTheme="minorHAnsi" w:hAnsiTheme="minorHAnsi"/>
          <w:bCs/>
          <w:szCs w:val="24"/>
        </w:rPr>
        <w:t xml:space="preserve">The PBAC </w:t>
      </w:r>
      <w:r w:rsidR="00BD51AB" w:rsidRPr="00042FE1">
        <w:rPr>
          <w:rFonts w:asciiTheme="minorHAnsi" w:hAnsiTheme="minorHAnsi"/>
          <w:bCs/>
          <w:szCs w:val="24"/>
        </w:rPr>
        <w:t xml:space="preserve">was of the view </w:t>
      </w:r>
      <w:r w:rsidR="005309BE" w:rsidRPr="00042FE1">
        <w:rPr>
          <w:rFonts w:asciiTheme="minorHAnsi" w:hAnsiTheme="minorHAnsi"/>
          <w:bCs/>
          <w:szCs w:val="24"/>
        </w:rPr>
        <w:t xml:space="preserve">that </w:t>
      </w:r>
      <w:r w:rsidR="0053486C" w:rsidRPr="00042FE1">
        <w:rPr>
          <w:rFonts w:asciiTheme="minorHAnsi" w:hAnsiTheme="minorHAnsi"/>
          <w:bCs/>
          <w:szCs w:val="24"/>
        </w:rPr>
        <w:t>the RF mutation</w:t>
      </w:r>
      <w:r w:rsidR="00713AED" w:rsidRPr="00042FE1">
        <w:rPr>
          <w:rFonts w:asciiTheme="minorHAnsi" w:hAnsiTheme="minorHAnsi"/>
          <w:bCs/>
          <w:szCs w:val="24"/>
        </w:rPr>
        <w:t xml:space="preserve"> </w:t>
      </w:r>
      <w:r w:rsidR="00042FE1" w:rsidRPr="00042FE1">
        <w:rPr>
          <w:rFonts w:asciiTheme="minorHAnsi" w:hAnsiTheme="minorHAnsi"/>
          <w:bCs/>
          <w:szCs w:val="24"/>
        </w:rPr>
        <w:t xml:space="preserve">patient population </w:t>
      </w:r>
      <w:r w:rsidR="004F3ED0" w:rsidRPr="00042FE1">
        <w:rPr>
          <w:rFonts w:asciiTheme="minorHAnsi" w:hAnsiTheme="minorHAnsi"/>
          <w:bCs/>
          <w:szCs w:val="24"/>
        </w:rPr>
        <w:t xml:space="preserve">should be included in </w:t>
      </w:r>
      <w:r w:rsidR="00042FE1" w:rsidRPr="00042FE1">
        <w:rPr>
          <w:rFonts w:asciiTheme="minorHAnsi" w:hAnsiTheme="minorHAnsi"/>
          <w:bCs/>
          <w:szCs w:val="24"/>
        </w:rPr>
        <w:t xml:space="preserve">the existing lumacaftor/ivacaftor </w:t>
      </w:r>
      <w:r w:rsidR="002377D0" w:rsidRPr="00042FE1">
        <w:rPr>
          <w:rFonts w:asciiTheme="minorHAnsi" w:hAnsiTheme="minorHAnsi"/>
          <w:bCs/>
          <w:szCs w:val="24"/>
        </w:rPr>
        <w:t>Deed of Agreement</w:t>
      </w:r>
      <w:r w:rsidR="004F3ED0" w:rsidRPr="00042FE1">
        <w:rPr>
          <w:rFonts w:asciiTheme="minorHAnsi" w:hAnsiTheme="minorHAnsi"/>
          <w:bCs/>
          <w:szCs w:val="24"/>
        </w:rPr>
        <w:t xml:space="preserve"> and any change to the lumacaftor/ivacaftor price per patient per year as a result of the MAP should also be applicable to the price of tezacaftor/ivacaftor</w:t>
      </w:r>
      <w:r w:rsidR="0053486C" w:rsidRPr="00042FE1">
        <w:rPr>
          <w:rFonts w:asciiTheme="minorHAnsi" w:hAnsiTheme="minorHAnsi"/>
          <w:bCs/>
          <w:szCs w:val="24"/>
        </w:rPr>
        <w:t>,</w:t>
      </w:r>
      <w:r w:rsidR="004F3ED0" w:rsidRPr="00042FE1">
        <w:rPr>
          <w:rFonts w:asciiTheme="minorHAnsi" w:hAnsiTheme="minorHAnsi"/>
          <w:bCs/>
          <w:szCs w:val="24"/>
        </w:rPr>
        <w:t xml:space="preserve"> in order </w:t>
      </w:r>
      <w:r w:rsidR="005309BE" w:rsidRPr="00042FE1">
        <w:rPr>
          <w:rFonts w:asciiTheme="minorHAnsi" w:hAnsiTheme="minorHAnsi"/>
          <w:bCs/>
          <w:szCs w:val="24"/>
        </w:rPr>
        <w:t xml:space="preserve">to manage </w:t>
      </w:r>
      <w:r w:rsidR="005309BE" w:rsidRPr="00F77E7A">
        <w:rPr>
          <w:rFonts w:asciiTheme="minorHAnsi" w:hAnsiTheme="minorHAnsi"/>
          <w:bCs/>
          <w:szCs w:val="24"/>
        </w:rPr>
        <w:t xml:space="preserve">the uncertain cost-effectiveness of tezacaftor/ivacaftor in this treatment setting. </w:t>
      </w:r>
    </w:p>
    <w:p w:rsidR="00042FE1" w:rsidRPr="00E56D24" w:rsidRDefault="00042FE1" w:rsidP="00127A51">
      <w:pPr>
        <w:widowControl/>
        <w:numPr>
          <w:ilvl w:val="1"/>
          <w:numId w:val="2"/>
        </w:numPr>
        <w:spacing w:before="120" w:after="120"/>
        <w:rPr>
          <w:rFonts w:asciiTheme="minorHAnsi" w:hAnsiTheme="minorHAnsi"/>
          <w:bCs/>
          <w:szCs w:val="24"/>
        </w:rPr>
      </w:pPr>
      <w:r w:rsidRPr="00E56D24">
        <w:rPr>
          <w:rFonts w:asciiTheme="minorHAnsi" w:hAnsiTheme="minorHAnsi"/>
          <w:bCs/>
          <w:szCs w:val="24"/>
        </w:rPr>
        <w:t>The PBAC noted the advice from the Department regarding current utilisation of lumacaftor/ivacaftor and</w:t>
      </w:r>
      <w:r w:rsidR="00CA7B5C">
        <w:rPr>
          <w:rFonts w:asciiTheme="minorHAnsi" w:hAnsiTheme="minorHAnsi"/>
          <w:bCs/>
          <w:szCs w:val="24"/>
        </w:rPr>
        <w:t xml:space="preserve"> that</w:t>
      </w:r>
      <w:r w:rsidRPr="00E56D24">
        <w:rPr>
          <w:rFonts w:asciiTheme="minorHAnsi" w:hAnsiTheme="minorHAnsi"/>
          <w:bCs/>
          <w:szCs w:val="24"/>
        </w:rPr>
        <w:t xml:space="preserve"> Government expenditure per patient in Year 1 of listing is likely to be significantly higher than what was considered acceptably cost-effective (i.e. $</w:t>
      </w:r>
      <w:r w:rsidR="007D10D3">
        <w:rPr>
          <w:rFonts w:asciiTheme="minorHAnsi" w:hAnsiTheme="minorHAnsi"/>
          <w:bCs/>
          <w:noProof/>
          <w:color w:val="000000"/>
          <w:szCs w:val="24"/>
          <w:highlight w:val="black"/>
        </w:rPr>
        <w:t>'''''''''''''</w:t>
      </w:r>
      <w:r w:rsidRPr="00E56D24">
        <w:rPr>
          <w:rFonts w:asciiTheme="minorHAnsi" w:hAnsiTheme="minorHAnsi"/>
          <w:bCs/>
          <w:szCs w:val="24"/>
        </w:rPr>
        <w:t xml:space="preserve"> per patient per year) in its July 2018 recommendation. In this regard, the PBAC advised that any increase to the existing financial caps for lumacaftor/ivacaftor to include patients with an RF mutation would need to account for the difference between the expected and actual utilisation of lumacaftor/ivacaftor in the homozygous F508del population. Given that uptake of lumacaftor/ivacaftor appears significantly lower than estimated utilisation in July 2018, it may be appropriate to include tezacaftor/ivacaftor for the treatment of the RF patient population to the existing financial caps for lumacaftor/ivacaftor without any increase.</w:t>
      </w:r>
      <w:r w:rsidR="008F07D7" w:rsidRPr="00E56D24">
        <w:rPr>
          <w:rFonts w:asciiTheme="minorHAnsi" w:hAnsiTheme="minorHAnsi"/>
          <w:bCs/>
          <w:szCs w:val="24"/>
        </w:rPr>
        <w:t xml:space="preserve"> </w:t>
      </w:r>
      <w:r w:rsidR="006B26B6" w:rsidRPr="00E56D24">
        <w:t>The PBAC considered that it may be appropriate for the Department to implement other measures to ensure tezacaftor/ivacaftor does not exceed the price of $</w:t>
      </w:r>
      <w:r w:rsidR="007D10D3">
        <w:rPr>
          <w:noProof/>
          <w:color w:val="000000"/>
          <w:highlight w:val="black"/>
        </w:rPr>
        <w:t>''''''''''''</w:t>
      </w:r>
      <w:r w:rsidR="006B26B6" w:rsidRPr="00E56D24">
        <w:t xml:space="preserve"> per patient</w:t>
      </w:r>
      <w:r w:rsidR="00CA7B5C">
        <w:t xml:space="preserve"> per year;</w:t>
      </w:r>
      <w:r w:rsidR="006B26B6" w:rsidRPr="00E56D24">
        <w:t xml:space="preserve"> this could be achieved through a Special Pricing Arrangement, as per the July 2018 recommendation for lumacaftor/ivacaftor.</w:t>
      </w:r>
    </w:p>
    <w:p w:rsidR="00973D7E" w:rsidRPr="00973D7E" w:rsidRDefault="00A579B4" w:rsidP="00127A51">
      <w:pPr>
        <w:widowControl/>
        <w:numPr>
          <w:ilvl w:val="1"/>
          <w:numId w:val="2"/>
        </w:numPr>
        <w:spacing w:before="120" w:after="120"/>
        <w:rPr>
          <w:rFonts w:asciiTheme="minorHAnsi" w:hAnsiTheme="minorHAnsi"/>
          <w:bCs/>
          <w:szCs w:val="24"/>
        </w:rPr>
      </w:pPr>
      <w:r w:rsidRPr="00E56D24">
        <w:rPr>
          <w:rFonts w:asciiTheme="minorHAnsi" w:hAnsiTheme="minorHAnsi"/>
          <w:bCs/>
          <w:szCs w:val="24"/>
        </w:rPr>
        <w:t>The PBAC considered it would be appropriate to include prescribing instructions in</w:t>
      </w:r>
      <w:r>
        <w:rPr>
          <w:rFonts w:asciiTheme="minorHAnsi" w:hAnsiTheme="minorHAnsi"/>
          <w:bCs/>
          <w:szCs w:val="24"/>
        </w:rPr>
        <w:t xml:space="preserve"> the tezacaftor/ivacaftor restriction specifying the dose adjustments required for patients who are concomitantly receiving a moderate or strong CYP3A inhibitor. </w:t>
      </w:r>
      <w:r w:rsidR="00BD51AB">
        <w:rPr>
          <w:rFonts w:asciiTheme="minorHAnsi" w:hAnsiTheme="minorHAnsi"/>
          <w:bCs/>
          <w:szCs w:val="24"/>
        </w:rPr>
        <w:t xml:space="preserve">The PBAC also considered it would be appropriate for the restriction to state that tezacaftor/ivacaftor is not PBS-subsidised in patients receiving CYP3A4 inducers, in line with the TGA approved Product Information and the </w:t>
      </w:r>
      <w:r w:rsidR="00CA7B5C">
        <w:rPr>
          <w:rFonts w:asciiTheme="minorHAnsi" w:hAnsiTheme="minorHAnsi"/>
          <w:bCs/>
          <w:szCs w:val="24"/>
        </w:rPr>
        <w:t xml:space="preserve">current </w:t>
      </w:r>
      <w:r w:rsidR="00BD51AB">
        <w:rPr>
          <w:rFonts w:asciiTheme="minorHAnsi" w:hAnsiTheme="minorHAnsi"/>
          <w:bCs/>
          <w:szCs w:val="24"/>
        </w:rPr>
        <w:t xml:space="preserve">restriction for ivacaftor. </w:t>
      </w:r>
    </w:p>
    <w:p w:rsidR="005309BE" w:rsidRPr="00F77E7A" w:rsidRDefault="005309BE" w:rsidP="00127A51">
      <w:pPr>
        <w:widowControl/>
        <w:numPr>
          <w:ilvl w:val="1"/>
          <w:numId w:val="2"/>
        </w:numPr>
        <w:spacing w:before="120" w:after="120"/>
        <w:rPr>
          <w:rFonts w:asciiTheme="minorHAnsi" w:hAnsiTheme="minorHAnsi"/>
          <w:bCs/>
        </w:rPr>
      </w:pPr>
      <w:r w:rsidRPr="00F77E7A">
        <w:rPr>
          <w:rFonts w:asciiTheme="minorHAnsi" w:hAnsiTheme="minorHAnsi"/>
          <w:bCs/>
        </w:rPr>
        <w:t>The PBAC advised that</w:t>
      </w:r>
      <w:r w:rsidRPr="00F77E7A">
        <w:rPr>
          <w:rFonts w:asciiTheme="minorHAnsi" w:hAnsiTheme="minorHAnsi"/>
        </w:rPr>
        <w:t xml:space="preserve"> tezacaftor/ivacaftor </w:t>
      </w:r>
      <w:r w:rsidRPr="00F77E7A">
        <w:rPr>
          <w:rFonts w:asciiTheme="minorHAnsi" w:hAnsiTheme="minorHAnsi"/>
          <w:bCs/>
        </w:rPr>
        <w:t>is not suitable for prescribing by nurse practitioners</w:t>
      </w:r>
      <w:r w:rsidR="00A03A26" w:rsidRPr="00F77E7A">
        <w:rPr>
          <w:rFonts w:asciiTheme="minorHAnsi" w:hAnsiTheme="minorHAnsi"/>
          <w:bCs/>
        </w:rPr>
        <w:t xml:space="preserve">. </w:t>
      </w:r>
    </w:p>
    <w:p w:rsidR="005309BE" w:rsidRPr="00F77E7A" w:rsidRDefault="005309BE" w:rsidP="00127A51">
      <w:pPr>
        <w:widowControl/>
        <w:numPr>
          <w:ilvl w:val="1"/>
          <w:numId w:val="2"/>
        </w:numPr>
        <w:spacing w:before="120" w:after="120"/>
        <w:rPr>
          <w:rFonts w:asciiTheme="minorHAnsi" w:hAnsiTheme="minorHAnsi"/>
          <w:bCs/>
        </w:rPr>
      </w:pPr>
      <w:r w:rsidRPr="00F77E7A">
        <w:rPr>
          <w:rFonts w:asciiTheme="minorHAnsi" w:hAnsiTheme="minorHAnsi"/>
          <w:bCs/>
        </w:rPr>
        <w:t xml:space="preserve">The PBAC recommended that the Early Supply Rule should apply. </w:t>
      </w:r>
    </w:p>
    <w:p w:rsidR="005309BE" w:rsidRPr="00F77E7A" w:rsidRDefault="005309BE" w:rsidP="00127A51">
      <w:pPr>
        <w:widowControl/>
        <w:numPr>
          <w:ilvl w:val="1"/>
          <w:numId w:val="2"/>
        </w:numPr>
        <w:spacing w:before="120" w:after="120"/>
        <w:rPr>
          <w:rFonts w:asciiTheme="minorHAnsi" w:hAnsiTheme="minorHAnsi"/>
          <w:bCs/>
        </w:rPr>
      </w:pPr>
      <w:r w:rsidRPr="00F77E7A">
        <w:rPr>
          <w:rFonts w:asciiTheme="minorHAnsi" w:hAnsiTheme="minorHAnsi"/>
          <w:bCs/>
        </w:rPr>
        <w:t xml:space="preserve">The PBAC noted the submission is not eligible for an Independent Review, because the PBAC has made a positive recommendation. </w:t>
      </w:r>
    </w:p>
    <w:p w:rsidR="007B1AB9" w:rsidRPr="00F77E7A" w:rsidRDefault="007B1AB9" w:rsidP="00127A51">
      <w:pPr>
        <w:keepNext/>
        <w:widowControl/>
        <w:spacing w:before="120" w:after="120"/>
        <w:rPr>
          <w:rFonts w:asciiTheme="minorHAnsi" w:hAnsiTheme="minorHAnsi"/>
          <w:b/>
          <w:bCs/>
          <w:szCs w:val="24"/>
        </w:rPr>
      </w:pPr>
      <w:r w:rsidRPr="00F77E7A">
        <w:rPr>
          <w:rFonts w:asciiTheme="minorHAnsi" w:hAnsiTheme="minorHAnsi"/>
          <w:b/>
          <w:bCs/>
          <w:szCs w:val="24"/>
        </w:rPr>
        <w:t>Outcome:</w:t>
      </w:r>
    </w:p>
    <w:p w:rsidR="007B1AB9" w:rsidRPr="00F77E7A" w:rsidRDefault="007B1AB9" w:rsidP="00127A51">
      <w:pPr>
        <w:widowControl/>
        <w:spacing w:before="120" w:after="120"/>
        <w:rPr>
          <w:rFonts w:asciiTheme="minorHAnsi" w:hAnsiTheme="minorHAnsi"/>
          <w:bCs/>
          <w:szCs w:val="24"/>
        </w:rPr>
      </w:pPr>
      <w:r w:rsidRPr="00F77E7A">
        <w:rPr>
          <w:rFonts w:asciiTheme="minorHAnsi" w:hAnsiTheme="minorHAnsi"/>
          <w:bCs/>
          <w:szCs w:val="24"/>
        </w:rPr>
        <w:t xml:space="preserve">Recommended </w:t>
      </w:r>
    </w:p>
    <w:p w:rsidR="007B1AB9" w:rsidRPr="00F77E7A" w:rsidRDefault="007B1AB9" w:rsidP="00127A51">
      <w:pPr>
        <w:pStyle w:val="PBACHeading1"/>
        <w:numPr>
          <w:ilvl w:val="0"/>
          <w:numId w:val="22"/>
        </w:numPr>
        <w:spacing w:before="120"/>
      </w:pPr>
      <w:r w:rsidRPr="00F77E7A">
        <w:t xml:space="preserve">Recommended listing  </w:t>
      </w:r>
    </w:p>
    <w:p w:rsidR="007F7326" w:rsidRPr="00F77E7A" w:rsidRDefault="00110A9A" w:rsidP="00127A51">
      <w:pPr>
        <w:widowControl/>
        <w:numPr>
          <w:ilvl w:val="1"/>
          <w:numId w:val="2"/>
        </w:numPr>
        <w:spacing w:before="120" w:after="120"/>
        <w:jc w:val="left"/>
        <w:rPr>
          <w:rFonts w:asciiTheme="minorHAnsi" w:hAnsiTheme="minorHAnsi"/>
          <w:b/>
          <w:bCs/>
          <w:szCs w:val="24"/>
        </w:rPr>
      </w:pPr>
      <w:r w:rsidRPr="00F77E7A">
        <w:rPr>
          <w:rFonts w:asciiTheme="minorHAnsi" w:hAnsiTheme="minorHAnsi"/>
          <w:bCs/>
          <w:szCs w:val="24"/>
        </w:rPr>
        <w:t xml:space="preserve">Add new item: </w:t>
      </w:r>
    </w:p>
    <w:tbl>
      <w:tblPr>
        <w:tblW w:w="5000" w:type="pct"/>
        <w:tblLook w:val="0000" w:firstRow="0" w:lastRow="0" w:firstColumn="0" w:lastColumn="0" w:noHBand="0" w:noVBand="0"/>
      </w:tblPr>
      <w:tblGrid>
        <w:gridCol w:w="4293"/>
        <w:gridCol w:w="522"/>
        <w:gridCol w:w="614"/>
        <w:gridCol w:w="1033"/>
        <w:gridCol w:w="2565"/>
      </w:tblGrid>
      <w:tr w:rsidR="005A50DC" w:rsidRPr="00F77E7A" w:rsidTr="003906DE">
        <w:trPr>
          <w:trHeight w:val="471"/>
        </w:trPr>
        <w:tc>
          <w:tcPr>
            <w:tcW w:w="2378" w:type="pct"/>
            <w:tcBorders>
              <w:bottom w:val="single" w:sz="4" w:space="0" w:color="auto"/>
            </w:tcBorders>
          </w:tcPr>
          <w:p w:rsidR="005A50DC" w:rsidRPr="00F77E7A" w:rsidRDefault="005A50DC" w:rsidP="00EF2E6B">
            <w:pPr>
              <w:keepNext/>
              <w:widowControl/>
              <w:ind w:left="-108"/>
              <w:rPr>
                <w:rFonts w:ascii="Arial Narrow" w:hAnsi="Arial Narrow"/>
                <w:sz w:val="20"/>
              </w:rPr>
            </w:pPr>
            <w:r w:rsidRPr="00F77E7A">
              <w:rPr>
                <w:rFonts w:ascii="Arial Narrow" w:hAnsi="Arial Narrow"/>
                <w:sz w:val="20"/>
              </w:rPr>
              <w:t>Name, Restriction,</w:t>
            </w:r>
          </w:p>
          <w:p w:rsidR="005A50DC" w:rsidRPr="00F77E7A" w:rsidRDefault="005A50DC" w:rsidP="00EF2E6B">
            <w:pPr>
              <w:keepNext/>
              <w:widowControl/>
              <w:ind w:left="-108"/>
              <w:rPr>
                <w:rFonts w:ascii="Arial Narrow" w:hAnsi="Arial Narrow"/>
                <w:sz w:val="20"/>
              </w:rPr>
            </w:pPr>
            <w:r w:rsidRPr="00F77E7A">
              <w:rPr>
                <w:rFonts w:ascii="Arial Narrow" w:hAnsi="Arial Narrow"/>
                <w:sz w:val="20"/>
              </w:rPr>
              <w:t>Manner of administration and form</w:t>
            </w:r>
          </w:p>
        </w:tc>
        <w:tc>
          <w:tcPr>
            <w:tcW w:w="289" w:type="pct"/>
            <w:tcBorders>
              <w:bottom w:val="single" w:sz="4" w:space="0" w:color="auto"/>
            </w:tcBorders>
          </w:tcPr>
          <w:p w:rsidR="005A50DC" w:rsidRPr="00F77E7A" w:rsidRDefault="005A50DC" w:rsidP="00EF2E6B">
            <w:pPr>
              <w:keepNext/>
              <w:widowControl/>
              <w:ind w:left="-108"/>
              <w:rPr>
                <w:rFonts w:ascii="Arial Narrow" w:hAnsi="Arial Narrow"/>
                <w:sz w:val="20"/>
              </w:rPr>
            </w:pPr>
            <w:r w:rsidRPr="00F77E7A">
              <w:rPr>
                <w:rFonts w:ascii="Arial Narrow" w:hAnsi="Arial Narrow"/>
                <w:sz w:val="20"/>
              </w:rPr>
              <w:t>Max.</w:t>
            </w:r>
          </w:p>
          <w:p w:rsidR="005A50DC" w:rsidRPr="00F77E7A" w:rsidRDefault="005A50DC" w:rsidP="00EF2E6B">
            <w:pPr>
              <w:keepNext/>
              <w:widowControl/>
              <w:ind w:left="-108"/>
              <w:rPr>
                <w:rFonts w:ascii="Arial Narrow" w:hAnsi="Arial Narrow"/>
                <w:sz w:val="20"/>
              </w:rPr>
            </w:pPr>
            <w:r w:rsidRPr="00F77E7A">
              <w:rPr>
                <w:rFonts w:ascii="Arial Narrow" w:hAnsi="Arial Narrow"/>
                <w:sz w:val="20"/>
              </w:rPr>
              <w:t>Qty</w:t>
            </w:r>
          </w:p>
        </w:tc>
        <w:tc>
          <w:tcPr>
            <w:tcW w:w="340" w:type="pct"/>
            <w:tcBorders>
              <w:bottom w:val="single" w:sz="4" w:space="0" w:color="auto"/>
            </w:tcBorders>
          </w:tcPr>
          <w:p w:rsidR="005A50DC" w:rsidRPr="00F77E7A" w:rsidRDefault="005A50DC" w:rsidP="00EF2E6B">
            <w:pPr>
              <w:keepNext/>
              <w:widowControl/>
              <w:ind w:left="-108"/>
              <w:rPr>
                <w:rFonts w:ascii="Arial Narrow" w:hAnsi="Arial Narrow"/>
                <w:sz w:val="20"/>
              </w:rPr>
            </w:pPr>
            <w:r w:rsidRPr="00F77E7A">
              <w:rPr>
                <w:rFonts w:ascii="Arial Narrow" w:hAnsi="Arial Narrow"/>
                <w:sz w:val="20"/>
              </w:rPr>
              <w:t>№.of</w:t>
            </w:r>
          </w:p>
          <w:p w:rsidR="005A50DC" w:rsidRPr="00F77E7A" w:rsidRDefault="005A50DC" w:rsidP="00EF2E6B">
            <w:pPr>
              <w:keepNext/>
              <w:widowControl/>
              <w:ind w:left="-108"/>
              <w:rPr>
                <w:rFonts w:ascii="Arial Narrow" w:hAnsi="Arial Narrow"/>
                <w:sz w:val="20"/>
              </w:rPr>
            </w:pPr>
            <w:r w:rsidRPr="00F77E7A">
              <w:rPr>
                <w:rFonts w:ascii="Arial Narrow" w:hAnsi="Arial Narrow"/>
                <w:sz w:val="20"/>
              </w:rPr>
              <w:t>Rpts</w:t>
            </w:r>
          </w:p>
        </w:tc>
        <w:tc>
          <w:tcPr>
            <w:tcW w:w="1993" w:type="pct"/>
            <w:gridSpan w:val="2"/>
            <w:tcBorders>
              <w:bottom w:val="single" w:sz="4" w:space="0" w:color="auto"/>
            </w:tcBorders>
          </w:tcPr>
          <w:p w:rsidR="005A50DC" w:rsidRPr="00F77E7A" w:rsidRDefault="005A50DC" w:rsidP="00EF2E6B">
            <w:pPr>
              <w:keepNext/>
              <w:widowControl/>
              <w:rPr>
                <w:rFonts w:ascii="Arial Narrow" w:hAnsi="Arial Narrow"/>
                <w:sz w:val="20"/>
              </w:rPr>
            </w:pPr>
            <w:r w:rsidRPr="00F77E7A">
              <w:rPr>
                <w:rFonts w:ascii="Arial Narrow" w:hAnsi="Arial Narrow"/>
                <w:sz w:val="20"/>
              </w:rPr>
              <w:t>Proprietary Name and Manufacturer</w:t>
            </w:r>
          </w:p>
        </w:tc>
      </w:tr>
      <w:tr w:rsidR="005A50DC" w:rsidRPr="00F77E7A" w:rsidTr="003906DE">
        <w:trPr>
          <w:trHeight w:val="577"/>
        </w:trPr>
        <w:tc>
          <w:tcPr>
            <w:tcW w:w="2378" w:type="pct"/>
            <w:tcBorders>
              <w:top w:val="single" w:sz="4" w:space="0" w:color="auto"/>
            </w:tcBorders>
          </w:tcPr>
          <w:p w:rsidR="005A50DC" w:rsidRPr="00F77E7A" w:rsidRDefault="005A50DC" w:rsidP="00EF2E6B">
            <w:pPr>
              <w:keepNext/>
              <w:widowControl/>
              <w:ind w:left="-108"/>
              <w:rPr>
                <w:rFonts w:ascii="Arial Narrow" w:hAnsi="Arial Narrow"/>
                <w:sz w:val="20"/>
              </w:rPr>
            </w:pPr>
            <w:r w:rsidRPr="00F77E7A">
              <w:rPr>
                <w:rFonts w:ascii="Arial Narrow" w:hAnsi="Arial Narrow"/>
                <w:smallCaps/>
                <w:sz w:val="20"/>
              </w:rPr>
              <w:t>TEZACAFTOR + IVACAFTOR</w:t>
            </w:r>
            <w:r w:rsidR="00261020">
              <w:rPr>
                <w:rFonts w:ascii="Arial Narrow" w:hAnsi="Arial Narrow"/>
                <w:smallCaps/>
                <w:sz w:val="20"/>
              </w:rPr>
              <w:t xml:space="preserve"> (&amp;) IVACAFTOR</w:t>
            </w:r>
          </w:p>
          <w:p w:rsidR="005A50DC" w:rsidRPr="00F77E7A" w:rsidRDefault="005A50DC" w:rsidP="00EF2E6B">
            <w:pPr>
              <w:keepNext/>
              <w:widowControl/>
              <w:ind w:left="-108"/>
              <w:rPr>
                <w:rFonts w:ascii="Arial Narrow" w:hAnsi="Arial Narrow"/>
                <w:sz w:val="20"/>
              </w:rPr>
            </w:pPr>
            <w:r w:rsidRPr="00F77E7A">
              <w:rPr>
                <w:rFonts w:ascii="Arial Narrow" w:hAnsi="Arial Narrow"/>
                <w:sz w:val="20"/>
              </w:rPr>
              <w:t xml:space="preserve">Tezacaftor 100 mg + ivacaftor 150 mg tablet [28] (&amp;) ivacaftor 150 mg tablet [28], </w:t>
            </w:r>
            <w:r w:rsidR="00987E4B" w:rsidRPr="00F77E7A">
              <w:rPr>
                <w:rFonts w:ascii="Arial Narrow" w:hAnsi="Arial Narrow"/>
                <w:sz w:val="20"/>
              </w:rPr>
              <w:t>1 pack</w:t>
            </w:r>
          </w:p>
        </w:tc>
        <w:tc>
          <w:tcPr>
            <w:tcW w:w="289" w:type="pct"/>
            <w:tcBorders>
              <w:top w:val="single" w:sz="4" w:space="0" w:color="auto"/>
            </w:tcBorders>
          </w:tcPr>
          <w:p w:rsidR="005A50DC" w:rsidRPr="00F77E7A" w:rsidRDefault="005A50DC" w:rsidP="00EF2E6B">
            <w:pPr>
              <w:keepNext/>
              <w:widowControl/>
              <w:ind w:left="-108"/>
              <w:rPr>
                <w:rFonts w:ascii="Arial Narrow" w:hAnsi="Arial Narrow"/>
                <w:sz w:val="20"/>
              </w:rPr>
            </w:pPr>
          </w:p>
          <w:p w:rsidR="005A50DC" w:rsidRPr="00F77E7A" w:rsidRDefault="00987E4B" w:rsidP="00EF2E6B">
            <w:pPr>
              <w:keepNext/>
              <w:widowControl/>
              <w:ind w:left="-108"/>
              <w:rPr>
                <w:rFonts w:ascii="Arial Narrow" w:hAnsi="Arial Narrow"/>
                <w:sz w:val="20"/>
              </w:rPr>
            </w:pPr>
            <w:r w:rsidRPr="00F77E7A">
              <w:rPr>
                <w:rFonts w:ascii="Arial Narrow" w:hAnsi="Arial Narrow"/>
                <w:sz w:val="20"/>
              </w:rPr>
              <w:t>1</w:t>
            </w:r>
          </w:p>
        </w:tc>
        <w:tc>
          <w:tcPr>
            <w:tcW w:w="340" w:type="pct"/>
            <w:tcBorders>
              <w:top w:val="single" w:sz="4" w:space="0" w:color="auto"/>
            </w:tcBorders>
          </w:tcPr>
          <w:p w:rsidR="005A50DC" w:rsidRPr="00F77E7A" w:rsidRDefault="005A50DC" w:rsidP="00EF2E6B">
            <w:pPr>
              <w:keepNext/>
              <w:widowControl/>
              <w:ind w:left="-108"/>
              <w:rPr>
                <w:rFonts w:ascii="Arial Narrow" w:hAnsi="Arial Narrow"/>
                <w:sz w:val="20"/>
              </w:rPr>
            </w:pPr>
          </w:p>
          <w:p w:rsidR="005A50DC" w:rsidRPr="00F77E7A" w:rsidRDefault="005A50DC" w:rsidP="00EF2E6B">
            <w:pPr>
              <w:keepNext/>
              <w:widowControl/>
              <w:ind w:left="-108"/>
              <w:rPr>
                <w:rFonts w:ascii="Arial Narrow" w:hAnsi="Arial Narrow"/>
                <w:sz w:val="20"/>
              </w:rPr>
            </w:pPr>
            <w:r w:rsidRPr="00F77E7A">
              <w:rPr>
                <w:rFonts w:ascii="Arial Narrow" w:hAnsi="Arial Narrow"/>
                <w:sz w:val="20"/>
              </w:rPr>
              <w:t>5</w:t>
            </w:r>
          </w:p>
        </w:tc>
        <w:tc>
          <w:tcPr>
            <w:tcW w:w="572" w:type="pct"/>
            <w:tcBorders>
              <w:top w:val="single" w:sz="4" w:space="0" w:color="auto"/>
            </w:tcBorders>
          </w:tcPr>
          <w:p w:rsidR="005A50DC" w:rsidRPr="00F77E7A" w:rsidRDefault="005A50DC" w:rsidP="00EF2E6B">
            <w:pPr>
              <w:keepNext/>
              <w:widowControl/>
              <w:rPr>
                <w:rFonts w:ascii="Arial Narrow" w:hAnsi="Arial Narrow"/>
                <w:sz w:val="20"/>
              </w:rPr>
            </w:pPr>
          </w:p>
          <w:p w:rsidR="005A50DC" w:rsidRPr="00F77E7A" w:rsidRDefault="005A50DC" w:rsidP="00EF2E6B">
            <w:pPr>
              <w:keepNext/>
              <w:widowControl/>
              <w:rPr>
                <w:rFonts w:ascii="Arial Narrow" w:hAnsi="Arial Narrow"/>
                <w:sz w:val="20"/>
              </w:rPr>
            </w:pPr>
            <w:r w:rsidRPr="00F77E7A">
              <w:rPr>
                <w:rFonts w:ascii="Arial Narrow" w:hAnsi="Arial Narrow"/>
                <w:sz w:val="20"/>
              </w:rPr>
              <w:t>Symdeko®</w:t>
            </w:r>
          </w:p>
        </w:tc>
        <w:tc>
          <w:tcPr>
            <w:tcW w:w="1421" w:type="pct"/>
            <w:tcBorders>
              <w:top w:val="single" w:sz="4" w:space="0" w:color="auto"/>
            </w:tcBorders>
          </w:tcPr>
          <w:p w:rsidR="005A50DC" w:rsidRPr="00F77E7A" w:rsidRDefault="005A50DC" w:rsidP="00EF2E6B">
            <w:pPr>
              <w:keepNext/>
              <w:widowControl/>
              <w:rPr>
                <w:rFonts w:ascii="Arial Narrow" w:hAnsi="Arial Narrow"/>
                <w:sz w:val="20"/>
              </w:rPr>
            </w:pPr>
          </w:p>
          <w:p w:rsidR="005A50DC" w:rsidRPr="00F77E7A" w:rsidRDefault="005A50DC" w:rsidP="00105B39">
            <w:pPr>
              <w:keepNext/>
              <w:widowControl/>
              <w:jc w:val="left"/>
              <w:rPr>
                <w:rFonts w:ascii="Arial Narrow" w:hAnsi="Arial Narrow"/>
                <w:sz w:val="20"/>
              </w:rPr>
            </w:pPr>
            <w:r w:rsidRPr="00F77E7A">
              <w:rPr>
                <w:rFonts w:ascii="Arial Narrow" w:hAnsi="Arial Narrow"/>
                <w:sz w:val="20"/>
              </w:rPr>
              <w:t>Vertex Pharmaceuticals (Australia) Pty Ltd</w:t>
            </w:r>
          </w:p>
        </w:tc>
      </w:tr>
    </w:tbl>
    <w:p w:rsidR="005A50DC" w:rsidRPr="00F77E7A" w:rsidRDefault="005A50DC" w:rsidP="00EF2E6B">
      <w:pPr>
        <w:widowControl/>
        <w:rPr>
          <w:rFonts w:ascii="Arial Narrow" w:hAnsi="Arial Narrow"/>
          <w:b/>
          <w:sz w:val="20"/>
          <w:szCs w:val="16"/>
        </w:rPr>
      </w:pPr>
    </w:p>
    <w:p w:rsidR="005A50DC" w:rsidRPr="00F77E7A" w:rsidRDefault="005A50DC" w:rsidP="00EF2E6B">
      <w:pPr>
        <w:widowControl/>
        <w:rPr>
          <w:rFonts w:ascii="Arial Narrow" w:hAnsi="Arial Narrow"/>
          <w:b/>
          <w:sz w:val="20"/>
          <w:szCs w:val="16"/>
        </w:rPr>
      </w:pPr>
    </w:p>
    <w:tbl>
      <w:tblPr>
        <w:tblW w:w="5000" w:type="pct"/>
        <w:tblLook w:val="0000" w:firstRow="0" w:lastRow="0" w:firstColumn="0" w:lastColumn="0" w:noHBand="0" w:noVBand="0"/>
      </w:tblPr>
      <w:tblGrid>
        <w:gridCol w:w="2294"/>
        <w:gridCol w:w="6723"/>
      </w:tblGrid>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 xml:space="preserve">Category / </w:t>
            </w:r>
          </w:p>
          <w:p w:rsidR="005A50DC" w:rsidRPr="00F77E7A" w:rsidRDefault="005A50DC" w:rsidP="00EF2E6B">
            <w:pPr>
              <w:widowControl/>
              <w:rPr>
                <w:rFonts w:ascii="Arial Narrow" w:hAnsi="Arial Narrow"/>
                <w:b/>
                <w:sz w:val="20"/>
              </w:rPr>
            </w:pPr>
            <w:r w:rsidRPr="00F77E7A">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Section 100 – Highly Specialised Drugs Program</w:t>
            </w:r>
          </w:p>
          <w:p w:rsidR="005A50DC" w:rsidRPr="00F77E7A" w:rsidRDefault="005A50DC" w:rsidP="00EF2E6B">
            <w:pPr>
              <w:widowControl/>
              <w:rPr>
                <w:rFonts w:ascii="Arial Narrow" w:hAnsi="Arial Narrow"/>
                <w:sz w:val="20"/>
              </w:rPr>
            </w:pP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Prescriber type:</w:t>
            </w:r>
          </w:p>
          <w:p w:rsidR="005A50DC" w:rsidRPr="00F77E7A" w:rsidRDefault="005A50DC" w:rsidP="00EF2E6B">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1"/>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Dental  </w:t>
            </w:r>
            <w:r w:rsidRPr="00F77E7A">
              <w:rPr>
                <w:rFonts w:ascii="Arial Narrow" w:hAnsi="Arial Narrow"/>
                <w:sz w:val="20"/>
              </w:rPr>
              <w:fldChar w:fldCharType="begin">
                <w:ffData>
                  <w:name w:val=""/>
                  <w:enabled/>
                  <w:calcOnExit w:val="0"/>
                  <w:checkBox>
                    <w:sizeAuto/>
                    <w:default w:val="1"/>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Medical Practitioners  </w:t>
            </w:r>
            <w:r w:rsidRPr="00F77E7A">
              <w:rPr>
                <w:rFonts w:ascii="Arial Narrow" w:hAnsi="Arial Narrow"/>
                <w:sz w:val="20"/>
              </w:rPr>
              <w:fldChar w:fldCharType="begin">
                <w:ffData>
                  <w:name w:val="Check3"/>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Nurse practitioners  </w:t>
            </w:r>
            <w:r w:rsidRPr="00F77E7A">
              <w:rPr>
                <w:rFonts w:ascii="Arial Narrow" w:hAnsi="Arial Narrow"/>
                <w:sz w:val="20"/>
              </w:rPr>
              <w:fldChar w:fldCharType="begin">
                <w:ffData>
                  <w:name w:val=""/>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Optometrists</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Midwives</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trike/>
                <w:sz w:val="20"/>
              </w:rPr>
            </w:pPr>
            <w:r w:rsidRPr="00F77E7A">
              <w:rPr>
                <w:rFonts w:ascii="Arial Narrow" w:hAnsi="Arial Narrow"/>
                <w:sz w:val="20"/>
              </w:rPr>
              <w:t>Cystic Fibrosis</w:t>
            </w:r>
          </w:p>
        </w:tc>
      </w:tr>
      <w:tr w:rsidR="005A50DC" w:rsidRPr="00F77E7A" w:rsidTr="009B040D">
        <w:trPr>
          <w:cantSplit/>
          <w:trHeight w:val="157"/>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 xml:space="preserve">Initial treatment </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Restriction:</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1"/>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Restricted benefit</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
                  <w:enabled/>
                  <w:calcOnExit w:val="0"/>
                  <w:checkBox>
                    <w:sizeAuto/>
                    <w:default w:val="1"/>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In Writing</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3"/>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Telephone</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Emergency</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Electronic</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Streamlined</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Treatment criteria:</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Must be treated by a specialist respiratory physician with expertise in cystic fibrosis, OR</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consultation with a specialist respiratory physician with expertise in cystic fibrosis if attendance is not possible due to geographic isolation;</w:t>
            </w:r>
          </w:p>
          <w:p w:rsidR="005A50DC" w:rsidRPr="00F77E7A" w:rsidRDefault="005A50DC" w:rsidP="00EF2E6B">
            <w:pPr>
              <w:widowControl/>
              <w:rPr>
                <w:rFonts w:ascii="Arial Narrow" w:hAnsi="Arial Narrow"/>
                <w:sz w:val="20"/>
              </w:rPr>
            </w:pPr>
            <w:r w:rsidRPr="00F77E7A">
              <w:rPr>
                <w:rFonts w:ascii="Arial Narrow" w:hAnsi="Arial Narrow"/>
                <w:sz w:val="20"/>
              </w:rPr>
              <w:t>AND</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a centre with expertise in cystic fibrosis, OR</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consultation with a centre with expertise in cystic fibrosis if attendance is not possible due to geographic isolation.</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Clinical criteria:</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Patient</w:t>
            </w:r>
            <w:r w:rsidR="00271D2E" w:rsidRPr="00F77E7A">
              <w:rPr>
                <w:rFonts w:ascii="Arial Narrow" w:hAnsi="Arial Narrow"/>
                <w:sz w:val="20"/>
              </w:rPr>
              <w:t xml:space="preserve"> must have one mutation in the cystic fibrosis transmembrane conductance regulator (CFTR) gene that is responsive to tezacaftor with ivacaftor</w:t>
            </w:r>
            <w:r w:rsidRPr="00F77E7A">
              <w:rPr>
                <w:rFonts w:ascii="Arial Narrow" w:hAnsi="Arial Narrow"/>
                <w:sz w:val="20"/>
              </w:rPr>
              <w:t>;</w:t>
            </w:r>
          </w:p>
          <w:p w:rsidR="005A50DC" w:rsidRPr="00F77E7A" w:rsidRDefault="005A50DC" w:rsidP="00EF2E6B">
            <w:pPr>
              <w:widowControl/>
              <w:rPr>
                <w:rFonts w:ascii="Arial Narrow" w:hAnsi="Arial Narrow"/>
                <w:sz w:val="20"/>
              </w:rPr>
            </w:pPr>
            <w:r w:rsidRPr="00F77E7A">
              <w:rPr>
                <w:rFonts w:ascii="Arial Narrow" w:hAnsi="Arial Narrow"/>
                <w:sz w:val="20"/>
              </w:rPr>
              <w:t xml:space="preserve">AND </w:t>
            </w:r>
          </w:p>
          <w:p w:rsidR="00271D2E" w:rsidRPr="00F77E7A" w:rsidRDefault="00271D2E" w:rsidP="00EF2E6B">
            <w:pPr>
              <w:widowControl/>
              <w:rPr>
                <w:rFonts w:ascii="Arial Narrow" w:hAnsi="Arial Narrow"/>
                <w:sz w:val="20"/>
              </w:rPr>
            </w:pPr>
            <w:r w:rsidRPr="00F77E7A">
              <w:rPr>
                <w:rFonts w:ascii="Arial Narrow" w:hAnsi="Arial Narrow"/>
                <w:sz w:val="20"/>
              </w:rPr>
              <w:t xml:space="preserve">Patient must have </w:t>
            </w:r>
            <w:r w:rsidR="00FE2BFF" w:rsidRPr="00F77E7A">
              <w:rPr>
                <w:rFonts w:ascii="Arial Narrow" w:hAnsi="Arial Narrow"/>
                <w:sz w:val="20"/>
              </w:rPr>
              <w:t>one</w:t>
            </w:r>
            <w:r w:rsidRPr="00F77E7A">
              <w:rPr>
                <w:rFonts w:ascii="Arial Narrow" w:hAnsi="Arial Narrow"/>
                <w:sz w:val="20"/>
              </w:rPr>
              <w:t xml:space="preserve"> F508del mutation in the CFTR gene;</w:t>
            </w:r>
          </w:p>
          <w:p w:rsidR="00271D2E" w:rsidRPr="00F77E7A" w:rsidRDefault="00271D2E" w:rsidP="00EF2E6B">
            <w:pPr>
              <w:widowControl/>
              <w:rPr>
                <w:rFonts w:ascii="Arial Narrow" w:hAnsi="Arial Narrow"/>
                <w:sz w:val="20"/>
              </w:rPr>
            </w:pPr>
            <w:r w:rsidRPr="00F77E7A">
              <w:rPr>
                <w:rFonts w:ascii="Arial Narrow" w:hAnsi="Arial Narrow"/>
                <w:sz w:val="20"/>
              </w:rPr>
              <w:t>AND</w:t>
            </w:r>
          </w:p>
          <w:p w:rsidR="005A50DC" w:rsidRPr="00F77E7A" w:rsidRDefault="005A50DC" w:rsidP="00EF2E6B">
            <w:pPr>
              <w:widowControl/>
              <w:rPr>
                <w:rFonts w:ascii="Arial Narrow" w:hAnsi="Arial Narrow"/>
                <w:strike/>
                <w:sz w:val="20"/>
              </w:rPr>
            </w:pPr>
            <w:r w:rsidRPr="00F77E7A">
              <w:rPr>
                <w:rFonts w:ascii="Arial Narrow" w:hAnsi="Arial Narrow"/>
                <w:sz w:val="20"/>
              </w:rPr>
              <w:t>The treatment must be given concomitantly with standard therapy for this condition.</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i/>
                <w:sz w:val="20"/>
              </w:rPr>
            </w:pPr>
            <w:r w:rsidRPr="00F77E7A">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Patient must be 12 years of age or older.</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5F37FC" w:rsidRPr="00F77E7A" w:rsidRDefault="005A50DC" w:rsidP="00EF2E6B">
            <w:pPr>
              <w:widowControl/>
              <w:rPr>
                <w:rFonts w:ascii="Arial Narrow" w:hAnsi="Arial Narrow"/>
                <w:sz w:val="20"/>
              </w:rPr>
            </w:pPr>
            <w:r w:rsidRPr="00F77E7A">
              <w:rPr>
                <w:rFonts w:ascii="Arial Narrow" w:hAnsi="Arial Narrow"/>
                <w:sz w:val="20"/>
              </w:rPr>
              <w:t xml:space="preserve">The patient must be registered in the Australian Cystic Fibrosis Database Registry. </w:t>
            </w:r>
          </w:p>
          <w:p w:rsidR="005F37FC" w:rsidRPr="00F77E7A" w:rsidRDefault="005F37F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5F37FC" w:rsidRPr="00F77E7A" w:rsidRDefault="005F37FC" w:rsidP="00EF2E6B">
            <w:pPr>
              <w:widowControl/>
              <w:rPr>
                <w:rFonts w:ascii="Arial Narrow" w:hAnsi="Arial Narrow"/>
                <w:sz w:val="20"/>
              </w:rPr>
            </w:pPr>
          </w:p>
          <w:p w:rsidR="005F37FC" w:rsidRDefault="005F37FC" w:rsidP="00EF2E6B">
            <w:pPr>
              <w:widowControl/>
              <w:rPr>
                <w:rFonts w:ascii="Arial Narrow" w:hAnsi="Arial Narrow"/>
                <w:sz w:val="20"/>
              </w:rPr>
            </w:pPr>
            <w:r w:rsidRPr="00F77E7A">
              <w:rPr>
                <w:rFonts w:ascii="Arial Narrow" w:hAnsi="Arial Narrow"/>
                <w:sz w:val="20"/>
              </w:rPr>
              <w:t>For the purposes of this restriction, the list of mutations considered to be responsive to tezacaftor with ivacaftor is defined in the TGA approved product information.</w:t>
            </w:r>
          </w:p>
          <w:p w:rsidR="00973D7E" w:rsidRDefault="00973D7E" w:rsidP="00EF2E6B">
            <w:pPr>
              <w:widowControl/>
              <w:rPr>
                <w:rFonts w:ascii="Arial Narrow" w:hAnsi="Arial Narrow"/>
                <w:sz w:val="20"/>
              </w:rPr>
            </w:pPr>
          </w:p>
          <w:p w:rsidR="00973D7E" w:rsidRDefault="00973D7E" w:rsidP="00973D7E">
            <w:pPr>
              <w:widowControl/>
              <w:rPr>
                <w:rFonts w:ascii="Arial Narrow" w:hAnsi="Arial Narrow"/>
                <w:sz w:val="20"/>
              </w:rPr>
            </w:pPr>
            <w:r>
              <w:rPr>
                <w:rFonts w:ascii="Arial Narrow" w:hAnsi="Arial Narrow"/>
                <w:sz w:val="20"/>
              </w:rPr>
              <w:t xml:space="preserve">Dosage of tezacaftor with ivacaftor is tezacaftor 100 mg/ivacaftor 150 mg and ivacaftor 150 mg tablets on alternate days if the patient is concomitantly receiving one of the following moderate CYP3A4 drugs inhibitors: </w:t>
            </w:r>
            <w:r w:rsidRPr="00986776">
              <w:rPr>
                <w:rFonts w:ascii="Arial Narrow" w:hAnsi="Arial Narrow"/>
                <w:sz w:val="20"/>
              </w:rPr>
              <w:t>amprenavir, aprepitant, atazanavir, darunavir/ritonavir, diltiazem, erythromycin, fluconazole, fosamprenavir, imatinib, verapamil</w:t>
            </w:r>
            <w:r>
              <w:rPr>
                <w:rFonts w:ascii="Arial Narrow" w:hAnsi="Arial Narrow"/>
                <w:sz w:val="20"/>
              </w:rPr>
              <w:t>.</w:t>
            </w:r>
          </w:p>
          <w:p w:rsidR="00973D7E" w:rsidRDefault="00973D7E" w:rsidP="00973D7E">
            <w:pPr>
              <w:widowControl/>
              <w:rPr>
                <w:rFonts w:ascii="Arial Narrow" w:hAnsi="Arial Narrow"/>
                <w:sz w:val="20"/>
              </w:rPr>
            </w:pPr>
          </w:p>
          <w:p w:rsidR="00973D7E" w:rsidRPr="00F77E7A" w:rsidRDefault="00973D7E" w:rsidP="00973D7E">
            <w:pPr>
              <w:widowControl/>
              <w:rPr>
                <w:rFonts w:ascii="Arial Narrow" w:hAnsi="Arial Narrow"/>
                <w:sz w:val="20"/>
              </w:rPr>
            </w:pPr>
            <w:r>
              <w:rPr>
                <w:rFonts w:ascii="Arial Narrow" w:hAnsi="Arial Narrow"/>
                <w:sz w:val="20"/>
              </w:rPr>
              <w:t xml:space="preserve">Dosage of tezacaftor with ivacaftor is tezacaftor 100 mg/ivacaftor 150 mg twice weekly (approximately 3 or 4 days apart) if the patient is concomitantly receiving one of the following strong CYP3A4 inhibitors: </w:t>
            </w:r>
            <w:r w:rsidRPr="00986776">
              <w:rPr>
                <w:rFonts w:ascii="Arial Narrow" w:hAnsi="Arial Narrow"/>
                <w:sz w:val="20"/>
              </w:rPr>
              <w:t>boceprevir, clarithromycin, conivaptan, indinavir, itraconazole, ketoconazole, lopinavir/ritonavir, mibefradil, nefazodone, nelfinavir, posaconazole, ritonavir, saquinavir, telaprevir, telithromycin, voriconazole</w:t>
            </w:r>
          </w:p>
          <w:p w:rsidR="005A50DC" w:rsidRDefault="005A50DC" w:rsidP="00EF2E6B">
            <w:pPr>
              <w:widowControl/>
              <w:rPr>
                <w:rFonts w:ascii="Arial Narrow" w:hAnsi="Arial Narrow"/>
                <w:sz w:val="20"/>
              </w:rPr>
            </w:pPr>
          </w:p>
          <w:p w:rsidR="004800C5" w:rsidRPr="00EA739F" w:rsidRDefault="004800C5" w:rsidP="004800C5">
            <w:pPr>
              <w:widowControl/>
              <w:rPr>
                <w:rFonts w:ascii="Arial Narrow" w:hAnsi="Arial Narrow"/>
                <w:sz w:val="20"/>
              </w:rPr>
            </w:pPr>
            <w:r>
              <w:rPr>
                <w:rFonts w:ascii="Arial Narrow" w:hAnsi="Arial Narrow"/>
                <w:sz w:val="20"/>
              </w:rPr>
              <w:t>Tezacaftor with i</w:t>
            </w:r>
            <w:r w:rsidRPr="00EF4B5D">
              <w:rPr>
                <w:rFonts w:ascii="Arial Narrow" w:hAnsi="Arial Narrow"/>
                <w:sz w:val="20"/>
              </w:rPr>
              <w:t xml:space="preserve">vacaftor is not PBS-subsidised for this condition in a patient who is currently receiving </w:t>
            </w:r>
            <w:r w:rsidRPr="00EA739F">
              <w:rPr>
                <w:rFonts w:ascii="Arial Narrow" w:hAnsi="Arial Narrow"/>
                <w:sz w:val="20"/>
              </w:rPr>
              <w:t>one of the following CYP3A4 inducers:</w:t>
            </w:r>
          </w:p>
          <w:p w:rsidR="004800C5" w:rsidRPr="00EA739F" w:rsidRDefault="004800C5" w:rsidP="004800C5">
            <w:pPr>
              <w:widowControl/>
              <w:rPr>
                <w:rFonts w:ascii="Arial Narrow" w:hAnsi="Arial Narrow"/>
                <w:sz w:val="20"/>
              </w:rPr>
            </w:pPr>
          </w:p>
          <w:p w:rsidR="004800C5" w:rsidRPr="00EA739F" w:rsidRDefault="004800C5" w:rsidP="004800C5">
            <w:pPr>
              <w:widowControl/>
              <w:rPr>
                <w:rFonts w:ascii="Arial Narrow" w:hAnsi="Arial Narrow"/>
                <w:sz w:val="20"/>
              </w:rPr>
            </w:pPr>
            <w:r w:rsidRPr="00EA739F">
              <w:rPr>
                <w:rFonts w:ascii="Arial Narrow" w:hAnsi="Arial Narrow"/>
                <w:sz w:val="20"/>
              </w:rPr>
              <w:t>Strong CYP3A4 inducers: avasimibe, carbamazepine, phenobarbital, phenytoin, rifabutin, rifampicin, St. John's wort</w:t>
            </w:r>
          </w:p>
          <w:p w:rsidR="004800C5" w:rsidRPr="00EA739F" w:rsidRDefault="004800C5" w:rsidP="004800C5">
            <w:pPr>
              <w:widowControl/>
              <w:rPr>
                <w:rFonts w:ascii="Arial Narrow" w:hAnsi="Arial Narrow"/>
                <w:sz w:val="20"/>
              </w:rPr>
            </w:pPr>
          </w:p>
          <w:p w:rsidR="004800C5" w:rsidRPr="00EA739F" w:rsidRDefault="004800C5" w:rsidP="004800C5">
            <w:pPr>
              <w:widowControl/>
              <w:rPr>
                <w:rFonts w:ascii="Arial Narrow" w:hAnsi="Arial Narrow"/>
                <w:sz w:val="20"/>
              </w:rPr>
            </w:pPr>
            <w:r w:rsidRPr="00EA739F">
              <w:rPr>
                <w:rFonts w:ascii="Arial Narrow" w:hAnsi="Arial Narrow"/>
                <w:sz w:val="20"/>
              </w:rPr>
              <w:t>Moderate CYP3A4 inducers: bosentan, efavirenz, etravirine, modafinil, nafcillin</w:t>
            </w:r>
          </w:p>
          <w:p w:rsidR="004800C5" w:rsidRPr="00EA739F" w:rsidRDefault="004800C5" w:rsidP="004800C5">
            <w:pPr>
              <w:widowControl/>
              <w:rPr>
                <w:rFonts w:ascii="Arial Narrow" w:hAnsi="Arial Narrow"/>
                <w:sz w:val="20"/>
              </w:rPr>
            </w:pPr>
          </w:p>
          <w:p w:rsidR="00E54FF6" w:rsidRPr="00F77E7A" w:rsidRDefault="004800C5" w:rsidP="004800C5">
            <w:pPr>
              <w:widowControl/>
              <w:rPr>
                <w:rFonts w:ascii="Arial Narrow" w:hAnsi="Arial Narrow"/>
                <w:sz w:val="20"/>
              </w:rPr>
            </w:pPr>
            <w:r w:rsidRPr="00EA739F">
              <w:rPr>
                <w:rFonts w:ascii="Arial Narrow" w:hAnsi="Arial Narrow"/>
                <w:sz w:val="20"/>
              </w:rPr>
              <w:t>Weak CYP3A4 inducers: armodafinil, echinacea, pioglitazone, rufinamide.</w:t>
            </w:r>
          </w:p>
          <w:p w:rsidR="004800C5" w:rsidRDefault="004800C5"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The authority application must be in writing and must include:</w:t>
            </w:r>
          </w:p>
          <w:p w:rsidR="005A50DC" w:rsidRPr="00F77E7A" w:rsidRDefault="005A50DC" w:rsidP="00EF2E6B">
            <w:pPr>
              <w:widowControl/>
              <w:rPr>
                <w:rFonts w:ascii="Arial Narrow" w:hAnsi="Arial Narrow"/>
                <w:sz w:val="20"/>
              </w:rPr>
            </w:pPr>
            <w:r w:rsidRPr="00F77E7A">
              <w:rPr>
                <w:rFonts w:ascii="Arial Narrow" w:hAnsi="Arial Narrow"/>
                <w:sz w:val="20"/>
              </w:rPr>
              <w:t>(1) a completed authority prescription form; and</w:t>
            </w:r>
          </w:p>
          <w:p w:rsidR="005A50DC" w:rsidRPr="00F77E7A" w:rsidRDefault="005A50DC" w:rsidP="00EF2E6B">
            <w:pPr>
              <w:widowControl/>
              <w:rPr>
                <w:rFonts w:ascii="Arial Narrow" w:hAnsi="Arial Narrow"/>
                <w:sz w:val="20"/>
              </w:rPr>
            </w:pPr>
            <w:r w:rsidRPr="00F77E7A">
              <w:rPr>
                <w:rFonts w:ascii="Arial Narrow" w:hAnsi="Arial Narrow"/>
                <w:sz w:val="20"/>
              </w:rPr>
              <w:t>(2) a completed Cystic Fibrosis Tezacaftor with Ivacaftor Authority Application Supporting Information Form; and</w:t>
            </w:r>
          </w:p>
          <w:p w:rsidR="005A50DC" w:rsidRPr="00F77E7A" w:rsidRDefault="005A50DC" w:rsidP="00EF2E6B">
            <w:pPr>
              <w:widowControl/>
              <w:rPr>
                <w:rFonts w:ascii="Arial Narrow" w:hAnsi="Arial Narrow"/>
                <w:sz w:val="20"/>
              </w:rPr>
            </w:pPr>
            <w:r w:rsidRPr="00F77E7A">
              <w:rPr>
                <w:rFonts w:ascii="Arial Narrow" w:hAnsi="Arial Narrow"/>
                <w:sz w:val="20"/>
              </w:rPr>
              <w:t>and</w:t>
            </w:r>
          </w:p>
          <w:p w:rsidR="005A50DC" w:rsidRPr="00F77E7A" w:rsidRDefault="005A50DC" w:rsidP="00EF2E6B">
            <w:pPr>
              <w:widowControl/>
              <w:rPr>
                <w:rFonts w:ascii="Arial Narrow" w:hAnsi="Arial Narrow"/>
                <w:sz w:val="20"/>
              </w:rPr>
            </w:pPr>
            <w:r w:rsidRPr="00F77E7A">
              <w:rPr>
                <w:rFonts w:ascii="Arial Narrow" w:hAnsi="Arial Narrow"/>
                <w:sz w:val="20"/>
              </w:rPr>
              <w:t>(3) a copy of the pathology report detailing the molecular testing for the patient being homozygous for the F508del mutation on the CFTR gene; and</w:t>
            </w:r>
          </w:p>
          <w:p w:rsidR="005A50DC" w:rsidRPr="00F77E7A" w:rsidRDefault="005A50DC" w:rsidP="00EF2E6B">
            <w:pPr>
              <w:widowControl/>
              <w:rPr>
                <w:rFonts w:ascii="Arial Narrow" w:hAnsi="Arial Narrow"/>
                <w:sz w:val="20"/>
              </w:rPr>
            </w:pPr>
            <w:r w:rsidRPr="00F77E7A">
              <w:rPr>
                <w:rFonts w:ascii="Arial Narrow" w:hAnsi="Arial Narrow"/>
                <w:sz w:val="20"/>
              </w:rPr>
              <w:t>(4) the result of a FEV</w:t>
            </w:r>
            <w:r w:rsidRPr="00F77E7A">
              <w:rPr>
                <w:rFonts w:ascii="Arial Narrow" w:hAnsi="Arial Narrow"/>
                <w:sz w:val="20"/>
                <w:vertAlign w:val="subscript"/>
              </w:rPr>
              <w:t>1</w:t>
            </w:r>
            <w:r w:rsidRPr="00F77E7A">
              <w:rPr>
                <w:rFonts w:ascii="Arial Narrow" w:hAnsi="Arial Narrow"/>
                <w:sz w:val="20"/>
              </w:rPr>
              <w:t xml:space="preserve"> measurement performed within a month prior to the date of application. Note: FEV</w:t>
            </w:r>
            <w:r w:rsidRPr="00F77E7A">
              <w:rPr>
                <w:rFonts w:ascii="Arial Narrow" w:hAnsi="Arial Narrow"/>
                <w:sz w:val="20"/>
                <w:vertAlign w:val="subscript"/>
              </w:rPr>
              <w:t>1</w:t>
            </w:r>
            <w:r w:rsidRPr="00F77E7A">
              <w:rPr>
                <w:rFonts w:ascii="Arial Narrow" w:hAnsi="Arial Narrow"/>
                <w:sz w:val="20"/>
              </w:rPr>
              <w:t>, must be measured in an accredited pulmonary function laboratory, with documented no acute infective exacerbation at the time FEV</w:t>
            </w:r>
            <w:r w:rsidRPr="00F77E7A">
              <w:rPr>
                <w:rFonts w:ascii="Arial Narrow" w:hAnsi="Arial Narrow"/>
                <w:sz w:val="20"/>
                <w:vertAlign w:val="subscript"/>
              </w:rPr>
              <w:t>1</w:t>
            </w:r>
            <w:r w:rsidRPr="00F77E7A">
              <w:rPr>
                <w:rFonts w:ascii="Arial Narrow" w:hAnsi="Arial Narrow"/>
                <w:sz w:val="20"/>
              </w:rPr>
              <w:t xml:space="preserve"> is measured; and</w:t>
            </w:r>
          </w:p>
          <w:p w:rsidR="005A50DC" w:rsidRPr="00F77E7A" w:rsidRDefault="005A50DC" w:rsidP="00EF2E6B">
            <w:pPr>
              <w:widowControl/>
              <w:rPr>
                <w:rFonts w:ascii="Arial Narrow" w:hAnsi="Arial Narrow"/>
                <w:sz w:val="20"/>
              </w:rPr>
            </w:pPr>
            <w:r w:rsidRPr="00F77E7A">
              <w:rPr>
                <w:rFonts w:ascii="Arial Narrow" w:hAnsi="Arial Narrow"/>
                <w:sz w:val="20"/>
              </w:rPr>
              <w:t>(5) evidence that the patient has either chronic sinopulmonary disease or gastrointestinal and nutritional abnormalities; and</w:t>
            </w:r>
          </w:p>
          <w:p w:rsidR="005A50DC" w:rsidRPr="00F77E7A" w:rsidRDefault="005A50DC" w:rsidP="00EF2E6B">
            <w:pPr>
              <w:widowControl/>
              <w:rPr>
                <w:rFonts w:ascii="Arial Narrow" w:hAnsi="Arial Narrow"/>
                <w:sz w:val="20"/>
              </w:rPr>
            </w:pPr>
            <w:r w:rsidRPr="00F77E7A">
              <w:rPr>
                <w:rFonts w:ascii="Arial Narrow" w:hAnsi="Arial Narrow"/>
                <w:sz w:val="20"/>
              </w:rPr>
              <w:t>(6) a copy of a current medication history</w:t>
            </w:r>
            <w:r w:rsidR="00E54FF6" w:rsidRPr="00EF4B5D">
              <w:rPr>
                <w:rFonts w:ascii="Arial Narrow" w:hAnsi="Arial Narrow"/>
                <w:sz w:val="20"/>
              </w:rPr>
              <w:t>, including any CYP3A4 inhibitors or CYP3A4 inducers</w:t>
            </w:r>
            <w:r w:rsidRPr="00F77E7A">
              <w:rPr>
                <w:rFonts w:ascii="Arial Narrow" w:hAnsi="Arial Narrow"/>
                <w:sz w:val="20"/>
              </w:rPr>
              <w:t xml:space="preserve">; and </w:t>
            </w:r>
          </w:p>
          <w:p w:rsidR="005A50DC" w:rsidRPr="00F77E7A" w:rsidRDefault="005A50DC" w:rsidP="00EF2E6B">
            <w:pPr>
              <w:widowControl/>
              <w:rPr>
                <w:rFonts w:ascii="Arial Narrow" w:hAnsi="Arial Narrow"/>
                <w:sz w:val="20"/>
              </w:rPr>
            </w:pPr>
            <w:r w:rsidRPr="00F77E7A">
              <w:rPr>
                <w:rFonts w:ascii="Arial Narrow" w:hAnsi="Arial Narrow"/>
                <w:sz w:val="20"/>
              </w:rPr>
              <w:t>(7) height and weight measurements at the time of application; and</w:t>
            </w:r>
          </w:p>
          <w:p w:rsidR="005A50DC" w:rsidRPr="00F77E7A" w:rsidRDefault="005A50DC" w:rsidP="00EF2E6B">
            <w:pPr>
              <w:widowControl/>
              <w:rPr>
                <w:rFonts w:ascii="Arial Narrow" w:hAnsi="Arial Narrow"/>
                <w:sz w:val="20"/>
              </w:rPr>
            </w:pPr>
            <w:r w:rsidRPr="00F77E7A">
              <w:rPr>
                <w:rFonts w:ascii="Arial Narrow" w:hAnsi="Arial Narrow"/>
                <w:sz w:val="20"/>
              </w:rPr>
              <w:t>(8) a baseline measurement of the number of days of CF-related hospitalisation (including hospital-in-the home) in the previous 12 months.</w:t>
            </w:r>
          </w:p>
        </w:tc>
      </w:tr>
      <w:tr w:rsidR="005A50DC" w:rsidRPr="00F77E7A" w:rsidTr="009B040D">
        <w:trPr>
          <w:cantSplit/>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Administrative Advice:</w:t>
            </w:r>
          </w:p>
        </w:tc>
        <w:tc>
          <w:tcPr>
            <w:tcW w:w="3728" w:type="pct"/>
            <w:tcBorders>
              <w:top w:val="single" w:sz="4" w:space="0" w:color="auto"/>
              <w:left w:val="single" w:sz="4" w:space="0" w:color="auto"/>
              <w:bottom w:val="single" w:sz="4" w:space="0" w:color="auto"/>
              <w:right w:val="single" w:sz="4" w:space="0" w:color="auto"/>
            </w:tcBorders>
          </w:tcPr>
          <w:p w:rsidR="00BA3712" w:rsidRPr="004C2D91" w:rsidRDefault="00BA3712" w:rsidP="00BA3712">
            <w:pPr>
              <w:widowControl/>
              <w:rPr>
                <w:rFonts w:ascii="Arial Narrow" w:hAnsi="Arial Narrow"/>
                <w:sz w:val="20"/>
                <w:szCs w:val="20"/>
              </w:rPr>
            </w:pPr>
            <w:r w:rsidRPr="004C2D91">
              <w:rPr>
                <w:rFonts w:ascii="Arial Narrow" w:hAnsi="Arial Narrow"/>
                <w:b/>
                <w:bCs/>
                <w:sz w:val="20"/>
                <w:szCs w:val="20"/>
              </w:rPr>
              <w:t>Managed Access Program:</w:t>
            </w:r>
          </w:p>
          <w:p w:rsidR="00BA3712" w:rsidRPr="004C2D91" w:rsidRDefault="00BA3712" w:rsidP="00BA3712">
            <w:pPr>
              <w:widowControl/>
              <w:rPr>
                <w:rFonts w:ascii="Arial Narrow" w:hAnsi="Arial Narrow"/>
                <w:sz w:val="20"/>
                <w:szCs w:val="20"/>
              </w:rPr>
            </w:pPr>
            <w:r w:rsidRPr="004C2D91">
              <w:rPr>
                <w:rFonts w:ascii="Arial Narrow" w:hAnsi="Arial Narrow"/>
                <w:sz w:val="20"/>
                <w:szCs w:val="20"/>
              </w:rPr>
              <w:t xml:space="preserve">This medicine has been listed on the PBS via a Managed Access Program (MAP). The Pharmaceutical Benefits Advisory Committee (PBAC) made its recommendation on the basis of </w:t>
            </w:r>
            <w:r w:rsidR="00042FE1">
              <w:rPr>
                <w:rFonts w:ascii="Arial Narrow" w:hAnsi="Arial Narrow"/>
                <w:sz w:val="20"/>
                <w:szCs w:val="20"/>
              </w:rPr>
              <w:t xml:space="preserve">24 weeks of data for tezacaftor with ivacaftor for children aged 12 years and over, as well as on the basis of </w:t>
            </w:r>
            <w:r>
              <w:rPr>
                <w:rFonts w:ascii="Arial Narrow" w:hAnsi="Arial Narrow"/>
                <w:sz w:val="20"/>
                <w:szCs w:val="20"/>
              </w:rPr>
              <w:t>96</w:t>
            </w:r>
            <w:r w:rsidRPr="004C2D91">
              <w:rPr>
                <w:rFonts w:ascii="Arial Narrow" w:hAnsi="Arial Narrow"/>
                <w:sz w:val="20"/>
                <w:szCs w:val="20"/>
              </w:rPr>
              <w:t xml:space="preserve"> weeks of data</w:t>
            </w:r>
            <w:r>
              <w:rPr>
                <w:rFonts w:ascii="Arial Narrow" w:hAnsi="Arial Narrow"/>
                <w:sz w:val="20"/>
                <w:szCs w:val="20"/>
              </w:rPr>
              <w:t xml:space="preserve"> for lumacaftor with ivacaftor</w:t>
            </w:r>
            <w:r w:rsidRPr="004C2D91">
              <w:rPr>
                <w:rFonts w:ascii="Arial Narrow" w:hAnsi="Arial Narrow"/>
                <w:sz w:val="20"/>
                <w:szCs w:val="20"/>
              </w:rPr>
              <w:t xml:space="preserve"> in children aged 12 years and over</w:t>
            </w:r>
            <w:r>
              <w:rPr>
                <w:rFonts w:ascii="Arial Narrow" w:hAnsi="Arial Narrow"/>
                <w:sz w:val="20"/>
                <w:szCs w:val="20"/>
              </w:rPr>
              <w:t xml:space="preserve"> who are homozygous for the F508del mutation</w:t>
            </w:r>
            <w:r w:rsidRPr="004C2D91">
              <w:rPr>
                <w:rFonts w:ascii="Arial Narrow" w:hAnsi="Arial Narrow"/>
                <w:sz w:val="20"/>
                <w:szCs w:val="20"/>
              </w:rPr>
              <w:t xml:space="preserve">. Information about the long term benefits of this medicine </w:t>
            </w:r>
            <w:r>
              <w:rPr>
                <w:rFonts w:ascii="Arial Narrow" w:hAnsi="Arial Narrow"/>
                <w:sz w:val="20"/>
                <w:szCs w:val="20"/>
              </w:rPr>
              <w:t xml:space="preserve">and lumacaftor with ivacaftor </w:t>
            </w:r>
            <w:r w:rsidR="00042FE1">
              <w:rPr>
                <w:rFonts w:ascii="Arial Narrow" w:hAnsi="Arial Narrow"/>
                <w:sz w:val="20"/>
                <w:szCs w:val="20"/>
              </w:rPr>
              <w:t xml:space="preserve">for patients who are homozygous for the F508del mutation </w:t>
            </w:r>
            <w:r w:rsidRPr="004C2D91">
              <w:rPr>
                <w:rFonts w:ascii="Arial Narrow" w:hAnsi="Arial Narrow"/>
                <w:sz w:val="20"/>
                <w:szCs w:val="20"/>
              </w:rPr>
              <w:t>will be collected and analysed under this MAP.</w:t>
            </w:r>
            <w:r w:rsidR="00042FE1">
              <w:rPr>
                <w:rFonts w:ascii="Arial Narrow" w:hAnsi="Arial Narrow"/>
                <w:sz w:val="20"/>
                <w:szCs w:val="20"/>
              </w:rPr>
              <w:t xml:space="preserve"> </w:t>
            </w:r>
          </w:p>
          <w:p w:rsidR="00BA3712" w:rsidRDefault="00BA3712" w:rsidP="00EF2E6B">
            <w:pPr>
              <w:widowControl/>
              <w:rPr>
                <w:rFonts w:ascii="Arial Narrow" w:hAnsi="Arial Narrow"/>
                <w:sz w:val="20"/>
                <w:szCs w:val="20"/>
              </w:rPr>
            </w:pPr>
            <w:r w:rsidRPr="004C2D91">
              <w:rPr>
                <w:rFonts w:ascii="Arial Narrow" w:hAnsi="Arial Narrow"/>
                <w:sz w:val="20"/>
                <w:szCs w:val="20"/>
              </w:rPr>
              <w:t xml:space="preserve">For more information on Managed Access Programs, please visit </w:t>
            </w:r>
            <w:r w:rsidRPr="007D10D3">
              <w:rPr>
                <w:rFonts w:ascii="Arial Narrow" w:hAnsi="Arial Narrow"/>
                <w:sz w:val="20"/>
                <w:szCs w:val="20"/>
              </w:rPr>
              <w:t>http://www.pbs.gov.au/info/industry/listing/elements/pbac-meetings/pbac-outcomes/2015-03/march-2015-other-matters-managed-access-programme-framewk</w:t>
            </w:r>
            <w:r w:rsidRPr="004C2D91">
              <w:rPr>
                <w:rFonts w:ascii="Arial Narrow" w:hAnsi="Arial Narrow"/>
                <w:sz w:val="20"/>
                <w:szCs w:val="20"/>
              </w:rPr>
              <w:t>.</w:t>
            </w:r>
          </w:p>
          <w:p w:rsidR="00BA3712" w:rsidRDefault="00BA3712" w:rsidP="00EF2E6B">
            <w:pPr>
              <w:widowControl/>
              <w:rPr>
                <w:rFonts w:ascii="Arial Narrow" w:hAnsi="Arial Narrow"/>
                <w:sz w:val="20"/>
                <w:szCs w:val="20"/>
              </w:rPr>
            </w:pP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Any queries concerning the arrangements to prescribe may be directed to the Department of Human Services on 1800 700 270 (hours of operation 8 a.m. to 5 p.m. EST Monday to Friday).</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Applications for authority to prescribe should be forwarded to:</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Department of Human Services</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Complex Drugs</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Reply Paid 9826</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HOBART TAS 7001</w:t>
            </w:r>
          </w:p>
          <w:p w:rsidR="005A50DC" w:rsidRPr="00F77E7A" w:rsidRDefault="005A50DC" w:rsidP="00EF2E6B">
            <w:pPr>
              <w:widowControl/>
              <w:rPr>
                <w:rFonts w:ascii="Arial Narrow" w:hAnsi="Arial Narrow"/>
                <w:sz w:val="20"/>
              </w:rPr>
            </w:pPr>
          </w:p>
          <w:p w:rsidR="005A50DC" w:rsidRPr="00F77E7A" w:rsidRDefault="005A50DC" w:rsidP="00EF2E6B">
            <w:pPr>
              <w:keepNext/>
              <w:widowControl/>
              <w:rPr>
                <w:rFonts w:ascii="Arial Narrow" w:hAnsi="Arial Narrow"/>
                <w:sz w:val="20"/>
              </w:rPr>
            </w:pPr>
            <w:r w:rsidRPr="00F77E7A">
              <w:rPr>
                <w:rFonts w:ascii="Arial Narrow" w:hAnsi="Arial Narrow"/>
                <w:sz w:val="20"/>
              </w:rPr>
              <w:t>No increase in the maximum number of repeats may be authorised.</w:t>
            </w:r>
          </w:p>
          <w:p w:rsidR="005A50DC" w:rsidRPr="00F77E7A" w:rsidRDefault="005A50DC" w:rsidP="00EF2E6B">
            <w:pPr>
              <w:keepNext/>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No increase in the maximum quantity or number of units may be authorised.</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Any queries concerning the arrangements to prescribe may be directed to the Department of Human Services on 1800 700 270 (hours of operation 8 a.m. to 5 p.m. EST Monday to Friday).</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Applications for authority to prescribe should be forwarded to:</w:t>
            </w:r>
          </w:p>
          <w:p w:rsidR="005A50DC" w:rsidRPr="00F77E7A" w:rsidRDefault="005A50DC" w:rsidP="00EF2E6B">
            <w:pPr>
              <w:widowControl/>
              <w:rPr>
                <w:rFonts w:ascii="Arial Narrow" w:hAnsi="Arial Narrow"/>
                <w:sz w:val="20"/>
              </w:rPr>
            </w:pPr>
            <w:r w:rsidRPr="00F77E7A">
              <w:rPr>
                <w:rFonts w:ascii="Arial Narrow" w:hAnsi="Arial Narrow"/>
                <w:sz w:val="20"/>
              </w:rPr>
              <w:t>Department of Human Services</w:t>
            </w:r>
          </w:p>
          <w:p w:rsidR="005A50DC" w:rsidRPr="00F77E7A" w:rsidRDefault="005A50DC" w:rsidP="00EF2E6B">
            <w:pPr>
              <w:widowControl/>
              <w:rPr>
                <w:rFonts w:ascii="Arial Narrow" w:hAnsi="Arial Narrow"/>
                <w:sz w:val="20"/>
              </w:rPr>
            </w:pPr>
            <w:r w:rsidRPr="00F77E7A">
              <w:rPr>
                <w:rFonts w:ascii="Arial Narrow" w:hAnsi="Arial Narrow"/>
                <w:sz w:val="20"/>
              </w:rPr>
              <w:t>Complex Drugs</w:t>
            </w:r>
          </w:p>
          <w:p w:rsidR="005A50DC" w:rsidRPr="00F77E7A" w:rsidRDefault="005A50DC" w:rsidP="00EF2E6B">
            <w:pPr>
              <w:widowControl/>
              <w:rPr>
                <w:rFonts w:ascii="Arial Narrow" w:hAnsi="Arial Narrow"/>
                <w:sz w:val="20"/>
              </w:rPr>
            </w:pPr>
            <w:r w:rsidRPr="00F77E7A">
              <w:rPr>
                <w:rFonts w:ascii="Arial Narrow" w:hAnsi="Arial Narrow"/>
                <w:sz w:val="20"/>
              </w:rPr>
              <w:t>Reply Paid 9826</w:t>
            </w:r>
          </w:p>
          <w:p w:rsidR="005A50DC" w:rsidRPr="00F77E7A" w:rsidRDefault="005A50DC" w:rsidP="00EF2E6B">
            <w:pPr>
              <w:widowControl/>
              <w:rPr>
                <w:rFonts w:ascii="Arial Narrow" w:hAnsi="Arial Narrow"/>
                <w:sz w:val="20"/>
              </w:rPr>
            </w:pPr>
            <w:r w:rsidRPr="00F77E7A">
              <w:rPr>
                <w:rFonts w:ascii="Arial Narrow" w:hAnsi="Arial Narrow"/>
                <w:sz w:val="20"/>
              </w:rPr>
              <w:t>HOBART TAS 7001</w:t>
            </w:r>
          </w:p>
        </w:tc>
      </w:tr>
    </w:tbl>
    <w:p w:rsidR="005A50DC" w:rsidRPr="00F77E7A" w:rsidRDefault="005A50DC" w:rsidP="00EF2E6B">
      <w:pPr>
        <w:pStyle w:val="NoSpacing"/>
        <w:widowControl/>
      </w:pPr>
    </w:p>
    <w:p w:rsidR="005A50DC" w:rsidRPr="00F77E7A" w:rsidRDefault="005A50DC" w:rsidP="00EF2E6B">
      <w:pPr>
        <w:pStyle w:val="NoSpacing"/>
        <w:widowControl/>
      </w:pPr>
    </w:p>
    <w:tbl>
      <w:tblPr>
        <w:tblW w:w="5000" w:type="pct"/>
        <w:tblLook w:val="0000" w:firstRow="0" w:lastRow="0" w:firstColumn="0" w:lastColumn="0" w:noHBand="0" w:noVBand="0"/>
      </w:tblPr>
      <w:tblGrid>
        <w:gridCol w:w="2294"/>
        <w:gridCol w:w="6723"/>
      </w:tblGrid>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 xml:space="preserve">Category / </w:t>
            </w:r>
          </w:p>
          <w:p w:rsidR="005A50DC" w:rsidRPr="00F77E7A" w:rsidRDefault="005A50DC" w:rsidP="00EF2E6B">
            <w:pPr>
              <w:widowControl/>
              <w:rPr>
                <w:rFonts w:ascii="Arial Narrow" w:hAnsi="Arial Narrow"/>
                <w:b/>
                <w:sz w:val="20"/>
              </w:rPr>
            </w:pPr>
            <w:r w:rsidRPr="00F77E7A">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Section 100 – Highly Specialised Drugs Program</w:t>
            </w:r>
          </w:p>
          <w:p w:rsidR="005A50DC" w:rsidRPr="00F77E7A" w:rsidRDefault="005A50DC" w:rsidP="00EF2E6B">
            <w:pPr>
              <w:widowControl/>
              <w:rPr>
                <w:rFonts w:ascii="Arial Narrow" w:hAnsi="Arial Narrow"/>
                <w:sz w:val="20"/>
              </w:rPr>
            </w:pP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Prescriber type:</w:t>
            </w:r>
          </w:p>
          <w:p w:rsidR="005A50DC" w:rsidRPr="00F77E7A" w:rsidRDefault="005A50DC" w:rsidP="00EF2E6B">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1"/>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Dental  </w:t>
            </w:r>
            <w:r w:rsidRPr="00F77E7A">
              <w:rPr>
                <w:rFonts w:ascii="Arial Narrow" w:hAnsi="Arial Narrow"/>
                <w:sz w:val="20"/>
              </w:rPr>
              <w:fldChar w:fldCharType="begin">
                <w:ffData>
                  <w:name w:val=""/>
                  <w:enabled/>
                  <w:calcOnExit w:val="0"/>
                  <w:checkBox>
                    <w:sizeAuto/>
                    <w:default w:val="1"/>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Medical Practitioners  </w:t>
            </w:r>
            <w:r w:rsidRPr="00F77E7A">
              <w:rPr>
                <w:rFonts w:ascii="Arial Narrow" w:hAnsi="Arial Narrow"/>
                <w:sz w:val="20"/>
              </w:rPr>
              <w:fldChar w:fldCharType="begin">
                <w:ffData>
                  <w:name w:val="Check3"/>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 xml:space="preserve">Nurse practitioners  </w:t>
            </w:r>
            <w:r w:rsidRPr="00F77E7A">
              <w:rPr>
                <w:rFonts w:ascii="Arial Narrow" w:hAnsi="Arial Narrow"/>
                <w:sz w:val="20"/>
              </w:rPr>
              <w:fldChar w:fldCharType="begin">
                <w:ffData>
                  <w:name w:val=""/>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Optometrists</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Midwives</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trike/>
                <w:sz w:val="20"/>
              </w:rPr>
            </w:pPr>
            <w:r w:rsidRPr="00F77E7A">
              <w:rPr>
                <w:rFonts w:ascii="Arial Narrow" w:hAnsi="Arial Narrow"/>
                <w:sz w:val="20"/>
              </w:rPr>
              <w:t>Cystic Fibrosis</w:t>
            </w:r>
          </w:p>
        </w:tc>
      </w:tr>
      <w:tr w:rsidR="005A50DC" w:rsidRPr="00F77E7A" w:rsidTr="003906DE">
        <w:trPr>
          <w:trHeight w:val="197"/>
        </w:trPr>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Continuing treatment</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Restriction:</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1"/>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Restricted benefit</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
                  <w:enabled/>
                  <w:calcOnExit w:val="0"/>
                  <w:checkBox>
                    <w:sizeAuto/>
                    <w:default w:val="1"/>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In Writing</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3"/>
                  <w:enabled/>
                  <w:calcOnExit w:val="0"/>
                  <w:checkBox>
                    <w:sizeAuto/>
                    <w:default w:val="0"/>
                  </w:checkBox>
                </w:ffData>
              </w:fldChar>
            </w:r>
            <w:r w:rsidRPr="00F77E7A">
              <w:rPr>
                <w:rFonts w:ascii="Arial Narrow" w:hAnsi="Arial Narrow"/>
                <w:sz w:val="20"/>
              </w:rPr>
              <w:instrText xml:space="preserve"> </w:instrText>
            </w:r>
            <w:bookmarkStart w:id="15" w:name="Check3"/>
            <w:r w:rsidRPr="00F77E7A">
              <w:rPr>
                <w:rFonts w:ascii="Arial Narrow" w:hAnsi="Arial Narrow"/>
                <w:sz w:val="20"/>
              </w:rPr>
              <w:instrText xml:space="preserve">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bookmarkEnd w:id="15"/>
            <w:r w:rsidRPr="00F77E7A">
              <w:rPr>
                <w:rFonts w:ascii="Arial Narrow" w:hAnsi="Arial Narrow"/>
                <w:sz w:val="20"/>
              </w:rPr>
              <w:t>Authority Required - Telephone</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Emergency</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Authority Required - Electronic</w:t>
            </w:r>
          </w:p>
          <w:p w:rsidR="005A50DC" w:rsidRPr="00F77E7A" w:rsidRDefault="005A50DC" w:rsidP="00EF2E6B">
            <w:pPr>
              <w:widowControl/>
              <w:rPr>
                <w:rFonts w:ascii="Arial Narrow" w:hAnsi="Arial Narrow"/>
                <w:sz w:val="20"/>
              </w:rPr>
            </w:pPr>
            <w:r w:rsidRPr="00F77E7A">
              <w:rPr>
                <w:rFonts w:ascii="Arial Narrow" w:hAnsi="Arial Narrow"/>
                <w:sz w:val="20"/>
              </w:rPr>
              <w:fldChar w:fldCharType="begin">
                <w:ffData>
                  <w:name w:val="Check5"/>
                  <w:enabled/>
                  <w:calcOnExit w:val="0"/>
                  <w:checkBox>
                    <w:sizeAuto/>
                    <w:default w:val="0"/>
                  </w:checkBox>
                </w:ffData>
              </w:fldChar>
            </w:r>
            <w:r w:rsidRPr="00F77E7A">
              <w:rPr>
                <w:rFonts w:ascii="Arial Narrow" w:hAnsi="Arial Narrow"/>
                <w:sz w:val="20"/>
              </w:rPr>
              <w:instrText xml:space="preserve"> FORMCHECKBOX </w:instrText>
            </w:r>
            <w:r w:rsidR="009514EB">
              <w:rPr>
                <w:rFonts w:ascii="Arial Narrow" w:hAnsi="Arial Narrow"/>
                <w:sz w:val="20"/>
              </w:rPr>
            </w:r>
            <w:r w:rsidR="009514EB">
              <w:rPr>
                <w:rFonts w:ascii="Arial Narrow" w:hAnsi="Arial Narrow"/>
                <w:sz w:val="20"/>
              </w:rPr>
              <w:fldChar w:fldCharType="separate"/>
            </w:r>
            <w:r w:rsidRPr="00F77E7A">
              <w:rPr>
                <w:rFonts w:ascii="Arial Narrow" w:hAnsi="Arial Narrow"/>
                <w:sz w:val="20"/>
              </w:rPr>
              <w:fldChar w:fldCharType="end"/>
            </w:r>
            <w:r w:rsidRPr="00F77E7A">
              <w:rPr>
                <w:rFonts w:ascii="Arial Narrow" w:hAnsi="Arial Narrow"/>
                <w:sz w:val="20"/>
              </w:rPr>
              <w:t>Streamlined</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Treatment criteria:</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Must be treated by a specialist respiratory physician with expertise in cystic fibrosis, OR</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consultation with a specialist respiratory physician with expertise in cystic fibrosis if attendance is not possible due to geographic isolation;AND</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a centre with expertise in cystic fibrosis, OR</w:t>
            </w:r>
          </w:p>
          <w:p w:rsidR="005A50DC" w:rsidRPr="00F77E7A" w:rsidRDefault="005A50DC" w:rsidP="00EF2E6B">
            <w:pPr>
              <w:widowControl/>
              <w:rPr>
                <w:rFonts w:ascii="Arial Narrow" w:hAnsi="Arial Narrow"/>
                <w:sz w:val="20"/>
              </w:rPr>
            </w:pPr>
            <w:r w:rsidRPr="00F77E7A">
              <w:rPr>
                <w:rFonts w:ascii="Arial Narrow" w:hAnsi="Arial Narrow"/>
                <w:sz w:val="20"/>
              </w:rPr>
              <w:t>Must be treated in consultation with a centre with expertise in cystic fibrosis if attendance is not possible due to geographic isolation.</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Clinical criteria:</w:t>
            </w:r>
          </w:p>
          <w:p w:rsidR="005A50DC" w:rsidRPr="00F77E7A" w:rsidRDefault="005A50DC" w:rsidP="00EF2E6B">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Patient must have previously received PBS-subsidised treatment with this drug for this condition</w:t>
            </w:r>
          </w:p>
          <w:p w:rsidR="005A50DC" w:rsidRPr="00F77E7A" w:rsidRDefault="005A50DC" w:rsidP="00EF2E6B">
            <w:pPr>
              <w:widowControl/>
              <w:rPr>
                <w:rFonts w:ascii="Arial Narrow" w:hAnsi="Arial Narrow"/>
                <w:sz w:val="20"/>
              </w:rPr>
            </w:pPr>
            <w:r w:rsidRPr="00F77E7A">
              <w:rPr>
                <w:rFonts w:ascii="Arial Narrow" w:hAnsi="Arial Narrow"/>
                <w:sz w:val="20"/>
              </w:rPr>
              <w:t xml:space="preserve">AND </w:t>
            </w:r>
          </w:p>
          <w:p w:rsidR="005A50DC" w:rsidRPr="00F77E7A" w:rsidRDefault="005A50DC" w:rsidP="00EF2E6B">
            <w:pPr>
              <w:widowControl/>
              <w:rPr>
                <w:rFonts w:ascii="Arial Narrow" w:hAnsi="Arial Narrow"/>
                <w:strike/>
                <w:sz w:val="20"/>
              </w:rPr>
            </w:pPr>
            <w:r w:rsidRPr="00F77E7A">
              <w:rPr>
                <w:rFonts w:ascii="Arial Narrow" w:hAnsi="Arial Narrow"/>
                <w:sz w:val="20"/>
              </w:rPr>
              <w:t>The treatment must be given concomitantly with standard therapy for this condition.</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Patient must be 12 years of age or older.</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sz w:val="20"/>
              </w:rPr>
            </w:pPr>
            <w:r w:rsidRPr="00F77E7A">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5A50DC" w:rsidRPr="00F77E7A" w:rsidRDefault="005A50DC" w:rsidP="00EF2E6B">
            <w:pPr>
              <w:widowControl/>
              <w:rPr>
                <w:rFonts w:ascii="Arial Narrow" w:hAnsi="Arial Narrow"/>
                <w:sz w:val="20"/>
              </w:rPr>
            </w:pPr>
          </w:p>
          <w:p w:rsidR="005A50DC" w:rsidRDefault="005A50DC" w:rsidP="00EF2E6B">
            <w:pPr>
              <w:widowControl/>
              <w:rPr>
                <w:rFonts w:ascii="Arial Narrow" w:hAnsi="Arial Narrow"/>
                <w:sz w:val="20"/>
              </w:rPr>
            </w:pPr>
            <w:r w:rsidRPr="00F77E7A">
              <w:rPr>
                <w:rFonts w:ascii="Arial Narrow" w:hAnsi="Arial Narrow"/>
                <w:sz w:val="20"/>
              </w:rPr>
              <w:t>Patients who have an acute infective exacerbation at the time of assessment for continuing therapy may receive an additional one month's supply in order to enable the assessment to be repeated following resolution of the exacerbation.</w:t>
            </w:r>
          </w:p>
          <w:p w:rsidR="00973D7E" w:rsidRDefault="00973D7E" w:rsidP="00EF2E6B">
            <w:pPr>
              <w:widowControl/>
              <w:rPr>
                <w:rFonts w:ascii="Arial Narrow" w:hAnsi="Arial Narrow"/>
                <w:sz w:val="20"/>
              </w:rPr>
            </w:pPr>
          </w:p>
          <w:p w:rsidR="00973D7E" w:rsidRDefault="00973D7E" w:rsidP="00973D7E">
            <w:pPr>
              <w:widowControl/>
              <w:rPr>
                <w:rFonts w:ascii="Arial Narrow" w:hAnsi="Arial Narrow"/>
                <w:sz w:val="20"/>
              </w:rPr>
            </w:pPr>
            <w:r>
              <w:rPr>
                <w:rFonts w:ascii="Arial Narrow" w:hAnsi="Arial Narrow"/>
                <w:sz w:val="20"/>
              </w:rPr>
              <w:t xml:space="preserve">Dosage of tezacaftor with ivacaftor is tezacaftor 100 mg/ivacaftor 150 mg and ivacaftor 150 mg tablets on alternate days if the patient is concomitantly receiving one of the following moderate CYP3A4 drugs inhibitors: </w:t>
            </w:r>
            <w:r w:rsidRPr="00986776">
              <w:rPr>
                <w:rFonts w:ascii="Arial Narrow" w:hAnsi="Arial Narrow"/>
                <w:sz w:val="20"/>
              </w:rPr>
              <w:t>amprenavir, aprepitant, atazanavir, darunavir/ritonavir, diltiazem, erythromycin, fluconazole, fosamprenavir, imatinib, verapamil</w:t>
            </w:r>
            <w:r>
              <w:rPr>
                <w:rFonts w:ascii="Arial Narrow" w:hAnsi="Arial Narrow"/>
                <w:sz w:val="20"/>
              </w:rPr>
              <w:t>.</w:t>
            </w:r>
          </w:p>
          <w:p w:rsidR="00973D7E" w:rsidRDefault="00973D7E" w:rsidP="00973D7E">
            <w:pPr>
              <w:widowControl/>
              <w:rPr>
                <w:rFonts w:ascii="Arial Narrow" w:hAnsi="Arial Narrow"/>
                <w:sz w:val="20"/>
              </w:rPr>
            </w:pPr>
          </w:p>
          <w:p w:rsidR="00973D7E" w:rsidRDefault="00973D7E" w:rsidP="00973D7E">
            <w:pPr>
              <w:widowControl/>
              <w:rPr>
                <w:rFonts w:ascii="Arial Narrow" w:hAnsi="Arial Narrow"/>
                <w:sz w:val="20"/>
              </w:rPr>
            </w:pPr>
            <w:r>
              <w:rPr>
                <w:rFonts w:ascii="Arial Narrow" w:hAnsi="Arial Narrow"/>
                <w:sz w:val="20"/>
              </w:rPr>
              <w:t xml:space="preserve">Dosage of tezacaftor with ivacaftor is tezacaftor 100 mg/ivacaftor 150 mg twice weekly (approximately 3 or 4 days apart) if the patient is concomitantly receiving one of the following strong CYP3A4 inhibitors: </w:t>
            </w:r>
            <w:r w:rsidRPr="00986776">
              <w:rPr>
                <w:rFonts w:ascii="Arial Narrow" w:hAnsi="Arial Narrow"/>
                <w:sz w:val="20"/>
              </w:rPr>
              <w:t>boceprevir, clarithromycin, conivaptan, indinavir, itraconazole, ketoconazole, lopinavir/ritonavir, mibefradil, nefazodone, nelfinavir, posaconazole, ritonavir, saquinavir, telaprevir, telithromycin, voriconazole</w:t>
            </w:r>
          </w:p>
          <w:p w:rsidR="00E54FF6" w:rsidRDefault="00E54FF6" w:rsidP="00973D7E">
            <w:pPr>
              <w:widowControl/>
              <w:rPr>
                <w:rFonts w:ascii="Arial Narrow" w:hAnsi="Arial Narrow"/>
                <w:sz w:val="20"/>
              </w:rPr>
            </w:pPr>
          </w:p>
          <w:p w:rsidR="004800C5" w:rsidRPr="00EA739F" w:rsidRDefault="004800C5" w:rsidP="004800C5">
            <w:pPr>
              <w:widowControl/>
              <w:rPr>
                <w:rFonts w:ascii="Arial Narrow" w:hAnsi="Arial Narrow"/>
                <w:sz w:val="20"/>
              </w:rPr>
            </w:pPr>
            <w:r>
              <w:rPr>
                <w:rFonts w:ascii="Arial Narrow" w:hAnsi="Arial Narrow"/>
                <w:sz w:val="20"/>
              </w:rPr>
              <w:t>Tezacaftor with i</w:t>
            </w:r>
            <w:r w:rsidRPr="00EF4B5D">
              <w:rPr>
                <w:rFonts w:ascii="Arial Narrow" w:hAnsi="Arial Narrow"/>
                <w:sz w:val="20"/>
              </w:rPr>
              <w:t xml:space="preserve">vacaftor is not PBS-subsidised for this condition in a patient who is currently receiving </w:t>
            </w:r>
            <w:r w:rsidRPr="00EA739F">
              <w:rPr>
                <w:rFonts w:ascii="Arial Narrow" w:hAnsi="Arial Narrow"/>
                <w:sz w:val="20"/>
              </w:rPr>
              <w:t>one of the following CYP3A4 inducers:</w:t>
            </w:r>
          </w:p>
          <w:p w:rsidR="004800C5" w:rsidRPr="00EA739F" w:rsidRDefault="004800C5" w:rsidP="004800C5">
            <w:pPr>
              <w:widowControl/>
              <w:rPr>
                <w:rFonts w:ascii="Arial Narrow" w:hAnsi="Arial Narrow"/>
                <w:sz w:val="20"/>
              </w:rPr>
            </w:pPr>
          </w:p>
          <w:p w:rsidR="004800C5" w:rsidRPr="00EA739F" w:rsidRDefault="004800C5" w:rsidP="004800C5">
            <w:pPr>
              <w:widowControl/>
              <w:rPr>
                <w:rFonts w:ascii="Arial Narrow" w:hAnsi="Arial Narrow"/>
                <w:sz w:val="20"/>
              </w:rPr>
            </w:pPr>
            <w:r w:rsidRPr="00EA739F">
              <w:rPr>
                <w:rFonts w:ascii="Arial Narrow" w:hAnsi="Arial Narrow"/>
                <w:sz w:val="20"/>
              </w:rPr>
              <w:t>Strong CYP3A4 inducers: avasimibe, carbamazepine, phenobarbital, phenytoin, rifabutin, rifampicin, St. John's wort</w:t>
            </w:r>
          </w:p>
          <w:p w:rsidR="004800C5" w:rsidRPr="00EA739F" w:rsidRDefault="004800C5" w:rsidP="004800C5">
            <w:pPr>
              <w:widowControl/>
              <w:rPr>
                <w:rFonts w:ascii="Arial Narrow" w:hAnsi="Arial Narrow"/>
                <w:sz w:val="20"/>
              </w:rPr>
            </w:pPr>
          </w:p>
          <w:p w:rsidR="004800C5" w:rsidRPr="00EA739F" w:rsidRDefault="004800C5" w:rsidP="004800C5">
            <w:pPr>
              <w:widowControl/>
              <w:rPr>
                <w:rFonts w:ascii="Arial Narrow" w:hAnsi="Arial Narrow"/>
                <w:sz w:val="20"/>
              </w:rPr>
            </w:pPr>
            <w:r w:rsidRPr="00EA739F">
              <w:rPr>
                <w:rFonts w:ascii="Arial Narrow" w:hAnsi="Arial Narrow"/>
                <w:sz w:val="20"/>
              </w:rPr>
              <w:t>Moderate CYP3A4 inducers: bosentan, efavirenz, etravirine, modafinil, nafcillin</w:t>
            </w:r>
          </w:p>
          <w:p w:rsidR="004800C5" w:rsidRPr="00EA739F" w:rsidRDefault="004800C5" w:rsidP="004800C5">
            <w:pPr>
              <w:widowControl/>
              <w:rPr>
                <w:rFonts w:ascii="Arial Narrow" w:hAnsi="Arial Narrow"/>
                <w:sz w:val="20"/>
              </w:rPr>
            </w:pPr>
          </w:p>
          <w:p w:rsidR="004800C5" w:rsidRPr="00F77E7A" w:rsidRDefault="004800C5" w:rsidP="004800C5">
            <w:pPr>
              <w:widowControl/>
              <w:rPr>
                <w:rFonts w:ascii="Arial Narrow" w:hAnsi="Arial Narrow"/>
                <w:sz w:val="20"/>
              </w:rPr>
            </w:pPr>
            <w:r w:rsidRPr="00EA739F">
              <w:rPr>
                <w:rFonts w:ascii="Arial Narrow" w:hAnsi="Arial Narrow"/>
                <w:sz w:val="20"/>
              </w:rPr>
              <w:t>Weak CYP3A4 inducers: armodafinil, echinacea, pioglitazone, rufinamide.</w:t>
            </w:r>
          </w:p>
          <w:p w:rsidR="004800C5" w:rsidRDefault="004800C5"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The authority application must be in writing and must include:</w:t>
            </w:r>
          </w:p>
          <w:p w:rsidR="005A50DC" w:rsidRPr="00F77E7A" w:rsidRDefault="005A50DC" w:rsidP="00EF2E6B">
            <w:pPr>
              <w:widowControl/>
              <w:rPr>
                <w:rFonts w:ascii="Arial Narrow" w:hAnsi="Arial Narrow"/>
                <w:sz w:val="20"/>
              </w:rPr>
            </w:pPr>
            <w:r w:rsidRPr="00F77E7A">
              <w:rPr>
                <w:rFonts w:ascii="Arial Narrow" w:hAnsi="Arial Narrow"/>
                <w:sz w:val="20"/>
              </w:rPr>
              <w:t>(1) a completed authority prescription form; and</w:t>
            </w:r>
          </w:p>
          <w:p w:rsidR="005A50DC" w:rsidRPr="00F77E7A" w:rsidRDefault="005A50DC" w:rsidP="00EF2E6B">
            <w:pPr>
              <w:widowControl/>
              <w:rPr>
                <w:rFonts w:ascii="Arial Narrow" w:hAnsi="Arial Narrow"/>
                <w:sz w:val="20"/>
              </w:rPr>
            </w:pPr>
            <w:r w:rsidRPr="00F77E7A">
              <w:rPr>
                <w:rFonts w:ascii="Arial Narrow" w:hAnsi="Arial Narrow"/>
                <w:sz w:val="20"/>
              </w:rPr>
              <w:t>(2) a completed Cystic Fibrosis Tezacaftor with Ivacaftor Authority Continuing Application Supporting Information Form; and</w:t>
            </w:r>
          </w:p>
          <w:p w:rsidR="005A50DC" w:rsidRPr="00F77E7A" w:rsidRDefault="005A50DC" w:rsidP="00EF2E6B">
            <w:pPr>
              <w:widowControl/>
              <w:rPr>
                <w:rFonts w:ascii="Arial Narrow" w:hAnsi="Arial Narrow"/>
                <w:sz w:val="20"/>
              </w:rPr>
            </w:pPr>
            <w:r w:rsidRPr="00F77E7A">
              <w:rPr>
                <w:rFonts w:ascii="Arial Narrow" w:hAnsi="Arial Narrow"/>
                <w:sz w:val="20"/>
              </w:rPr>
              <w:t>(3) the result of a FEV1 measurement performed within a month prior to the date of application. Note: FEV1, must be measured in an accredited pulmonary function laboratory, with documented no acute infective exacerbation at the time FEV1 is measured; and</w:t>
            </w:r>
          </w:p>
          <w:p w:rsidR="005A50DC" w:rsidRPr="00F77E7A" w:rsidRDefault="005A50DC" w:rsidP="00EF2E6B">
            <w:pPr>
              <w:widowControl/>
              <w:rPr>
                <w:rFonts w:ascii="Arial Narrow" w:hAnsi="Arial Narrow"/>
                <w:sz w:val="20"/>
              </w:rPr>
            </w:pPr>
            <w:r w:rsidRPr="00F77E7A">
              <w:rPr>
                <w:rFonts w:ascii="Arial Narrow" w:hAnsi="Arial Narrow"/>
                <w:sz w:val="20"/>
              </w:rPr>
              <w:t>(4) a copy of a current medication history</w:t>
            </w:r>
            <w:r w:rsidR="00E54FF6" w:rsidRPr="00EF4B5D">
              <w:rPr>
                <w:rFonts w:ascii="Arial Narrow" w:hAnsi="Arial Narrow"/>
                <w:sz w:val="20"/>
              </w:rPr>
              <w:t>, incl</w:t>
            </w:r>
            <w:r w:rsidR="00E56D24">
              <w:rPr>
                <w:rFonts w:ascii="Arial Narrow" w:hAnsi="Arial Narrow"/>
                <w:sz w:val="20"/>
              </w:rPr>
              <w:t xml:space="preserve">uding any CYP3A4 inhibitors </w:t>
            </w:r>
            <w:r w:rsidR="00E54FF6" w:rsidRPr="00EF4B5D">
              <w:rPr>
                <w:rFonts w:ascii="Arial Narrow" w:hAnsi="Arial Narrow"/>
                <w:sz w:val="20"/>
              </w:rPr>
              <w:t>or CYP3A4 inducers</w:t>
            </w:r>
            <w:r w:rsidRPr="00F77E7A">
              <w:rPr>
                <w:rFonts w:ascii="Arial Narrow" w:hAnsi="Arial Narrow"/>
                <w:sz w:val="20"/>
              </w:rPr>
              <w:t xml:space="preserve">; and </w:t>
            </w:r>
          </w:p>
          <w:p w:rsidR="005A50DC" w:rsidRPr="00F77E7A" w:rsidRDefault="005A50DC" w:rsidP="00EF2E6B">
            <w:pPr>
              <w:widowControl/>
              <w:rPr>
                <w:rFonts w:ascii="Arial Narrow" w:hAnsi="Arial Narrow"/>
                <w:sz w:val="20"/>
              </w:rPr>
            </w:pPr>
            <w:r w:rsidRPr="00F77E7A">
              <w:rPr>
                <w:rFonts w:ascii="Arial Narrow" w:hAnsi="Arial Narrow"/>
                <w:sz w:val="20"/>
              </w:rPr>
              <w:t>(5) height and weight measurements at the time of application; and</w:t>
            </w:r>
          </w:p>
          <w:p w:rsidR="005A50DC" w:rsidRPr="00F77E7A" w:rsidRDefault="005A50DC" w:rsidP="00EF2E6B">
            <w:pPr>
              <w:widowControl/>
              <w:rPr>
                <w:rFonts w:ascii="Arial Narrow" w:hAnsi="Arial Narrow"/>
                <w:sz w:val="20"/>
              </w:rPr>
            </w:pPr>
            <w:r w:rsidRPr="00F77E7A">
              <w:rPr>
                <w:rFonts w:ascii="Arial Narrow" w:hAnsi="Arial Narrow"/>
                <w:sz w:val="20"/>
              </w:rPr>
              <w:t>(6) the number of days of CF-related hospitalisation (including hospital-in-the home) in the previous 6 months.</w:t>
            </w:r>
          </w:p>
        </w:tc>
      </w:tr>
      <w:tr w:rsidR="005A50DC" w:rsidRPr="00F77E7A" w:rsidTr="003906DE">
        <w:tc>
          <w:tcPr>
            <w:tcW w:w="1272" w:type="pct"/>
            <w:tcBorders>
              <w:top w:val="single" w:sz="4" w:space="0" w:color="auto"/>
              <w:left w:val="single" w:sz="4" w:space="0" w:color="auto"/>
              <w:bottom w:val="single" w:sz="4" w:space="0" w:color="auto"/>
              <w:right w:val="single" w:sz="4" w:space="0" w:color="auto"/>
            </w:tcBorders>
          </w:tcPr>
          <w:p w:rsidR="005A50DC" w:rsidRPr="00F77E7A" w:rsidRDefault="005A50DC" w:rsidP="00EF2E6B">
            <w:pPr>
              <w:widowControl/>
              <w:rPr>
                <w:rFonts w:ascii="Arial Narrow" w:hAnsi="Arial Narrow"/>
                <w:b/>
                <w:sz w:val="20"/>
              </w:rPr>
            </w:pPr>
            <w:r w:rsidRPr="00F77E7A">
              <w:rPr>
                <w:rFonts w:ascii="Arial Narrow" w:hAnsi="Arial Narrow"/>
                <w:b/>
                <w:sz w:val="20"/>
              </w:rPr>
              <w:t>Administrative Advice:</w:t>
            </w:r>
          </w:p>
        </w:tc>
        <w:tc>
          <w:tcPr>
            <w:tcW w:w="3728" w:type="pct"/>
            <w:tcBorders>
              <w:top w:val="single" w:sz="4" w:space="0" w:color="auto"/>
              <w:left w:val="single" w:sz="4" w:space="0" w:color="auto"/>
              <w:bottom w:val="single" w:sz="4" w:space="0" w:color="auto"/>
              <w:right w:val="single" w:sz="4" w:space="0" w:color="auto"/>
            </w:tcBorders>
          </w:tcPr>
          <w:p w:rsidR="00F87FB3" w:rsidRPr="004C2D91" w:rsidRDefault="00F87FB3" w:rsidP="00F87FB3">
            <w:pPr>
              <w:widowControl/>
              <w:rPr>
                <w:rFonts w:ascii="Arial Narrow" w:hAnsi="Arial Narrow"/>
                <w:sz w:val="20"/>
                <w:szCs w:val="20"/>
              </w:rPr>
            </w:pPr>
            <w:r w:rsidRPr="004C2D91">
              <w:rPr>
                <w:rFonts w:ascii="Arial Narrow" w:hAnsi="Arial Narrow"/>
                <w:b/>
                <w:bCs/>
                <w:sz w:val="20"/>
                <w:szCs w:val="20"/>
              </w:rPr>
              <w:t>Managed Access Program:</w:t>
            </w:r>
          </w:p>
          <w:p w:rsidR="00F87FB3" w:rsidRPr="004C2D91" w:rsidRDefault="00F87FB3" w:rsidP="00F87FB3">
            <w:pPr>
              <w:widowControl/>
              <w:rPr>
                <w:rFonts w:ascii="Arial Narrow" w:hAnsi="Arial Narrow"/>
                <w:sz w:val="20"/>
                <w:szCs w:val="20"/>
              </w:rPr>
            </w:pPr>
            <w:r w:rsidRPr="004C2D91">
              <w:rPr>
                <w:rFonts w:ascii="Arial Narrow" w:hAnsi="Arial Narrow"/>
                <w:sz w:val="20"/>
                <w:szCs w:val="20"/>
              </w:rPr>
              <w:t xml:space="preserve">This medicine has been listed on the PBS via a Managed Access Program (MAP). The Pharmaceutical Benefits Advisory Committee (PBAC) made its recommendation on the basis of </w:t>
            </w:r>
            <w:r>
              <w:rPr>
                <w:rFonts w:ascii="Arial Narrow" w:hAnsi="Arial Narrow"/>
                <w:sz w:val="20"/>
                <w:szCs w:val="20"/>
              </w:rPr>
              <w:t>24 weeks of data for tezacaftor with ivacaftor for children aged 12 years and over, as well as on the basis of 96</w:t>
            </w:r>
            <w:r w:rsidRPr="004C2D91">
              <w:rPr>
                <w:rFonts w:ascii="Arial Narrow" w:hAnsi="Arial Narrow"/>
                <w:sz w:val="20"/>
                <w:szCs w:val="20"/>
              </w:rPr>
              <w:t xml:space="preserve"> weeks of data</w:t>
            </w:r>
            <w:r>
              <w:rPr>
                <w:rFonts w:ascii="Arial Narrow" w:hAnsi="Arial Narrow"/>
                <w:sz w:val="20"/>
                <w:szCs w:val="20"/>
              </w:rPr>
              <w:t xml:space="preserve"> for lumacaftor with ivacaftor</w:t>
            </w:r>
            <w:r w:rsidRPr="004C2D91">
              <w:rPr>
                <w:rFonts w:ascii="Arial Narrow" w:hAnsi="Arial Narrow"/>
                <w:sz w:val="20"/>
                <w:szCs w:val="20"/>
              </w:rPr>
              <w:t xml:space="preserve"> in children aged 12 years and over</w:t>
            </w:r>
            <w:r>
              <w:rPr>
                <w:rFonts w:ascii="Arial Narrow" w:hAnsi="Arial Narrow"/>
                <w:sz w:val="20"/>
                <w:szCs w:val="20"/>
              </w:rPr>
              <w:t xml:space="preserve"> who are homozygous for the F508del mutation</w:t>
            </w:r>
            <w:r w:rsidRPr="004C2D91">
              <w:rPr>
                <w:rFonts w:ascii="Arial Narrow" w:hAnsi="Arial Narrow"/>
                <w:sz w:val="20"/>
                <w:szCs w:val="20"/>
              </w:rPr>
              <w:t xml:space="preserve">. Information about the long term benefits of this medicine </w:t>
            </w:r>
            <w:r>
              <w:rPr>
                <w:rFonts w:ascii="Arial Narrow" w:hAnsi="Arial Narrow"/>
                <w:sz w:val="20"/>
                <w:szCs w:val="20"/>
              </w:rPr>
              <w:t xml:space="preserve">and lumacaftor with ivacaftor for patients who are homozygous for the F508del mutation </w:t>
            </w:r>
            <w:r w:rsidRPr="004C2D91">
              <w:rPr>
                <w:rFonts w:ascii="Arial Narrow" w:hAnsi="Arial Narrow"/>
                <w:sz w:val="20"/>
                <w:szCs w:val="20"/>
              </w:rPr>
              <w:t>will be collected and analysed under this MAP.</w:t>
            </w:r>
            <w:r>
              <w:rPr>
                <w:rFonts w:ascii="Arial Narrow" w:hAnsi="Arial Narrow"/>
                <w:sz w:val="20"/>
                <w:szCs w:val="20"/>
              </w:rPr>
              <w:t xml:space="preserve"> </w:t>
            </w:r>
          </w:p>
          <w:p w:rsidR="00F87FB3" w:rsidRDefault="00F87FB3" w:rsidP="00F87FB3">
            <w:pPr>
              <w:widowControl/>
              <w:rPr>
                <w:rFonts w:ascii="Arial Narrow" w:hAnsi="Arial Narrow"/>
                <w:sz w:val="20"/>
                <w:szCs w:val="20"/>
              </w:rPr>
            </w:pPr>
            <w:r w:rsidRPr="004C2D91">
              <w:rPr>
                <w:rFonts w:ascii="Arial Narrow" w:hAnsi="Arial Narrow"/>
                <w:sz w:val="20"/>
                <w:szCs w:val="20"/>
              </w:rPr>
              <w:t xml:space="preserve">For more information on Managed Access Programs, please visit </w:t>
            </w:r>
            <w:r w:rsidRPr="007D10D3">
              <w:rPr>
                <w:rFonts w:ascii="Arial Narrow" w:hAnsi="Arial Narrow"/>
                <w:sz w:val="20"/>
                <w:szCs w:val="20"/>
              </w:rPr>
              <w:t>http://www.pbs.gov.au/info/industry/listing/elements/pbac-meetings/pbac-outcomes/2015-03/march-2015-other-matters-managed-access-programme-framewk</w:t>
            </w:r>
            <w:r w:rsidRPr="004C2D91">
              <w:rPr>
                <w:rFonts w:ascii="Arial Narrow" w:hAnsi="Arial Narrow"/>
                <w:sz w:val="20"/>
                <w:szCs w:val="20"/>
              </w:rPr>
              <w:t>.</w:t>
            </w:r>
          </w:p>
          <w:p w:rsidR="00F87FB3" w:rsidRDefault="00F87FB3" w:rsidP="00F87FB3">
            <w:pPr>
              <w:widowControl/>
              <w:rPr>
                <w:rFonts w:ascii="Arial Narrow" w:hAnsi="Arial Narrow"/>
                <w:sz w:val="20"/>
                <w:szCs w:val="20"/>
              </w:rPr>
            </w:pP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Any queries concerning the arrangements to prescribe may be directed to the Department of Human Services on 1800 700 270 (hours of operation 8 a.m. to 5 p.m. EST Monday to Friday).</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Applications for authority to prescribe should be forwarded to:</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Department of Human Services</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Complex Drugs</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Reply Paid 9826</w:t>
            </w:r>
          </w:p>
          <w:p w:rsidR="005A50DC" w:rsidRPr="00F77E7A" w:rsidRDefault="005A50DC" w:rsidP="00EF2E6B">
            <w:pPr>
              <w:widowControl/>
              <w:rPr>
                <w:rFonts w:ascii="Arial Narrow" w:hAnsi="Arial Narrow"/>
                <w:sz w:val="20"/>
                <w:szCs w:val="20"/>
              </w:rPr>
            </w:pPr>
            <w:r w:rsidRPr="00F77E7A">
              <w:rPr>
                <w:rFonts w:ascii="Arial Narrow" w:hAnsi="Arial Narrow"/>
                <w:sz w:val="20"/>
                <w:szCs w:val="20"/>
              </w:rPr>
              <w:t>HOBART TAS 7001</w:t>
            </w:r>
          </w:p>
          <w:p w:rsidR="005A50DC" w:rsidRPr="00F77E7A" w:rsidRDefault="005A50DC" w:rsidP="00EF2E6B">
            <w:pPr>
              <w:widowControl/>
              <w:rPr>
                <w:rFonts w:ascii="Arial Narrow" w:hAnsi="Arial Narrow"/>
                <w:sz w:val="20"/>
              </w:rPr>
            </w:pPr>
          </w:p>
          <w:p w:rsidR="005A50DC" w:rsidRPr="00F77E7A" w:rsidRDefault="005A50DC" w:rsidP="00EF2E6B">
            <w:pPr>
              <w:keepNext/>
              <w:widowControl/>
              <w:rPr>
                <w:rFonts w:ascii="Arial Narrow" w:hAnsi="Arial Narrow"/>
                <w:sz w:val="20"/>
              </w:rPr>
            </w:pPr>
            <w:r w:rsidRPr="00F77E7A">
              <w:rPr>
                <w:rFonts w:ascii="Arial Narrow" w:hAnsi="Arial Narrow"/>
                <w:sz w:val="20"/>
              </w:rPr>
              <w:t>No increase in the maximum number of repeats may be authorised.</w:t>
            </w:r>
          </w:p>
          <w:p w:rsidR="005A50DC" w:rsidRPr="00F77E7A" w:rsidRDefault="005A50DC" w:rsidP="00EF2E6B">
            <w:pPr>
              <w:keepNext/>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No increase in the maximum quantity or number of units may be authorised.</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Any queries concerning the arrangements to prescribe may be directed to the Department of Human Services on 1800 700 270 (hours of operation 8 a.m. to 5 p.m. EST Monday to Friday).</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5A50DC" w:rsidRPr="00F77E7A" w:rsidRDefault="005A50DC" w:rsidP="00EF2E6B">
            <w:pPr>
              <w:widowControl/>
              <w:rPr>
                <w:rFonts w:ascii="Arial Narrow" w:hAnsi="Arial Narrow"/>
                <w:sz w:val="20"/>
              </w:rPr>
            </w:pPr>
          </w:p>
          <w:p w:rsidR="005A50DC" w:rsidRPr="00F77E7A" w:rsidRDefault="005A50DC" w:rsidP="00EF2E6B">
            <w:pPr>
              <w:widowControl/>
              <w:rPr>
                <w:rFonts w:ascii="Arial Narrow" w:hAnsi="Arial Narrow"/>
                <w:sz w:val="20"/>
              </w:rPr>
            </w:pPr>
            <w:r w:rsidRPr="00F77E7A">
              <w:rPr>
                <w:rFonts w:ascii="Arial Narrow" w:hAnsi="Arial Narrow"/>
                <w:sz w:val="20"/>
              </w:rPr>
              <w:t>Applications for authority to prescribe should be forwarded to:</w:t>
            </w:r>
          </w:p>
          <w:p w:rsidR="005A50DC" w:rsidRPr="00F77E7A" w:rsidRDefault="005A50DC" w:rsidP="00EF2E6B">
            <w:pPr>
              <w:widowControl/>
              <w:rPr>
                <w:rFonts w:ascii="Arial Narrow" w:hAnsi="Arial Narrow"/>
                <w:sz w:val="20"/>
              </w:rPr>
            </w:pPr>
            <w:r w:rsidRPr="00F77E7A">
              <w:rPr>
                <w:rFonts w:ascii="Arial Narrow" w:hAnsi="Arial Narrow"/>
                <w:sz w:val="20"/>
              </w:rPr>
              <w:t>Department of Human Services</w:t>
            </w:r>
          </w:p>
          <w:p w:rsidR="005A50DC" w:rsidRPr="00F77E7A" w:rsidRDefault="005A50DC" w:rsidP="00EF2E6B">
            <w:pPr>
              <w:widowControl/>
              <w:rPr>
                <w:rFonts w:ascii="Arial Narrow" w:hAnsi="Arial Narrow"/>
                <w:sz w:val="20"/>
              </w:rPr>
            </w:pPr>
            <w:r w:rsidRPr="00F77E7A">
              <w:rPr>
                <w:rFonts w:ascii="Arial Narrow" w:hAnsi="Arial Narrow"/>
                <w:sz w:val="20"/>
              </w:rPr>
              <w:t>Complex Drugs</w:t>
            </w:r>
          </w:p>
          <w:p w:rsidR="005A50DC" w:rsidRPr="00F77E7A" w:rsidRDefault="005A50DC" w:rsidP="00EF2E6B">
            <w:pPr>
              <w:widowControl/>
              <w:rPr>
                <w:rFonts w:ascii="Arial Narrow" w:hAnsi="Arial Narrow"/>
                <w:sz w:val="20"/>
              </w:rPr>
            </w:pPr>
            <w:r w:rsidRPr="00F77E7A">
              <w:rPr>
                <w:rFonts w:ascii="Arial Narrow" w:hAnsi="Arial Narrow"/>
                <w:sz w:val="20"/>
              </w:rPr>
              <w:t>Reply Paid 9826</w:t>
            </w:r>
          </w:p>
          <w:p w:rsidR="005A50DC" w:rsidRPr="00F77E7A" w:rsidRDefault="005A50DC" w:rsidP="00EF2E6B">
            <w:pPr>
              <w:widowControl/>
              <w:rPr>
                <w:rFonts w:ascii="Arial Narrow" w:hAnsi="Arial Narrow"/>
                <w:sz w:val="20"/>
              </w:rPr>
            </w:pPr>
            <w:r w:rsidRPr="00F77E7A">
              <w:rPr>
                <w:rFonts w:ascii="Arial Narrow" w:hAnsi="Arial Narrow"/>
                <w:sz w:val="20"/>
              </w:rPr>
              <w:t>HOBART TAS 7001</w:t>
            </w:r>
          </w:p>
        </w:tc>
      </w:tr>
    </w:tbl>
    <w:p w:rsidR="00ED71B1" w:rsidRPr="00DC0949" w:rsidRDefault="00ED71B1" w:rsidP="00127A51">
      <w:pPr>
        <w:pStyle w:val="PBACHeading1"/>
        <w:numPr>
          <w:ilvl w:val="0"/>
          <w:numId w:val="22"/>
        </w:numPr>
        <w:spacing w:before="120"/>
      </w:pPr>
      <w:r w:rsidRPr="00DC0949">
        <w:t>Context for Decision</w:t>
      </w:r>
    </w:p>
    <w:p w:rsidR="00ED71B1" w:rsidRPr="000F613E" w:rsidRDefault="00ED71B1" w:rsidP="00127A51">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0F613E">
        <w:rPr>
          <w:rFonts w:asciiTheme="minorHAnsi" w:hAnsiTheme="minorHAnsi"/>
        </w:rPr>
        <w:t>nt review of the PBAC decision.</w:t>
      </w:r>
    </w:p>
    <w:p w:rsidR="00ED71B1" w:rsidRPr="00DC0949" w:rsidRDefault="00ED71B1" w:rsidP="00127A51">
      <w:pPr>
        <w:pStyle w:val="PBACHeading1"/>
        <w:numPr>
          <w:ilvl w:val="0"/>
          <w:numId w:val="22"/>
        </w:numPr>
        <w:spacing w:before="120"/>
      </w:pPr>
      <w:r w:rsidRPr="00DC0949">
        <w:t>Sponsor’s Comment</w:t>
      </w:r>
    </w:p>
    <w:p w:rsidR="00ED71B1" w:rsidRPr="00127A51" w:rsidRDefault="00ED71B1" w:rsidP="00127A51">
      <w:pPr>
        <w:spacing w:before="120" w:after="120"/>
        <w:ind w:left="709"/>
        <w:rPr>
          <w:rFonts w:asciiTheme="minorHAnsi" w:hAnsiTheme="minorHAnsi"/>
          <w:bCs/>
        </w:rPr>
      </w:pPr>
      <w:r w:rsidRPr="00C07617">
        <w:rPr>
          <w:rFonts w:asciiTheme="minorHAnsi" w:hAnsiTheme="minorHAnsi"/>
          <w:bCs/>
        </w:rPr>
        <w:t>The sponsor had no comment.</w:t>
      </w:r>
    </w:p>
    <w:sectPr w:rsidR="00ED71B1" w:rsidRPr="00127A51" w:rsidSect="00E2135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415A2" w16cid:durableId="1FEC7A49"/>
  <w16cid:commentId w16cid:paraId="54B71385" w16cid:durableId="1FEC7A4A"/>
  <w16cid:commentId w16cid:paraId="0F735C86" w16cid:durableId="1FEC7A4B"/>
  <w16cid:commentId w16cid:paraId="193B1C96" w16cid:durableId="1FEC7A4C"/>
  <w16cid:commentId w16cid:paraId="6F296475" w16cid:durableId="1FEC7A4D"/>
  <w16cid:commentId w16cid:paraId="0B28112A" w16cid:durableId="1FEC7A4E"/>
  <w16cid:commentId w16cid:paraId="0CE3AE4C" w16cid:durableId="1FEC7A4F"/>
  <w16cid:commentId w16cid:paraId="6971C618" w16cid:durableId="1FEC7A50"/>
  <w16cid:commentId w16cid:paraId="467B820A" w16cid:durableId="1FEC7A51"/>
  <w16cid:commentId w16cid:paraId="073B1ED8" w16cid:durableId="1FEC7A53"/>
  <w16cid:commentId w16cid:paraId="178FFF5D" w16cid:durableId="1FEC7E4C"/>
  <w16cid:commentId w16cid:paraId="7536034B" w16cid:durableId="1FEE0CF8"/>
  <w16cid:commentId w16cid:paraId="04BC5B6A" w16cid:durableId="1FEC7A56"/>
  <w16cid:commentId w16cid:paraId="10BD400D" w16cid:durableId="1FEC7A57"/>
  <w16cid:commentId w16cid:paraId="7818F69C" w16cid:durableId="1FEC7A58"/>
  <w16cid:commentId w16cid:paraId="3A5696E1" w16cid:durableId="1FEC7A59"/>
  <w16cid:commentId w16cid:paraId="0AB3C2B3" w16cid:durableId="1FEC7A5A"/>
  <w16cid:commentId w16cid:paraId="63E600FD" w16cid:durableId="1FEC7A5B"/>
  <w16cid:commentId w16cid:paraId="1E36019A" w16cid:durableId="1FEC7A5C"/>
  <w16cid:commentId w16cid:paraId="2D555E3E" w16cid:durableId="1FEC7A5D"/>
  <w16cid:commentId w16cid:paraId="35249E2F" w16cid:durableId="1FEC7A5E"/>
  <w16cid:commentId w16cid:paraId="740B37B8" w16cid:durableId="1FEC7A5F"/>
  <w16cid:commentId w16cid:paraId="5C4DE119" w16cid:durableId="1FEC7A60"/>
  <w16cid:commentId w16cid:paraId="13D9B8EB" w16cid:durableId="1FEC7A61"/>
  <w16cid:commentId w16cid:paraId="3C9EDD67" w16cid:durableId="1FEC7A62"/>
  <w16cid:commentId w16cid:paraId="122560B3" w16cid:durableId="1FEFF078"/>
  <w16cid:commentId w16cid:paraId="21CAA99D" w16cid:durableId="1FEC7A63"/>
  <w16cid:commentId w16cid:paraId="70C2B8FD" w16cid:durableId="1FEC7A64"/>
  <w16cid:commentId w16cid:paraId="1A212D2A" w16cid:durableId="1FEC7A65"/>
  <w16cid:commentId w16cid:paraId="522FB3D5" w16cid:durableId="1FEC8219"/>
  <w16cid:commentId w16cid:paraId="7AAF699A" w16cid:durableId="1FEC7A66"/>
  <w16cid:commentId w16cid:paraId="3EC63175" w16cid:durableId="1FEC7A67"/>
  <w16cid:commentId w16cid:paraId="36732212" w16cid:durableId="1FEC7A68"/>
  <w16cid:commentId w16cid:paraId="62E43826" w16cid:durableId="1FEC7A69"/>
  <w16cid:commentId w16cid:paraId="60AA007E" w16cid:durableId="1FEC7A6A"/>
  <w16cid:commentId w16cid:paraId="5C5BA1C8" w16cid:durableId="1FEC7A6B"/>
  <w16cid:commentId w16cid:paraId="0380DB4E" w16cid:durableId="1FEC7A6C"/>
  <w16cid:commentId w16cid:paraId="3B740EF0" w16cid:durableId="1FEC7A6D"/>
  <w16cid:commentId w16cid:paraId="19D9AB51" w16cid:durableId="1FEC7A6E"/>
  <w16cid:commentId w16cid:paraId="2078716D" w16cid:durableId="1FEC7A6F"/>
  <w16cid:commentId w16cid:paraId="0A7F57E7" w16cid:durableId="1FEC7A70"/>
  <w16cid:commentId w16cid:paraId="49DC1447" w16cid:durableId="1FEC7A71"/>
  <w16cid:commentId w16cid:paraId="5FA045F3" w16cid:durableId="1FEC7A72"/>
  <w16cid:commentId w16cid:paraId="6EF089FC" w16cid:durableId="1FEC7A73"/>
  <w16cid:commentId w16cid:paraId="4B589702" w16cid:durableId="1FEC7A74"/>
  <w16cid:commentId w16cid:paraId="4C60DDF6" w16cid:durableId="1FEEF842"/>
  <w16cid:commentId w16cid:paraId="0EC51567" w16cid:durableId="1FEC7A76"/>
  <w16cid:commentId w16cid:paraId="79588251" w16cid:durableId="1FEC7A77"/>
  <w16cid:commentId w16cid:paraId="571822B4" w16cid:durableId="1FEC7A78"/>
  <w16cid:commentId w16cid:paraId="2FD9DD54" w16cid:durableId="1FEEF861"/>
  <w16cid:commentId w16cid:paraId="611375C4" w16cid:durableId="1FEC7A7B"/>
  <w16cid:commentId w16cid:paraId="2C729641" w16cid:durableId="1FEC7A7C"/>
  <w16cid:commentId w16cid:paraId="76AB9525" w16cid:durableId="1FEC7A7D"/>
  <w16cid:commentId w16cid:paraId="06BC90B7" w16cid:durableId="1FEC7A7E"/>
  <w16cid:commentId w16cid:paraId="392B48FC" w16cid:durableId="1FEFF478"/>
  <w16cid:commentId w16cid:paraId="07B2F26F" w16cid:durableId="1FEC7A7F"/>
  <w16cid:commentId w16cid:paraId="13AA7E69" w16cid:durableId="1FEC7A80"/>
  <w16cid:commentId w16cid:paraId="1959A81D" w16cid:durableId="1FEFF301"/>
  <w16cid:commentId w16cid:paraId="2F60AC6E" w16cid:durableId="1FEC7A81"/>
  <w16cid:commentId w16cid:paraId="21DC2BBF" w16cid:durableId="1FEC7A82"/>
  <w16cid:commentId w16cid:paraId="58884E29" w16cid:durableId="1FEC7A83"/>
  <w16cid:commentId w16cid:paraId="0D9A5646" w16cid:durableId="1FEC7A84"/>
  <w16cid:commentId w16cid:paraId="21B2E6AE" w16cid:durableId="1FEC7A85"/>
  <w16cid:commentId w16cid:paraId="781B2AA8" w16cid:durableId="1FEC7A86"/>
  <w16cid:commentId w16cid:paraId="5E94FD28" w16cid:durableId="1FEC7A87"/>
  <w16cid:commentId w16cid:paraId="03425527" w16cid:durableId="1FF049F6"/>
  <w16cid:commentId w16cid:paraId="30D89D63" w16cid:durableId="1FEC7A88"/>
  <w16cid:commentId w16cid:paraId="375ABB5A" w16cid:durableId="1FEC7A89"/>
  <w16cid:commentId w16cid:paraId="5344EF9B" w16cid:durableId="1FEC7A79"/>
  <w16cid:commentId w16cid:paraId="16A8E3B4" w16cid:durableId="1FEC7A7A"/>
  <w16cid:commentId w16cid:paraId="5D7B3168" w16cid:durableId="1FEFF4F5"/>
  <w16cid:commentId w16cid:paraId="492524E9" w16cid:durableId="1FEC7A8A"/>
  <w16cid:commentId w16cid:paraId="69AB3721" w16cid:durableId="1FEC7A8B"/>
  <w16cid:commentId w16cid:paraId="0FF66FCF" w16cid:durableId="1FEC7A8C"/>
  <w16cid:commentId w16cid:paraId="4F2332BD" w16cid:durableId="1FEC7A8E"/>
  <w16cid:commentId w16cid:paraId="58F60CCB" w16cid:durableId="1FEC7A8F"/>
  <w16cid:commentId w16cid:paraId="14FCADF7" w16cid:durableId="1FEC7A90"/>
  <w16cid:commentId w16cid:paraId="6581FE0E" w16cid:durableId="1FEC7A91"/>
  <w16cid:commentId w16cid:paraId="1C797829" w16cid:durableId="1FEC7A92"/>
  <w16cid:commentId w16cid:paraId="708ED91B" w16cid:durableId="1FEC7A93"/>
  <w16cid:commentId w16cid:paraId="3C735943" w16cid:durableId="1FEFF78F"/>
  <w16cid:commentId w16cid:paraId="3C6EADCB" w16cid:durableId="1FEC7A95"/>
  <w16cid:commentId w16cid:paraId="37D1EC32" w16cid:durableId="1FEC7A96"/>
  <w16cid:commentId w16cid:paraId="7D0E1763" w16cid:durableId="1FEC7A97"/>
  <w16cid:commentId w16cid:paraId="29A75C4D" w16cid:durableId="1FEC7A98"/>
  <w16cid:commentId w16cid:paraId="3FE5E575" w16cid:durableId="1FEC7A99"/>
  <w16cid:commentId w16cid:paraId="286D8898" w16cid:durableId="1FEC7A9A"/>
  <w16cid:commentId w16cid:paraId="278E4EB1" w16cid:durableId="1FEC7A9B"/>
  <w16cid:commentId w16cid:paraId="31C84770" w16cid:durableId="1FEC7A9C"/>
  <w16cid:commentId w16cid:paraId="24B5B533" w16cid:durableId="1FEC7A9D"/>
  <w16cid:commentId w16cid:paraId="765CFB59" w16cid:durableId="1FEFF86B"/>
  <w16cid:commentId w16cid:paraId="5D3E9DFA" w16cid:durableId="1FEC7A9E"/>
  <w16cid:commentId w16cid:paraId="6FA1330F" w16cid:durableId="1FEC7A9F"/>
  <w16cid:commentId w16cid:paraId="0B7228F9" w16cid:durableId="1FEC7AA0"/>
  <w16cid:commentId w16cid:paraId="49552623" w16cid:durableId="1FEC7AA1"/>
  <w16cid:commentId w16cid:paraId="3FD4FCE7" w16cid:durableId="1FEC7AA3"/>
  <w16cid:commentId w16cid:paraId="27EB9352" w16cid:durableId="1FEC7AA4"/>
  <w16cid:commentId w16cid:paraId="4D41F223" w16cid:durableId="1FEC7AA5"/>
  <w16cid:commentId w16cid:paraId="54063CF8" w16cid:durableId="1FEC7AA6"/>
  <w16cid:commentId w16cid:paraId="358CCD49" w16cid:durableId="1FEC7AA7"/>
  <w16cid:commentId w16cid:paraId="51277054" w16cid:durableId="1FEC7AA8"/>
  <w16cid:commentId w16cid:paraId="08FA6A5E" w16cid:durableId="1FEC7AA9"/>
  <w16cid:commentId w16cid:paraId="3CB085BB" w16cid:durableId="1FEC7AAA"/>
  <w16cid:commentId w16cid:paraId="57489D5C" w16cid:durableId="1FEC7AAB"/>
  <w16cid:commentId w16cid:paraId="7658ACD1" w16cid:durableId="1FEC7AAC"/>
  <w16cid:commentId w16cid:paraId="4BE35CB8" w16cid:durableId="1FEC8E1A"/>
  <w16cid:commentId w16cid:paraId="65A16EA2" w16cid:durableId="1FEC7AAD"/>
  <w16cid:commentId w16cid:paraId="50C19841" w16cid:durableId="1FEFFADE"/>
  <w16cid:commentId w16cid:paraId="7A7D2DEF" w16cid:durableId="1FEC7AAE"/>
  <w16cid:commentId w16cid:paraId="21C69B9D" w16cid:durableId="1FEC7AAF"/>
  <w16cid:commentId w16cid:paraId="1C1CAC24" w16cid:durableId="1FEC7AB0"/>
  <w16cid:commentId w16cid:paraId="319E2F6A" w16cid:durableId="1FEC7AB1"/>
  <w16cid:commentId w16cid:paraId="4BC517EE" w16cid:durableId="1FEC7AB2"/>
  <w16cid:commentId w16cid:paraId="4A7FA4E9" w16cid:durableId="1FEC7AB3"/>
  <w16cid:commentId w16cid:paraId="3B2BB996" w16cid:durableId="1FEC7AB4"/>
  <w16cid:commentId w16cid:paraId="47956669" w16cid:durableId="1FEC7AB5"/>
  <w16cid:commentId w16cid:paraId="1086B544" w16cid:durableId="1FEC7AB6"/>
  <w16cid:commentId w16cid:paraId="11839A5B" w16cid:durableId="1FEC7AB7"/>
  <w16cid:commentId w16cid:paraId="378A92C2" w16cid:durableId="1FEC7AB8"/>
  <w16cid:commentId w16cid:paraId="5A201D90" w16cid:durableId="1FEC7AB9"/>
  <w16cid:commentId w16cid:paraId="514277C6" w16cid:durableId="1FEC7ABA"/>
  <w16cid:commentId w16cid:paraId="2633BDDB" w16cid:durableId="1FEC7ABB"/>
  <w16cid:commentId w16cid:paraId="4C67D814" w16cid:durableId="1FEC7ABC"/>
  <w16cid:commentId w16cid:paraId="5B4701B6" w16cid:durableId="1FEC7ABD"/>
  <w16cid:commentId w16cid:paraId="448C7979" w16cid:durableId="1FEC7ABE"/>
  <w16cid:commentId w16cid:paraId="5003731A" w16cid:durableId="1FEC7ABF"/>
  <w16cid:commentId w16cid:paraId="00607ABA" w16cid:durableId="1FEC7AC0"/>
  <w16cid:commentId w16cid:paraId="08A02756" w16cid:durableId="1FEC7A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EB" w:rsidRDefault="009514EB" w:rsidP="00124A51">
      <w:r>
        <w:separator/>
      </w:r>
    </w:p>
    <w:p w:rsidR="009514EB" w:rsidRDefault="009514EB"/>
  </w:endnote>
  <w:endnote w:type="continuationSeparator" w:id="0">
    <w:p w:rsidR="009514EB" w:rsidRDefault="009514EB" w:rsidP="00124A51">
      <w:r>
        <w:continuationSeparator/>
      </w:r>
    </w:p>
    <w:p w:rsidR="009514EB" w:rsidRDefault="00951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Default="00111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Pr="004930CF" w:rsidRDefault="0011126C" w:rsidP="00976FB0">
    <w:pPr>
      <w:widowControl/>
      <w:tabs>
        <w:tab w:val="center" w:pos="4153"/>
        <w:tab w:val="right" w:pos="8306"/>
      </w:tabs>
      <w:spacing w:after="120"/>
      <w:ind w:left="360"/>
      <w:jc w:val="center"/>
    </w:pPr>
    <w:r w:rsidRPr="00976FB0">
      <w:rPr>
        <w:snapToGrid/>
        <w:sz w:val="20"/>
        <w:szCs w:val="24"/>
      </w:rPr>
      <w:fldChar w:fldCharType="begin"/>
    </w:r>
    <w:r w:rsidRPr="00976FB0">
      <w:rPr>
        <w:snapToGrid/>
        <w:sz w:val="20"/>
        <w:szCs w:val="24"/>
      </w:rPr>
      <w:instrText xml:space="preserve"> PAGE   \* MERGEFORMAT </w:instrText>
    </w:r>
    <w:r w:rsidRPr="00976FB0">
      <w:rPr>
        <w:snapToGrid/>
        <w:sz w:val="20"/>
        <w:szCs w:val="24"/>
      </w:rPr>
      <w:fldChar w:fldCharType="separate"/>
    </w:r>
    <w:r w:rsidR="009514EB">
      <w:rPr>
        <w:noProof/>
        <w:snapToGrid/>
        <w:sz w:val="20"/>
        <w:szCs w:val="24"/>
      </w:rPr>
      <w:t>30</w:t>
    </w:r>
    <w:r w:rsidRPr="00976FB0">
      <w:rPr>
        <w:noProof/>
        <w:snapToGrid/>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Default="0011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EB" w:rsidRDefault="009514EB" w:rsidP="00124A51">
      <w:r>
        <w:separator/>
      </w:r>
    </w:p>
    <w:p w:rsidR="009514EB" w:rsidRDefault="009514EB"/>
  </w:footnote>
  <w:footnote w:type="continuationSeparator" w:id="0">
    <w:p w:rsidR="009514EB" w:rsidRDefault="009514EB" w:rsidP="00124A51">
      <w:r>
        <w:continuationSeparator/>
      </w:r>
    </w:p>
    <w:p w:rsidR="009514EB" w:rsidRDefault="009514EB"/>
  </w:footnote>
  <w:footnote w:id="1">
    <w:p w:rsidR="0011126C" w:rsidRPr="00FF0CAD" w:rsidRDefault="0011126C" w:rsidP="001D18FA">
      <w:pPr>
        <w:rPr>
          <w:sz w:val="20"/>
          <w:szCs w:val="20"/>
        </w:rPr>
      </w:pPr>
      <w:r>
        <w:rPr>
          <w:rStyle w:val="FootnoteReference"/>
        </w:rPr>
        <w:footnoteRef/>
      </w:r>
      <w:r>
        <w:t xml:space="preserve"> </w:t>
      </w:r>
      <w:r w:rsidRPr="00FF0CAD">
        <w:rPr>
          <w:sz w:val="20"/>
          <w:szCs w:val="20"/>
        </w:rPr>
        <w:t>Johansen, H. K., Nir, M., Hoiby, N., Koch, C., &amp; Schwartz, M. (1991). Severity of cystic fibrosis in patients homozygous and heterozygous for delta F508 mutation. Lancet (London, England), 337(8742), 631–634.</w:t>
      </w:r>
    </w:p>
    <w:p w:rsidR="0011126C" w:rsidRDefault="0011126C" w:rsidP="001D18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Default="00111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Pr="008207F7" w:rsidRDefault="0011126C" w:rsidP="004A27B2">
    <w:pPr>
      <w:widowControl/>
      <w:tabs>
        <w:tab w:val="center" w:pos="4153"/>
        <w:tab w:val="right" w:pos="8306"/>
      </w:tabs>
      <w:ind w:left="360"/>
      <w:jc w:val="center"/>
      <w:rPr>
        <w:rFonts w:asciiTheme="minorHAnsi" w:hAnsiTheme="minorHAnsi"/>
        <w:i/>
        <w:snapToGrid/>
        <w:color w:val="808080"/>
        <w:szCs w:val="24"/>
      </w:rPr>
    </w:pPr>
    <w:r w:rsidRPr="008207F7">
      <w:rPr>
        <w:rFonts w:asciiTheme="minorHAnsi" w:hAnsiTheme="minorHAnsi"/>
        <w:i/>
        <w:snapToGrid/>
        <w:color w:val="808080"/>
        <w:szCs w:val="24"/>
      </w:rPr>
      <w:t>Public Summary Document – March 2019 PBAC Meeting</w:t>
    </w:r>
  </w:p>
  <w:p w:rsidR="0011126C" w:rsidRDefault="0011126C" w:rsidP="002537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6C" w:rsidRDefault="0011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1424C"/>
    <w:multiLevelType w:val="hybridMultilevel"/>
    <w:tmpl w:val="21F076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DB6EC1"/>
    <w:multiLevelType w:val="hybridMultilevel"/>
    <w:tmpl w:val="473E9E5A"/>
    <w:lvl w:ilvl="0" w:tplc="04090001">
      <w:start w:val="1"/>
      <w:numFmt w:val="bullet"/>
      <w:lvlText w:val=""/>
      <w:lvlJc w:val="left"/>
      <w:pPr>
        <w:ind w:left="720" w:hanging="360"/>
      </w:pPr>
      <w:rPr>
        <w:rFonts w:ascii="Symbol" w:hAnsi="Symbol" w:hint="default"/>
      </w:rPr>
    </w:lvl>
    <w:lvl w:ilvl="1" w:tplc="83C470BE">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C24C6"/>
    <w:multiLevelType w:val="hybridMultilevel"/>
    <w:tmpl w:val="40B0F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26794"/>
    <w:multiLevelType w:val="hybridMultilevel"/>
    <w:tmpl w:val="492478B2"/>
    <w:lvl w:ilvl="0" w:tplc="BBD45CFA">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27CF2"/>
    <w:multiLevelType w:val="hybridMultilevel"/>
    <w:tmpl w:val="2BA2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E7905"/>
    <w:multiLevelType w:val="hybridMultilevel"/>
    <w:tmpl w:val="29A2AEDC"/>
    <w:lvl w:ilvl="0" w:tplc="AE0EBEB0">
      <w:start w:val="1"/>
      <w:numFmt w:val="bullet"/>
      <w:lvlText w:val="•"/>
      <w:lvlJc w:val="left"/>
      <w:pPr>
        <w:tabs>
          <w:tab w:val="num" w:pos="720"/>
        </w:tabs>
        <w:ind w:left="720" w:hanging="360"/>
      </w:pPr>
      <w:rPr>
        <w:rFonts w:ascii="Arial" w:hAnsi="Arial" w:hint="default"/>
      </w:rPr>
    </w:lvl>
    <w:lvl w:ilvl="1" w:tplc="E20EB300" w:tentative="1">
      <w:start w:val="1"/>
      <w:numFmt w:val="bullet"/>
      <w:lvlText w:val="•"/>
      <w:lvlJc w:val="left"/>
      <w:pPr>
        <w:tabs>
          <w:tab w:val="num" w:pos="1440"/>
        </w:tabs>
        <w:ind w:left="1440" w:hanging="360"/>
      </w:pPr>
      <w:rPr>
        <w:rFonts w:ascii="Arial" w:hAnsi="Arial" w:hint="default"/>
      </w:rPr>
    </w:lvl>
    <w:lvl w:ilvl="2" w:tplc="ACE66E46" w:tentative="1">
      <w:start w:val="1"/>
      <w:numFmt w:val="bullet"/>
      <w:lvlText w:val="•"/>
      <w:lvlJc w:val="left"/>
      <w:pPr>
        <w:tabs>
          <w:tab w:val="num" w:pos="2160"/>
        </w:tabs>
        <w:ind w:left="2160" w:hanging="360"/>
      </w:pPr>
      <w:rPr>
        <w:rFonts w:ascii="Arial" w:hAnsi="Arial" w:hint="default"/>
      </w:rPr>
    </w:lvl>
    <w:lvl w:ilvl="3" w:tplc="D5BC292A" w:tentative="1">
      <w:start w:val="1"/>
      <w:numFmt w:val="bullet"/>
      <w:lvlText w:val="•"/>
      <w:lvlJc w:val="left"/>
      <w:pPr>
        <w:tabs>
          <w:tab w:val="num" w:pos="2880"/>
        </w:tabs>
        <w:ind w:left="2880" w:hanging="360"/>
      </w:pPr>
      <w:rPr>
        <w:rFonts w:ascii="Arial" w:hAnsi="Arial" w:hint="default"/>
      </w:rPr>
    </w:lvl>
    <w:lvl w:ilvl="4" w:tplc="AACA9470" w:tentative="1">
      <w:start w:val="1"/>
      <w:numFmt w:val="bullet"/>
      <w:lvlText w:val="•"/>
      <w:lvlJc w:val="left"/>
      <w:pPr>
        <w:tabs>
          <w:tab w:val="num" w:pos="3600"/>
        </w:tabs>
        <w:ind w:left="3600" w:hanging="360"/>
      </w:pPr>
      <w:rPr>
        <w:rFonts w:ascii="Arial" w:hAnsi="Arial" w:hint="default"/>
      </w:rPr>
    </w:lvl>
    <w:lvl w:ilvl="5" w:tplc="F5B4B7DC" w:tentative="1">
      <w:start w:val="1"/>
      <w:numFmt w:val="bullet"/>
      <w:lvlText w:val="•"/>
      <w:lvlJc w:val="left"/>
      <w:pPr>
        <w:tabs>
          <w:tab w:val="num" w:pos="4320"/>
        </w:tabs>
        <w:ind w:left="4320" w:hanging="360"/>
      </w:pPr>
      <w:rPr>
        <w:rFonts w:ascii="Arial" w:hAnsi="Arial" w:hint="default"/>
      </w:rPr>
    </w:lvl>
    <w:lvl w:ilvl="6" w:tplc="F634F31A" w:tentative="1">
      <w:start w:val="1"/>
      <w:numFmt w:val="bullet"/>
      <w:lvlText w:val="•"/>
      <w:lvlJc w:val="left"/>
      <w:pPr>
        <w:tabs>
          <w:tab w:val="num" w:pos="5040"/>
        </w:tabs>
        <w:ind w:left="5040" w:hanging="360"/>
      </w:pPr>
      <w:rPr>
        <w:rFonts w:ascii="Arial" w:hAnsi="Arial" w:hint="default"/>
      </w:rPr>
    </w:lvl>
    <w:lvl w:ilvl="7" w:tplc="E2E88236" w:tentative="1">
      <w:start w:val="1"/>
      <w:numFmt w:val="bullet"/>
      <w:lvlText w:val="•"/>
      <w:lvlJc w:val="left"/>
      <w:pPr>
        <w:tabs>
          <w:tab w:val="num" w:pos="5760"/>
        </w:tabs>
        <w:ind w:left="5760" w:hanging="360"/>
      </w:pPr>
      <w:rPr>
        <w:rFonts w:ascii="Arial" w:hAnsi="Arial" w:hint="default"/>
      </w:rPr>
    </w:lvl>
    <w:lvl w:ilvl="8" w:tplc="D7741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35CB8"/>
    <w:multiLevelType w:val="hybridMultilevel"/>
    <w:tmpl w:val="4FF6263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041F2"/>
    <w:multiLevelType w:val="hybridMultilevel"/>
    <w:tmpl w:val="2910AA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132A3"/>
    <w:multiLevelType w:val="hybridMultilevel"/>
    <w:tmpl w:val="C4AC9F6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B7C34E2"/>
    <w:multiLevelType w:val="hybridMultilevel"/>
    <w:tmpl w:val="C97AF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D06632"/>
    <w:multiLevelType w:val="hybridMultilevel"/>
    <w:tmpl w:val="A9826142"/>
    <w:lvl w:ilvl="0" w:tplc="B3682A52">
      <w:start w:val="1"/>
      <w:numFmt w:val="bullet"/>
      <w:lvlText w:val=""/>
      <w:lvlJc w:val="left"/>
      <w:pPr>
        <w:ind w:left="72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F41AC"/>
    <w:multiLevelType w:val="hybridMultilevel"/>
    <w:tmpl w:val="3A82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9" w15:restartNumberingAfterBreak="0">
    <w:nsid w:val="4BA65834"/>
    <w:multiLevelType w:val="hybridMultilevel"/>
    <w:tmpl w:val="337ED5DE"/>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BA956FC"/>
    <w:multiLevelType w:val="hybridMultilevel"/>
    <w:tmpl w:val="C89CA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27BCA"/>
    <w:multiLevelType w:val="hybridMultilevel"/>
    <w:tmpl w:val="226E4C08"/>
    <w:lvl w:ilvl="0" w:tplc="2B5CD256">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56EA7"/>
    <w:multiLevelType w:val="hybridMultilevel"/>
    <w:tmpl w:val="94DA1B5C"/>
    <w:lvl w:ilvl="0" w:tplc="6F50D0DE">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5"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BF7416"/>
    <w:multiLevelType w:val="hybridMultilevel"/>
    <w:tmpl w:val="7D84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DA27D6"/>
    <w:multiLevelType w:val="hybridMultilevel"/>
    <w:tmpl w:val="F54E495E"/>
    <w:lvl w:ilvl="0" w:tplc="44D037D8">
      <w:start w:val="1"/>
      <w:numFmt w:val="bullet"/>
      <w:pStyle w:val="Bullet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191B9A"/>
    <w:multiLevelType w:val="hybridMultilevel"/>
    <w:tmpl w:val="0F98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8DACA4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Calibri" w:hAnsi="Calibri" w:cs="Calibri" w:hint="default"/>
        <w:b w:val="0"/>
        <w:i w:val="0"/>
        <w:color w:val="auto"/>
        <w:sz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9C16CD"/>
    <w:multiLevelType w:val="hybridMultilevel"/>
    <w:tmpl w:val="98989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9"/>
  </w:num>
  <w:num w:numId="3">
    <w:abstractNumId w:val="16"/>
  </w:num>
  <w:num w:numId="4">
    <w:abstractNumId w:val="15"/>
  </w:num>
  <w:num w:numId="5">
    <w:abstractNumId w:val="30"/>
  </w:num>
  <w:num w:numId="6">
    <w:abstractNumId w:val="3"/>
  </w:num>
  <w:num w:numId="7">
    <w:abstractNumId w:val="18"/>
  </w:num>
  <w:num w:numId="8">
    <w:abstractNumId w:val="12"/>
  </w:num>
  <w:num w:numId="9">
    <w:abstractNumId w:val="9"/>
  </w:num>
  <w:num w:numId="10">
    <w:abstractNumId w:val="7"/>
  </w:num>
  <w:num w:numId="11">
    <w:abstractNumId w:val="27"/>
  </w:num>
  <w:num w:numId="12">
    <w:abstractNumId w:val="10"/>
  </w:num>
  <w:num w:numId="13">
    <w:abstractNumId w:val="26"/>
  </w:num>
  <w:num w:numId="14">
    <w:abstractNumId w:val="21"/>
  </w:num>
  <w:num w:numId="15">
    <w:abstractNumId w:val="2"/>
  </w:num>
  <w:num w:numId="16">
    <w:abstractNumId w:val="28"/>
  </w:num>
  <w:num w:numId="17">
    <w:abstractNumId w:val="16"/>
  </w:num>
  <w:num w:numId="18">
    <w:abstractNumId w:val="17"/>
  </w:num>
  <w:num w:numId="19">
    <w:abstractNumId w:val="29"/>
  </w:num>
  <w:num w:numId="20">
    <w:abstractNumId w:val="4"/>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4"/>
  </w:num>
  <w:num w:numId="25">
    <w:abstractNumId w:val="20"/>
  </w:num>
  <w:num w:numId="26">
    <w:abstractNumId w:val="16"/>
  </w:num>
  <w:num w:numId="27">
    <w:abstractNumId w:val="19"/>
  </w:num>
  <w:num w:numId="28">
    <w:abstractNumId w:val="23"/>
  </w:num>
  <w:num w:numId="29">
    <w:abstractNumId w:val="5"/>
  </w:num>
  <w:num w:numId="30">
    <w:abstractNumId w:val="0"/>
  </w:num>
  <w:num w:numId="31">
    <w:abstractNumId w:val="11"/>
  </w:num>
  <w:num w:numId="32">
    <w:abstractNumId w:val="22"/>
  </w:num>
  <w:num w:numId="33">
    <w:abstractNumId w:val="13"/>
  </w:num>
  <w:num w:numId="34">
    <w:abstractNumId w:val="8"/>
  </w:num>
  <w:num w:numId="35">
    <w:abstractNumId w:val="1"/>
  </w:num>
  <w:num w:numId="36">
    <w:abstractNumId w:val="25"/>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AU" w:vendorID="64" w:dllVersion="0" w:nlCheck="1" w:checkStyle="0"/>
  <w:activeWritingStyle w:appName="MSWord" w:lang="es-CL" w:vendorID="64" w:dllVersion="0" w:nlCheck="1" w:checkStyle="0"/>
  <w:activeWritingStyle w:appName="MSWord" w:lang="en-US" w:vendorID="64" w:dllVersion="0" w:nlCheck="1" w:checkStyle="0"/>
  <w:activeWritingStyle w:appName="MSWord" w:lang="en-NZ"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NZ"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CL" w:vendorID="64" w:dllVersion="131078" w:nlCheck="1" w:checkStyle="0"/>
  <w:activeWritingStyle w:appName="MSWord" w:lang="en-NZ" w:vendorID="64" w:dllVersion="131078" w:nlCheck="1" w:checkStyle="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05"/>
    <w:rsid w:val="00000790"/>
    <w:rsid w:val="0000110B"/>
    <w:rsid w:val="00002111"/>
    <w:rsid w:val="0000248C"/>
    <w:rsid w:val="00002D5E"/>
    <w:rsid w:val="00003499"/>
    <w:rsid w:val="000039B7"/>
    <w:rsid w:val="000049E2"/>
    <w:rsid w:val="00005200"/>
    <w:rsid w:val="000074C1"/>
    <w:rsid w:val="00007D6B"/>
    <w:rsid w:val="0001054F"/>
    <w:rsid w:val="000105EC"/>
    <w:rsid w:val="00011586"/>
    <w:rsid w:val="00012926"/>
    <w:rsid w:val="00012A87"/>
    <w:rsid w:val="00012ACD"/>
    <w:rsid w:val="00012BF0"/>
    <w:rsid w:val="00013247"/>
    <w:rsid w:val="000139FF"/>
    <w:rsid w:val="00013C59"/>
    <w:rsid w:val="00015886"/>
    <w:rsid w:val="000162EF"/>
    <w:rsid w:val="000174F7"/>
    <w:rsid w:val="000207BA"/>
    <w:rsid w:val="00020EA4"/>
    <w:rsid w:val="0002225F"/>
    <w:rsid w:val="00022932"/>
    <w:rsid w:val="00023763"/>
    <w:rsid w:val="00024679"/>
    <w:rsid w:val="000246F9"/>
    <w:rsid w:val="000272BC"/>
    <w:rsid w:val="000303E6"/>
    <w:rsid w:val="000308FC"/>
    <w:rsid w:val="00031224"/>
    <w:rsid w:val="00031407"/>
    <w:rsid w:val="00033863"/>
    <w:rsid w:val="00035C89"/>
    <w:rsid w:val="00035DC0"/>
    <w:rsid w:val="00036829"/>
    <w:rsid w:val="00037C18"/>
    <w:rsid w:val="00040090"/>
    <w:rsid w:val="00040895"/>
    <w:rsid w:val="00041479"/>
    <w:rsid w:val="0004174D"/>
    <w:rsid w:val="00042753"/>
    <w:rsid w:val="00042A10"/>
    <w:rsid w:val="00042FE1"/>
    <w:rsid w:val="000435A2"/>
    <w:rsid w:val="00043C37"/>
    <w:rsid w:val="00045017"/>
    <w:rsid w:val="0004595D"/>
    <w:rsid w:val="00045A2B"/>
    <w:rsid w:val="0004623E"/>
    <w:rsid w:val="0004698F"/>
    <w:rsid w:val="0004733B"/>
    <w:rsid w:val="00047421"/>
    <w:rsid w:val="0004795D"/>
    <w:rsid w:val="00047B9A"/>
    <w:rsid w:val="000507C1"/>
    <w:rsid w:val="00051628"/>
    <w:rsid w:val="00051904"/>
    <w:rsid w:val="00052EE7"/>
    <w:rsid w:val="00053394"/>
    <w:rsid w:val="00053672"/>
    <w:rsid w:val="000539D0"/>
    <w:rsid w:val="00053E2F"/>
    <w:rsid w:val="00054621"/>
    <w:rsid w:val="000546D7"/>
    <w:rsid w:val="000548F5"/>
    <w:rsid w:val="0005722F"/>
    <w:rsid w:val="00060C2B"/>
    <w:rsid w:val="0006171E"/>
    <w:rsid w:val="00061ACC"/>
    <w:rsid w:val="00064360"/>
    <w:rsid w:val="00064887"/>
    <w:rsid w:val="00065F55"/>
    <w:rsid w:val="00066360"/>
    <w:rsid w:val="00066878"/>
    <w:rsid w:val="00066EEE"/>
    <w:rsid w:val="00070A1C"/>
    <w:rsid w:val="00071248"/>
    <w:rsid w:val="000714EE"/>
    <w:rsid w:val="00071851"/>
    <w:rsid w:val="000720B9"/>
    <w:rsid w:val="000737F7"/>
    <w:rsid w:val="00073A8F"/>
    <w:rsid w:val="0007672F"/>
    <w:rsid w:val="00076E42"/>
    <w:rsid w:val="000774F0"/>
    <w:rsid w:val="00077AC6"/>
    <w:rsid w:val="00080612"/>
    <w:rsid w:val="00080909"/>
    <w:rsid w:val="00081033"/>
    <w:rsid w:val="000812CA"/>
    <w:rsid w:val="00081471"/>
    <w:rsid w:val="00081B5A"/>
    <w:rsid w:val="0008258D"/>
    <w:rsid w:val="000825D1"/>
    <w:rsid w:val="00083E99"/>
    <w:rsid w:val="000845BC"/>
    <w:rsid w:val="00084ECD"/>
    <w:rsid w:val="0008546C"/>
    <w:rsid w:val="000856C5"/>
    <w:rsid w:val="00090C7E"/>
    <w:rsid w:val="00091488"/>
    <w:rsid w:val="00092600"/>
    <w:rsid w:val="0009262B"/>
    <w:rsid w:val="00092C61"/>
    <w:rsid w:val="00093310"/>
    <w:rsid w:val="0009445C"/>
    <w:rsid w:val="000944B5"/>
    <w:rsid w:val="00094EF3"/>
    <w:rsid w:val="00095FE5"/>
    <w:rsid w:val="00096284"/>
    <w:rsid w:val="000A05E8"/>
    <w:rsid w:val="000A202C"/>
    <w:rsid w:val="000A2794"/>
    <w:rsid w:val="000A28CE"/>
    <w:rsid w:val="000A29FE"/>
    <w:rsid w:val="000A3B69"/>
    <w:rsid w:val="000A4BA0"/>
    <w:rsid w:val="000A54A2"/>
    <w:rsid w:val="000A5C93"/>
    <w:rsid w:val="000A7C7F"/>
    <w:rsid w:val="000A7D08"/>
    <w:rsid w:val="000A7EDB"/>
    <w:rsid w:val="000B0670"/>
    <w:rsid w:val="000B0E75"/>
    <w:rsid w:val="000B2FB0"/>
    <w:rsid w:val="000B30B2"/>
    <w:rsid w:val="000B4293"/>
    <w:rsid w:val="000B5DEE"/>
    <w:rsid w:val="000B611A"/>
    <w:rsid w:val="000B6C86"/>
    <w:rsid w:val="000B6CAC"/>
    <w:rsid w:val="000B7612"/>
    <w:rsid w:val="000C09F7"/>
    <w:rsid w:val="000C1553"/>
    <w:rsid w:val="000C3DF9"/>
    <w:rsid w:val="000C46ED"/>
    <w:rsid w:val="000C6713"/>
    <w:rsid w:val="000C6AFE"/>
    <w:rsid w:val="000D001A"/>
    <w:rsid w:val="000D0A9C"/>
    <w:rsid w:val="000D1BFC"/>
    <w:rsid w:val="000D281A"/>
    <w:rsid w:val="000D312F"/>
    <w:rsid w:val="000D31E0"/>
    <w:rsid w:val="000D326A"/>
    <w:rsid w:val="000D492E"/>
    <w:rsid w:val="000D51FB"/>
    <w:rsid w:val="000D5754"/>
    <w:rsid w:val="000E0003"/>
    <w:rsid w:val="000E135D"/>
    <w:rsid w:val="000E25AE"/>
    <w:rsid w:val="000E2853"/>
    <w:rsid w:val="000E310E"/>
    <w:rsid w:val="000E4446"/>
    <w:rsid w:val="000E67F4"/>
    <w:rsid w:val="000E71D6"/>
    <w:rsid w:val="000F00BA"/>
    <w:rsid w:val="000F0976"/>
    <w:rsid w:val="000F2218"/>
    <w:rsid w:val="000F316A"/>
    <w:rsid w:val="000F31A5"/>
    <w:rsid w:val="000F327B"/>
    <w:rsid w:val="000F3C74"/>
    <w:rsid w:val="000F4937"/>
    <w:rsid w:val="000F4BB8"/>
    <w:rsid w:val="000F59D1"/>
    <w:rsid w:val="000F59FD"/>
    <w:rsid w:val="000F613E"/>
    <w:rsid w:val="000F63E7"/>
    <w:rsid w:val="000F7127"/>
    <w:rsid w:val="000F7BF2"/>
    <w:rsid w:val="000F7CC7"/>
    <w:rsid w:val="00100F8A"/>
    <w:rsid w:val="001017F2"/>
    <w:rsid w:val="00101CCA"/>
    <w:rsid w:val="00101ECB"/>
    <w:rsid w:val="00102AF7"/>
    <w:rsid w:val="001035AC"/>
    <w:rsid w:val="00105AE2"/>
    <w:rsid w:val="00105B39"/>
    <w:rsid w:val="001063A8"/>
    <w:rsid w:val="00106B80"/>
    <w:rsid w:val="0010737B"/>
    <w:rsid w:val="0011032E"/>
    <w:rsid w:val="00110A9A"/>
    <w:rsid w:val="0011126C"/>
    <w:rsid w:val="00111A98"/>
    <w:rsid w:val="00112ECC"/>
    <w:rsid w:val="0011348B"/>
    <w:rsid w:val="001134A0"/>
    <w:rsid w:val="0011385C"/>
    <w:rsid w:val="00114952"/>
    <w:rsid w:val="00115011"/>
    <w:rsid w:val="00115630"/>
    <w:rsid w:val="00115982"/>
    <w:rsid w:val="0011605E"/>
    <w:rsid w:val="00116C53"/>
    <w:rsid w:val="00120F3E"/>
    <w:rsid w:val="00121799"/>
    <w:rsid w:val="00121A62"/>
    <w:rsid w:val="001222FC"/>
    <w:rsid w:val="001223D3"/>
    <w:rsid w:val="00124A51"/>
    <w:rsid w:val="00124F0F"/>
    <w:rsid w:val="00125A58"/>
    <w:rsid w:val="00126621"/>
    <w:rsid w:val="00126856"/>
    <w:rsid w:val="00126BE7"/>
    <w:rsid w:val="00127A51"/>
    <w:rsid w:val="001301E9"/>
    <w:rsid w:val="00131D82"/>
    <w:rsid w:val="001335C9"/>
    <w:rsid w:val="00133D36"/>
    <w:rsid w:val="001346FF"/>
    <w:rsid w:val="0013664F"/>
    <w:rsid w:val="00137645"/>
    <w:rsid w:val="001376F6"/>
    <w:rsid w:val="0014015A"/>
    <w:rsid w:val="00140E99"/>
    <w:rsid w:val="001416C7"/>
    <w:rsid w:val="0014390D"/>
    <w:rsid w:val="00145540"/>
    <w:rsid w:val="001456B0"/>
    <w:rsid w:val="00145D97"/>
    <w:rsid w:val="00146134"/>
    <w:rsid w:val="00147DDF"/>
    <w:rsid w:val="00147E90"/>
    <w:rsid w:val="001506D2"/>
    <w:rsid w:val="001509B4"/>
    <w:rsid w:val="00152531"/>
    <w:rsid w:val="00153012"/>
    <w:rsid w:val="001532A4"/>
    <w:rsid w:val="0015344E"/>
    <w:rsid w:val="0015358B"/>
    <w:rsid w:val="001550F6"/>
    <w:rsid w:val="00156855"/>
    <w:rsid w:val="00157130"/>
    <w:rsid w:val="001576B1"/>
    <w:rsid w:val="00157A02"/>
    <w:rsid w:val="00157A84"/>
    <w:rsid w:val="00160A4C"/>
    <w:rsid w:val="00162913"/>
    <w:rsid w:val="00163586"/>
    <w:rsid w:val="00163EFF"/>
    <w:rsid w:val="001657DE"/>
    <w:rsid w:val="00165BA4"/>
    <w:rsid w:val="001661FB"/>
    <w:rsid w:val="00166ED9"/>
    <w:rsid w:val="00173565"/>
    <w:rsid w:val="00173B07"/>
    <w:rsid w:val="001743A5"/>
    <w:rsid w:val="00174EC9"/>
    <w:rsid w:val="00176392"/>
    <w:rsid w:val="0018078F"/>
    <w:rsid w:val="00180847"/>
    <w:rsid w:val="00181D03"/>
    <w:rsid w:val="00181D9C"/>
    <w:rsid w:val="001844FC"/>
    <w:rsid w:val="00185E37"/>
    <w:rsid w:val="00186872"/>
    <w:rsid w:val="00187115"/>
    <w:rsid w:val="0018752F"/>
    <w:rsid w:val="00187A5A"/>
    <w:rsid w:val="00190B66"/>
    <w:rsid w:val="0019373F"/>
    <w:rsid w:val="001949DD"/>
    <w:rsid w:val="00195222"/>
    <w:rsid w:val="001963B8"/>
    <w:rsid w:val="00196875"/>
    <w:rsid w:val="00197219"/>
    <w:rsid w:val="001975D8"/>
    <w:rsid w:val="001A124C"/>
    <w:rsid w:val="001A1E3A"/>
    <w:rsid w:val="001A2E2A"/>
    <w:rsid w:val="001A3DFF"/>
    <w:rsid w:val="001A43FA"/>
    <w:rsid w:val="001A59FB"/>
    <w:rsid w:val="001A6354"/>
    <w:rsid w:val="001A7525"/>
    <w:rsid w:val="001A7AE8"/>
    <w:rsid w:val="001B17A4"/>
    <w:rsid w:val="001B204E"/>
    <w:rsid w:val="001B3009"/>
    <w:rsid w:val="001B3443"/>
    <w:rsid w:val="001B38C6"/>
    <w:rsid w:val="001B3AB1"/>
    <w:rsid w:val="001B44AA"/>
    <w:rsid w:val="001B4A68"/>
    <w:rsid w:val="001B4D20"/>
    <w:rsid w:val="001B767A"/>
    <w:rsid w:val="001C0998"/>
    <w:rsid w:val="001C1AD2"/>
    <w:rsid w:val="001C2A9B"/>
    <w:rsid w:val="001C3A33"/>
    <w:rsid w:val="001C3B74"/>
    <w:rsid w:val="001C4299"/>
    <w:rsid w:val="001C546E"/>
    <w:rsid w:val="001C5F94"/>
    <w:rsid w:val="001C6E66"/>
    <w:rsid w:val="001D06E6"/>
    <w:rsid w:val="001D18FA"/>
    <w:rsid w:val="001D217E"/>
    <w:rsid w:val="001D2E76"/>
    <w:rsid w:val="001D35E5"/>
    <w:rsid w:val="001D44C6"/>
    <w:rsid w:val="001D7BC8"/>
    <w:rsid w:val="001E238E"/>
    <w:rsid w:val="001E2483"/>
    <w:rsid w:val="001E2B1E"/>
    <w:rsid w:val="001E30D4"/>
    <w:rsid w:val="001E39F4"/>
    <w:rsid w:val="001E47BC"/>
    <w:rsid w:val="001E52EB"/>
    <w:rsid w:val="001E5575"/>
    <w:rsid w:val="001E61D2"/>
    <w:rsid w:val="001E6D94"/>
    <w:rsid w:val="001E6F44"/>
    <w:rsid w:val="001E740C"/>
    <w:rsid w:val="001E7BDB"/>
    <w:rsid w:val="001F0E94"/>
    <w:rsid w:val="001F0EF3"/>
    <w:rsid w:val="001F1235"/>
    <w:rsid w:val="001F1CB3"/>
    <w:rsid w:val="001F2BDD"/>
    <w:rsid w:val="001F2BF3"/>
    <w:rsid w:val="001F38B5"/>
    <w:rsid w:val="001F4A60"/>
    <w:rsid w:val="001F696C"/>
    <w:rsid w:val="001F6B72"/>
    <w:rsid w:val="001F7361"/>
    <w:rsid w:val="00200398"/>
    <w:rsid w:val="00200C9A"/>
    <w:rsid w:val="00200F91"/>
    <w:rsid w:val="002011B0"/>
    <w:rsid w:val="002011DE"/>
    <w:rsid w:val="00203181"/>
    <w:rsid w:val="0020325F"/>
    <w:rsid w:val="00203783"/>
    <w:rsid w:val="0020385F"/>
    <w:rsid w:val="002047B4"/>
    <w:rsid w:val="0020483D"/>
    <w:rsid w:val="002069D5"/>
    <w:rsid w:val="00206F8B"/>
    <w:rsid w:val="00207021"/>
    <w:rsid w:val="0020732F"/>
    <w:rsid w:val="00207871"/>
    <w:rsid w:val="00207D00"/>
    <w:rsid w:val="002104D7"/>
    <w:rsid w:val="002105C1"/>
    <w:rsid w:val="00210687"/>
    <w:rsid w:val="00210F1B"/>
    <w:rsid w:val="00215860"/>
    <w:rsid w:val="002172F8"/>
    <w:rsid w:val="00217446"/>
    <w:rsid w:val="00217982"/>
    <w:rsid w:val="00217C3E"/>
    <w:rsid w:val="00217FA8"/>
    <w:rsid w:val="00220C6B"/>
    <w:rsid w:val="002210D7"/>
    <w:rsid w:val="002231AC"/>
    <w:rsid w:val="00223B49"/>
    <w:rsid w:val="00223CBB"/>
    <w:rsid w:val="00223ED8"/>
    <w:rsid w:val="00224DD4"/>
    <w:rsid w:val="00226462"/>
    <w:rsid w:val="002301B8"/>
    <w:rsid w:val="002309CC"/>
    <w:rsid w:val="00231138"/>
    <w:rsid w:val="0023209F"/>
    <w:rsid w:val="00233D03"/>
    <w:rsid w:val="00234EDE"/>
    <w:rsid w:val="002355ED"/>
    <w:rsid w:val="00235D56"/>
    <w:rsid w:val="0023629D"/>
    <w:rsid w:val="00236E30"/>
    <w:rsid w:val="00237255"/>
    <w:rsid w:val="002377D0"/>
    <w:rsid w:val="00237C49"/>
    <w:rsid w:val="00240BAD"/>
    <w:rsid w:val="00240D99"/>
    <w:rsid w:val="002410CF"/>
    <w:rsid w:val="002424AF"/>
    <w:rsid w:val="00242EB9"/>
    <w:rsid w:val="002439DC"/>
    <w:rsid w:val="00243D31"/>
    <w:rsid w:val="00243E12"/>
    <w:rsid w:val="00244DC8"/>
    <w:rsid w:val="002458BA"/>
    <w:rsid w:val="0024636C"/>
    <w:rsid w:val="002474B5"/>
    <w:rsid w:val="00247925"/>
    <w:rsid w:val="002520EF"/>
    <w:rsid w:val="002537EA"/>
    <w:rsid w:val="002547D2"/>
    <w:rsid w:val="00254DCF"/>
    <w:rsid w:val="0025534B"/>
    <w:rsid w:val="00255BB7"/>
    <w:rsid w:val="00255F44"/>
    <w:rsid w:val="00257149"/>
    <w:rsid w:val="00257541"/>
    <w:rsid w:val="0026061E"/>
    <w:rsid w:val="00261020"/>
    <w:rsid w:val="00262679"/>
    <w:rsid w:val="00262A1A"/>
    <w:rsid w:val="00262A87"/>
    <w:rsid w:val="002638DD"/>
    <w:rsid w:val="00264D26"/>
    <w:rsid w:val="00267208"/>
    <w:rsid w:val="00267361"/>
    <w:rsid w:val="002673EB"/>
    <w:rsid w:val="00267642"/>
    <w:rsid w:val="00267AEA"/>
    <w:rsid w:val="00267C4D"/>
    <w:rsid w:val="002700E6"/>
    <w:rsid w:val="00271D2E"/>
    <w:rsid w:val="00272317"/>
    <w:rsid w:val="0027294B"/>
    <w:rsid w:val="00273926"/>
    <w:rsid w:val="00273D45"/>
    <w:rsid w:val="00275C5A"/>
    <w:rsid w:val="00276F77"/>
    <w:rsid w:val="00277B40"/>
    <w:rsid w:val="00280D91"/>
    <w:rsid w:val="00281014"/>
    <w:rsid w:val="00282CFE"/>
    <w:rsid w:val="00282E2C"/>
    <w:rsid w:val="00283B8A"/>
    <w:rsid w:val="00283EF9"/>
    <w:rsid w:val="00284E04"/>
    <w:rsid w:val="00285392"/>
    <w:rsid w:val="00285619"/>
    <w:rsid w:val="00286C9C"/>
    <w:rsid w:val="00287A64"/>
    <w:rsid w:val="00291EB1"/>
    <w:rsid w:val="00292E87"/>
    <w:rsid w:val="00295B17"/>
    <w:rsid w:val="00296DC2"/>
    <w:rsid w:val="002A14AB"/>
    <w:rsid w:val="002A1904"/>
    <w:rsid w:val="002A2F50"/>
    <w:rsid w:val="002A5331"/>
    <w:rsid w:val="002A6217"/>
    <w:rsid w:val="002A65BD"/>
    <w:rsid w:val="002A672A"/>
    <w:rsid w:val="002A7376"/>
    <w:rsid w:val="002B09A4"/>
    <w:rsid w:val="002B1894"/>
    <w:rsid w:val="002B1C1F"/>
    <w:rsid w:val="002B25FF"/>
    <w:rsid w:val="002B2C4E"/>
    <w:rsid w:val="002B2DBE"/>
    <w:rsid w:val="002B2F4F"/>
    <w:rsid w:val="002B432F"/>
    <w:rsid w:val="002B4DAC"/>
    <w:rsid w:val="002B62B3"/>
    <w:rsid w:val="002B6754"/>
    <w:rsid w:val="002B6CCE"/>
    <w:rsid w:val="002B74A0"/>
    <w:rsid w:val="002B7522"/>
    <w:rsid w:val="002B76FE"/>
    <w:rsid w:val="002C1888"/>
    <w:rsid w:val="002C1D8D"/>
    <w:rsid w:val="002C2510"/>
    <w:rsid w:val="002C2775"/>
    <w:rsid w:val="002C27C1"/>
    <w:rsid w:val="002C5099"/>
    <w:rsid w:val="002C511E"/>
    <w:rsid w:val="002C5889"/>
    <w:rsid w:val="002C71CE"/>
    <w:rsid w:val="002D1B98"/>
    <w:rsid w:val="002D2515"/>
    <w:rsid w:val="002D3366"/>
    <w:rsid w:val="002D455C"/>
    <w:rsid w:val="002D4ED6"/>
    <w:rsid w:val="002D577C"/>
    <w:rsid w:val="002D6BA6"/>
    <w:rsid w:val="002D7381"/>
    <w:rsid w:val="002D7677"/>
    <w:rsid w:val="002D7709"/>
    <w:rsid w:val="002D7A5A"/>
    <w:rsid w:val="002E0EB5"/>
    <w:rsid w:val="002E15B9"/>
    <w:rsid w:val="002E2158"/>
    <w:rsid w:val="002E27DC"/>
    <w:rsid w:val="002E2B57"/>
    <w:rsid w:val="002E33CB"/>
    <w:rsid w:val="002E3AB2"/>
    <w:rsid w:val="002E40ED"/>
    <w:rsid w:val="002E41F1"/>
    <w:rsid w:val="002E53A4"/>
    <w:rsid w:val="002E596B"/>
    <w:rsid w:val="002E7722"/>
    <w:rsid w:val="002E7FF3"/>
    <w:rsid w:val="002F07BA"/>
    <w:rsid w:val="002F0C24"/>
    <w:rsid w:val="002F0DA9"/>
    <w:rsid w:val="002F11AB"/>
    <w:rsid w:val="002F5152"/>
    <w:rsid w:val="002F643C"/>
    <w:rsid w:val="002F64BE"/>
    <w:rsid w:val="002F71C0"/>
    <w:rsid w:val="002F7D3D"/>
    <w:rsid w:val="00300E63"/>
    <w:rsid w:val="00301017"/>
    <w:rsid w:val="003012EC"/>
    <w:rsid w:val="0030155F"/>
    <w:rsid w:val="003036FF"/>
    <w:rsid w:val="00303A76"/>
    <w:rsid w:val="00304666"/>
    <w:rsid w:val="0030587B"/>
    <w:rsid w:val="00305F8C"/>
    <w:rsid w:val="003068EC"/>
    <w:rsid w:val="00306AB8"/>
    <w:rsid w:val="00306D98"/>
    <w:rsid w:val="0030786C"/>
    <w:rsid w:val="0031031A"/>
    <w:rsid w:val="00310981"/>
    <w:rsid w:val="00310C20"/>
    <w:rsid w:val="00310D0F"/>
    <w:rsid w:val="00310D64"/>
    <w:rsid w:val="003120E6"/>
    <w:rsid w:val="003124F8"/>
    <w:rsid w:val="00313479"/>
    <w:rsid w:val="003141D1"/>
    <w:rsid w:val="00315498"/>
    <w:rsid w:val="00315E87"/>
    <w:rsid w:val="0031618B"/>
    <w:rsid w:val="00317BCA"/>
    <w:rsid w:val="00322107"/>
    <w:rsid w:val="00322846"/>
    <w:rsid w:val="0032467D"/>
    <w:rsid w:val="00324A0E"/>
    <w:rsid w:val="00325DB9"/>
    <w:rsid w:val="00326DA7"/>
    <w:rsid w:val="00326E90"/>
    <w:rsid w:val="003270E4"/>
    <w:rsid w:val="0032712F"/>
    <w:rsid w:val="00327817"/>
    <w:rsid w:val="00327904"/>
    <w:rsid w:val="00327A27"/>
    <w:rsid w:val="00330626"/>
    <w:rsid w:val="00330F5C"/>
    <w:rsid w:val="003314C8"/>
    <w:rsid w:val="00331D12"/>
    <w:rsid w:val="00332D04"/>
    <w:rsid w:val="003340CF"/>
    <w:rsid w:val="003348FD"/>
    <w:rsid w:val="00335CF5"/>
    <w:rsid w:val="0033618E"/>
    <w:rsid w:val="003366C9"/>
    <w:rsid w:val="003371B0"/>
    <w:rsid w:val="00337C06"/>
    <w:rsid w:val="00337D01"/>
    <w:rsid w:val="00340DF1"/>
    <w:rsid w:val="00341DE9"/>
    <w:rsid w:val="00342176"/>
    <w:rsid w:val="003431EB"/>
    <w:rsid w:val="00343A61"/>
    <w:rsid w:val="0034446B"/>
    <w:rsid w:val="00344AC2"/>
    <w:rsid w:val="00345126"/>
    <w:rsid w:val="00345E28"/>
    <w:rsid w:val="003517F9"/>
    <w:rsid w:val="00351EA2"/>
    <w:rsid w:val="0035287A"/>
    <w:rsid w:val="00352D53"/>
    <w:rsid w:val="00353582"/>
    <w:rsid w:val="00353738"/>
    <w:rsid w:val="0035620E"/>
    <w:rsid w:val="003624C4"/>
    <w:rsid w:val="00364C41"/>
    <w:rsid w:val="003654AC"/>
    <w:rsid w:val="0036690B"/>
    <w:rsid w:val="003710CF"/>
    <w:rsid w:val="003725E0"/>
    <w:rsid w:val="0037358A"/>
    <w:rsid w:val="003750F6"/>
    <w:rsid w:val="003760FC"/>
    <w:rsid w:val="003764C9"/>
    <w:rsid w:val="00376B94"/>
    <w:rsid w:val="003808BE"/>
    <w:rsid w:val="00380F08"/>
    <w:rsid w:val="003821DA"/>
    <w:rsid w:val="00383267"/>
    <w:rsid w:val="0038365C"/>
    <w:rsid w:val="0038369B"/>
    <w:rsid w:val="0038370C"/>
    <w:rsid w:val="00383B78"/>
    <w:rsid w:val="003852B9"/>
    <w:rsid w:val="00385A9D"/>
    <w:rsid w:val="00385AAD"/>
    <w:rsid w:val="003902B1"/>
    <w:rsid w:val="003906DE"/>
    <w:rsid w:val="00390A73"/>
    <w:rsid w:val="00391AFD"/>
    <w:rsid w:val="00393608"/>
    <w:rsid w:val="00394B53"/>
    <w:rsid w:val="00395EC0"/>
    <w:rsid w:val="00396896"/>
    <w:rsid w:val="00396FD0"/>
    <w:rsid w:val="00397E48"/>
    <w:rsid w:val="003A0334"/>
    <w:rsid w:val="003A0418"/>
    <w:rsid w:val="003A1A7A"/>
    <w:rsid w:val="003A2392"/>
    <w:rsid w:val="003A24B2"/>
    <w:rsid w:val="003A2734"/>
    <w:rsid w:val="003A2831"/>
    <w:rsid w:val="003A3ED1"/>
    <w:rsid w:val="003A3FEC"/>
    <w:rsid w:val="003A4728"/>
    <w:rsid w:val="003A4823"/>
    <w:rsid w:val="003A6760"/>
    <w:rsid w:val="003A6C22"/>
    <w:rsid w:val="003B0EF2"/>
    <w:rsid w:val="003B1E1B"/>
    <w:rsid w:val="003B1F2B"/>
    <w:rsid w:val="003B5B61"/>
    <w:rsid w:val="003C00B6"/>
    <w:rsid w:val="003C0D7E"/>
    <w:rsid w:val="003C104E"/>
    <w:rsid w:val="003C1654"/>
    <w:rsid w:val="003C2CFA"/>
    <w:rsid w:val="003C376D"/>
    <w:rsid w:val="003C4237"/>
    <w:rsid w:val="003C5D95"/>
    <w:rsid w:val="003C634A"/>
    <w:rsid w:val="003C7D19"/>
    <w:rsid w:val="003D1828"/>
    <w:rsid w:val="003D1DE4"/>
    <w:rsid w:val="003D1DF8"/>
    <w:rsid w:val="003D2422"/>
    <w:rsid w:val="003D269E"/>
    <w:rsid w:val="003D3281"/>
    <w:rsid w:val="003D39A1"/>
    <w:rsid w:val="003D3FBF"/>
    <w:rsid w:val="003D4A30"/>
    <w:rsid w:val="003D503D"/>
    <w:rsid w:val="003D6BA5"/>
    <w:rsid w:val="003D736B"/>
    <w:rsid w:val="003D79BB"/>
    <w:rsid w:val="003D7C98"/>
    <w:rsid w:val="003D7CA1"/>
    <w:rsid w:val="003E0543"/>
    <w:rsid w:val="003E0802"/>
    <w:rsid w:val="003E1869"/>
    <w:rsid w:val="003E2CA8"/>
    <w:rsid w:val="003E6E72"/>
    <w:rsid w:val="003E7895"/>
    <w:rsid w:val="003E7B0C"/>
    <w:rsid w:val="003F0121"/>
    <w:rsid w:val="003F04E6"/>
    <w:rsid w:val="003F0A17"/>
    <w:rsid w:val="003F2576"/>
    <w:rsid w:val="003F2FFD"/>
    <w:rsid w:val="003F4156"/>
    <w:rsid w:val="003F5A2A"/>
    <w:rsid w:val="003F62EC"/>
    <w:rsid w:val="003F6652"/>
    <w:rsid w:val="00400250"/>
    <w:rsid w:val="00400747"/>
    <w:rsid w:val="00400B29"/>
    <w:rsid w:val="00401EB7"/>
    <w:rsid w:val="00402140"/>
    <w:rsid w:val="0040275F"/>
    <w:rsid w:val="004027D7"/>
    <w:rsid w:val="00403462"/>
    <w:rsid w:val="00403E64"/>
    <w:rsid w:val="0040504B"/>
    <w:rsid w:val="00405CE8"/>
    <w:rsid w:val="00406483"/>
    <w:rsid w:val="00407226"/>
    <w:rsid w:val="00410708"/>
    <w:rsid w:val="00410EC7"/>
    <w:rsid w:val="00411566"/>
    <w:rsid w:val="00411B39"/>
    <w:rsid w:val="00411DDA"/>
    <w:rsid w:val="004126AC"/>
    <w:rsid w:val="00413A1E"/>
    <w:rsid w:val="00414476"/>
    <w:rsid w:val="00414B13"/>
    <w:rsid w:val="00414C2E"/>
    <w:rsid w:val="004151CF"/>
    <w:rsid w:val="00416364"/>
    <w:rsid w:val="0042010D"/>
    <w:rsid w:val="00420465"/>
    <w:rsid w:val="00420AA6"/>
    <w:rsid w:val="00420B9F"/>
    <w:rsid w:val="00421064"/>
    <w:rsid w:val="00422260"/>
    <w:rsid w:val="00423C97"/>
    <w:rsid w:val="0042413F"/>
    <w:rsid w:val="00425377"/>
    <w:rsid w:val="004306C3"/>
    <w:rsid w:val="004319F8"/>
    <w:rsid w:val="00431E55"/>
    <w:rsid w:val="004321F6"/>
    <w:rsid w:val="00432D0C"/>
    <w:rsid w:val="00432D4B"/>
    <w:rsid w:val="00433044"/>
    <w:rsid w:val="004375B9"/>
    <w:rsid w:val="00440567"/>
    <w:rsid w:val="004428D0"/>
    <w:rsid w:val="0044369C"/>
    <w:rsid w:val="004443A7"/>
    <w:rsid w:val="0044442C"/>
    <w:rsid w:val="004454FE"/>
    <w:rsid w:val="00445941"/>
    <w:rsid w:val="00445E27"/>
    <w:rsid w:val="0044634C"/>
    <w:rsid w:val="00446475"/>
    <w:rsid w:val="004464EB"/>
    <w:rsid w:val="00446EFA"/>
    <w:rsid w:val="00447101"/>
    <w:rsid w:val="00447C8E"/>
    <w:rsid w:val="00447D1F"/>
    <w:rsid w:val="00447D26"/>
    <w:rsid w:val="00450DCE"/>
    <w:rsid w:val="00452D62"/>
    <w:rsid w:val="004537E1"/>
    <w:rsid w:val="00453A14"/>
    <w:rsid w:val="00453A29"/>
    <w:rsid w:val="00454893"/>
    <w:rsid w:val="004556EE"/>
    <w:rsid w:val="00455D45"/>
    <w:rsid w:val="00460966"/>
    <w:rsid w:val="00461107"/>
    <w:rsid w:val="004612FE"/>
    <w:rsid w:val="00461E25"/>
    <w:rsid w:val="004623B3"/>
    <w:rsid w:val="00463A6C"/>
    <w:rsid w:val="00464595"/>
    <w:rsid w:val="0046534A"/>
    <w:rsid w:val="0047035E"/>
    <w:rsid w:val="004708A1"/>
    <w:rsid w:val="00472A79"/>
    <w:rsid w:val="00472BAF"/>
    <w:rsid w:val="004731F0"/>
    <w:rsid w:val="00473F19"/>
    <w:rsid w:val="00474B06"/>
    <w:rsid w:val="00475E22"/>
    <w:rsid w:val="0047772C"/>
    <w:rsid w:val="00477F70"/>
    <w:rsid w:val="004800C5"/>
    <w:rsid w:val="0048088E"/>
    <w:rsid w:val="00480F02"/>
    <w:rsid w:val="00481096"/>
    <w:rsid w:val="0048168C"/>
    <w:rsid w:val="00482720"/>
    <w:rsid w:val="004835E7"/>
    <w:rsid w:val="00484B7C"/>
    <w:rsid w:val="004867E2"/>
    <w:rsid w:val="004874E6"/>
    <w:rsid w:val="00491B3A"/>
    <w:rsid w:val="004922FB"/>
    <w:rsid w:val="00492CFD"/>
    <w:rsid w:val="004930CF"/>
    <w:rsid w:val="0049338D"/>
    <w:rsid w:val="0049385C"/>
    <w:rsid w:val="00493AD0"/>
    <w:rsid w:val="0049498F"/>
    <w:rsid w:val="00494DD5"/>
    <w:rsid w:val="00495747"/>
    <w:rsid w:val="004962D2"/>
    <w:rsid w:val="00496C73"/>
    <w:rsid w:val="00497CA3"/>
    <w:rsid w:val="004A0DA1"/>
    <w:rsid w:val="004A27B2"/>
    <w:rsid w:val="004A52E9"/>
    <w:rsid w:val="004A5BB8"/>
    <w:rsid w:val="004A6095"/>
    <w:rsid w:val="004A6597"/>
    <w:rsid w:val="004A7848"/>
    <w:rsid w:val="004B1CB4"/>
    <w:rsid w:val="004B23EF"/>
    <w:rsid w:val="004B2C1C"/>
    <w:rsid w:val="004B2F18"/>
    <w:rsid w:val="004B38C2"/>
    <w:rsid w:val="004B3DDB"/>
    <w:rsid w:val="004B44FD"/>
    <w:rsid w:val="004B537C"/>
    <w:rsid w:val="004B5CFC"/>
    <w:rsid w:val="004B6550"/>
    <w:rsid w:val="004B6680"/>
    <w:rsid w:val="004B76AB"/>
    <w:rsid w:val="004B774D"/>
    <w:rsid w:val="004C0A74"/>
    <w:rsid w:val="004C1562"/>
    <w:rsid w:val="004C22EF"/>
    <w:rsid w:val="004C362C"/>
    <w:rsid w:val="004C394A"/>
    <w:rsid w:val="004C4AED"/>
    <w:rsid w:val="004C5B1F"/>
    <w:rsid w:val="004D1842"/>
    <w:rsid w:val="004D1D90"/>
    <w:rsid w:val="004D23DD"/>
    <w:rsid w:val="004D2C2D"/>
    <w:rsid w:val="004D37E5"/>
    <w:rsid w:val="004D4AA1"/>
    <w:rsid w:val="004D5783"/>
    <w:rsid w:val="004D6789"/>
    <w:rsid w:val="004D6F56"/>
    <w:rsid w:val="004D7166"/>
    <w:rsid w:val="004D7227"/>
    <w:rsid w:val="004E0E7F"/>
    <w:rsid w:val="004E0EB8"/>
    <w:rsid w:val="004E2ADC"/>
    <w:rsid w:val="004E43B2"/>
    <w:rsid w:val="004E443C"/>
    <w:rsid w:val="004E5C30"/>
    <w:rsid w:val="004F1D02"/>
    <w:rsid w:val="004F2679"/>
    <w:rsid w:val="004F2F21"/>
    <w:rsid w:val="004F3ED0"/>
    <w:rsid w:val="004F46F8"/>
    <w:rsid w:val="004F4C9D"/>
    <w:rsid w:val="004F5727"/>
    <w:rsid w:val="004F5DA5"/>
    <w:rsid w:val="004F6913"/>
    <w:rsid w:val="004F76B3"/>
    <w:rsid w:val="004F7865"/>
    <w:rsid w:val="004F7BBB"/>
    <w:rsid w:val="005004FD"/>
    <w:rsid w:val="0050219B"/>
    <w:rsid w:val="00502FD7"/>
    <w:rsid w:val="005039EE"/>
    <w:rsid w:val="00503F17"/>
    <w:rsid w:val="00505C60"/>
    <w:rsid w:val="00505FB1"/>
    <w:rsid w:val="00506928"/>
    <w:rsid w:val="005119C2"/>
    <w:rsid w:val="00514193"/>
    <w:rsid w:val="005142C8"/>
    <w:rsid w:val="00515114"/>
    <w:rsid w:val="005152B5"/>
    <w:rsid w:val="005155B5"/>
    <w:rsid w:val="005178A4"/>
    <w:rsid w:val="00520337"/>
    <w:rsid w:val="00521319"/>
    <w:rsid w:val="00522BC8"/>
    <w:rsid w:val="00523C28"/>
    <w:rsid w:val="0052452E"/>
    <w:rsid w:val="00525E6F"/>
    <w:rsid w:val="005270FF"/>
    <w:rsid w:val="005309BE"/>
    <w:rsid w:val="005314C3"/>
    <w:rsid w:val="00531D59"/>
    <w:rsid w:val="00531E07"/>
    <w:rsid w:val="0053342D"/>
    <w:rsid w:val="00533619"/>
    <w:rsid w:val="0053390C"/>
    <w:rsid w:val="005339A0"/>
    <w:rsid w:val="00534016"/>
    <w:rsid w:val="0053436E"/>
    <w:rsid w:val="0053486C"/>
    <w:rsid w:val="00536AEE"/>
    <w:rsid w:val="00536F42"/>
    <w:rsid w:val="00537182"/>
    <w:rsid w:val="00540794"/>
    <w:rsid w:val="00541F93"/>
    <w:rsid w:val="00542356"/>
    <w:rsid w:val="00542743"/>
    <w:rsid w:val="00542C2D"/>
    <w:rsid w:val="005464DA"/>
    <w:rsid w:val="00547944"/>
    <w:rsid w:val="00551985"/>
    <w:rsid w:val="00551998"/>
    <w:rsid w:val="0055223F"/>
    <w:rsid w:val="005523A0"/>
    <w:rsid w:val="00552557"/>
    <w:rsid w:val="00552701"/>
    <w:rsid w:val="00552BD3"/>
    <w:rsid w:val="00554B4B"/>
    <w:rsid w:val="00555109"/>
    <w:rsid w:val="005561E4"/>
    <w:rsid w:val="00556B75"/>
    <w:rsid w:val="00557263"/>
    <w:rsid w:val="00557694"/>
    <w:rsid w:val="005610DC"/>
    <w:rsid w:val="00561579"/>
    <w:rsid w:val="0056229C"/>
    <w:rsid w:val="00562EAD"/>
    <w:rsid w:val="00564809"/>
    <w:rsid w:val="00564ED2"/>
    <w:rsid w:val="005658CD"/>
    <w:rsid w:val="0056616A"/>
    <w:rsid w:val="0056696F"/>
    <w:rsid w:val="005721F3"/>
    <w:rsid w:val="00572269"/>
    <w:rsid w:val="0057244A"/>
    <w:rsid w:val="00573DD9"/>
    <w:rsid w:val="0057449E"/>
    <w:rsid w:val="00574DCD"/>
    <w:rsid w:val="00575D8D"/>
    <w:rsid w:val="00576972"/>
    <w:rsid w:val="00583699"/>
    <w:rsid w:val="0058487E"/>
    <w:rsid w:val="00584EE0"/>
    <w:rsid w:val="0058581F"/>
    <w:rsid w:val="00585987"/>
    <w:rsid w:val="00585CDD"/>
    <w:rsid w:val="00587058"/>
    <w:rsid w:val="0059127A"/>
    <w:rsid w:val="0059179B"/>
    <w:rsid w:val="00591957"/>
    <w:rsid w:val="00593706"/>
    <w:rsid w:val="00594B77"/>
    <w:rsid w:val="00597B34"/>
    <w:rsid w:val="00597BF9"/>
    <w:rsid w:val="005A024C"/>
    <w:rsid w:val="005A1AAB"/>
    <w:rsid w:val="005A1CBA"/>
    <w:rsid w:val="005A3655"/>
    <w:rsid w:val="005A372A"/>
    <w:rsid w:val="005A373D"/>
    <w:rsid w:val="005A3CF0"/>
    <w:rsid w:val="005A4118"/>
    <w:rsid w:val="005A50DC"/>
    <w:rsid w:val="005A5D98"/>
    <w:rsid w:val="005B495C"/>
    <w:rsid w:val="005B5857"/>
    <w:rsid w:val="005B65C5"/>
    <w:rsid w:val="005C043B"/>
    <w:rsid w:val="005C1257"/>
    <w:rsid w:val="005C1B83"/>
    <w:rsid w:val="005C1BD3"/>
    <w:rsid w:val="005C1F5F"/>
    <w:rsid w:val="005C2D55"/>
    <w:rsid w:val="005C346B"/>
    <w:rsid w:val="005C3D1D"/>
    <w:rsid w:val="005C3FE1"/>
    <w:rsid w:val="005C467D"/>
    <w:rsid w:val="005C5D96"/>
    <w:rsid w:val="005C6F33"/>
    <w:rsid w:val="005C7914"/>
    <w:rsid w:val="005C7DCF"/>
    <w:rsid w:val="005D044D"/>
    <w:rsid w:val="005D0ABD"/>
    <w:rsid w:val="005D18AD"/>
    <w:rsid w:val="005D2215"/>
    <w:rsid w:val="005D26B4"/>
    <w:rsid w:val="005D3432"/>
    <w:rsid w:val="005D39F1"/>
    <w:rsid w:val="005D463E"/>
    <w:rsid w:val="005D64EF"/>
    <w:rsid w:val="005D6DB0"/>
    <w:rsid w:val="005D7E57"/>
    <w:rsid w:val="005E14A4"/>
    <w:rsid w:val="005E28E7"/>
    <w:rsid w:val="005E5565"/>
    <w:rsid w:val="005E5E4F"/>
    <w:rsid w:val="005E6CBC"/>
    <w:rsid w:val="005E6FCE"/>
    <w:rsid w:val="005E73C0"/>
    <w:rsid w:val="005F05E3"/>
    <w:rsid w:val="005F0E40"/>
    <w:rsid w:val="005F1554"/>
    <w:rsid w:val="005F2128"/>
    <w:rsid w:val="005F2706"/>
    <w:rsid w:val="005F37FC"/>
    <w:rsid w:val="005F50C0"/>
    <w:rsid w:val="005F62A2"/>
    <w:rsid w:val="005F6A8F"/>
    <w:rsid w:val="005F7A6A"/>
    <w:rsid w:val="005F7D8B"/>
    <w:rsid w:val="00600FD1"/>
    <w:rsid w:val="006033F3"/>
    <w:rsid w:val="00603C94"/>
    <w:rsid w:val="00603DB9"/>
    <w:rsid w:val="006040C0"/>
    <w:rsid w:val="00604242"/>
    <w:rsid w:val="006044EA"/>
    <w:rsid w:val="006045CA"/>
    <w:rsid w:val="006049AF"/>
    <w:rsid w:val="0060617C"/>
    <w:rsid w:val="00607669"/>
    <w:rsid w:val="00607AFD"/>
    <w:rsid w:val="006101AC"/>
    <w:rsid w:val="0061113B"/>
    <w:rsid w:val="00612F97"/>
    <w:rsid w:val="0061345D"/>
    <w:rsid w:val="00614376"/>
    <w:rsid w:val="00614EDE"/>
    <w:rsid w:val="00616802"/>
    <w:rsid w:val="00617E12"/>
    <w:rsid w:val="00617FC6"/>
    <w:rsid w:val="0062098A"/>
    <w:rsid w:val="00620E15"/>
    <w:rsid w:val="0062135E"/>
    <w:rsid w:val="00621466"/>
    <w:rsid w:val="00621477"/>
    <w:rsid w:val="006225D4"/>
    <w:rsid w:val="00622FF5"/>
    <w:rsid w:val="0062459A"/>
    <w:rsid w:val="0062487C"/>
    <w:rsid w:val="00627DF0"/>
    <w:rsid w:val="00630188"/>
    <w:rsid w:val="006312D8"/>
    <w:rsid w:val="0063137F"/>
    <w:rsid w:val="0063158F"/>
    <w:rsid w:val="00631D6B"/>
    <w:rsid w:val="006330A1"/>
    <w:rsid w:val="006338EE"/>
    <w:rsid w:val="006339CF"/>
    <w:rsid w:val="00633E40"/>
    <w:rsid w:val="0063479F"/>
    <w:rsid w:val="00634E90"/>
    <w:rsid w:val="00634F69"/>
    <w:rsid w:val="006353F0"/>
    <w:rsid w:val="00635598"/>
    <w:rsid w:val="006364A1"/>
    <w:rsid w:val="00637BFD"/>
    <w:rsid w:val="006405EE"/>
    <w:rsid w:val="00640ABD"/>
    <w:rsid w:val="006419E7"/>
    <w:rsid w:val="00641B1B"/>
    <w:rsid w:val="00641C4E"/>
    <w:rsid w:val="0064213F"/>
    <w:rsid w:val="00642638"/>
    <w:rsid w:val="0064518D"/>
    <w:rsid w:val="00645CF8"/>
    <w:rsid w:val="006471CC"/>
    <w:rsid w:val="0065079F"/>
    <w:rsid w:val="0065379F"/>
    <w:rsid w:val="00654A9C"/>
    <w:rsid w:val="00654EA0"/>
    <w:rsid w:val="006572DC"/>
    <w:rsid w:val="00657595"/>
    <w:rsid w:val="006577EF"/>
    <w:rsid w:val="00657CD5"/>
    <w:rsid w:val="00660566"/>
    <w:rsid w:val="00661623"/>
    <w:rsid w:val="0066183B"/>
    <w:rsid w:val="00661C6B"/>
    <w:rsid w:val="006622FC"/>
    <w:rsid w:val="0066245C"/>
    <w:rsid w:val="00663708"/>
    <w:rsid w:val="006715E8"/>
    <w:rsid w:val="00672EE8"/>
    <w:rsid w:val="00673A0F"/>
    <w:rsid w:val="00674A15"/>
    <w:rsid w:val="00674CCB"/>
    <w:rsid w:val="00674E42"/>
    <w:rsid w:val="006753BD"/>
    <w:rsid w:val="00676D44"/>
    <w:rsid w:val="00676FF6"/>
    <w:rsid w:val="006771D8"/>
    <w:rsid w:val="00677282"/>
    <w:rsid w:val="006817B8"/>
    <w:rsid w:val="00682112"/>
    <w:rsid w:val="0068528B"/>
    <w:rsid w:val="00686935"/>
    <w:rsid w:val="00686957"/>
    <w:rsid w:val="006872BA"/>
    <w:rsid w:val="00687615"/>
    <w:rsid w:val="00691427"/>
    <w:rsid w:val="00691648"/>
    <w:rsid w:val="006917D7"/>
    <w:rsid w:val="006927C5"/>
    <w:rsid w:val="00692E76"/>
    <w:rsid w:val="006937CC"/>
    <w:rsid w:val="006942F4"/>
    <w:rsid w:val="006945F1"/>
    <w:rsid w:val="00694F44"/>
    <w:rsid w:val="006964FB"/>
    <w:rsid w:val="00696C93"/>
    <w:rsid w:val="006A0157"/>
    <w:rsid w:val="006A3276"/>
    <w:rsid w:val="006A33C3"/>
    <w:rsid w:val="006A3E63"/>
    <w:rsid w:val="006A70BF"/>
    <w:rsid w:val="006A70E3"/>
    <w:rsid w:val="006A73DE"/>
    <w:rsid w:val="006A7E5F"/>
    <w:rsid w:val="006B168C"/>
    <w:rsid w:val="006B261B"/>
    <w:rsid w:val="006B26B6"/>
    <w:rsid w:val="006B2C90"/>
    <w:rsid w:val="006B33EA"/>
    <w:rsid w:val="006B39E1"/>
    <w:rsid w:val="006B3D67"/>
    <w:rsid w:val="006B4B83"/>
    <w:rsid w:val="006B5739"/>
    <w:rsid w:val="006B58B2"/>
    <w:rsid w:val="006B6DD0"/>
    <w:rsid w:val="006C1086"/>
    <w:rsid w:val="006C1BF1"/>
    <w:rsid w:val="006C2A8E"/>
    <w:rsid w:val="006C4CDB"/>
    <w:rsid w:val="006C5EDA"/>
    <w:rsid w:val="006C64D5"/>
    <w:rsid w:val="006C6D16"/>
    <w:rsid w:val="006C7A8A"/>
    <w:rsid w:val="006D0020"/>
    <w:rsid w:val="006D04BD"/>
    <w:rsid w:val="006D2279"/>
    <w:rsid w:val="006D252C"/>
    <w:rsid w:val="006D3C7D"/>
    <w:rsid w:val="006D4E69"/>
    <w:rsid w:val="006D5D5F"/>
    <w:rsid w:val="006D5ED9"/>
    <w:rsid w:val="006D6B76"/>
    <w:rsid w:val="006D6D64"/>
    <w:rsid w:val="006E1B50"/>
    <w:rsid w:val="006E2405"/>
    <w:rsid w:val="006E2CC2"/>
    <w:rsid w:val="006E3718"/>
    <w:rsid w:val="006E40B3"/>
    <w:rsid w:val="006E5A4C"/>
    <w:rsid w:val="006E5CC8"/>
    <w:rsid w:val="006E63A1"/>
    <w:rsid w:val="006E780E"/>
    <w:rsid w:val="006F0DF5"/>
    <w:rsid w:val="006F10F1"/>
    <w:rsid w:val="006F2AFD"/>
    <w:rsid w:val="006F306C"/>
    <w:rsid w:val="006F32DD"/>
    <w:rsid w:val="006F3822"/>
    <w:rsid w:val="006F54BA"/>
    <w:rsid w:val="006F55D7"/>
    <w:rsid w:val="006F5BF4"/>
    <w:rsid w:val="006F63A5"/>
    <w:rsid w:val="0070048C"/>
    <w:rsid w:val="0070142B"/>
    <w:rsid w:val="007016FE"/>
    <w:rsid w:val="007019BF"/>
    <w:rsid w:val="0070276E"/>
    <w:rsid w:val="00702E84"/>
    <w:rsid w:val="00702F8F"/>
    <w:rsid w:val="007034E5"/>
    <w:rsid w:val="007038D6"/>
    <w:rsid w:val="00703C2D"/>
    <w:rsid w:val="00705761"/>
    <w:rsid w:val="007066CB"/>
    <w:rsid w:val="0070737E"/>
    <w:rsid w:val="00707CF7"/>
    <w:rsid w:val="00710208"/>
    <w:rsid w:val="007107D8"/>
    <w:rsid w:val="00710B3E"/>
    <w:rsid w:val="00710C67"/>
    <w:rsid w:val="00711454"/>
    <w:rsid w:val="00711A36"/>
    <w:rsid w:val="007125E8"/>
    <w:rsid w:val="00712F84"/>
    <w:rsid w:val="00713AED"/>
    <w:rsid w:val="0071529C"/>
    <w:rsid w:val="0071638B"/>
    <w:rsid w:val="007172AD"/>
    <w:rsid w:val="00717F2C"/>
    <w:rsid w:val="0072246A"/>
    <w:rsid w:val="00722B1B"/>
    <w:rsid w:val="007240D6"/>
    <w:rsid w:val="0072416F"/>
    <w:rsid w:val="00724B97"/>
    <w:rsid w:val="00726C0D"/>
    <w:rsid w:val="00727A51"/>
    <w:rsid w:val="00727C94"/>
    <w:rsid w:val="007315E6"/>
    <w:rsid w:val="00731E2B"/>
    <w:rsid w:val="00731EAE"/>
    <w:rsid w:val="00732164"/>
    <w:rsid w:val="00733C39"/>
    <w:rsid w:val="0073431F"/>
    <w:rsid w:val="00735033"/>
    <w:rsid w:val="00735328"/>
    <w:rsid w:val="0073685B"/>
    <w:rsid w:val="00736F51"/>
    <w:rsid w:val="00736FBD"/>
    <w:rsid w:val="0074075D"/>
    <w:rsid w:val="007417A8"/>
    <w:rsid w:val="00741DF1"/>
    <w:rsid w:val="0074474E"/>
    <w:rsid w:val="00744F21"/>
    <w:rsid w:val="00746AD6"/>
    <w:rsid w:val="00747D69"/>
    <w:rsid w:val="00750C48"/>
    <w:rsid w:val="007516A7"/>
    <w:rsid w:val="00752142"/>
    <w:rsid w:val="007523F9"/>
    <w:rsid w:val="007531C5"/>
    <w:rsid w:val="00753D47"/>
    <w:rsid w:val="0075462E"/>
    <w:rsid w:val="00754DDF"/>
    <w:rsid w:val="00755137"/>
    <w:rsid w:val="00756705"/>
    <w:rsid w:val="007573E8"/>
    <w:rsid w:val="00760C4E"/>
    <w:rsid w:val="00760F4E"/>
    <w:rsid w:val="00760F84"/>
    <w:rsid w:val="00763CDA"/>
    <w:rsid w:val="00764CA4"/>
    <w:rsid w:val="00765B1A"/>
    <w:rsid w:val="00767B31"/>
    <w:rsid w:val="00771019"/>
    <w:rsid w:val="00771793"/>
    <w:rsid w:val="00773625"/>
    <w:rsid w:val="007766DA"/>
    <w:rsid w:val="00776ADF"/>
    <w:rsid w:val="00776B81"/>
    <w:rsid w:val="00777B9D"/>
    <w:rsid w:val="007816EE"/>
    <w:rsid w:val="00782D96"/>
    <w:rsid w:val="0078349E"/>
    <w:rsid w:val="00783773"/>
    <w:rsid w:val="0078398B"/>
    <w:rsid w:val="00783B2D"/>
    <w:rsid w:val="007843F2"/>
    <w:rsid w:val="00785D67"/>
    <w:rsid w:val="00785E53"/>
    <w:rsid w:val="0078748B"/>
    <w:rsid w:val="00787D3E"/>
    <w:rsid w:val="00791904"/>
    <w:rsid w:val="00791D05"/>
    <w:rsid w:val="00792C8D"/>
    <w:rsid w:val="00793672"/>
    <w:rsid w:val="00795E83"/>
    <w:rsid w:val="007972AF"/>
    <w:rsid w:val="00797419"/>
    <w:rsid w:val="00797EF9"/>
    <w:rsid w:val="007A0A12"/>
    <w:rsid w:val="007A132D"/>
    <w:rsid w:val="007A2766"/>
    <w:rsid w:val="007A36FB"/>
    <w:rsid w:val="007A4FA9"/>
    <w:rsid w:val="007A5FA9"/>
    <w:rsid w:val="007A6770"/>
    <w:rsid w:val="007A6D54"/>
    <w:rsid w:val="007A6EF1"/>
    <w:rsid w:val="007A6F23"/>
    <w:rsid w:val="007B0D68"/>
    <w:rsid w:val="007B1AB9"/>
    <w:rsid w:val="007B1E2E"/>
    <w:rsid w:val="007B22FE"/>
    <w:rsid w:val="007B2396"/>
    <w:rsid w:val="007B251D"/>
    <w:rsid w:val="007B40CE"/>
    <w:rsid w:val="007B48F9"/>
    <w:rsid w:val="007B4F58"/>
    <w:rsid w:val="007B528D"/>
    <w:rsid w:val="007B5A0E"/>
    <w:rsid w:val="007B6884"/>
    <w:rsid w:val="007B694F"/>
    <w:rsid w:val="007B6E70"/>
    <w:rsid w:val="007B77D1"/>
    <w:rsid w:val="007C02B7"/>
    <w:rsid w:val="007C1CD9"/>
    <w:rsid w:val="007C361D"/>
    <w:rsid w:val="007C4A2D"/>
    <w:rsid w:val="007C4A66"/>
    <w:rsid w:val="007C4B84"/>
    <w:rsid w:val="007C4EEF"/>
    <w:rsid w:val="007C5411"/>
    <w:rsid w:val="007D004F"/>
    <w:rsid w:val="007D0B38"/>
    <w:rsid w:val="007D10D3"/>
    <w:rsid w:val="007D162D"/>
    <w:rsid w:val="007D1BAE"/>
    <w:rsid w:val="007D47BE"/>
    <w:rsid w:val="007D5119"/>
    <w:rsid w:val="007D5440"/>
    <w:rsid w:val="007D6D14"/>
    <w:rsid w:val="007D6FC3"/>
    <w:rsid w:val="007D7981"/>
    <w:rsid w:val="007E2F04"/>
    <w:rsid w:val="007E3A30"/>
    <w:rsid w:val="007E3A50"/>
    <w:rsid w:val="007E4B1B"/>
    <w:rsid w:val="007E6508"/>
    <w:rsid w:val="007E6E7D"/>
    <w:rsid w:val="007E748F"/>
    <w:rsid w:val="007E779F"/>
    <w:rsid w:val="007E7A50"/>
    <w:rsid w:val="007E7AAD"/>
    <w:rsid w:val="007F0584"/>
    <w:rsid w:val="007F1017"/>
    <w:rsid w:val="007F1C21"/>
    <w:rsid w:val="007F3956"/>
    <w:rsid w:val="007F4A3F"/>
    <w:rsid w:val="007F4A61"/>
    <w:rsid w:val="007F5080"/>
    <w:rsid w:val="007F61C2"/>
    <w:rsid w:val="007F7309"/>
    <w:rsid w:val="007F7326"/>
    <w:rsid w:val="007F77DC"/>
    <w:rsid w:val="007F7D2A"/>
    <w:rsid w:val="00800B0D"/>
    <w:rsid w:val="008015D2"/>
    <w:rsid w:val="00803905"/>
    <w:rsid w:val="00805142"/>
    <w:rsid w:val="008052CA"/>
    <w:rsid w:val="00805FD7"/>
    <w:rsid w:val="008062D2"/>
    <w:rsid w:val="00807A8B"/>
    <w:rsid w:val="008100BC"/>
    <w:rsid w:val="008111F5"/>
    <w:rsid w:val="00811383"/>
    <w:rsid w:val="00812149"/>
    <w:rsid w:val="0081289C"/>
    <w:rsid w:val="00812CAC"/>
    <w:rsid w:val="00813687"/>
    <w:rsid w:val="00814ACD"/>
    <w:rsid w:val="00815102"/>
    <w:rsid w:val="00815862"/>
    <w:rsid w:val="00816241"/>
    <w:rsid w:val="008166EF"/>
    <w:rsid w:val="00816F68"/>
    <w:rsid w:val="00817369"/>
    <w:rsid w:val="008173B8"/>
    <w:rsid w:val="00820080"/>
    <w:rsid w:val="008207F7"/>
    <w:rsid w:val="00820CFB"/>
    <w:rsid w:val="00820E03"/>
    <w:rsid w:val="008219DD"/>
    <w:rsid w:val="00822979"/>
    <w:rsid w:val="008233F9"/>
    <w:rsid w:val="00825751"/>
    <w:rsid w:val="008264EB"/>
    <w:rsid w:val="00830A2B"/>
    <w:rsid w:val="00831FA2"/>
    <w:rsid w:val="008335FC"/>
    <w:rsid w:val="00833B05"/>
    <w:rsid w:val="00833C33"/>
    <w:rsid w:val="008362B4"/>
    <w:rsid w:val="0083678D"/>
    <w:rsid w:val="00837A1D"/>
    <w:rsid w:val="00840CA2"/>
    <w:rsid w:val="00842C72"/>
    <w:rsid w:val="0084374F"/>
    <w:rsid w:val="00845AA9"/>
    <w:rsid w:val="0084782C"/>
    <w:rsid w:val="00847DF5"/>
    <w:rsid w:val="0085086C"/>
    <w:rsid w:val="00850F25"/>
    <w:rsid w:val="0085309D"/>
    <w:rsid w:val="00856082"/>
    <w:rsid w:val="00856897"/>
    <w:rsid w:val="00856AB1"/>
    <w:rsid w:val="00856E9A"/>
    <w:rsid w:val="00857A7F"/>
    <w:rsid w:val="0086075D"/>
    <w:rsid w:val="00861116"/>
    <w:rsid w:val="00861B88"/>
    <w:rsid w:val="008621E8"/>
    <w:rsid w:val="00862502"/>
    <w:rsid w:val="00864BE4"/>
    <w:rsid w:val="00865048"/>
    <w:rsid w:val="008653A2"/>
    <w:rsid w:val="0086567B"/>
    <w:rsid w:val="008660D4"/>
    <w:rsid w:val="00866D1C"/>
    <w:rsid w:val="00871FA9"/>
    <w:rsid w:val="008728E9"/>
    <w:rsid w:val="00873DC3"/>
    <w:rsid w:val="0087516D"/>
    <w:rsid w:val="00880A28"/>
    <w:rsid w:val="00881FF2"/>
    <w:rsid w:val="00882874"/>
    <w:rsid w:val="00883787"/>
    <w:rsid w:val="00883C82"/>
    <w:rsid w:val="008844F9"/>
    <w:rsid w:val="00885250"/>
    <w:rsid w:val="00885BDD"/>
    <w:rsid w:val="0088665F"/>
    <w:rsid w:val="00886CD2"/>
    <w:rsid w:val="00887A81"/>
    <w:rsid w:val="008926A4"/>
    <w:rsid w:val="00892A36"/>
    <w:rsid w:val="008930B2"/>
    <w:rsid w:val="00893239"/>
    <w:rsid w:val="00894489"/>
    <w:rsid w:val="00894791"/>
    <w:rsid w:val="00894BE4"/>
    <w:rsid w:val="00894E7C"/>
    <w:rsid w:val="00896345"/>
    <w:rsid w:val="008963A5"/>
    <w:rsid w:val="008967EF"/>
    <w:rsid w:val="00896FAA"/>
    <w:rsid w:val="008A1532"/>
    <w:rsid w:val="008A18C7"/>
    <w:rsid w:val="008A1AC1"/>
    <w:rsid w:val="008A1E20"/>
    <w:rsid w:val="008A300D"/>
    <w:rsid w:val="008A3363"/>
    <w:rsid w:val="008A3371"/>
    <w:rsid w:val="008A36E0"/>
    <w:rsid w:val="008A3C3E"/>
    <w:rsid w:val="008A5A14"/>
    <w:rsid w:val="008A5DFC"/>
    <w:rsid w:val="008A6595"/>
    <w:rsid w:val="008A6DC6"/>
    <w:rsid w:val="008A6ED5"/>
    <w:rsid w:val="008A79DE"/>
    <w:rsid w:val="008B1757"/>
    <w:rsid w:val="008B3119"/>
    <w:rsid w:val="008B3705"/>
    <w:rsid w:val="008B5AC3"/>
    <w:rsid w:val="008B692A"/>
    <w:rsid w:val="008B7C20"/>
    <w:rsid w:val="008B7D7E"/>
    <w:rsid w:val="008C1F90"/>
    <w:rsid w:val="008C2695"/>
    <w:rsid w:val="008C6BC7"/>
    <w:rsid w:val="008C7484"/>
    <w:rsid w:val="008C7ECB"/>
    <w:rsid w:val="008D1C14"/>
    <w:rsid w:val="008D2167"/>
    <w:rsid w:val="008D346E"/>
    <w:rsid w:val="008D361A"/>
    <w:rsid w:val="008D4755"/>
    <w:rsid w:val="008D4C3D"/>
    <w:rsid w:val="008D5057"/>
    <w:rsid w:val="008D5E18"/>
    <w:rsid w:val="008D7540"/>
    <w:rsid w:val="008D77EA"/>
    <w:rsid w:val="008E0D3C"/>
    <w:rsid w:val="008E1038"/>
    <w:rsid w:val="008E10A1"/>
    <w:rsid w:val="008E1393"/>
    <w:rsid w:val="008E1B9E"/>
    <w:rsid w:val="008E3449"/>
    <w:rsid w:val="008E3C1B"/>
    <w:rsid w:val="008E3C7A"/>
    <w:rsid w:val="008E3C83"/>
    <w:rsid w:val="008E475E"/>
    <w:rsid w:val="008E4D42"/>
    <w:rsid w:val="008E4F50"/>
    <w:rsid w:val="008E55AB"/>
    <w:rsid w:val="008E5F0D"/>
    <w:rsid w:val="008E7C26"/>
    <w:rsid w:val="008F07D7"/>
    <w:rsid w:val="008F1201"/>
    <w:rsid w:val="008F120A"/>
    <w:rsid w:val="008F1E57"/>
    <w:rsid w:val="008F27E0"/>
    <w:rsid w:val="008F2DAC"/>
    <w:rsid w:val="008F475B"/>
    <w:rsid w:val="008F48EB"/>
    <w:rsid w:val="008F4F0B"/>
    <w:rsid w:val="008F56BF"/>
    <w:rsid w:val="008F5A0F"/>
    <w:rsid w:val="008F5E29"/>
    <w:rsid w:val="008F7023"/>
    <w:rsid w:val="008F79AD"/>
    <w:rsid w:val="008F7CF9"/>
    <w:rsid w:val="009005D0"/>
    <w:rsid w:val="00900E5A"/>
    <w:rsid w:val="00900F8E"/>
    <w:rsid w:val="00901100"/>
    <w:rsid w:val="00901901"/>
    <w:rsid w:val="009046C4"/>
    <w:rsid w:val="00905505"/>
    <w:rsid w:val="009062A5"/>
    <w:rsid w:val="00907F58"/>
    <w:rsid w:val="00911272"/>
    <w:rsid w:val="009124A1"/>
    <w:rsid w:val="0091278E"/>
    <w:rsid w:val="00912BFB"/>
    <w:rsid w:val="009135D6"/>
    <w:rsid w:val="00913AAE"/>
    <w:rsid w:val="00914C77"/>
    <w:rsid w:val="00915302"/>
    <w:rsid w:val="009155BE"/>
    <w:rsid w:val="00916BB8"/>
    <w:rsid w:val="00916E49"/>
    <w:rsid w:val="0092069B"/>
    <w:rsid w:val="0092369B"/>
    <w:rsid w:val="0092371C"/>
    <w:rsid w:val="00923E85"/>
    <w:rsid w:val="00927E8D"/>
    <w:rsid w:val="00930C5E"/>
    <w:rsid w:val="00932DF9"/>
    <w:rsid w:val="00934747"/>
    <w:rsid w:val="00935525"/>
    <w:rsid w:val="00935DAF"/>
    <w:rsid w:val="0094067A"/>
    <w:rsid w:val="009421C7"/>
    <w:rsid w:val="00946CB1"/>
    <w:rsid w:val="00947D3B"/>
    <w:rsid w:val="00950232"/>
    <w:rsid w:val="009510A2"/>
    <w:rsid w:val="009514EB"/>
    <w:rsid w:val="00951ED3"/>
    <w:rsid w:val="00952A25"/>
    <w:rsid w:val="00952D3F"/>
    <w:rsid w:val="00953257"/>
    <w:rsid w:val="00953B56"/>
    <w:rsid w:val="00953B73"/>
    <w:rsid w:val="00954512"/>
    <w:rsid w:val="0095493F"/>
    <w:rsid w:val="0095569A"/>
    <w:rsid w:val="00955747"/>
    <w:rsid w:val="00955C13"/>
    <w:rsid w:val="00960190"/>
    <w:rsid w:val="00960A57"/>
    <w:rsid w:val="00961965"/>
    <w:rsid w:val="0096202C"/>
    <w:rsid w:val="00962087"/>
    <w:rsid w:val="009622E7"/>
    <w:rsid w:val="00962B03"/>
    <w:rsid w:val="00962CB9"/>
    <w:rsid w:val="009633DE"/>
    <w:rsid w:val="0096345F"/>
    <w:rsid w:val="00963C6E"/>
    <w:rsid w:val="00964312"/>
    <w:rsid w:val="0096439E"/>
    <w:rsid w:val="00965B8A"/>
    <w:rsid w:val="0096633C"/>
    <w:rsid w:val="00967C3F"/>
    <w:rsid w:val="00967E42"/>
    <w:rsid w:val="00971020"/>
    <w:rsid w:val="009711BC"/>
    <w:rsid w:val="009716EC"/>
    <w:rsid w:val="009717AC"/>
    <w:rsid w:val="00971C8E"/>
    <w:rsid w:val="009723FD"/>
    <w:rsid w:val="00972A0A"/>
    <w:rsid w:val="00973306"/>
    <w:rsid w:val="00973D7E"/>
    <w:rsid w:val="00974BD4"/>
    <w:rsid w:val="00974EE9"/>
    <w:rsid w:val="00975DC1"/>
    <w:rsid w:val="00976836"/>
    <w:rsid w:val="00976DCE"/>
    <w:rsid w:val="00976EDB"/>
    <w:rsid w:val="00976FB0"/>
    <w:rsid w:val="00977579"/>
    <w:rsid w:val="00980200"/>
    <w:rsid w:val="009820EC"/>
    <w:rsid w:val="009830E0"/>
    <w:rsid w:val="009832B7"/>
    <w:rsid w:val="00983E57"/>
    <w:rsid w:val="0098563B"/>
    <w:rsid w:val="0098675D"/>
    <w:rsid w:val="0098698A"/>
    <w:rsid w:val="00987A99"/>
    <w:rsid w:val="00987D27"/>
    <w:rsid w:val="00987E4B"/>
    <w:rsid w:val="00992B02"/>
    <w:rsid w:val="00993766"/>
    <w:rsid w:val="00993A22"/>
    <w:rsid w:val="00996B1A"/>
    <w:rsid w:val="00996B24"/>
    <w:rsid w:val="00997E59"/>
    <w:rsid w:val="009A1510"/>
    <w:rsid w:val="009A281C"/>
    <w:rsid w:val="009A371B"/>
    <w:rsid w:val="009A567F"/>
    <w:rsid w:val="009A7F10"/>
    <w:rsid w:val="009B040D"/>
    <w:rsid w:val="009B2EEA"/>
    <w:rsid w:val="009B2F1E"/>
    <w:rsid w:val="009B3D03"/>
    <w:rsid w:val="009B3E26"/>
    <w:rsid w:val="009B51BD"/>
    <w:rsid w:val="009B705F"/>
    <w:rsid w:val="009B7864"/>
    <w:rsid w:val="009B7893"/>
    <w:rsid w:val="009C225F"/>
    <w:rsid w:val="009C3639"/>
    <w:rsid w:val="009C4AF4"/>
    <w:rsid w:val="009C4B66"/>
    <w:rsid w:val="009C4CEA"/>
    <w:rsid w:val="009C696C"/>
    <w:rsid w:val="009C6CEA"/>
    <w:rsid w:val="009C7740"/>
    <w:rsid w:val="009C7B85"/>
    <w:rsid w:val="009D02B6"/>
    <w:rsid w:val="009D2760"/>
    <w:rsid w:val="009D33FA"/>
    <w:rsid w:val="009D4832"/>
    <w:rsid w:val="009D5B91"/>
    <w:rsid w:val="009D6449"/>
    <w:rsid w:val="009D68C6"/>
    <w:rsid w:val="009D6B52"/>
    <w:rsid w:val="009D717A"/>
    <w:rsid w:val="009D74DD"/>
    <w:rsid w:val="009D792E"/>
    <w:rsid w:val="009D7E6E"/>
    <w:rsid w:val="009E078F"/>
    <w:rsid w:val="009E0DFE"/>
    <w:rsid w:val="009E2A66"/>
    <w:rsid w:val="009E4C07"/>
    <w:rsid w:val="009E5E67"/>
    <w:rsid w:val="009E741C"/>
    <w:rsid w:val="009E7A35"/>
    <w:rsid w:val="009F401A"/>
    <w:rsid w:val="009F4E11"/>
    <w:rsid w:val="009F553A"/>
    <w:rsid w:val="009F6880"/>
    <w:rsid w:val="00A00EFF"/>
    <w:rsid w:val="00A01184"/>
    <w:rsid w:val="00A01771"/>
    <w:rsid w:val="00A0193D"/>
    <w:rsid w:val="00A01C5C"/>
    <w:rsid w:val="00A038D8"/>
    <w:rsid w:val="00A03A26"/>
    <w:rsid w:val="00A03D43"/>
    <w:rsid w:val="00A04380"/>
    <w:rsid w:val="00A05CE9"/>
    <w:rsid w:val="00A11862"/>
    <w:rsid w:val="00A11CD0"/>
    <w:rsid w:val="00A12617"/>
    <w:rsid w:val="00A12E73"/>
    <w:rsid w:val="00A13948"/>
    <w:rsid w:val="00A1555B"/>
    <w:rsid w:val="00A155C5"/>
    <w:rsid w:val="00A16AD8"/>
    <w:rsid w:val="00A21CF3"/>
    <w:rsid w:val="00A22B94"/>
    <w:rsid w:val="00A237F6"/>
    <w:rsid w:val="00A242AF"/>
    <w:rsid w:val="00A24D71"/>
    <w:rsid w:val="00A260A7"/>
    <w:rsid w:val="00A260F1"/>
    <w:rsid w:val="00A27769"/>
    <w:rsid w:val="00A27AEC"/>
    <w:rsid w:val="00A320DB"/>
    <w:rsid w:val="00A32995"/>
    <w:rsid w:val="00A32E37"/>
    <w:rsid w:val="00A33D18"/>
    <w:rsid w:val="00A343D7"/>
    <w:rsid w:val="00A34471"/>
    <w:rsid w:val="00A35B0D"/>
    <w:rsid w:val="00A35D16"/>
    <w:rsid w:val="00A37AC8"/>
    <w:rsid w:val="00A37BCD"/>
    <w:rsid w:val="00A4034D"/>
    <w:rsid w:val="00A40EF8"/>
    <w:rsid w:val="00A40F22"/>
    <w:rsid w:val="00A4149E"/>
    <w:rsid w:val="00A42C88"/>
    <w:rsid w:val="00A43C59"/>
    <w:rsid w:val="00A45A13"/>
    <w:rsid w:val="00A4697D"/>
    <w:rsid w:val="00A46DFA"/>
    <w:rsid w:val="00A47048"/>
    <w:rsid w:val="00A50ECD"/>
    <w:rsid w:val="00A518F3"/>
    <w:rsid w:val="00A52729"/>
    <w:rsid w:val="00A53675"/>
    <w:rsid w:val="00A537EF"/>
    <w:rsid w:val="00A5389B"/>
    <w:rsid w:val="00A564D7"/>
    <w:rsid w:val="00A56B6A"/>
    <w:rsid w:val="00A578DC"/>
    <w:rsid w:val="00A579B4"/>
    <w:rsid w:val="00A57F14"/>
    <w:rsid w:val="00A610D6"/>
    <w:rsid w:val="00A61713"/>
    <w:rsid w:val="00A62B51"/>
    <w:rsid w:val="00A6355F"/>
    <w:rsid w:val="00A6446B"/>
    <w:rsid w:val="00A66E57"/>
    <w:rsid w:val="00A6725B"/>
    <w:rsid w:val="00A67774"/>
    <w:rsid w:val="00A67954"/>
    <w:rsid w:val="00A70605"/>
    <w:rsid w:val="00A71459"/>
    <w:rsid w:val="00A724F7"/>
    <w:rsid w:val="00A73134"/>
    <w:rsid w:val="00A737ED"/>
    <w:rsid w:val="00A73C12"/>
    <w:rsid w:val="00A73E7F"/>
    <w:rsid w:val="00A744C5"/>
    <w:rsid w:val="00A74BD9"/>
    <w:rsid w:val="00A774B6"/>
    <w:rsid w:val="00A774B8"/>
    <w:rsid w:val="00A77726"/>
    <w:rsid w:val="00A777B2"/>
    <w:rsid w:val="00A82577"/>
    <w:rsid w:val="00A82ED8"/>
    <w:rsid w:val="00A86E8B"/>
    <w:rsid w:val="00A87164"/>
    <w:rsid w:val="00A9105F"/>
    <w:rsid w:val="00A912EE"/>
    <w:rsid w:val="00A93072"/>
    <w:rsid w:val="00A93953"/>
    <w:rsid w:val="00A94482"/>
    <w:rsid w:val="00A94B8C"/>
    <w:rsid w:val="00A959D8"/>
    <w:rsid w:val="00A96BA3"/>
    <w:rsid w:val="00A9742F"/>
    <w:rsid w:val="00AA064A"/>
    <w:rsid w:val="00AA0BB0"/>
    <w:rsid w:val="00AA113D"/>
    <w:rsid w:val="00AA45DD"/>
    <w:rsid w:val="00AA4FC2"/>
    <w:rsid w:val="00AA5537"/>
    <w:rsid w:val="00AA57EF"/>
    <w:rsid w:val="00AA5A4E"/>
    <w:rsid w:val="00AA5AD3"/>
    <w:rsid w:val="00AA6C7D"/>
    <w:rsid w:val="00AA75CC"/>
    <w:rsid w:val="00AA7FD6"/>
    <w:rsid w:val="00AB01A5"/>
    <w:rsid w:val="00AB042A"/>
    <w:rsid w:val="00AB0E95"/>
    <w:rsid w:val="00AB16C1"/>
    <w:rsid w:val="00AB2D34"/>
    <w:rsid w:val="00AB3161"/>
    <w:rsid w:val="00AB3430"/>
    <w:rsid w:val="00AB3B2B"/>
    <w:rsid w:val="00AB4AD1"/>
    <w:rsid w:val="00AB6D8C"/>
    <w:rsid w:val="00AB79AF"/>
    <w:rsid w:val="00AB7CFA"/>
    <w:rsid w:val="00AC0854"/>
    <w:rsid w:val="00AC1B3E"/>
    <w:rsid w:val="00AC22E4"/>
    <w:rsid w:val="00AC3A7B"/>
    <w:rsid w:val="00AC5251"/>
    <w:rsid w:val="00AC5B48"/>
    <w:rsid w:val="00AC5FE2"/>
    <w:rsid w:val="00AC761E"/>
    <w:rsid w:val="00AD0403"/>
    <w:rsid w:val="00AD0BAB"/>
    <w:rsid w:val="00AD0DE1"/>
    <w:rsid w:val="00AD1914"/>
    <w:rsid w:val="00AD19B2"/>
    <w:rsid w:val="00AD3E3E"/>
    <w:rsid w:val="00AD40AF"/>
    <w:rsid w:val="00AD4718"/>
    <w:rsid w:val="00AD4F94"/>
    <w:rsid w:val="00AD5226"/>
    <w:rsid w:val="00AD5276"/>
    <w:rsid w:val="00AD5A92"/>
    <w:rsid w:val="00AD6502"/>
    <w:rsid w:val="00AD7163"/>
    <w:rsid w:val="00AD7552"/>
    <w:rsid w:val="00AD7D11"/>
    <w:rsid w:val="00AE0956"/>
    <w:rsid w:val="00AE0CAB"/>
    <w:rsid w:val="00AE252D"/>
    <w:rsid w:val="00AE4652"/>
    <w:rsid w:val="00AE7F27"/>
    <w:rsid w:val="00AE7F59"/>
    <w:rsid w:val="00AF02CF"/>
    <w:rsid w:val="00AF1315"/>
    <w:rsid w:val="00AF131E"/>
    <w:rsid w:val="00AF17CD"/>
    <w:rsid w:val="00AF19BF"/>
    <w:rsid w:val="00AF1B70"/>
    <w:rsid w:val="00AF2DC3"/>
    <w:rsid w:val="00AF330E"/>
    <w:rsid w:val="00AF36B4"/>
    <w:rsid w:val="00AF44F0"/>
    <w:rsid w:val="00AF47A2"/>
    <w:rsid w:val="00AF5B35"/>
    <w:rsid w:val="00AF605D"/>
    <w:rsid w:val="00AF70C2"/>
    <w:rsid w:val="00AF730C"/>
    <w:rsid w:val="00B033E5"/>
    <w:rsid w:val="00B034DF"/>
    <w:rsid w:val="00B03A63"/>
    <w:rsid w:val="00B04924"/>
    <w:rsid w:val="00B04CC8"/>
    <w:rsid w:val="00B05839"/>
    <w:rsid w:val="00B06FAC"/>
    <w:rsid w:val="00B0775B"/>
    <w:rsid w:val="00B10E38"/>
    <w:rsid w:val="00B12ED0"/>
    <w:rsid w:val="00B15DB6"/>
    <w:rsid w:val="00B17DE4"/>
    <w:rsid w:val="00B201A4"/>
    <w:rsid w:val="00B213A6"/>
    <w:rsid w:val="00B24DF6"/>
    <w:rsid w:val="00B25F38"/>
    <w:rsid w:val="00B26E8C"/>
    <w:rsid w:val="00B27CFF"/>
    <w:rsid w:val="00B27E5D"/>
    <w:rsid w:val="00B312C3"/>
    <w:rsid w:val="00B31A21"/>
    <w:rsid w:val="00B31D50"/>
    <w:rsid w:val="00B325E0"/>
    <w:rsid w:val="00B32B61"/>
    <w:rsid w:val="00B33D55"/>
    <w:rsid w:val="00B34EB7"/>
    <w:rsid w:val="00B34FE2"/>
    <w:rsid w:val="00B357D8"/>
    <w:rsid w:val="00B35943"/>
    <w:rsid w:val="00B36C37"/>
    <w:rsid w:val="00B37BFC"/>
    <w:rsid w:val="00B37D6A"/>
    <w:rsid w:val="00B40358"/>
    <w:rsid w:val="00B40DAC"/>
    <w:rsid w:val="00B40DE0"/>
    <w:rsid w:val="00B41614"/>
    <w:rsid w:val="00B41E4B"/>
    <w:rsid w:val="00B42851"/>
    <w:rsid w:val="00B42F80"/>
    <w:rsid w:val="00B435CB"/>
    <w:rsid w:val="00B43849"/>
    <w:rsid w:val="00B43AE3"/>
    <w:rsid w:val="00B460AE"/>
    <w:rsid w:val="00B46F54"/>
    <w:rsid w:val="00B50DB8"/>
    <w:rsid w:val="00B5207E"/>
    <w:rsid w:val="00B521CD"/>
    <w:rsid w:val="00B53654"/>
    <w:rsid w:val="00B53865"/>
    <w:rsid w:val="00B53905"/>
    <w:rsid w:val="00B54B5B"/>
    <w:rsid w:val="00B54E4B"/>
    <w:rsid w:val="00B5562E"/>
    <w:rsid w:val="00B56A35"/>
    <w:rsid w:val="00B56C4B"/>
    <w:rsid w:val="00B56F6B"/>
    <w:rsid w:val="00B57000"/>
    <w:rsid w:val="00B570DA"/>
    <w:rsid w:val="00B6084C"/>
    <w:rsid w:val="00B60939"/>
    <w:rsid w:val="00B60AFD"/>
    <w:rsid w:val="00B60CB7"/>
    <w:rsid w:val="00B62715"/>
    <w:rsid w:val="00B6291B"/>
    <w:rsid w:val="00B635FE"/>
    <w:rsid w:val="00B63B33"/>
    <w:rsid w:val="00B65346"/>
    <w:rsid w:val="00B664DC"/>
    <w:rsid w:val="00B66985"/>
    <w:rsid w:val="00B66D11"/>
    <w:rsid w:val="00B7013C"/>
    <w:rsid w:val="00B818A4"/>
    <w:rsid w:val="00B81AD7"/>
    <w:rsid w:val="00B81BC2"/>
    <w:rsid w:val="00B82010"/>
    <w:rsid w:val="00B82B53"/>
    <w:rsid w:val="00B82FA2"/>
    <w:rsid w:val="00B836A2"/>
    <w:rsid w:val="00B84117"/>
    <w:rsid w:val="00B844E8"/>
    <w:rsid w:val="00B8591D"/>
    <w:rsid w:val="00B85AA2"/>
    <w:rsid w:val="00B8649C"/>
    <w:rsid w:val="00B87F0A"/>
    <w:rsid w:val="00B90A14"/>
    <w:rsid w:val="00B92290"/>
    <w:rsid w:val="00B92523"/>
    <w:rsid w:val="00B926A3"/>
    <w:rsid w:val="00B92D0B"/>
    <w:rsid w:val="00B94945"/>
    <w:rsid w:val="00B97210"/>
    <w:rsid w:val="00BA0DC9"/>
    <w:rsid w:val="00BA23CC"/>
    <w:rsid w:val="00BA30CB"/>
    <w:rsid w:val="00BA322D"/>
    <w:rsid w:val="00BA3712"/>
    <w:rsid w:val="00BA5208"/>
    <w:rsid w:val="00BA5B0C"/>
    <w:rsid w:val="00BA7EA7"/>
    <w:rsid w:val="00BB0BDD"/>
    <w:rsid w:val="00BB1504"/>
    <w:rsid w:val="00BB19B4"/>
    <w:rsid w:val="00BB1A3C"/>
    <w:rsid w:val="00BB295D"/>
    <w:rsid w:val="00BB2A73"/>
    <w:rsid w:val="00BB4ACC"/>
    <w:rsid w:val="00BB5197"/>
    <w:rsid w:val="00BB5F56"/>
    <w:rsid w:val="00BB63CC"/>
    <w:rsid w:val="00BB703E"/>
    <w:rsid w:val="00BB7405"/>
    <w:rsid w:val="00BC0A4C"/>
    <w:rsid w:val="00BC1003"/>
    <w:rsid w:val="00BC3631"/>
    <w:rsid w:val="00BC57E6"/>
    <w:rsid w:val="00BC642F"/>
    <w:rsid w:val="00BC68B2"/>
    <w:rsid w:val="00BC6AC0"/>
    <w:rsid w:val="00BC7617"/>
    <w:rsid w:val="00BD0FD8"/>
    <w:rsid w:val="00BD3A1C"/>
    <w:rsid w:val="00BD3EA2"/>
    <w:rsid w:val="00BD51AB"/>
    <w:rsid w:val="00BD6486"/>
    <w:rsid w:val="00BD68A3"/>
    <w:rsid w:val="00BD6938"/>
    <w:rsid w:val="00BD6CF3"/>
    <w:rsid w:val="00BD6FB5"/>
    <w:rsid w:val="00BD7271"/>
    <w:rsid w:val="00BE2180"/>
    <w:rsid w:val="00BE21F2"/>
    <w:rsid w:val="00BE333E"/>
    <w:rsid w:val="00BE4111"/>
    <w:rsid w:val="00BE4275"/>
    <w:rsid w:val="00BE4C97"/>
    <w:rsid w:val="00BE56A8"/>
    <w:rsid w:val="00BE6145"/>
    <w:rsid w:val="00BF0D87"/>
    <w:rsid w:val="00BF0F95"/>
    <w:rsid w:val="00BF2433"/>
    <w:rsid w:val="00BF25CD"/>
    <w:rsid w:val="00BF32F8"/>
    <w:rsid w:val="00BF3B8F"/>
    <w:rsid w:val="00BF4043"/>
    <w:rsid w:val="00BF55CD"/>
    <w:rsid w:val="00BF5E9E"/>
    <w:rsid w:val="00BF61C9"/>
    <w:rsid w:val="00BF6561"/>
    <w:rsid w:val="00BF6C94"/>
    <w:rsid w:val="00BF7B02"/>
    <w:rsid w:val="00C00424"/>
    <w:rsid w:val="00C0123F"/>
    <w:rsid w:val="00C060CB"/>
    <w:rsid w:val="00C06754"/>
    <w:rsid w:val="00C0775F"/>
    <w:rsid w:val="00C105FC"/>
    <w:rsid w:val="00C1181F"/>
    <w:rsid w:val="00C11A7E"/>
    <w:rsid w:val="00C12493"/>
    <w:rsid w:val="00C1290D"/>
    <w:rsid w:val="00C12C14"/>
    <w:rsid w:val="00C1762E"/>
    <w:rsid w:val="00C200AA"/>
    <w:rsid w:val="00C2188C"/>
    <w:rsid w:val="00C228B7"/>
    <w:rsid w:val="00C237ED"/>
    <w:rsid w:val="00C2442C"/>
    <w:rsid w:val="00C24632"/>
    <w:rsid w:val="00C25418"/>
    <w:rsid w:val="00C25689"/>
    <w:rsid w:val="00C2573E"/>
    <w:rsid w:val="00C25D9C"/>
    <w:rsid w:val="00C269EF"/>
    <w:rsid w:val="00C2734E"/>
    <w:rsid w:val="00C2778B"/>
    <w:rsid w:val="00C303B2"/>
    <w:rsid w:val="00C31649"/>
    <w:rsid w:val="00C3246F"/>
    <w:rsid w:val="00C33949"/>
    <w:rsid w:val="00C35EC7"/>
    <w:rsid w:val="00C35FAE"/>
    <w:rsid w:val="00C40385"/>
    <w:rsid w:val="00C4063D"/>
    <w:rsid w:val="00C413FE"/>
    <w:rsid w:val="00C42E1D"/>
    <w:rsid w:val="00C44EEC"/>
    <w:rsid w:val="00C4571A"/>
    <w:rsid w:val="00C4590E"/>
    <w:rsid w:val="00C474E6"/>
    <w:rsid w:val="00C4755A"/>
    <w:rsid w:val="00C475AA"/>
    <w:rsid w:val="00C47DF8"/>
    <w:rsid w:val="00C516FC"/>
    <w:rsid w:val="00C51BE1"/>
    <w:rsid w:val="00C5304D"/>
    <w:rsid w:val="00C5353C"/>
    <w:rsid w:val="00C53E9F"/>
    <w:rsid w:val="00C55746"/>
    <w:rsid w:val="00C5780C"/>
    <w:rsid w:val="00C61BE5"/>
    <w:rsid w:val="00C62281"/>
    <w:rsid w:val="00C65576"/>
    <w:rsid w:val="00C66015"/>
    <w:rsid w:val="00C66165"/>
    <w:rsid w:val="00C67B57"/>
    <w:rsid w:val="00C70557"/>
    <w:rsid w:val="00C7151A"/>
    <w:rsid w:val="00C71CFB"/>
    <w:rsid w:val="00C71F60"/>
    <w:rsid w:val="00C721E6"/>
    <w:rsid w:val="00C72241"/>
    <w:rsid w:val="00C72501"/>
    <w:rsid w:val="00C737BC"/>
    <w:rsid w:val="00C73923"/>
    <w:rsid w:val="00C746C1"/>
    <w:rsid w:val="00C750C8"/>
    <w:rsid w:val="00C7560F"/>
    <w:rsid w:val="00C75C91"/>
    <w:rsid w:val="00C7705A"/>
    <w:rsid w:val="00C80265"/>
    <w:rsid w:val="00C80A0E"/>
    <w:rsid w:val="00C80A3D"/>
    <w:rsid w:val="00C80E35"/>
    <w:rsid w:val="00C813E7"/>
    <w:rsid w:val="00C8213F"/>
    <w:rsid w:val="00C83356"/>
    <w:rsid w:val="00C83FA1"/>
    <w:rsid w:val="00C8539B"/>
    <w:rsid w:val="00C85515"/>
    <w:rsid w:val="00C85A41"/>
    <w:rsid w:val="00C87391"/>
    <w:rsid w:val="00C8797A"/>
    <w:rsid w:val="00C900B8"/>
    <w:rsid w:val="00C90C71"/>
    <w:rsid w:val="00C91CF3"/>
    <w:rsid w:val="00C931CF"/>
    <w:rsid w:val="00C931D5"/>
    <w:rsid w:val="00C938CF"/>
    <w:rsid w:val="00C94A1D"/>
    <w:rsid w:val="00C9624D"/>
    <w:rsid w:val="00C969DA"/>
    <w:rsid w:val="00C96BED"/>
    <w:rsid w:val="00C96DE2"/>
    <w:rsid w:val="00C9714E"/>
    <w:rsid w:val="00C97187"/>
    <w:rsid w:val="00C97D89"/>
    <w:rsid w:val="00CA0715"/>
    <w:rsid w:val="00CA0937"/>
    <w:rsid w:val="00CA096C"/>
    <w:rsid w:val="00CA10A2"/>
    <w:rsid w:val="00CA2209"/>
    <w:rsid w:val="00CA2C77"/>
    <w:rsid w:val="00CA3878"/>
    <w:rsid w:val="00CA4121"/>
    <w:rsid w:val="00CA444F"/>
    <w:rsid w:val="00CA47EB"/>
    <w:rsid w:val="00CA5245"/>
    <w:rsid w:val="00CA5954"/>
    <w:rsid w:val="00CA5DE1"/>
    <w:rsid w:val="00CA62DF"/>
    <w:rsid w:val="00CA71F4"/>
    <w:rsid w:val="00CA7801"/>
    <w:rsid w:val="00CA7B09"/>
    <w:rsid w:val="00CA7B5C"/>
    <w:rsid w:val="00CA7B8A"/>
    <w:rsid w:val="00CB003D"/>
    <w:rsid w:val="00CB0A6A"/>
    <w:rsid w:val="00CB1553"/>
    <w:rsid w:val="00CB2780"/>
    <w:rsid w:val="00CB2CD2"/>
    <w:rsid w:val="00CB2F2A"/>
    <w:rsid w:val="00CB5B1A"/>
    <w:rsid w:val="00CB6B22"/>
    <w:rsid w:val="00CB790F"/>
    <w:rsid w:val="00CB7F5F"/>
    <w:rsid w:val="00CC1119"/>
    <w:rsid w:val="00CC1B39"/>
    <w:rsid w:val="00CC73EA"/>
    <w:rsid w:val="00CC7DA8"/>
    <w:rsid w:val="00CD109E"/>
    <w:rsid w:val="00CD1678"/>
    <w:rsid w:val="00CD2031"/>
    <w:rsid w:val="00CD206E"/>
    <w:rsid w:val="00CD3523"/>
    <w:rsid w:val="00CD3C9A"/>
    <w:rsid w:val="00CD4657"/>
    <w:rsid w:val="00CD4E16"/>
    <w:rsid w:val="00CD5758"/>
    <w:rsid w:val="00CD5963"/>
    <w:rsid w:val="00CD5F47"/>
    <w:rsid w:val="00CD5F94"/>
    <w:rsid w:val="00CD6ADC"/>
    <w:rsid w:val="00CD6BAF"/>
    <w:rsid w:val="00CE02EA"/>
    <w:rsid w:val="00CE1842"/>
    <w:rsid w:val="00CE1BBC"/>
    <w:rsid w:val="00CE4648"/>
    <w:rsid w:val="00CE47C1"/>
    <w:rsid w:val="00CE6274"/>
    <w:rsid w:val="00CE734F"/>
    <w:rsid w:val="00CE796C"/>
    <w:rsid w:val="00CF2B8D"/>
    <w:rsid w:val="00CF39AC"/>
    <w:rsid w:val="00CF456B"/>
    <w:rsid w:val="00CF5A22"/>
    <w:rsid w:val="00CF5A3E"/>
    <w:rsid w:val="00D003E1"/>
    <w:rsid w:val="00D02363"/>
    <w:rsid w:val="00D0262E"/>
    <w:rsid w:val="00D0408F"/>
    <w:rsid w:val="00D05151"/>
    <w:rsid w:val="00D056ED"/>
    <w:rsid w:val="00D05DD4"/>
    <w:rsid w:val="00D06D4E"/>
    <w:rsid w:val="00D07BDD"/>
    <w:rsid w:val="00D07C53"/>
    <w:rsid w:val="00D110BD"/>
    <w:rsid w:val="00D112CE"/>
    <w:rsid w:val="00D120D6"/>
    <w:rsid w:val="00D13675"/>
    <w:rsid w:val="00D13754"/>
    <w:rsid w:val="00D141E1"/>
    <w:rsid w:val="00D143D7"/>
    <w:rsid w:val="00D162CE"/>
    <w:rsid w:val="00D16CA6"/>
    <w:rsid w:val="00D17D6C"/>
    <w:rsid w:val="00D21F31"/>
    <w:rsid w:val="00D22065"/>
    <w:rsid w:val="00D222B6"/>
    <w:rsid w:val="00D24B1C"/>
    <w:rsid w:val="00D251B5"/>
    <w:rsid w:val="00D25B2E"/>
    <w:rsid w:val="00D273E1"/>
    <w:rsid w:val="00D2754D"/>
    <w:rsid w:val="00D278CD"/>
    <w:rsid w:val="00D27B27"/>
    <w:rsid w:val="00D317DD"/>
    <w:rsid w:val="00D32AEC"/>
    <w:rsid w:val="00D33A28"/>
    <w:rsid w:val="00D33BE9"/>
    <w:rsid w:val="00D33F42"/>
    <w:rsid w:val="00D340C7"/>
    <w:rsid w:val="00D357FF"/>
    <w:rsid w:val="00D37173"/>
    <w:rsid w:val="00D37260"/>
    <w:rsid w:val="00D378EA"/>
    <w:rsid w:val="00D40015"/>
    <w:rsid w:val="00D424C7"/>
    <w:rsid w:val="00D42AA4"/>
    <w:rsid w:val="00D43B2A"/>
    <w:rsid w:val="00D44227"/>
    <w:rsid w:val="00D44FA1"/>
    <w:rsid w:val="00D4634F"/>
    <w:rsid w:val="00D47575"/>
    <w:rsid w:val="00D51095"/>
    <w:rsid w:val="00D514B6"/>
    <w:rsid w:val="00D5667C"/>
    <w:rsid w:val="00D62306"/>
    <w:rsid w:val="00D65FBE"/>
    <w:rsid w:val="00D65FCC"/>
    <w:rsid w:val="00D6618D"/>
    <w:rsid w:val="00D66AC5"/>
    <w:rsid w:val="00D67E06"/>
    <w:rsid w:val="00D70085"/>
    <w:rsid w:val="00D7082C"/>
    <w:rsid w:val="00D70E4C"/>
    <w:rsid w:val="00D70F16"/>
    <w:rsid w:val="00D717ED"/>
    <w:rsid w:val="00D73F88"/>
    <w:rsid w:val="00D76A44"/>
    <w:rsid w:val="00D7718A"/>
    <w:rsid w:val="00D777EA"/>
    <w:rsid w:val="00D7789E"/>
    <w:rsid w:val="00D77BBD"/>
    <w:rsid w:val="00D815EF"/>
    <w:rsid w:val="00D82078"/>
    <w:rsid w:val="00D83FAA"/>
    <w:rsid w:val="00D84EA3"/>
    <w:rsid w:val="00D85A78"/>
    <w:rsid w:val="00D90394"/>
    <w:rsid w:val="00D90DE0"/>
    <w:rsid w:val="00D91923"/>
    <w:rsid w:val="00D91A96"/>
    <w:rsid w:val="00D93753"/>
    <w:rsid w:val="00D938B7"/>
    <w:rsid w:val="00D95710"/>
    <w:rsid w:val="00D96531"/>
    <w:rsid w:val="00D97274"/>
    <w:rsid w:val="00D97F2A"/>
    <w:rsid w:val="00DA0205"/>
    <w:rsid w:val="00DA0748"/>
    <w:rsid w:val="00DA109C"/>
    <w:rsid w:val="00DA3167"/>
    <w:rsid w:val="00DA4DC3"/>
    <w:rsid w:val="00DA5243"/>
    <w:rsid w:val="00DA52D5"/>
    <w:rsid w:val="00DA5A15"/>
    <w:rsid w:val="00DA5F49"/>
    <w:rsid w:val="00DA665D"/>
    <w:rsid w:val="00DA77A5"/>
    <w:rsid w:val="00DB0A42"/>
    <w:rsid w:val="00DB11DC"/>
    <w:rsid w:val="00DB1367"/>
    <w:rsid w:val="00DB194E"/>
    <w:rsid w:val="00DB2577"/>
    <w:rsid w:val="00DB363F"/>
    <w:rsid w:val="00DB3650"/>
    <w:rsid w:val="00DB46F1"/>
    <w:rsid w:val="00DB484F"/>
    <w:rsid w:val="00DB499C"/>
    <w:rsid w:val="00DB4A09"/>
    <w:rsid w:val="00DB4B23"/>
    <w:rsid w:val="00DB4D02"/>
    <w:rsid w:val="00DB5947"/>
    <w:rsid w:val="00DB5F66"/>
    <w:rsid w:val="00DB7966"/>
    <w:rsid w:val="00DB797F"/>
    <w:rsid w:val="00DC04F6"/>
    <w:rsid w:val="00DC0949"/>
    <w:rsid w:val="00DC0E2D"/>
    <w:rsid w:val="00DC19D9"/>
    <w:rsid w:val="00DC2FE3"/>
    <w:rsid w:val="00DC3C57"/>
    <w:rsid w:val="00DC49E5"/>
    <w:rsid w:val="00DC5501"/>
    <w:rsid w:val="00DC6A47"/>
    <w:rsid w:val="00DC76E6"/>
    <w:rsid w:val="00DC7A66"/>
    <w:rsid w:val="00DD1BD1"/>
    <w:rsid w:val="00DD24C3"/>
    <w:rsid w:val="00DD273C"/>
    <w:rsid w:val="00DD3DB3"/>
    <w:rsid w:val="00DD3ECC"/>
    <w:rsid w:val="00DD3F28"/>
    <w:rsid w:val="00DD4537"/>
    <w:rsid w:val="00DD4E15"/>
    <w:rsid w:val="00DD6525"/>
    <w:rsid w:val="00DE033C"/>
    <w:rsid w:val="00DE3138"/>
    <w:rsid w:val="00DE319C"/>
    <w:rsid w:val="00DE34F8"/>
    <w:rsid w:val="00DE37F8"/>
    <w:rsid w:val="00DE4037"/>
    <w:rsid w:val="00DE4FCB"/>
    <w:rsid w:val="00DE7832"/>
    <w:rsid w:val="00DE7A8C"/>
    <w:rsid w:val="00DF0A1B"/>
    <w:rsid w:val="00DF18FC"/>
    <w:rsid w:val="00DF5D2B"/>
    <w:rsid w:val="00DF7479"/>
    <w:rsid w:val="00E00E8E"/>
    <w:rsid w:val="00E019CD"/>
    <w:rsid w:val="00E03C50"/>
    <w:rsid w:val="00E043C3"/>
    <w:rsid w:val="00E05630"/>
    <w:rsid w:val="00E05DB2"/>
    <w:rsid w:val="00E06DBB"/>
    <w:rsid w:val="00E07B3E"/>
    <w:rsid w:val="00E10149"/>
    <w:rsid w:val="00E10209"/>
    <w:rsid w:val="00E136AF"/>
    <w:rsid w:val="00E139BD"/>
    <w:rsid w:val="00E14420"/>
    <w:rsid w:val="00E1483E"/>
    <w:rsid w:val="00E15084"/>
    <w:rsid w:val="00E157F8"/>
    <w:rsid w:val="00E15E53"/>
    <w:rsid w:val="00E15F93"/>
    <w:rsid w:val="00E16372"/>
    <w:rsid w:val="00E16481"/>
    <w:rsid w:val="00E1662C"/>
    <w:rsid w:val="00E16CFC"/>
    <w:rsid w:val="00E170A5"/>
    <w:rsid w:val="00E20366"/>
    <w:rsid w:val="00E20E4D"/>
    <w:rsid w:val="00E20ED6"/>
    <w:rsid w:val="00E21358"/>
    <w:rsid w:val="00E2249B"/>
    <w:rsid w:val="00E228FE"/>
    <w:rsid w:val="00E22A0D"/>
    <w:rsid w:val="00E22E60"/>
    <w:rsid w:val="00E23B51"/>
    <w:rsid w:val="00E24184"/>
    <w:rsid w:val="00E246F8"/>
    <w:rsid w:val="00E25102"/>
    <w:rsid w:val="00E25901"/>
    <w:rsid w:val="00E26035"/>
    <w:rsid w:val="00E2771E"/>
    <w:rsid w:val="00E27A6F"/>
    <w:rsid w:val="00E30145"/>
    <w:rsid w:val="00E308F1"/>
    <w:rsid w:val="00E3213C"/>
    <w:rsid w:val="00E32BAB"/>
    <w:rsid w:val="00E345B8"/>
    <w:rsid w:val="00E34948"/>
    <w:rsid w:val="00E36F85"/>
    <w:rsid w:val="00E37569"/>
    <w:rsid w:val="00E41E30"/>
    <w:rsid w:val="00E43D70"/>
    <w:rsid w:val="00E466F3"/>
    <w:rsid w:val="00E47B2C"/>
    <w:rsid w:val="00E50604"/>
    <w:rsid w:val="00E50BC9"/>
    <w:rsid w:val="00E50E30"/>
    <w:rsid w:val="00E510EF"/>
    <w:rsid w:val="00E51560"/>
    <w:rsid w:val="00E54347"/>
    <w:rsid w:val="00E54FF6"/>
    <w:rsid w:val="00E55424"/>
    <w:rsid w:val="00E558D2"/>
    <w:rsid w:val="00E55BB5"/>
    <w:rsid w:val="00E56D24"/>
    <w:rsid w:val="00E57F09"/>
    <w:rsid w:val="00E600AE"/>
    <w:rsid w:val="00E6151A"/>
    <w:rsid w:val="00E616A7"/>
    <w:rsid w:val="00E61DE8"/>
    <w:rsid w:val="00E62C52"/>
    <w:rsid w:val="00E636E7"/>
    <w:rsid w:val="00E655EF"/>
    <w:rsid w:val="00E65E79"/>
    <w:rsid w:val="00E6670D"/>
    <w:rsid w:val="00E66BA2"/>
    <w:rsid w:val="00E67416"/>
    <w:rsid w:val="00E718B6"/>
    <w:rsid w:val="00E71F80"/>
    <w:rsid w:val="00E723BA"/>
    <w:rsid w:val="00E732D0"/>
    <w:rsid w:val="00E73581"/>
    <w:rsid w:val="00E73718"/>
    <w:rsid w:val="00E738BD"/>
    <w:rsid w:val="00E75016"/>
    <w:rsid w:val="00E752D8"/>
    <w:rsid w:val="00E76BBC"/>
    <w:rsid w:val="00E80577"/>
    <w:rsid w:val="00E81920"/>
    <w:rsid w:val="00E81990"/>
    <w:rsid w:val="00E81DEE"/>
    <w:rsid w:val="00E833F7"/>
    <w:rsid w:val="00E83A3D"/>
    <w:rsid w:val="00E83BDF"/>
    <w:rsid w:val="00E84172"/>
    <w:rsid w:val="00E847BE"/>
    <w:rsid w:val="00E85AD0"/>
    <w:rsid w:val="00E8624C"/>
    <w:rsid w:val="00E870A8"/>
    <w:rsid w:val="00E87A1D"/>
    <w:rsid w:val="00E87AE6"/>
    <w:rsid w:val="00E90127"/>
    <w:rsid w:val="00E905B0"/>
    <w:rsid w:val="00E918E8"/>
    <w:rsid w:val="00E92042"/>
    <w:rsid w:val="00E926A5"/>
    <w:rsid w:val="00E96364"/>
    <w:rsid w:val="00E975A4"/>
    <w:rsid w:val="00EA17C3"/>
    <w:rsid w:val="00EA255C"/>
    <w:rsid w:val="00EA2CAA"/>
    <w:rsid w:val="00EA3262"/>
    <w:rsid w:val="00EA3864"/>
    <w:rsid w:val="00EA4A9A"/>
    <w:rsid w:val="00EA5772"/>
    <w:rsid w:val="00EA5DC2"/>
    <w:rsid w:val="00EA6DE5"/>
    <w:rsid w:val="00EB0B1B"/>
    <w:rsid w:val="00EB15B6"/>
    <w:rsid w:val="00EB1E6C"/>
    <w:rsid w:val="00EB367D"/>
    <w:rsid w:val="00EB4916"/>
    <w:rsid w:val="00EB4FFC"/>
    <w:rsid w:val="00EB7861"/>
    <w:rsid w:val="00EC00C9"/>
    <w:rsid w:val="00EC01B0"/>
    <w:rsid w:val="00EC0F16"/>
    <w:rsid w:val="00EC13C9"/>
    <w:rsid w:val="00EC2649"/>
    <w:rsid w:val="00EC4D75"/>
    <w:rsid w:val="00EC50DC"/>
    <w:rsid w:val="00EC7B14"/>
    <w:rsid w:val="00ED002B"/>
    <w:rsid w:val="00ED0363"/>
    <w:rsid w:val="00ED0C32"/>
    <w:rsid w:val="00ED3989"/>
    <w:rsid w:val="00ED5206"/>
    <w:rsid w:val="00ED57EA"/>
    <w:rsid w:val="00ED5827"/>
    <w:rsid w:val="00ED58C5"/>
    <w:rsid w:val="00ED6528"/>
    <w:rsid w:val="00ED713E"/>
    <w:rsid w:val="00ED71B1"/>
    <w:rsid w:val="00ED731A"/>
    <w:rsid w:val="00ED745C"/>
    <w:rsid w:val="00EE0080"/>
    <w:rsid w:val="00EE07D3"/>
    <w:rsid w:val="00EE0FBC"/>
    <w:rsid w:val="00EE18AF"/>
    <w:rsid w:val="00EE22AF"/>
    <w:rsid w:val="00EE3A52"/>
    <w:rsid w:val="00EE430E"/>
    <w:rsid w:val="00EE6026"/>
    <w:rsid w:val="00EE6B88"/>
    <w:rsid w:val="00EE707C"/>
    <w:rsid w:val="00EF0171"/>
    <w:rsid w:val="00EF1B25"/>
    <w:rsid w:val="00EF2E6B"/>
    <w:rsid w:val="00EF374B"/>
    <w:rsid w:val="00EF3FE7"/>
    <w:rsid w:val="00EF44FE"/>
    <w:rsid w:val="00EF4747"/>
    <w:rsid w:val="00EF4BF8"/>
    <w:rsid w:val="00EF6C6C"/>
    <w:rsid w:val="00EF756E"/>
    <w:rsid w:val="00EF7EA5"/>
    <w:rsid w:val="00F00E6A"/>
    <w:rsid w:val="00F014F5"/>
    <w:rsid w:val="00F01632"/>
    <w:rsid w:val="00F0177A"/>
    <w:rsid w:val="00F02253"/>
    <w:rsid w:val="00F0295F"/>
    <w:rsid w:val="00F03C2E"/>
    <w:rsid w:val="00F048B1"/>
    <w:rsid w:val="00F04A66"/>
    <w:rsid w:val="00F0516C"/>
    <w:rsid w:val="00F05862"/>
    <w:rsid w:val="00F05D62"/>
    <w:rsid w:val="00F067A2"/>
    <w:rsid w:val="00F077DF"/>
    <w:rsid w:val="00F124C8"/>
    <w:rsid w:val="00F1263A"/>
    <w:rsid w:val="00F12AAB"/>
    <w:rsid w:val="00F13D26"/>
    <w:rsid w:val="00F149FF"/>
    <w:rsid w:val="00F14EEB"/>
    <w:rsid w:val="00F1660F"/>
    <w:rsid w:val="00F16BF7"/>
    <w:rsid w:val="00F20088"/>
    <w:rsid w:val="00F20091"/>
    <w:rsid w:val="00F22395"/>
    <w:rsid w:val="00F24837"/>
    <w:rsid w:val="00F24DCA"/>
    <w:rsid w:val="00F2575F"/>
    <w:rsid w:val="00F27554"/>
    <w:rsid w:val="00F27565"/>
    <w:rsid w:val="00F27A6B"/>
    <w:rsid w:val="00F3016F"/>
    <w:rsid w:val="00F310D4"/>
    <w:rsid w:val="00F3124B"/>
    <w:rsid w:val="00F318EA"/>
    <w:rsid w:val="00F31D5A"/>
    <w:rsid w:val="00F328BE"/>
    <w:rsid w:val="00F33DE9"/>
    <w:rsid w:val="00F34006"/>
    <w:rsid w:val="00F3425D"/>
    <w:rsid w:val="00F35392"/>
    <w:rsid w:val="00F3619A"/>
    <w:rsid w:val="00F36D76"/>
    <w:rsid w:val="00F36DD7"/>
    <w:rsid w:val="00F3712A"/>
    <w:rsid w:val="00F40AAA"/>
    <w:rsid w:val="00F40BA7"/>
    <w:rsid w:val="00F43A63"/>
    <w:rsid w:val="00F44061"/>
    <w:rsid w:val="00F45A7E"/>
    <w:rsid w:val="00F46CB6"/>
    <w:rsid w:val="00F477AA"/>
    <w:rsid w:val="00F47894"/>
    <w:rsid w:val="00F47DE8"/>
    <w:rsid w:val="00F5036F"/>
    <w:rsid w:val="00F5177F"/>
    <w:rsid w:val="00F542C1"/>
    <w:rsid w:val="00F55E73"/>
    <w:rsid w:val="00F55EDA"/>
    <w:rsid w:val="00F57201"/>
    <w:rsid w:val="00F5749E"/>
    <w:rsid w:val="00F60092"/>
    <w:rsid w:val="00F60889"/>
    <w:rsid w:val="00F624A9"/>
    <w:rsid w:val="00F644CE"/>
    <w:rsid w:val="00F64A20"/>
    <w:rsid w:val="00F64B0E"/>
    <w:rsid w:val="00F656F6"/>
    <w:rsid w:val="00F65712"/>
    <w:rsid w:val="00F65F4B"/>
    <w:rsid w:val="00F667C8"/>
    <w:rsid w:val="00F66B4F"/>
    <w:rsid w:val="00F67C2F"/>
    <w:rsid w:val="00F700E8"/>
    <w:rsid w:val="00F70C9D"/>
    <w:rsid w:val="00F72E26"/>
    <w:rsid w:val="00F72E6B"/>
    <w:rsid w:val="00F74CD9"/>
    <w:rsid w:val="00F74D09"/>
    <w:rsid w:val="00F75F52"/>
    <w:rsid w:val="00F772E2"/>
    <w:rsid w:val="00F77E7A"/>
    <w:rsid w:val="00F80A7B"/>
    <w:rsid w:val="00F80E5D"/>
    <w:rsid w:val="00F81602"/>
    <w:rsid w:val="00F81EE2"/>
    <w:rsid w:val="00F851CE"/>
    <w:rsid w:val="00F87F5B"/>
    <w:rsid w:val="00F87FB3"/>
    <w:rsid w:val="00F90C7B"/>
    <w:rsid w:val="00F91219"/>
    <w:rsid w:val="00F9141A"/>
    <w:rsid w:val="00F9285E"/>
    <w:rsid w:val="00F941DE"/>
    <w:rsid w:val="00F9576D"/>
    <w:rsid w:val="00F96B24"/>
    <w:rsid w:val="00F97A78"/>
    <w:rsid w:val="00FA0B20"/>
    <w:rsid w:val="00FA24E7"/>
    <w:rsid w:val="00FA25AB"/>
    <w:rsid w:val="00FA2ECC"/>
    <w:rsid w:val="00FA32B8"/>
    <w:rsid w:val="00FA5712"/>
    <w:rsid w:val="00FA6098"/>
    <w:rsid w:val="00FA7462"/>
    <w:rsid w:val="00FA74C8"/>
    <w:rsid w:val="00FB2FCB"/>
    <w:rsid w:val="00FB35F4"/>
    <w:rsid w:val="00FB4B48"/>
    <w:rsid w:val="00FB4F32"/>
    <w:rsid w:val="00FB57FA"/>
    <w:rsid w:val="00FB5CDA"/>
    <w:rsid w:val="00FB5EEE"/>
    <w:rsid w:val="00FB6BAB"/>
    <w:rsid w:val="00FB6CCA"/>
    <w:rsid w:val="00FC0045"/>
    <w:rsid w:val="00FC0907"/>
    <w:rsid w:val="00FC1074"/>
    <w:rsid w:val="00FC1884"/>
    <w:rsid w:val="00FC1B82"/>
    <w:rsid w:val="00FC1F6B"/>
    <w:rsid w:val="00FC24AA"/>
    <w:rsid w:val="00FC2CA2"/>
    <w:rsid w:val="00FC31DB"/>
    <w:rsid w:val="00FC371D"/>
    <w:rsid w:val="00FC4220"/>
    <w:rsid w:val="00FC4AB3"/>
    <w:rsid w:val="00FC5F0B"/>
    <w:rsid w:val="00FC71DC"/>
    <w:rsid w:val="00FD01D1"/>
    <w:rsid w:val="00FD2100"/>
    <w:rsid w:val="00FD23BB"/>
    <w:rsid w:val="00FD3903"/>
    <w:rsid w:val="00FD3BC2"/>
    <w:rsid w:val="00FD4002"/>
    <w:rsid w:val="00FD436C"/>
    <w:rsid w:val="00FD446D"/>
    <w:rsid w:val="00FD6394"/>
    <w:rsid w:val="00FD69F6"/>
    <w:rsid w:val="00FE0E6C"/>
    <w:rsid w:val="00FE2BFF"/>
    <w:rsid w:val="00FE3622"/>
    <w:rsid w:val="00FE5707"/>
    <w:rsid w:val="00FE70C3"/>
    <w:rsid w:val="00FE78FD"/>
    <w:rsid w:val="00FF0CAD"/>
    <w:rsid w:val="00FF10C2"/>
    <w:rsid w:val="00FF11A4"/>
    <w:rsid w:val="00FF376F"/>
    <w:rsid w:val="00FF3DCF"/>
    <w:rsid w:val="00FF492C"/>
    <w:rsid w:val="00FF4939"/>
    <w:rsid w:val="00FF4A21"/>
    <w:rsid w:val="00FF5AA3"/>
    <w:rsid w:val="00FF5AD8"/>
    <w:rsid w:val="00FF6289"/>
    <w:rsid w:val="00FF79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0B2"/>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04174D"/>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74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F12AAB"/>
    <w:pPr>
      <w:numPr>
        <w:numId w:val="2"/>
      </w:numPr>
      <w:spacing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HTAsimple">
    <w:name w:val="Table HTA simple"/>
    <w:basedOn w:val="TableNormal"/>
    <w:uiPriority w:val="99"/>
    <w:rsid w:val="00AF70C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1">
    <w:name w:val="Table H1"/>
    <w:basedOn w:val="BodyText"/>
    <w:uiPriority w:val="4"/>
    <w:qFormat/>
    <w:rsid w:val="00AF70C2"/>
    <w:pPr>
      <w:keepNext/>
      <w:widowControl/>
      <w:tabs>
        <w:tab w:val="left" w:pos="416"/>
        <w:tab w:val="left" w:pos="582"/>
        <w:tab w:val="left" w:pos="1134"/>
      </w:tabs>
      <w:spacing w:before="40" w:after="40"/>
    </w:pPr>
    <w:rPr>
      <w:rFonts w:asciiTheme="minorHAnsi" w:eastAsiaTheme="minorHAnsi" w:hAnsiTheme="minorHAnsi" w:cs="Tahoma"/>
      <w:b/>
      <w:snapToGrid/>
      <w:spacing w:val="-1"/>
      <w:sz w:val="18"/>
      <w:szCs w:val="18"/>
      <w:lang w:val="en-US"/>
    </w:rPr>
  </w:style>
  <w:style w:type="paragraph" w:customStyle="1" w:styleId="TableHeadingleft">
    <w:name w:val="Table Heading left"/>
    <w:basedOn w:val="Normal"/>
    <w:next w:val="Normal"/>
    <w:qFormat/>
    <w:rsid w:val="00AF70C2"/>
    <w:pPr>
      <w:widowControl/>
      <w:spacing w:before="40" w:after="40"/>
      <w:jc w:val="left"/>
    </w:pPr>
    <w:rPr>
      <w:rFonts w:asciiTheme="minorHAnsi" w:eastAsiaTheme="minorHAnsi" w:hAnsiTheme="minorHAnsi" w:cs="Tahoma"/>
      <w:b/>
      <w:snapToGrid/>
      <w:sz w:val="18"/>
      <w:szCs w:val="18"/>
      <w:lang w:val="de-DE"/>
    </w:rPr>
  </w:style>
  <w:style w:type="paragraph" w:customStyle="1" w:styleId="Default">
    <w:name w:val="Default"/>
    <w:rsid w:val="00F05D62"/>
    <w:pPr>
      <w:autoSpaceDE w:val="0"/>
      <w:autoSpaceDN w:val="0"/>
      <w:adjustRightInd w:val="0"/>
    </w:pPr>
    <w:rPr>
      <w:color w:val="000000"/>
      <w:sz w:val="24"/>
      <w:szCs w:val="24"/>
      <w:lang w:val="en-US" w:eastAsia="en-US"/>
    </w:rPr>
  </w:style>
  <w:style w:type="paragraph" w:customStyle="1" w:styleId="TableFigNotes0">
    <w:name w:val="TableFigNotes+0"/>
    <w:basedOn w:val="Normal"/>
    <w:uiPriority w:val="4"/>
    <w:rsid w:val="00816241"/>
    <w:pPr>
      <w:keepNext/>
      <w:keepLines/>
      <w:widowControl/>
      <w:jc w:val="left"/>
    </w:pPr>
    <w:rPr>
      <w:rFonts w:cs="Tahoma"/>
      <w:snapToGrid/>
      <w:color w:val="000000"/>
      <w:sz w:val="16"/>
      <w:szCs w:val="18"/>
      <w:lang w:val="en-US" w:eastAsia="en-AU"/>
    </w:rPr>
  </w:style>
  <w:style w:type="paragraph" w:customStyle="1" w:styleId="Tabletextleft">
    <w:name w:val="Table text left"/>
    <w:basedOn w:val="Normal"/>
    <w:link w:val="TabletextleftChar"/>
    <w:qFormat/>
    <w:rsid w:val="00C1181F"/>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C1181F"/>
    <w:rPr>
      <w:rFonts w:asciiTheme="minorHAnsi" w:hAnsiTheme="minorHAnsi"/>
      <w:sz w:val="18"/>
    </w:rPr>
  </w:style>
  <w:style w:type="paragraph" w:customStyle="1" w:styleId="Tableheadingcent">
    <w:name w:val="Table heading cent"/>
    <w:basedOn w:val="TableHeadingleft"/>
    <w:qFormat/>
    <w:rsid w:val="00C1181F"/>
    <w:pPr>
      <w:jc w:val="center"/>
    </w:pPr>
  </w:style>
  <w:style w:type="paragraph" w:customStyle="1" w:styleId="Tabletextbold">
    <w:name w:val="Table text bold"/>
    <w:basedOn w:val="Tabletextleft"/>
    <w:qFormat/>
    <w:rsid w:val="00C1181F"/>
    <w:pPr>
      <w:ind w:left="57" w:right="57"/>
    </w:pPr>
    <w:rPr>
      <w:rFonts w:eastAsia="Arial"/>
      <w:b/>
      <w:lang w:val="de-DE"/>
    </w:rPr>
  </w:style>
  <w:style w:type="table" w:customStyle="1" w:styleId="HTATableshaded1">
    <w:name w:val="HTA Table shaded1"/>
    <w:basedOn w:val="TableNormal"/>
    <w:rsid w:val="00C1181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cent">
    <w:name w:val="Table text cent"/>
    <w:basedOn w:val="Tabletextleft"/>
    <w:qFormat/>
    <w:rsid w:val="00AA5537"/>
    <w:pPr>
      <w:jc w:val="center"/>
    </w:pPr>
    <w:rPr>
      <w:lang w:val="de-DE"/>
    </w:rPr>
  </w:style>
  <w:style w:type="paragraph" w:customStyle="1" w:styleId="Dash0">
    <w:name w:val="Dash+0"/>
    <w:basedOn w:val="Normal"/>
    <w:uiPriority w:val="2"/>
    <w:rsid w:val="00EE3A52"/>
    <w:pPr>
      <w:widowControl/>
      <w:numPr>
        <w:numId w:val="6"/>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bulletlist">
    <w:name w:val="Table bullet list"/>
    <w:basedOn w:val="Tabletextleft"/>
    <w:link w:val="TablebulletlistChar"/>
    <w:qFormat/>
    <w:rsid w:val="00EE3A52"/>
    <w:pPr>
      <w:widowControl w:val="0"/>
      <w:numPr>
        <w:numId w:val="7"/>
      </w:numPr>
      <w:tabs>
        <w:tab w:val="left" w:pos="464"/>
      </w:tabs>
      <w:spacing w:before="34" w:after="0"/>
      <w:ind w:left="341" w:hanging="284"/>
    </w:pPr>
    <w:rPr>
      <w:rFonts w:eastAsia="Calibri"/>
      <w:szCs w:val="18"/>
      <w:lang w:val="en-US"/>
    </w:rPr>
  </w:style>
  <w:style w:type="character" w:customStyle="1" w:styleId="TablebulletlistChar">
    <w:name w:val="Table bullet list Char"/>
    <w:basedOn w:val="TabletextleftChar"/>
    <w:link w:val="Tablebulletlist"/>
    <w:rsid w:val="00EE3A52"/>
    <w:rPr>
      <w:rFonts w:asciiTheme="minorHAnsi" w:eastAsia="Calibri" w:hAnsiTheme="minorHAnsi"/>
      <w:sz w:val="18"/>
      <w:szCs w:val="18"/>
      <w:lang w:val="en-US"/>
    </w:rPr>
  </w:style>
  <w:style w:type="table" w:customStyle="1" w:styleId="HTATableshaded">
    <w:name w:val="HTA Table shaded"/>
    <w:basedOn w:val="TableNormal"/>
    <w:rsid w:val="005F50C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V50Instructions">
    <w:name w:val="V5.0 Instructions"/>
    <w:basedOn w:val="Normal"/>
    <w:link w:val="V50InstructionsChar"/>
    <w:qFormat/>
    <w:rsid w:val="006817B8"/>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6817B8"/>
    <w:rPr>
      <w:rFonts w:asciiTheme="minorHAnsi" w:eastAsiaTheme="minorHAnsi" w:hAnsiTheme="minorHAnsi" w:cstheme="minorBidi"/>
      <w:color w:val="4BACC6" w:themeColor="accent5"/>
      <w:sz w:val="24"/>
      <w:szCs w:val="22"/>
      <w:lang w:eastAsia="en-US"/>
    </w:rPr>
  </w:style>
  <w:style w:type="paragraph" w:customStyle="1" w:styleId="TableHeading0">
    <w:name w:val="Table Heading"/>
    <w:basedOn w:val="Normal"/>
    <w:qFormat/>
    <w:rsid w:val="00A74BD9"/>
    <w:pPr>
      <w:keepNext/>
      <w:widowControl/>
      <w:spacing w:after="60"/>
      <w:jc w:val="left"/>
    </w:pPr>
    <w:rPr>
      <w:rFonts w:ascii="Arial Narrow" w:eastAsiaTheme="minorHAnsi" w:hAnsi="Arial Narrow" w:cstheme="minorBidi"/>
      <w:b/>
      <w:snapToGrid/>
      <w:sz w:val="20"/>
    </w:rPr>
  </w:style>
  <w:style w:type="table" w:customStyle="1" w:styleId="HTATableshaded3">
    <w:name w:val="HTA Table shaded3"/>
    <w:basedOn w:val="TableNormal"/>
    <w:rsid w:val="00A74BD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oxHeading">
    <w:name w:val="BoxHeading"/>
    <w:basedOn w:val="BodyText"/>
    <w:link w:val="BoxHeadingChar"/>
    <w:uiPriority w:val="3"/>
    <w:rsid w:val="00A74BD9"/>
    <w:pPr>
      <w:widowControl/>
      <w:pBdr>
        <w:top w:val="single" w:sz="6" w:space="1" w:color="000000"/>
        <w:left w:val="single" w:sz="6" w:space="4" w:color="000000"/>
        <w:bottom w:val="single" w:sz="6" w:space="1" w:color="000000"/>
        <w:right w:val="single" w:sz="6" w:space="4" w:color="000000"/>
      </w:pBdr>
      <w:tabs>
        <w:tab w:val="left" w:pos="1418"/>
      </w:tabs>
      <w:spacing w:before="120" w:after="120" w:line="276" w:lineRule="auto"/>
    </w:pPr>
    <w:rPr>
      <w:rFonts w:asciiTheme="minorHAnsi" w:eastAsiaTheme="minorHAnsi" w:hAnsiTheme="minorHAnsi" w:cs="Tahoma"/>
      <w:b/>
      <w:bCs/>
      <w:snapToGrid/>
      <w:sz w:val="22"/>
      <w:szCs w:val="20"/>
    </w:rPr>
  </w:style>
  <w:style w:type="character" w:customStyle="1" w:styleId="BoxHeadingChar">
    <w:name w:val="BoxHeading Char"/>
    <w:basedOn w:val="DefaultParagraphFont"/>
    <w:link w:val="BoxHeading"/>
    <w:uiPriority w:val="3"/>
    <w:rsid w:val="00A74BD9"/>
    <w:rPr>
      <w:rFonts w:asciiTheme="minorHAnsi" w:eastAsiaTheme="minorHAnsi" w:hAnsiTheme="minorHAnsi" w:cs="Tahoma"/>
      <w:b/>
      <w:bCs/>
      <w:sz w:val="22"/>
      <w:lang w:eastAsia="en-US"/>
    </w:rPr>
  </w:style>
  <w:style w:type="paragraph" w:customStyle="1" w:styleId="Bullet6">
    <w:name w:val="Bullet+6"/>
    <w:basedOn w:val="Normal"/>
    <w:next w:val="BodyText"/>
    <w:link w:val="Bullet6Char"/>
    <w:uiPriority w:val="2"/>
    <w:qFormat/>
    <w:rsid w:val="00A74BD9"/>
    <w:pPr>
      <w:widowControl/>
      <w:numPr>
        <w:numId w:val="11"/>
      </w:numPr>
      <w:spacing w:after="120" w:line="276" w:lineRule="auto"/>
      <w:jc w:val="left"/>
    </w:pPr>
    <w:rPr>
      <w:rFonts w:asciiTheme="minorHAnsi" w:eastAsiaTheme="minorHAnsi" w:hAnsiTheme="minorHAnsi"/>
      <w:snapToGrid/>
      <w:sz w:val="22"/>
    </w:rPr>
  </w:style>
  <w:style w:type="character" w:customStyle="1" w:styleId="Bullet6Char">
    <w:name w:val="Bullet+6 Char"/>
    <w:basedOn w:val="DefaultParagraphFont"/>
    <w:link w:val="Bullet6"/>
    <w:uiPriority w:val="2"/>
    <w:rsid w:val="00A74BD9"/>
    <w:rPr>
      <w:rFonts w:asciiTheme="minorHAnsi" w:eastAsiaTheme="minorHAnsi" w:hAnsiTheme="minorHAnsi" w:cs="Arial"/>
      <w:sz w:val="22"/>
      <w:szCs w:val="22"/>
      <w:lang w:eastAsia="en-US"/>
    </w:rPr>
  </w:style>
  <w:style w:type="paragraph" w:styleId="FootnoteText">
    <w:name w:val="footnote text"/>
    <w:basedOn w:val="Normal"/>
    <w:link w:val="FootnoteTextChar"/>
    <w:semiHidden/>
    <w:unhideWhenUsed/>
    <w:rsid w:val="00FF0CAD"/>
    <w:rPr>
      <w:sz w:val="20"/>
      <w:szCs w:val="20"/>
    </w:rPr>
  </w:style>
  <w:style w:type="character" w:customStyle="1" w:styleId="FootnoteTextChar">
    <w:name w:val="Footnote Text Char"/>
    <w:basedOn w:val="DefaultParagraphFont"/>
    <w:link w:val="FootnoteText"/>
    <w:semiHidden/>
    <w:rsid w:val="00FF0CAD"/>
    <w:rPr>
      <w:rFonts w:ascii="Calibri" w:hAnsi="Calibri" w:cs="Arial"/>
      <w:snapToGrid w:val="0"/>
      <w:lang w:eastAsia="en-US"/>
    </w:rPr>
  </w:style>
  <w:style w:type="character" w:styleId="FootnoteReference">
    <w:name w:val="footnote reference"/>
    <w:basedOn w:val="DefaultParagraphFont"/>
    <w:semiHidden/>
    <w:unhideWhenUsed/>
    <w:rsid w:val="00FF0CAD"/>
    <w:rPr>
      <w:vertAlign w:val="superscript"/>
    </w:rPr>
  </w:style>
  <w:style w:type="paragraph" w:customStyle="1" w:styleId="ListNos0">
    <w:name w:val="ListNos+0"/>
    <w:basedOn w:val="BodyText"/>
    <w:uiPriority w:val="2"/>
    <w:qFormat/>
    <w:rsid w:val="00787D3E"/>
    <w:pPr>
      <w:widowControl/>
      <w:numPr>
        <w:numId w:val="12"/>
      </w:numPr>
      <w:spacing w:line="276" w:lineRule="auto"/>
    </w:pPr>
    <w:rPr>
      <w:rFonts w:asciiTheme="minorHAnsi" w:eastAsiaTheme="minorHAnsi" w:hAnsiTheme="minorHAnsi" w:cs="Tahoma"/>
      <w:snapToGrid/>
      <w:sz w:val="22"/>
    </w:rPr>
  </w:style>
  <w:style w:type="character" w:customStyle="1" w:styleId="term">
    <w:name w:val="term"/>
    <w:basedOn w:val="DefaultParagraphFont"/>
    <w:rsid w:val="00C11A7E"/>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852B9"/>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789">
      <w:bodyDiv w:val="1"/>
      <w:marLeft w:val="0"/>
      <w:marRight w:val="0"/>
      <w:marTop w:val="0"/>
      <w:marBottom w:val="0"/>
      <w:divBdr>
        <w:top w:val="none" w:sz="0" w:space="0" w:color="auto"/>
        <w:left w:val="none" w:sz="0" w:space="0" w:color="auto"/>
        <w:bottom w:val="none" w:sz="0" w:space="0" w:color="auto"/>
        <w:right w:val="none" w:sz="0" w:space="0" w:color="auto"/>
      </w:divBdr>
    </w:div>
    <w:div w:id="145243801">
      <w:bodyDiv w:val="1"/>
      <w:marLeft w:val="0"/>
      <w:marRight w:val="0"/>
      <w:marTop w:val="0"/>
      <w:marBottom w:val="0"/>
      <w:divBdr>
        <w:top w:val="none" w:sz="0" w:space="0" w:color="auto"/>
        <w:left w:val="none" w:sz="0" w:space="0" w:color="auto"/>
        <w:bottom w:val="none" w:sz="0" w:space="0" w:color="auto"/>
        <w:right w:val="none" w:sz="0" w:space="0" w:color="auto"/>
      </w:divBdr>
    </w:div>
    <w:div w:id="408574708">
      <w:bodyDiv w:val="1"/>
      <w:marLeft w:val="0"/>
      <w:marRight w:val="0"/>
      <w:marTop w:val="0"/>
      <w:marBottom w:val="0"/>
      <w:divBdr>
        <w:top w:val="none" w:sz="0" w:space="0" w:color="auto"/>
        <w:left w:val="none" w:sz="0" w:space="0" w:color="auto"/>
        <w:bottom w:val="none" w:sz="0" w:space="0" w:color="auto"/>
        <w:right w:val="none" w:sz="0" w:space="0" w:color="auto"/>
      </w:divBdr>
    </w:div>
    <w:div w:id="626814926">
      <w:bodyDiv w:val="1"/>
      <w:marLeft w:val="0"/>
      <w:marRight w:val="0"/>
      <w:marTop w:val="0"/>
      <w:marBottom w:val="0"/>
      <w:divBdr>
        <w:top w:val="none" w:sz="0" w:space="0" w:color="auto"/>
        <w:left w:val="none" w:sz="0" w:space="0" w:color="auto"/>
        <w:bottom w:val="none" w:sz="0" w:space="0" w:color="auto"/>
        <w:right w:val="none" w:sz="0" w:space="0" w:color="auto"/>
      </w:divBdr>
    </w:div>
    <w:div w:id="843788542">
      <w:bodyDiv w:val="1"/>
      <w:marLeft w:val="0"/>
      <w:marRight w:val="0"/>
      <w:marTop w:val="0"/>
      <w:marBottom w:val="0"/>
      <w:divBdr>
        <w:top w:val="none" w:sz="0" w:space="0" w:color="auto"/>
        <w:left w:val="none" w:sz="0" w:space="0" w:color="auto"/>
        <w:bottom w:val="none" w:sz="0" w:space="0" w:color="auto"/>
        <w:right w:val="none" w:sz="0" w:space="0" w:color="auto"/>
      </w:divBdr>
      <w:divsChild>
        <w:div w:id="4287238">
          <w:marLeft w:val="360"/>
          <w:marRight w:val="0"/>
          <w:marTop w:val="200"/>
          <w:marBottom w:val="0"/>
          <w:divBdr>
            <w:top w:val="none" w:sz="0" w:space="0" w:color="auto"/>
            <w:left w:val="none" w:sz="0" w:space="0" w:color="auto"/>
            <w:bottom w:val="none" w:sz="0" w:space="0" w:color="auto"/>
            <w:right w:val="none" w:sz="0" w:space="0" w:color="auto"/>
          </w:divBdr>
        </w:div>
        <w:div w:id="962225499">
          <w:marLeft w:val="360"/>
          <w:marRight w:val="0"/>
          <w:marTop w:val="200"/>
          <w:marBottom w:val="0"/>
          <w:divBdr>
            <w:top w:val="none" w:sz="0" w:space="0" w:color="auto"/>
            <w:left w:val="none" w:sz="0" w:space="0" w:color="auto"/>
            <w:bottom w:val="none" w:sz="0" w:space="0" w:color="auto"/>
            <w:right w:val="none" w:sz="0" w:space="0" w:color="auto"/>
          </w:divBdr>
        </w:div>
        <w:div w:id="1469125297">
          <w:marLeft w:val="360"/>
          <w:marRight w:val="0"/>
          <w:marTop w:val="200"/>
          <w:marBottom w:val="0"/>
          <w:divBdr>
            <w:top w:val="none" w:sz="0" w:space="0" w:color="auto"/>
            <w:left w:val="none" w:sz="0" w:space="0" w:color="auto"/>
            <w:bottom w:val="none" w:sz="0" w:space="0" w:color="auto"/>
            <w:right w:val="none" w:sz="0" w:space="0" w:color="auto"/>
          </w:divBdr>
        </w:div>
        <w:div w:id="1557203474">
          <w:marLeft w:val="360"/>
          <w:marRight w:val="0"/>
          <w:marTop w:val="200"/>
          <w:marBottom w:val="0"/>
          <w:divBdr>
            <w:top w:val="none" w:sz="0" w:space="0" w:color="auto"/>
            <w:left w:val="none" w:sz="0" w:space="0" w:color="auto"/>
            <w:bottom w:val="none" w:sz="0" w:space="0" w:color="auto"/>
            <w:right w:val="none" w:sz="0" w:space="0" w:color="auto"/>
          </w:divBdr>
        </w:div>
        <w:div w:id="693507345">
          <w:marLeft w:val="360"/>
          <w:marRight w:val="0"/>
          <w:marTop w:val="200"/>
          <w:marBottom w:val="0"/>
          <w:divBdr>
            <w:top w:val="none" w:sz="0" w:space="0" w:color="auto"/>
            <w:left w:val="none" w:sz="0" w:space="0" w:color="auto"/>
            <w:bottom w:val="none" w:sz="0" w:space="0" w:color="auto"/>
            <w:right w:val="none" w:sz="0" w:space="0" w:color="auto"/>
          </w:divBdr>
        </w:div>
      </w:divsChild>
    </w:div>
    <w:div w:id="861819498">
      <w:bodyDiv w:val="1"/>
      <w:marLeft w:val="0"/>
      <w:marRight w:val="0"/>
      <w:marTop w:val="0"/>
      <w:marBottom w:val="0"/>
      <w:divBdr>
        <w:top w:val="none" w:sz="0" w:space="0" w:color="auto"/>
        <w:left w:val="none" w:sz="0" w:space="0" w:color="auto"/>
        <w:bottom w:val="none" w:sz="0" w:space="0" w:color="auto"/>
        <w:right w:val="none" w:sz="0" w:space="0" w:color="auto"/>
      </w:divBdr>
    </w:div>
    <w:div w:id="1032683242">
      <w:bodyDiv w:val="1"/>
      <w:marLeft w:val="0"/>
      <w:marRight w:val="0"/>
      <w:marTop w:val="0"/>
      <w:marBottom w:val="0"/>
      <w:divBdr>
        <w:top w:val="none" w:sz="0" w:space="0" w:color="auto"/>
        <w:left w:val="none" w:sz="0" w:space="0" w:color="auto"/>
        <w:bottom w:val="none" w:sz="0" w:space="0" w:color="auto"/>
        <w:right w:val="none" w:sz="0" w:space="0" w:color="auto"/>
      </w:divBdr>
    </w:div>
    <w:div w:id="1315255723">
      <w:bodyDiv w:val="1"/>
      <w:marLeft w:val="0"/>
      <w:marRight w:val="0"/>
      <w:marTop w:val="0"/>
      <w:marBottom w:val="0"/>
      <w:divBdr>
        <w:top w:val="none" w:sz="0" w:space="0" w:color="auto"/>
        <w:left w:val="none" w:sz="0" w:space="0" w:color="auto"/>
        <w:bottom w:val="none" w:sz="0" w:space="0" w:color="auto"/>
        <w:right w:val="none" w:sz="0" w:space="0" w:color="auto"/>
      </w:divBdr>
    </w:div>
    <w:div w:id="1349255829">
      <w:bodyDiv w:val="1"/>
      <w:marLeft w:val="0"/>
      <w:marRight w:val="0"/>
      <w:marTop w:val="0"/>
      <w:marBottom w:val="0"/>
      <w:divBdr>
        <w:top w:val="none" w:sz="0" w:space="0" w:color="auto"/>
        <w:left w:val="none" w:sz="0" w:space="0" w:color="auto"/>
        <w:bottom w:val="none" w:sz="0" w:space="0" w:color="auto"/>
        <w:right w:val="none" w:sz="0" w:space="0" w:color="auto"/>
      </w:divBdr>
    </w:div>
    <w:div w:id="1365129660">
      <w:bodyDiv w:val="1"/>
      <w:marLeft w:val="0"/>
      <w:marRight w:val="0"/>
      <w:marTop w:val="0"/>
      <w:marBottom w:val="0"/>
      <w:divBdr>
        <w:top w:val="none" w:sz="0" w:space="0" w:color="auto"/>
        <w:left w:val="none" w:sz="0" w:space="0" w:color="auto"/>
        <w:bottom w:val="none" w:sz="0" w:space="0" w:color="auto"/>
        <w:right w:val="none" w:sz="0" w:space="0" w:color="auto"/>
      </w:divBdr>
    </w:div>
    <w:div w:id="1370957544">
      <w:bodyDiv w:val="1"/>
      <w:marLeft w:val="0"/>
      <w:marRight w:val="0"/>
      <w:marTop w:val="0"/>
      <w:marBottom w:val="0"/>
      <w:divBdr>
        <w:top w:val="none" w:sz="0" w:space="0" w:color="auto"/>
        <w:left w:val="none" w:sz="0" w:space="0" w:color="auto"/>
        <w:bottom w:val="none" w:sz="0" w:space="0" w:color="auto"/>
        <w:right w:val="none" w:sz="0" w:space="0" w:color="auto"/>
      </w:divBdr>
      <w:divsChild>
        <w:div w:id="174855519">
          <w:marLeft w:val="864"/>
          <w:marRight w:val="0"/>
          <w:marTop w:val="106"/>
          <w:marBottom w:val="0"/>
          <w:divBdr>
            <w:top w:val="none" w:sz="0" w:space="0" w:color="auto"/>
            <w:left w:val="none" w:sz="0" w:space="0" w:color="auto"/>
            <w:bottom w:val="none" w:sz="0" w:space="0" w:color="auto"/>
            <w:right w:val="none" w:sz="0" w:space="0" w:color="auto"/>
          </w:divBdr>
        </w:div>
        <w:div w:id="1005479835">
          <w:marLeft w:val="864"/>
          <w:marRight w:val="0"/>
          <w:marTop w:val="106"/>
          <w:marBottom w:val="0"/>
          <w:divBdr>
            <w:top w:val="none" w:sz="0" w:space="0" w:color="auto"/>
            <w:left w:val="none" w:sz="0" w:space="0" w:color="auto"/>
            <w:bottom w:val="none" w:sz="0" w:space="0" w:color="auto"/>
            <w:right w:val="none" w:sz="0" w:space="0" w:color="auto"/>
          </w:divBdr>
        </w:div>
      </w:divsChild>
    </w:div>
    <w:div w:id="1390760776">
      <w:bodyDiv w:val="1"/>
      <w:marLeft w:val="0"/>
      <w:marRight w:val="0"/>
      <w:marTop w:val="0"/>
      <w:marBottom w:val="0"/>
      <w:divBdr>
        <w:top w:val="none" w:sz="0" w:space="0" w:color="auto"/>
        <w:left w:val="none" w:sz="0" w:space="0" w:color="auto"/>
        <w:bottom w:val="none" w:sz="0" w:space="0" w:color="auto"/>
        <w:right w:val="none" w:sz="0" w:space="0" w:color="auto"/>
      </w:divBdr>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64544101">
      <w:bodyDiv w:val="1"/>
      <w:marLeft w:val="0"/>
      <w:marRight w:val="0"/>
      <w:marTop w:val="0"/>
      <w:marBottom w:val="0"/>
      <w:divBdr>
        <w:top w:val="none" w:sz="0" w:space="0" w:color="auto"/>
        <w:left w:val="none" w:sz="0" w:space="0" w:color="auto"/>
        <w:bottom w:val="none" w:sz="0" w:space="0" w:color="auto"/>
        <w:right w:val="none" w:sz="0" w:space="0" w:color="auto"/>
      </w:divBdr>
    </w:div>
    <w:div w:id="1472359908">
      <w:bodyDiv w:val="1"/>
      <w:marLeft w:val="0"/>
      <w:marRight w:val="0"/>
      <w:marTop w:val="0"/>
      <w:marBottom w:val="0"/>
      <w:divBdr>
        <w:top w:val="none" w:sz="0" w:space="0" w:color="auto"/>
        <w:left w:val="none" w:sz="0" w:space="0" w:color="auto"/>
        <w:bottom w:val="none" w:sz="0" w:space="0" w:color="auto"/>
        <w:right w:val="none" w:sz="0" w:space="0" w:color="auto"/>
      </w:divBdr>
    </w:div>
    <w:div w:id="1530797690">
      <w:bodyDiv w:val="1"/>
      <w:marLeft w:val="0"/>
      <w:marRight w:val="0"/>
      <w:marTop w:val="0"/>
      <w:marBottom w:val="0"/>
      <w:divBdr>
        <w:top w:val="none" w:sz="0" w:space="0" w:color="auto"/>
        <w:left w:val="none" w:sz="0" w:space="0" w:color="auto"/>
        <w:bottom w:val="none" w:sz="0" w:space="0" w:color="auto"/>
        <w:right w:val="none" w:sz="0" w:space="0" w:color="auto"/>
      </w:divBdr>
    </w:div>
    <w:div w:id="1614629115">
      <w:bodyDiv w:val="1"/>
      <w:marLeft w:val="0"/>
      <w:marRight w:val="0"/>
      <w:marTop w:val="0"/>
      <w:marBottom w:val="0"/>
      <w:divBdr>
        <w:top w:val="none" w:sz="0" w:space="0" w:color="auto"/>
        <w:left w:val="none" w:sz="0" w:space="0" w:color="auto"/>
        <w:bottom w:val="none" w:sz="0" w:space="0" w:color="auto"/>
        <w:right w:val="none" w:sz="0" w:space="0" w:color="auto"/>
      </w:divBdr>
    </w:div>
    <w:div w:id="1641030179">
      <w:bodyDiv w:val="1"/>
      <w:marLeft w:val="0"/>
      <w:marRight w:val="0"/>
      <w:marTop w:val="0"/>
      <w:marBottom w:val="0"/>
      <w:divBdr>
        <w:top w:val="none" w:sz="0" w:space="0" w:color="auto"/>
        <w:left w:val="none" w:sz="0" w:space="0" w:color="auto"/>
        <w:bottom w:val="none" w:sz="0" w:space="0" w:color="auto"/>
        <w:right w:val="none" w:sz="0" w:space="0" w:color="auto"/>
      </w:divBdr>
    </w:div>
    <w:div w:id="1684281521">
      <w:bodyDiv w:val="1"/>
      <w:marLeft w:val="0"/>
      <w:marRight w:val="0"/>
      <w:marTop w:val="0"/>
      <w:marBottom w:val="0"/>
      <w:divBdr>
        <w:top w:val="none" w:sz="0" w:space="0" w:color="auto"/>
        <w:left w:val="none" w:sz="0" w:space="0" w:color="auto"/>
        <w:bottom w:val="none" w:sz="0" w:space="0" w:color="auto"/>
        <w:right w:val="none" w:sz="0" w:space="0" w:color="auto"/>
      </w:divBdr>
    </w:div>
    <w:div w:id="1701281123">
      <w:bodyDiv w:val="1"/>
      <w:marLeft w:val="0"/>
      <w:marRight w:val="0"/>
      <w:marTop w:val="0"/>
      <w:marBottom w:val="0"/>
      <w:divBdr>
        <w:top w:val="none" w:sz="0" w:space="0" w:color="auto"/>
        <w:left w:val="none" w:sz="0" w:space="0" w:color="auto"/>
        <w:bottom w:val="none" w:sz="0" w:space="0" w:color="auto"/>
        <w:right w:val="none" w:sz="0" w:space="0" w:color="auto"/>
      </w:divBdr>
    </w:div>
    <w:div w:id="1770159504">
      <w:bodyDiv w:val="1"/>
      <w:marLeft w:val="0"/>
      <w:marRight w:val="0"/>
      <w:marTop w:val="0"/>
      <w:marBottom w:val="0"/>
      <w:divBdr>
        <w:top w:val="none" w:sz="0" w:space="0" w:color="auto"/>
        <w:left w:val="none" w:sz="0" w:space="0" w:color="auto"/>
        <w:bottom w:val="none" w:sz="0" w:space="0" w:color="auto"/>
        <w:right w:val="none" w:sz="0" w:space="0" w:color="auto"/>
      </w:divBdr>
    </w:div>
    <w:div w:id="18208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7A63-02CB-4EB4-AECD-53379F7A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13824</Words>
  <Characters>80972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2019-12-05T22:21:00Z</dcterms:created>
  <dcterms:modified xsi:type="dcterms:W3CDTF">2019-12-05T22:22:00Z</dcterms:modified>
</cp:coreProperties>
</file>