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03" w:rsidRPr="00115B6A" w:rsidRDefault="009A711B" w:rsidP="00290B43">
      <w:pPr>
        <w:pStyle w:val="Title"/>
        <w:spacing w:before="120" w:after="160"/>
        <w:ind w:left="720" w:hanging="720"/>
        <w:rPr>
          <w:rFonts w:asciiTheme="minorHAnsi" w:hAnsiTheme="minorHAnsi"/>
          <w:sz w:val="36"/>
          <w:szCs w:val="36"/>
        </w:rPr>
      </w:pPr>
      <w:r w:rsidRPr="00115B6A">
        <w:rPr>
          <w:rFonts w:asciiTheme="minorHAnsi" w:hAnsiTheme="minorHAnsi"/>
          <w:sz w:val="36"/>
          <w:szCs w:val="36"/>
        </w:rPr>
        <w:t>7</w:t>
      </w:r>
      <w:r w:rsidR="006D6493" w:rsidRPr="00115B6A">
        <w:rPr>
          <w:rFonts w:asciiTheme="minorHAnsi" w:hAnsiTheme="minorHAnsi"/>
          <w:sz w:val="36"/>
          <w:szCs w:val="36"/>
        </w:rPr>
        <w:t>.</w:t>
      </w:r>
      <w:r w:rsidRPr="00115B6A">
        <w:rPr>
          <w:rFonts w:asciiTheme="minorHAnsi" w:hAnsiTheme="minorHAnsi"/>
          <w:sz w:val="36"/>
          <w:szCs w:val="36"/>
        </w:rPr>
        <w:t>18</w:t>
      </w:r>
      <w:r w:rsidR="006D6493" w:rsidRPr="00115B6A">
        <w:rPr>
          <w:rFonts w:asciiTheme="minorHAnsi" w:hAnsiTheme="minorHAnsi"/>
          <w:sz w:val="36"/>
          <w:szCs w:val="36"/>
        </w:rPr>
        <w:tab/>
      </w:r>
      <w:r w:rsidR="00767C11" w:rsidRPr="00115B6A">
        <w:rPr>
          <w:rFonts w:asciiTheme="minorHAnsi" w:hAnsiTheme="minorHAnsi"/>
          <w:sz w:val="36"/>
          <w:szCs w:val="36"/>
        </w:rPr>
        <w:t>TOCILIZUMAB</w:t>
      </w:r>
      <w:r w:rsidR="006D6493" w:rsidRPr="00115B6A">
        <w:rPr>
          <w:rFonts w:asciiTheme="minorHAnsi" w:hAnsiTheme="minorHAnsi"/>
          <w:sz w:val="36"/>
          <w:szCs w:val="36"/>
        </w:rPr>
        <w:t xml:space="preserve"> </w:t>
      </w:r>
      <w:r w:rsidR="006D6493" w:rsidRPr="00115B6A">
        <w:rPr>
          <w:rFonts w:asciiTheme="minorHAnsi" w:hAnsiTheme="minorHAnsi"/>
          <w:sz w:val="36"/>
          <w:szCs w:val="36"/>
        </w:rPr>
        <w:br/>
      </w:r>
      <w:r w:rsidR="00767C11" w:rsidRPr="00115B6A">
        <w:rPr>
          <w:rFonts w:asciiTheme="minorHAnsi" w:hAnsiTheme="minorHAnsi"/>
          <w:sz w:val="36"/>
          <w:szCs w:val="36"/>
        </w:rPr>
        <w:t xml:space="preserve">Injection 162 mg/0.9 mL, pre-filled syringe and pen, </w:t>
      </w:r>
      <w:proofErr w:type="spellStart"/>
      <w:r w:rsidR="00767C11" w:rsidRPr="00115B6A">
        <w:rPr>
          <w:rFonts w:asciiTheme="minorHAnsi" w:hAnsiTheme="minorHAnsi"/>
          <w:sz w:val="36"/>
          <w:szCs w:val="36"/>
        </w:rPr>
        <w:t>Actemra</w:t>
      </w:r>
      <w:proofErr w:type="spellEnd"/>
      <w:r w:rsidR="00767C11" w:rsidRPr="00115B6A">
        <w:rPr>
          <w:rFonts w:asciiTheme="minorHAnsi" w:hAnsiTheme="minorHAnsi"/>
          <w:sz w:val="36"/>
          <w:szCs w:val="36"/>
        </w:rPr>
        <w:t>®, Roche Products Pty Ltd</w:t>
      </w:r>
    </w:p>
    <w:p w:rsidR="008A50F1" w:rsidRPr="00115B6A" w:rsidRDefault="00CE10C4" w:rsidP="009A3D5C">
      <w:pPr>
        <w:pStyle w:val="PBACHeading1"/>
        <w:spacing w:before="120" w:after="120"/>
        <w:ind w:left="709" w:hanging="709"/>
        <w:rPr>
          <w:rFonts w:asciiTheme="minorHAnsi" w:hAnsiTheme="minorHAnsi"/>
          <w:sz w:val="32"/>
          <w:szCs w:val="32"/>
        </w:rPr>
      </w:pPr>
      <w:r w:rsidRPr="00115B6A">
        <w:rPr>
          <w:rFonts w:asciiTheme="minorHAnsi" w:hAnsiTheme="minorHAnsi"/>
          <w:sz w:val="32"/>
          <w:szCs w:val="32"/>
        </w:rPr>
        <w:t xml:space="preserve">Purpose of </w:t>
      </w:r>
      <w:r w:rsidR="0004240E" w:rsidRPr="00115B6A">
        <w:rPr>
          <w:rFonts w:asciiTheme="minorHAnsi" w:hAnsiTheme="minorHAnsi"/>
          <w:sz w:val="32"/>
          <w:szCs w:val="32"/>
        </w:rPr>
        <w:t>Application</w:t>
      </w:r>
    </w:p>
    <w:p w:rsidR="0040268C" w:rsidRPr="00115B6A" w:rsidRDefault="00EF44A0" w:rsidP="009A3D5C">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The mi</w:t>
      </w:r>
      <w:r w:rsidR="00FF2801" w:rsidRPr="00115B6A">
        <w:rPr>
          <w:rFonts w:asciiTheme="minorHAnsi" w:eastAsiaTheme="minorHAnsi" w:hAnsiTheme="minorHAnsi" w:cstheme="minorBidi"/>
          <w:snapToGrid/>
          <w:sz w:val="24"/>
          <w:szCs w:val="24"/>
        </w:rPr>
        <w:t xml:space="preserve">nor </w:t>
      </w:r>
      <w:r w:rsidR="0060483A" w:rsidRPr="00115B6A">
        <w:rPr>
          <w:rFonts w:asciiTheme="minorHAnsi" w:eastAsiaTheme="minorHAnsi" w:hAnsiTheme="minorHAnsi" w:cstheme="minorBidi"/>
          <w:snapToGrid/>
          <w:sz w:val="24"/>
          <w:szCs w:val="24"/>
        </w:rPr>
        <w:t>re</w:t>
      </w:r>
      <w:r w:rsidR="00FF2801" w:rsidRPr="00115B6A">
        <w:rPr>
          <w:rFonts w:asciiTheme="minorHAnsi" w:eastAsiaTheme="minorHAnsi" w:hAnsiTheme="minorHAnsi" w:cstheme="minorBidi"/>
          <w:snapToGrid/>
          <w:sz w:val="24"/>
          <w:szCs w:val="24"/>
        </w:rPr>
        <w:t>submission requested</w:t>
      </w:r>
      <w:r w:rsidR="00767C11" w:rsidRPr="00115B6A">
        <w:rPr>
          <w:rFonts w:asciiTheme="minorHAnsi" w:eastAsiaTheme="minorHAnsi" w:hAnsiTheme="minorHAnsi" w:cstheme="minorBidi"/>
          <w:snapToGrid/>
          <w:sz w:val="24"/>
          <w:szCs w:val="24"/>
        </w:rPr>
        <w:t xml:space="preserve"> a Section 85, Authority </w:t>
      </w:r>
      <w:proofErr w:type="gramStart"/>
      <w:r w:rsidR="00767C11" w:rsidRPr="00115B6A">
        <w:rPr>
          <w:rFonts w:asciiTheme="minorHAnsi" w:eastAsiaTheme="minorHAnsi" w:hAnsiTheme="minorHAnsi" w:cstheme="minorBidi"/>
          <w:snapToGrid/>
          <w:sz w:val="24"/>
          <w:szCs w:val="24"/>
        </w:rPr>
        <w:t>Required</w:t>
      </w:r>
      <w:proofErr w:type="gramEnd"/>
      <w:r w:rsidR="00767C11" w:rsidRPr="00115B6A">
        <w:rPr>
          <w:rFonts w:asciiTheme="minorHAnsi" w:eastAsiaTheme="minorHAnsi" w:hAnsiTheme="minorHAnsi" w:cstheme="minorBidi"/>
          <w:snapToGrid/>
          <w:sz w:val="24"/>
          <w:szCs w:val="24"/>
        </w:rPr>
        <w:t xml:space="preserve"> (</w:t>
      </w:r>
      <w:r w:rsidR="007A39E3" w:rsidRPr="00115B6A">
        <w:rPr>
          <w:rFonts w:asciiTheme="minorHAnsi" w:eastAsiaTheme="minorHAnsi" w:hAnsiTheme="minorHAnsi" w:cstheme="minorBidi"/>
          <w:snapToGrid/>
          <w:sz w:val="24"/>
          <w:szCs w:val="24"/>
        </w:rPr>
        <w:t>in writing</w:t>
      </w:r>
      <w:r w:rsidR="00767C11" w:rsidRPr="00115B6A">
        <w:rPr>
          <w:rFonts w:asciiTheme="minorHAnsi" w:eastAsiaTheme="minorHAnsi" w:hAnsiTheme="minorHAnsi" w:cstheme="minorBidi"/>
          <w:snapToGrid/>
          <w:sz w:val="24"/>
          <w:szCs w:val="24"/>
        </w:rPr>
        <w:t xml:space="preserve">) listing for </w:t>
      </w:r>
      <w:proofErr w:type="spellStart"/>
      <w:r w:rsidR="00767C11" w:rsidRPr="00115B6A">
        <w:rPr>
          <w:rFonts w:asciiTheme="minorHAnsi" w:eastAsiaTheme="minorHAnsi" w:hAnsiTheme="minorHAnsi" w:cstheme="minorBidi"/>
          <w:snapToGrid/>
          <w:sz w:val="24"/>
          <w:szCs w:val="24"/>
        </w:rPr>
        <w:t>tocilizumab</w:t>
      </w:r>
      <w:proofErr w:type="spellEnd"/>
      <w:r w:rsidR="00767C11" w:rsidRPr="00115B6A">
        <w:rPr>
          <w:rFonts w:asciiTheme="minorHAnsi" w:eastAsiaTheme="minorHAnsi" w:hAnsiTheme="minorHAnsi" w:cstheme="minorBidi"/>
          <w:snapToGrid/>
          <w:sz w:val="24"/>
          <w:szCs w:val="24"/>
        </w:rPr>
        <w:t xml:space="preserve"> for the treatment of patients with giant ce</w:t>
      </w:r>
      <w:r w:rsidR="0060483A" w:rsidRPr="00115B6A">
        <w:rPr>
          <w:rFonts w:asciiTheme="minorHAnsi" w:eastAsiaTheme="minorHAnsi" w:hAnsiTheme="minorHAnsi" w:cstheme="minorBidi"/>
          <w:snapToGrid/>
          <w:sz w:val="24"/>
          <w:szCs w:val="24"/>
        </w:rPr>
        <w:t xml:space="preserve">ll arteritis (GCA). </w:t>
      </w:r>
    </w:p>
    <w:p w:rsidR="006A12A5" w:rsidRPr="00115B6A" w:rsidRDefault="0040268C" w:rsidP="009A3D5C">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proofErr w:type="spellStart"/>
      <w:r w:rsidRPr="00115B6A">
        <w:rPr>
          <w:rFonts w:asciiTheme="minorHAnsi" w:eastAsiaTheme="minorHAnsi" w:hAnsiTheme="minorHAnsi" w:cstheme="minorBidi"/>
          <w:snapToGrid/>
          <w:sz w:val="24"/>
          <w:szCs w:val="24"/>
        </w:rPr>
        <w:t>Tocilizumab</w:t>
      </w:r>
      <w:proofErr w:type="spellEnd"/>
      <w:r w:rsidRPr="00115B6A">
        <w:rPr>
          <w:rFonts w:asciiTheme="minorHAnsi" w:eastAsiaTheme="minorHAnsi" w:hAnsiTheme="minorHAnsi" w:cstheme="minorBidi"/>
          <w:snapToGrid/>
          <w:sz w:val="24"/>
          <w:szCs w:val="24"/>
        </w:rPr>
        <w:t xml:space="preserve"> </w:t>
      </w:r>
      <w:proofErr w:type="gramStart"/>
      <w:r w:rsidRPr="00115B6A">
        <w:rPr>
          <w:rFonts w:asciiTheme="minorHAnsi" w:eastAsiaTheme="minorHAnsi" w:hAnsiTheme="minorHAnsi" w:cstheme="minorBidi"/>
          <w:snapToGrid/>
          <w:sz w:val="24"/>
          <w:szCs w:val="24"/>
        </w:rPr>
        <w:t>was deferred</w:t>
      </w:r>
      <w:proofErr w:type="gramEnd"/>
      <w:r w:rsidRPr="00115B6A">
        <w:rPr>
          <w:rFonts w:asciiTheme="minorHAnsi" w:eastAsiaTheme="minorHAnsi" w:hAnsiTheme="minorHAnsi" w:cstheme="minorBidi"/>
          <w:snapToGrid/>
          <w:sz w:val="24"/>
          <w:szCs w:val="24"/>
        </w:rPr>
        <w:t xml:space="preserve"> by the PBAC for this indication in November 2018. The minor resubmission attempted to address concerns raised in that consideration. </w:t>
      </w:r>
    </w:p>
    <w:p w:rsidR="006A12A5" w:rsidRPr="00115B6A" w:rsidRDefault="006A12A5" w:rsidP="009A3D5C">
      <w:pPr>
        <w:pStyle w:val="PBACHeading1"/>
        <w:spacing w:before="120" w:after="120"/>
        <w:ind w:left="709" w:hanging="709"/>
        <w:rPr>
          <w:rFonts w:asciiTheme="minorHAnsi" w:hAnsiTheme="minorHAnsi"/>
          <w:sz w:val="32"/>
          <w:szCs w:val="32"/>
        </w:rPr>
      </w:pPr>
      <w:r w:rsidRPr="00115B6A">
        <w:rPr>
          <w:rFonts w:asciiTheme="minorHAnsi" w:hAnsiTheme="minorHAnsi"/>
          <w:sz w:val="32"/>
          <w:szCs w:val="32"/>
        </w:rPr>
        <w:t>Requested listing</w:t>
      </w:r>
    </w:p>
    <w:p w:rsidR="0067747D" w:rsidRPr="00115B6A" w:rsidRDefault="00EF44A0" w:rsidP="009A3D5C">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 xml:space="preserve">The </w:t>
      </w:r>
      <w:r w:rsidR="002E2152" w:rsidRPr="00115B6A">
        <w:rPr>
          <w:rFonts w:asciiTheme="minorHAnsi" w:eastAsiaTheme="minorHAnsi" w:hAnsiTheme="minorHAnsi" w:cstheme="minorBidi"/>
          <w:snapToGrid/>
          <w:sz w:val="24"/>
          <w:szCs w:val="24"/>
        </w:rPr>
        <w:t>minor resu</w:t>
      </w:r>
      <w:r w:rsidRPr="00115B6A">
        <w:rPr>
          <w:rFonts w:asciiTheme="minorHAnsi" w:eastAsiaTheme="minorHAnsi" w:hAnsiTheme="minorHAnsi" w:cstheme="minorBidi"/>
          <w:snapToGrid/>
          <w:sz w:val="24"/>
          <w:szCs w:val="24"/>
        </w:rPr>
        <w:t xml:space="preserve">bmission </w:t>
      </w:r>
      <w:r w:rsidR="00FF2801" w:rsidRPr="00115B6A">
        <w:rPr>
          <w:rFonts w:asciiTheme="minorHAnsi" w:eastAsiaTheme="minorHAnsi" w:hAnsiTheme="minorHAnsi" w:cstheme="minorBidi"/>
          <w:snapToGrid/>
          <w:sz w:val="24"/>
          <w:szCs w:val="24"/>
        </w:rPr>
        <w:t>requested</w:t>
      </w:r>
      <w:r w:rsidRPr="00115B6A">
        <w:rPr>
          <w:rFonts w:asciiTheme="minorHAnsi" w:eastAsiaTheme="minorHAnsi" w:hAnsiTheme="minorHAnsi" w:cstheme="minorBidi"/>
          <w:snapToGrid/>
          <w:sz w:val="24"/>
          <w:szCs w:val="24"/>
        </w:rPr>
        <w:t xml:space="preserve"> the following </w:t>
      </w:r>
      <w:r w:rsidR="0076420C" w:rsidRPr="00115B6A">
        <w:rPr>
          <w:rFonts w:asciiTheme="minorHAnsi" w:eastAsiaTheme="minorHAnsi" w:hAnsiTheme="minorHAnsi" w:cstheme="minorBidi"/>
          <w:snapToGrid/>
          <w:sz w:val="24"/>
          <w:szCs w:val="24"/>
        </w:rPr>
        <w:t xml:space="preserve">new </w:t>
      </w:r>
      <w:r w:rsidRPr="00115B6A">
        <w:rPr>
          <w:rFonts w:asciiTheme="minorHAnsi" w:eastAsiaTheme="minorHAnsi" w:hAnsiTheme="minorHAnsi" w:cstheme="minorBidi"/>
          <w:snapToGrid/>
          <w:sz w:val="24"/>
          <w:szCs w:val="24"/>
        </w:rPr>
        <w:t>listing</w:t>
      </w:r>
      <w:r w:rsidR="002E2152" w:rsidRPr="00115B6A">
        <w:rPr>
          <w:rFonts w:asciiTheme="minorHAnsi" w:eastAsiaTheme="minorHAnsi" w:hAnsiTheme="minorHAnsi" w:cstheme="minorBidi"/>
          <w:snapToGrid/>
          <w:sz w:val="24"/>
          <w:szCs w:val="24"/>
        </w:rPr>
        <w:t>.</w:t>
      </w:r>
      <w:r w:rsidR="00097C7D" w:rsidRPr="00115B6A">
        <w:rPr>
          <w:rFonts w:asciiTheme="minorHAnsi" w:eastAsiaTheme="minorHAnsi" w:hAnsiTheme="minorHAnsi" w:cstheme="minorBidi"/>
          <w:snapToGrid/>
          <w:sz w:val="24"/>
          <w:szCs w:val="24"/>
        </w:rPr>
        <w:t xml:space="preserve"> Changes since the </w:t>
      </w:r>
      <w:r w:rsidR="000F307F" w:rsidRPr="00115B6A">
        <w:rPr>
          <w:rFonts w:asciiTheme="minorHAnsi" w:eastAsiaTheme="minorHAnsi" w:hAnsiTheme="minorHAnsi" w:cstheme="minorBidi"/>
          <w:snapToGrid/>
          <w:sz w:val="24"/>
          <w:szCs w:val="24"/>
        </w:rPr>
        <w:t>November 2018</w:t>
      </w:r>
      <w:r w:rsidR="00097C7D" w:rsidRPr="00115B6A">
        <w:rPr>
          <w:rFonts w:asciiTheme="minorHAnsi" w:eastAsiaTheme="minorHAnsi" w:hAnsiTheme="minorHAnsi" w:cstheme="minorBidi"/>
          <w:snapToGrid/>
          <w:sz w:val="24"/>
          <w:szCs w:val="24"/>
        </w:rPr>
        <w:t xml:space="preserve"> PBAC </w:t>
      </w:r>
      <w:r w:rsidR="002D4AE8">
        <w:rPr>
          <w:rFonts w:asciiTheme="minorHAnsi" w:eastAsiaTheme="minorHAnsi" w:hAnsiTheme="minorHAnsi" w:cstheme="minorBidi"/>
          <w:snapToGrid/>
          <w:sz w:val="24"/>
          <w:szCs w:val="24"/>
        </w:rPr>
        <w:t xml:space="preserve">Public Summary Document (PSD) </w:t>
      </w:r>
      <w:r w:rsidR="00097C7D" w:rsidRPr="00115B6A">
        <w:rPr>
          <w:rFonts w:asciiTheme="minorHAnsi" w:eastAsiaTheme="minorHAnsi" w:hAnsiTheme="minorHAnsi" w:cstheme="minorBidi"/>
          <w:snapToGrid/>
          <w:sz w:val="24"/>
          <w:szCs w:val="24"/>
        </w:rPr>
        <w:t>are underlined.</w:t>
      </w:r>
    </w:p>
    <w:tbl>
      <w:tblPr>
        <w:tblW w:w="4908" w:type="pct"/>
        <w:tblInd w:w="108" w:type="dxa"/>
        <w:tblLook w:val="0000" w:firstRow="0" w:lastRow="0" w:firstColumn="0" w:lastColumn="0" w:noHBand="0" w:noVBand="0"/>
      </w:tblPr>
      <w:tblGrid>
        <w:gridCol w:w="2071"/>
        <w:gridCol w:w="774"/>
        <w:gridCol w:w="691"/>
        <w:gridCol w:w="799"/>
        <w:gridCol w:w="803"/>
        <w:gridCol w:w="1471"/>
        <w:gridCol w:w="907"/>
        <w:gridCol w:w="617"/>
        <w:gridCol w:w="727"/>
      </w:tblGrid>
      <w:tr w:rsidR="007A39E3" w:rsidRPr="00115B6A" w:rsidTr="009A3D5C">
        <w:trPr>
          <w:cantSplit/>
          <w:trHeight w:val="465"/>
        </w:trPr>
        <w:tc>
          <w:tcPr>
            <w:tcW w:w="1606" w:type="pct"/>
            <w:gridSpan w:val="2"/>
            <w:tcBorders>
              <w:bottom w:val="single" w:sz="4" w:space="0" w:color="auto"/>
            </w:tcBorders>
          </w:tcPr>
          <w:p w:rsidR="007A39E3" w:rsidRPr="00115B6A"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Name, Restriction,</w:t>
            </w:r>
          </w:p>
          <w:p w:rsidR="007A39E3" w:rsidRPr="00115B6A"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Manner of administration and form</w:t>
            </w:r>
          </w:p>
        </w:tc>
        <w:tc>
          <w:tcPr>
            <w:tcW w:w="390" w:type="pct"/>
            <w:tcBorders>
              <w:bottom w:val="single" w:sz="4" w:space="0" w:color="auto"/>
            </w:tcBorders>
          </w:tcPr>
          <w:p w:rsidR="007A39E3" w:rsidRPr="00115B6A"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Max.</w:t>
            </w:r>
          </w:p>
          <w:p w:rsidR="007A39E3" w:rsidRPr="00115B6A" w:rsidRDefault="007A39E3" w:rsidP="00EB0B63">
            <w:pPr>
              <w:keepNext/>
              <w:spacing w:before="40" w:after="40"/>
              <w:jc w:val="both"/>
              <w:rPr>
                <w:rFonts w:ascii="Arial Narrow" w:hAnsi="Arial Narrow" w:cs="Arial"/>
                <w:b/>
                <w:sz w:val="20"/>
                <w:szCs w:val="20"/>
              </w:rPr>
            </w:pPr>
            <w:proofErr w:type="spellStart"/>
            <w:r w:rsidRPr="00115B6A">
              <w:rPr>
                <w:rFonts w:ascii="Arial Narrow" w:hAnsi="Arial Narrow" w:cs="Arial"/>
                <w:b/>
                <w:sz w:val="20"/>
                <w:szCs w:val="20"/>
              </w:rPr>
              <w:t>Qty</w:t>
            </w:r>
            <w:proofErr w:type="spellEnd"/>
          </w:p>
          <w:p w:rsidR="007A39E3" w:rsidRPr="00115B6A"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Packs</w:t>
            </w:r>
          </w:p>
        </w:tc>
        <w:tc>
          <w:tcPr>
            <w:tcW w:w="451" w:type="pct"/>
            <w:tcBorders>
              <w:bottom w:val="single" w:sz="4" w:space="0" w:color="auto"/>
            </w:tcBorders>
          </w:tcPr>
          <w:p w:rsidR="007A39E3" w:rsidRPr="00115B6A"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Max. QTY</w:t>
            </w:r>
          </w:p>
          <w:p w:rsidR="007A39E3" w:rsidRPr="00115B6A"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Units</w:t>
            </w:r>
          </w:p>
        </w:tc>
        <w:tc>
          <w:tcPr>
            <w:tcW w:w="453" w:type="pct"/>
            <w:tcBorders>
              <w:bottom w:val="single" w:sz="4" w:space="0" w:color="auto"/>
            </w:tcBorders>
          </w:tcPr>
          <w:p w:rsidR="007A39E3" w:rsidRPr="00115B6A"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№.of</w:t>
            </w:r>
          </w:p>
          <w:p w:rsidR="007A39E3" w:rsidRPr="00115B6A" w:rsidRDefault="007A39E3" w:rsidP="00EB0B63">
            <w:pPr>
              <w:keepNext/>
              <w:spacing w:before="40" w:after="40"/>
              <w:jc w:val="both"/>
              <w:rPr>
                <w:rFonts w:ascii="Arial Narrow" w:hAnsi="Arial Narrow" w:cs="Arial"/>
                <w:b/>
                <w:sz w:val="20"/>
                <w:szCs w:val="20"/>
              </w:rPr>
            </w:pPr>
            <w:proofErr w:type="spellStart"/>
            <w:r w:rsidRPr="00115B6A">
              <w:rPr>
                <w:rFonts w:ascii="Arial Narrow" w:hAnsi="Arial Narrow" w:cs="Arial"/>
                <w:b/>
                <w:sz w:val="20"/>
                <w:szCs w:val="20"/>
              </w:rPr>
              <w:t>Rpts</w:t>
            </w:r>
            <w:proofErr w:type="spellEnd"/>
          </w:p>
        </w:tc>
        <w:tc>
          <w:tcPr>
            <w:tcW w:w="830" w:type="pct"/>
            <w:tcBorders>
              <w:bottom w:val="single" w:sz="4" w:space="0" w:color="auto"/>
            </w:tcBorders>
          </w:tcPr>
          <w:p w:rsidR="007A39E3" w:rsidRPr="00115B6A"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 xml:space="preserve">Dispensed Price for Max. </w:t>
            </w:r>
            <w:proofErr w:type="spellStart"/>
            <w:r w:rsidRPr="00115B6A">
              <w:rPr>
                <w:rFonts w:ascii="Arial Narrow" w:hAnsi="Arial Narrow" w:cs="Arial"/>
                <w:b/>
                <w:sz w:val="20"/>
                <w:szCs w:val="20"/>
              </w:rPr>
              <w:t>Qty</w:t>
            </w:r>
            <w:proofErr w:type="spellEnd"/>
          </w:p>
        </w:tc>
        <w:tc>
          <w:tcPr>
            <w:tcW w:w="1270" w:type="pct"/>
            <w:gridSpan w:val="3"/>
            <w:tcBorders>
              <w:bottom w:val="single" w:sz="4" w:space="0" w:color="auto"/>
            </w:tcBorders>
          </w:tcPr>
          <w:p w:rsidR="007A39E3" w:rsidRPr="00EA5994" w:rsidRDefault="007A39E3" w:rsidP="00EB0B63">
            <w:pPr>
              <w:keepNext/>
              <w:spacing w:before="40" w:after="40"/>
              <w:jc w:val="both"/>
              <w:rPr>
                <w:rFonts w:ascii="Arial Narrow" w:hAnsi="Arial Narrow" w:cs="Arial"/>
                <w:b/>
                <w:sz w:val="20"/>
                <w:szCs w:val="20"/>
              </w:rPr>
            </w:pPr>
            <w:r w:rsidRPr="00115B6A">
              <w:rPr>
                <w:rFonts w:ascii="Arial Narrow" w:hAnsi="Arial Narrow" w:cs="Arial"/>
                <w:b/>
                <w:sz w:val="20"/>
                <w:szCs w:val="20"/>
              </w:rPr>
              <w:t>Proprietary Name and Manufacturer</w:t>
            </w:r>
          </w:p>
        </w:tc>
      </w:tr>
      <w:tr w:rsidR="007A39E3" w:rsidRPr="00115B6A" w:rsidTr="009A3D5C">
        <w:trPr>
          <w:cantSplit/>
          <w:trHeight w:val="567"/>
        </w:trPr>
        <w:tc>
          <w:tcPr>
            <w:tcW w:w="1606" w:type="pct"/>
            <w:gridSpan w:val="2"/>
          </w:tcPr>
          <w:p w:rsidR="007A39E3" w:rsidRPr="00115B6A" w:rsidRDefault="007A39E3" w:rsidP="00BD6855">
            <w:pPr>
              <w:keepNext/>
              <w:ind w:left="-108"/>
              <w:jc w:val="both"/>
              <w:rPr>
                <w:rFonts w:ascii="Arial Narrow" w:hAnsi="Arial Narrow" w:cs="Arial"/>
                <w:smallCaps/>
                <w:sz w:val="20"/>
                <w:szCs w:val="20"/>
              </w:rPr>
            </w:pPr>
            <w:r w:rsidRPr="00115B6A">
              <w:rPr>
                <w:rFonts w:ascii="Arial Narrow" w:hAnsi="Arial Narrow" w:cs="Arial"/>
                <w:smallCaps/>
                <w:sz w:val="20"/>
                <w:szCs w:val="20"/>
              </w:rPr>
              <w:t>TOCILIZUMAB</w:t>
            </w:r>
          </w:p>
          <w:p w:rsidR="007A39E3" w:rsidRPr="00115B6A" w:rsidRDefault="007A39E3" w:rsidP="00BD6855">
            <w:pPr>
              <w:keepNext/>
              <w:ind w:left="-108"/>
              <w:jc w:val="both"/>
              <w:rPr>
                <w:rFonts w:ascii="Arial Narrow" w:hAnsi="Arial Narrow" w:cs="Arial"/>
                <w:sz w:val="20"/>
                <w:szCs w:val="20"/>
              </w:rPr>
            </w:pPr>
            <w:r w:rsidRPr="00115B6A">
              <w:rPr>
                <w:rFonts w:ascii="Arial Narrow" w:hAnsi="Arial Narrow" w:cs="Arial"/>
                <w:smallCaps/>
                <w:sz w:val="20"/>
                <w:szCs w:val="20"/>
              </w:rPr>
              <w:t xml:space="preserve"> </w:t>
            </w:r>
            <w:r w:rsidRPr="00115B6A">
              <w:rPr>
                <w:rFonts w:ascii="Arial Narrow" w:hAnsi="Arial Narrow" w:cs="Arial"/>
                <w:sz w:val="20"/>
                <w:szCs w:val="20"/>
              </w:rPr>
              <w:t>162 mg/0.9 mL injection, 4 x 0.9 mL pre-filled syringe</w:t>
            </w:r>
          </w:p>
          <w:p w:rsidR="007A39E3" w:rsidRPr="00115B6A" w:rsidRDefault="007A39E3" w:rsidP="00BD6855">
            <w:pPr>
              <w:keepNext/>
              <w:ind w:left="-108"/>
              <w:jc w:val="both"/>
              <w:rPr>
                <w:rFonts w:ascii="Arial Narrow" w:hAnsi="Arial Narrow" w:cs="Arial"/>
                <w:sz w:val="20"/>
                <w:szCs w:val="20"/>
              </w:rPr>
            </w:pPr>
            <w:r w:rsidRPr="00115B6A">
              <w:rPr>
                <w:rFonts w:ascii="Arial Narrow" w:hAnsi="Arial Narrow" w:cs="Arial"/>
                <w:sz w:val="20"/>
                <w:szCs w:val="20"/>
              </w:rPr>
              <w:t xml:space="preserve"> 162 mg/0.9 mL injection, 4 x 0.9 mL pre-filled pen</w:t>
            </w:r>
          </w:p>
        </w:tc>
        <w:tc>
          <w:tcPr>
            <w:tcW w:w="390" w:type="pct"/>
          </w:tcPr>
          <w:p w:rsidR="007A39E3" w:rsidRPr="00115B6A" w:rsidRDefault="007A39E3" w:rsidP="00BD6855">
            <w:pPr>
              <w:keepNext/>
              <w:ind w:left="-108"/>
              <w:jc w:val="center"/>
              <w:rPr>
                <w:rFonts w:ascii="Arial Narrow" w:hAnsi="Arial Narrow" w:cs="Arial"/>
                <w:sz w:val="20"/>
                <w:szCs w:val="20"/>
              </w:rPr>
            </w:pPr>
          </w:p>
          <w:p w:rsidR="007A39E3" w:rsidRPr="00115B6A" w:rsidRDefault="007A39E3" w:rsidP="00BD6855">
            <w:pPr>
              <w:keepNext/>
              <w:ind w:left="-108"/>
              <w:jc w:val="center"/>
              <w:rPr>
                <w:rFonts w:ascii="Arial Narrow" w:hAnsi="Arial Narrow" w:cs="Arial"/>
                <w:sz w:val="20"/>
                <w:szCs w:val="20"/>
              </w:rPr>
            </w:pPr>
            <w:r w:rsidRPr="00115B6A">
              <w:rPr>
                <w:rFonts w:ascii="Arial Narrow" w:hAnsi="Arial Narrow" w:cs="Arial"/>
                <w:sz w:val="20"/>
                <w:szCs w:val="20"/>
              </w:rPr>
              <w:t>1</w:t>
            </w:r>
          </w:p>
          <w:p w:rsidR="007A39E3" w:rsidRPr="00115B6A" w:rsidRDefault="007A39E3" w:rsidP="00BD6855">
            <w:pPr>
              <w:keepNext/>
              <w:ind w:left="-108"/>
              <w:jc w:val="center"/>
              <w:rPr>
                <w:rFonts w:ascii="Arial Narrow" w:hAnsi="Arial Narrow" w:cs="Arial"/>
                <w:sz w:val="20"/>
                <w:szCs w:val="20"/>
              </w:rPr>
            </w:pPr>
          </w:p>
          <w:p w:rsidR="007A39E3" w:rsidRPr="00115B6A" w:rsidRDefault="007A39E3" w:rsidP="00BD6855">
            <w:pPr>
              <w:keepNext/>
              <w:ind w:left="-108"/>
              <w:jc w:val="center"/>
              <w:rPr>
                <w:rFonts w:ascii="Arial Narrow" w:hAnsi="Arial Narrow" w:cs="Arial"/>
                <w:sz w:val="20"/>
                <w:szCs w:val="20"/>
              </w:rPr>
            </w:pPr>
            <w:r w:rsidRPr="00115B6A">
              <w:rPr>
                <w:rFonts w:ascii="Arial Narrow" w:hAnsi="Arial Narrow" w:cs="Arial"/>
                <w:sz w:val="20"/>
                <w:szCs w:val="20"/>
              </w:rPr>
              <w:t>1</w:t>
            </w:r>
          </w:p>
        </w:tc>
        <w:tc>
          <w:tcPr>
            <w:tcW w:w="451" w:type="pct"/>
          </w:tcPr>
          <w:p w:rsidR="007A39E3" w:rsidRPr="00115B6A" w:rsidRDefault="007A39E3" w:rsidP="00BD6855">
            <w:pPr>
              <w:jc w:val="center"/>
              <w:rPr>
                <w:rFonts w:ascii="Arial Narrow" w:hAnsi="Arial Narrow" w:cs="Arial"/>
                <w:sz w:val="20"/>
                <w:szCs w:val="20"/>
              </w:rPr>
            </w:pPr>
          </w:p>
          <w:p w:rsidR="007A39E3" w:rsidRPr="00115B6A" w:rsidRDefault="007A39E3" w:rsidP="00BD6855">
            <w:pPr>
              <w:keepNext/>
              <w:jc w:val="center"/>
              <w:rPr>
                <w:rFonts w:ascii="Arial Narrow" w:hAnsi="Arial Narrow" w:cs="Arial"/>
                <w:sz w:val="20"/>
                <w:szCs w:val="20"/>
              </w:rPr>
            </w:pPr>
            <w:r w:rsidRPr="00115B6A">
              <w:rPr>
                <w:rFonts w:ascii="Arial Narrow" w:hAnsi="Arial Narrow" w:cs="Arial"/>
                <w:sz w:val="20"/>
                <w:szCs w:val="20"/>
              </w:rPr>
              <w:t>4</w:t>
            </w:r>
          </w:p>
          <w:p w:rsidR="007A39E3" w:rsidRPr="00115B6A" w:rsidRDefault="007A39E3" w:rsidP="00BD6855">
            <w:pPr>
              <w:keepNext/>
              <w:jc w:val="center"/>
              <w:rPr>
                <w:rFonts w:ascii="Arial Narrow" w:hAnsi="Arial Narrow" w:cs="Arial"/>
                <w:sz w:val="20"/>
                <w:szCs w:val="20"/>
              </w:rPr>
            </w:pPr>
          </w:p>
          <w:p w:rsidR="007A39E3" w:rsidRPr="00115B6A" w:rsidRDefault="007A39E3" w:rsidP="00BD6855">
            <w:pPr>
              <w:keepNext/>
              <w:jc w:val="center"/>
              <w:rPr>
                <w:rFonts w:ascii="Arial Narrow" w:hAnsi="Arial Narrow" w:cs="Arial"/>
                <w:sz w:val="20"/>
                <w:szCs w:val="20"/>
              </w:rPr>
            </w:pPr>
            <w:r w:rsidRPr="00115B6A">
              <w:rPr>
                <w:rFonts w:ascii="Arial Narrow" w:hAnsi="Arial Narrow" w:cs="Arial"/>
                <w:sz w:val="20"/>
                <w:szCs w:val="20"/>
              </w:rPr>
              <w:t>4</w:t>
            </w:r>
          </w:p>
        </w:tc>
        <w:tc>
          <w:tcPr>
            <w:tcW w:w="453" w:type="pct"/>
          </w:tcPr>
          <w:p w:rsidR="007A39E3" w:rsidRPr="00115B6A" w:rsidRDefault="007A39E3" w:rsidP="00BD6855">
            <w:pPr>
              <w:keepNext/>
              <w:ind w:left="-108"/>
              <w:jc w:val="center"/>
              <w:rPr>
                <w:rFonts w:ascii="Arial Narrow" w:hAnsi="Arial Narrow" w:cs="Arial"/>
                <w:sz w:val="20"/>
                <w:szCs w:val="20"/>
              </w:rPr>
            </w:pPr>
          </w:p>
          <w:p w:rsidR="007A39E3" w:rsidRPr="00115B6A" w:rsidRDefault="007A39E3" w:rsidP="00BD6855">
            <w:pPr>
              <w:keepNext/>
              <w:ind w:left="-108"/>
              <w:jc w:val="center"/>
              <w:rPr>
                <w:rFonts w:ascii="Arial Narrow" w:hAnsi="Arial Narrow" w:cs="Arial"/>
                <w:sz w:val="20"/>
                <w:szCs w:val="20"/>
              </w:rPr>
            </w:pPr>
            <w:r w:rsidRPr="00115B6A">
              <w:rPr>
                <w:rFonts w:ascii="Arial Narrow" w:hAnsi="Arial Narrow" w:cs="Arial"/>
                <w:sz w:val="20"/>
                <w:szCs w:val="20"/>
              </w:rPr>
              <w:t>5</w:t>
            </w:r>
          </w:p>
          <w:p w:rsidR="007A39E3" w:rsidRPr="00115B6A" w:rsidRDefault="007A39E3" w:rsidP="00BD6855">
            <w:pPr>
              <w:keepNext/>
              <w:ind w:left="-108"/>
              <w:jc w:val="center"/>
              <w:rPr>
                <w:rFonts w:ascii="Arial Narrow" w:hAnsi="Arial Narrow" w:cs="Arial"/>
                <w:sz w:val="20"/>
                <w:szCs w:val="20"/>
              </w:rPr>
            </w:pPr>
          </w:p>
          <w:p w:rsidR="007A39E3" w:rsidRPr="00115B6A" w:rsidRDefault="007A39E3" w:rsidP="00BD6855">
            <w:pPr>
              <w:keepNext/>
              <w:ind w:left="-108"/>
              <w:jc w:val="center"/>
              <w:rPr>
                <w:rFonts w:ascii="Arial Narrow" w:hAnsi="Arial Narrow" w:cs="Arial"/>
                <w:sz w:val="20"/>
                <w:szCs w:val="20"/>
              </w:rPr>
            </w:pPr>
            <w:r w:rsidRPr="00115B6A">
              <w:rPr>
                <w:rFonts w:ascii="Arial Narrow" w:hAnsi="Arial Narrow" w:cs="Arial"/>
                <w:sz w:val="20"/>
                <w:szCs w:val="20"/>
              </w:rPr>
              <w:t>5</w:t>
            </w:r>
          </w:p>
        </w:tc>
        <w:tc>
          <w:tcPr>
            <w:tcW w:w="830" w:type="pct"/>
          </w:tcPr>
          <w:p w:rsidR="007A39E3" w:rsidRPr="00115B6A" w:rsidRDefault="007A39E3" w:rsidP="00BD6855">
            <w:pPr>
              <w:keepNext/>
              <w:ind w:left="-108"/>
              <w:jc w:val="center"/>
              <w:rPr>
                <w:rFonts w:ascii="Arial Narrow" w:hAnsi="Arial Narrow" w:cs="Arial"/>
                <w:sz w:val="20"/>
                <w:szCs w:val="20"/>
              </w:rPr>
            </w:pPr>
          </w:p>
          <w:p w:rsidR="007A39E3" w:rsidRPr="00115B6A" w:rsidRDefault="007A39E3" w:rsidP="007A39E3">
            <w:pPr>
              <w:keepNext/>
              <w:ind w:left="-108"/>
              <w:jc w:val="center"/>
              <w:rPr>
                <w:rFonts w:ascii="Arial Narrow" w:hAnsi="Arial Narrow" w:cs="Arial"/>
                <w:sz w:val="20"/>
                <w:szCs w:val="20"/>
              </w:rPr>
            </w:pPr>
            <w:r w:rsidRPr="00115B6A">
              <w:rPr>
                <w:rFonts w:ascii="Arial Narrow" w:hAnsi="Arial Narrow" w:cs="Arial"/>
                <w:sz w:val="20"/>
                <w:szCs w:val="20"/>
              </w:rPr>
              <w:t>$763.78</w:t>
            </w:r>
          </w:p>
        </w:tc>
        <w:tc>
          <w:tcPr>
            <w:tcW w:w="512" w:type="pct"/>
          </w:tcPr>
          <w:p w:rsidR="007A39E3" w:rsidRPr="00115B6A" w:rsidRDefault="007A39E3" w:rsidP="00BD6855">
            <w:pPr>
              <w:keepNext/>
              <w:jc w:val="both"/>
              <w:rPr>
                <w:rFonts w:ascii="Arial Narrow" w:hAnsi="Arial Narrow" w:cs="Arial"/>
                <w:sz w:val="20"/>
                <w:szCs w:val="20"/>
              </w:rPr>
            </w:pPr>
          </w:p>
          <w:p w:rsidR="007A39E3" w:rsidRPr="00115B6A" w:rsidRDefault="007A39E3" w:rsidP="00BD6855">
            <w:pPr>
              <w:keepNext/>
              <w:jc w:val="both"/>
              <w:rPr>
                <w:rFonts w:ascii="Arial Narrow" w:hAnsi="Arial Narrow" w:cs="Arial"/>
                <w:sz w:val="20"/>
                <w:szCs w:val="20"/>
              </w:rPr>
            </w:pPr>
            <w:proofErr w:type="spellStart"/>
            <w:r w:rsidRPr="00115B6A">
              <w:rPr>
                <w:rFonts w:ascii="Arial Narrow" w:hAnsi="Arial Narrow" w:cs="Arial"/>
                <w:sz w:val="20"/>
                <w:szCs w:val="20"/>
              </w:rPr>
              <w:t>Actemra</w:t>
            </w:r>
            <w:proofErr w:type="spellEnd"/>
            <w:r w:rsidRPr="00115B6A">
              <w:rPr>
                <w:rFonts w:ascii="Arial Narrow" w:hAnsi="Arial Narrow" w:cs="Arial"/>
                <w:sz w:val="20"/>
                <w:szCs w:val="20"/>
                <w:vertAlign w:val="superscript"/>
              </w:rPr>
              <w:t>®</w:t>
            </w:r>
          </w:p>
        </w:tc>
        <w:tc>
          <w:tcPr>
            <w:tcW w:w="758" w:type="pct"/>
            <w:gridSpan w:val="2"/>
          </w:tcPr>
          <w:p w:rsidR="007A39E3" w:rsidRPr="00115B6A" w:rsidRDefault="007A39E3" w:rsidP="00BD6855">
            <w:pPr>
              <w:keepNext/>
              <w:jc w:val="both"/>
              <w:rPr>
                <w:rFonts w:ascii="Arial Narrow" w:hAnsi="Arial Narrow" w:cs="Arial"/>
                <w:sz w:val="20"/>
                <w:szCs w:val="20"/>
              </w:rPr>
            </w:pPr>
          </w:p>
          <w:p w:rsidR="007A39E3" w:rsidRPr="00115B6A" w:rsidRDefault="007A39E3" w:rsidP="00BD6855">
            <w:pPr>
              <w:keepNext/>
              <w:jc w:val="both"/>
              <w:rPr>
                <w:rFonts w:ascii="Arial Narrow" w:hAnsi="Arial Narrow" w:cs="Arial"/>
                <w:sz w:val="20"/>
                <w:szCs w:val="20"/>
              </w:rPr>
            </w:pPr>
            <w:r w:rsidRPr="00115B6A">
              <w:rPr>
                <w:rFonts w:ascii="Arial Narrow" w:hAnsi="Arial Narrow" w:cs="Arial"/>
                <w:sz w:val="20"/>
                <w:szCs w:val="20"/>
              </w:rPr>
              <w:t>Roche</w:t>
            </w:r>
          </w:p>
        </w:tc>
      </w:tr>
      <w:tr w:rsidR="000367DF" w:rsidRPr="00115B6A" w:rsidTr="009A3D5C">
        <w:trPr>
          <w:gridAfter w:val="1"/>
          <w:wAfter w:w="410" w:type="pct"/>
          <w:cantSplit/>
          <w:trHeight w:val="360"/>
        </w:trPr>
        <w:tc>
          <w:tcPr>
            <w:tcW w:w="4590" w:type="pct"/>
            <w:gridSpan w:val="8"/>
            <w:tcBorders>
              <w:bottom w:val="single" w:sz="4" w:space="0" w:color="auto"/>
            </w:tcBorders>
          </w:tcPr>
          <w:p w:rsidR="000367DF" w:rsidRPr="00115B6A" w:rsidRDefault="000367DF" w:rsidP="00EB0B63">
            <w:pPr>
              <w:spacing w:before="40" w:after="40"/>
              <w:jc w:val="both"/>
              <w:rPr>
                <w:rFonts w:ascii="Arial Narrow" w:hAnsi="Arial Narrow" w:cs="Arial"/>
                <w:sz w:val="20"/>
                <w:szCs w:val="20"/>
              </w:rPr>
            </w:pP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6A0BD4">
            <w:pPr>
              <w:spacing w:before="40" w:after="40"/>
              <w:jc w:val="both"/>
              <w:rPr>
                <w:rFonts w:ascii="Arial Narrow" w:hAnsi="Arial Narrow" w:cs="Arial"/>
                <w:b/>
                <w:sz w:val="20"/>
                <w:szCs w:val="20"/>
              </w:rPr>
            </w:pPr>
            <w:r w:rsidRPr="00115B6A">
              <w:rPr>
                <w:rFonts w:ascii="Arial Narrow" w:hAnsi="Arial Narrow" w:cs="Arial"/>
                <w:b/>
                <w:sz w:val="20"/>
                <w:szCs w:val="20"/>
              </w:rPr>
              <w:t>Category / Program</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rPr>
                <w:rFonts w:ascii="Arial Narrow" w:hAnsi="Arial Narrow" w:cs="Arial"/>
                <w:sz w:val="20"/>
                <w:szCs w:val="20"/>
              </w:rPr>
            </w:pPr>
            <w:r w:rsidRPr="00115B6A">
              <w:rPr>
                <w:rFonts w:ascii="Arial Narrow" w:hAnsi="Arial Narrow" w:cs="Arial"/>
                <w:sz w:val="20"/>
                <w:szCs w:val="20"/>
              </w:rPr>
              <w:t>GENERAL – General Schedule (Code GE)</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jc w:val="both"/>
              <w:rPr>
                <w:rFonts w:ascii="Arial Narrow" w:hAnsi="Arial Narrow" w:cs="Arial"/>
                <w:b/>
                <w:sz w:val="20"/>
                <w:szCs w:val="20"/>
              </w:rPr>
            </w:pPr>
            <w:r w:rsidRPr="00115B6A">
              <w:rPr>
                <w:rFonts w:ascii="Arial Narrow" w:hAnsi="Arial Narrow" w:cs="Arial"/>
                <w:b/>
                <w:sz w:val="20"/>
                <w:szCs w:val="20"/>
              </w:rPr>
              <w:t>Prescriber type:</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rPr>
                <w:rFonts w:ascii="Arial Narrow" w:hAnsi="Arial Narrow" w:cs="Arial"/>
                <w:sz w:val="20"/>
                <w:szCs w:val="20"/>
              </w:rPr>
            </w:pPr>
            <w:r w:rsidRPr="00EA5994">
              <w:rPr>
                <w:rFonts w:ascii="Arial Narrow" w:hAnsi="Arial Narrow" w:cs="Arial"/>
                <w:sz w:val="20"/>
                <w:szCs w:val="20"/>
              </w:rPr>
              <w:fldChar w:fldCharType="begin">
                <w:ffData>
                  <w:name w:val="Check1"/>
                  <w:enabled/>
                  <w:calcOnExit w:val="0"/>
                  <w:checkBox>
                    <w:sizeAuto/>
                    <w:default w:val="0"/>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 xml:space="preserve">Dental  </w:t>
            </w:r>
            <w:r w:rsidRPr="00EA5994">
              <w:rPr>
                <w:rFonts w:ascii="Arial Narrow" w:hAnsi="Arial Narrow" w:cs="Arial"/>
                <w:sz w:val="20"/>
                <w:szCs w:val="20"/>
              </w:rPr>
              <w:fldChar w:fldCharType="begin">
                <w:ffData>
                  <w:name w:val=""/>
                  <w:enabled/>
                  <w:calcOnExit w:val="0"/>
                  <w:checkBox>
                    <w:sizeAuto/>
                    <w:default w:val="1"/>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 xml:space="preserve">Medical Practitioners  </w:t>
            </w:r>
            <w:r w:rsidRPr="00EA5994">
              <w:rPr>
                <w:rFonts w:ascii="Arial Narrow" w:hAnsi="Arial Narrow" w:cs="Arial"/>
                <w:sz w:val="20"/>
                <w:szCs w:val="20"/>
              </w:rPr>
              <w:fldChar w:fldCharType="begin">
                <w:ffData>
                  <w:name w:val="Check3"/>
                  <w:enabled/>
                  <w:calcOnExit w:val="0"/>
                  <w:checkBox>
                    <w:sizeAuto/>
                    <w:default w:val="0"/>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 xml:space="preserve">Nurse practitioners  </w:t>
            </w:r>
            <w:r w:rsidRPr="00EA5994">
              <w:rPr>
                <w:rFonts w:ascii="Arial Narrow" w:hAnsi="Arial Narrow" w:cs="Arial"/>
                <w:sz w:val="20"/>
                <w:szCs w:val="20"/>
              </w:rPr>
              <w:fldChar w:fldCharType="begin">
                <w:ffData>
                  <w:name w:val=""/>
                  <w:enabled/>
                  <w:calcOnExit w:val="0"/>
                  <w:checkBox>
                    <w:sizeAuto/>
                    <w:default w:val="0"/>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Optometrists</w:t>
            </w:r>
          </w:p>
          <w:p w:rsidR="007A39E3" w:rsidRPr="00115B6A" w:rsidRDefault="007A39E3" w:rsidP="00EB0B63">
            <w:pPr>
              <w:spacing w:before="40" w:after="40"/>
              <w:rPr>
                <w:rFonts w:ascii="Arial Narrow" w:hAnsi="Arial Narrow" w:cs="Arial"/>
                <w:sz w:val="20"/>
                <w:szCs w:val="20"/>
              </w:rPr>
            </w:pPr>
            <w:r w:rsidRPr="00EA5994">
              <w:rPr>
                <w:rFonts w:ascii="Arial Narrow" w:hAnsi="Arial Narrow" w:cs="Arial"/>
                <w:sz w:val="20"/>
                <w:szCs w:val="20"/>
              </w:rPr>
              <w:fldChar w:fldCharType="begin">
                <w:ffData>
                  <w:name w:val="Check5"/>
                  <w:enabled/>
                  <w:calcOnExit w:val="0"/>
                  <w:checkBox>
                    <w:sizeAuto/>
                    <w:default w:val="0"/>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Midwives</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jc w:val="both"/>
              <w:rPr>
                <w:rFonts w:ascii="Arial Narrow" w:hAnsi="Arial Narrow" w:cs="Arial"/>
                <w:b/>
                <w:sz w:val="20"/>
                <w:szCs w:val="20"/>
              </w:rPr>
            </w:pPr>
            <w:r w:rsidRPr="00115B6A">
              <w:rPr>
                <w:rFonts w:ascii="Arial Narrow" w:hAnsi="Arial Narrow" w:cs="Arial"/>
                <w:b/>
                <w:sz w:val="20"/>
                <w:szCs w:val="20"/>
              </w:rPr>
              <w:t>Severity:</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rPr>
                <w:rFonts w:ascii="Arial Narrow" w:hAnsi="Arial Narrow" w:cs="Arial"/>
                <w:sz w:val="20"/>
                <w:szCs w:val="20"/>
              </w:rPr>
            </w:pPr>
            <w:r w:rsidRPr="00115B6A">
              <w:rPr>
                <w:rFonts w:ascii="Arial Narrow" w:hAnsi="Arial Narrow" w:cs="Arial"/>
                <w:sz w:val="20"/>
                <w:szCs w:val="20"/>
              </w:rPr>
              <w:t>Active</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jc w:val="both"/>
              <w:rPr>
                <w:rFonts w:ascii="Arial Narrow" w:hAnsi="Arial Narrow" w:cs="Arial"/>
                <w:b/>
                <w:sz w:val="20"/>
                <w:szCs w:val="20"/>
              </w:rPr>
            </w:pPr>
            <w:r w:rsidRPr="00115B6A">
              <w:rPr>
                <w:rFonts w:ascii="Arial Narrow" w:hAnsi="Arial Narrow" w:cs="Arial"/>
                <w:b/>
                <w:sz w:val="20"/>
                <w:szCs w:val="20"/>
              </w:rPr>
              <w:t>Condition:</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rPr>
                <w:rFonts w:ascii="Arial Narrow" w:hAnsi="Arial Narrow" w:cs="Arial"/>
                <w:sz w:val="20"/>
                <w:szCs w:val="20"/>
              </w:rPr>
            </w:pPr>
            <w:r w:rsidRPr="00115B6A">
              <w:rPr>
                <w:rFonts w:ascii="Arial Narrow" w:hAnsi="Arial Narrow" w:cs="Arial"/>
                <w:sz w:val="20"/>
                <w:szCs w:val="20"/>
              </w:rPr>
              <w:t>Giant cell arteritis</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jc w:val="both"/>
              <w:rPr>
                <w:rFonts w:ascii="Arial Narrow" w:hAnsi="Arial Narrow" w:cs="Arial"/>
                <w:b/>
                <w:sz w:val="20"/>
                <w:szCs w:val="20"/>
              </w:rPr>
            </w:pPr>
            <w:r w:rsidRPr="00115B6A">
              <w:rPr>
                <w:rFonts w:ascii="Arial Narrow" w:hAnsi="Arial Narrow" w:cs="Arial"/>
                <w:b/>
                <w:sz w:val="20"/>
                <w:szCs w:val="20"/>
              </w:rPr>
              <w:t>PBS Indication:</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rPr>
                <w:rFonts w:ascii="Arial Narrow" w:hAnsi="Arial Narrow" w:cs="Arial"/>
                <w:sz w:val="20"/>
                <w:szCs w:val="20"/>
              </w:rPr>
            </w:pPr>
            <w:r w:rsidRPr="00115B6A">
              <w:rPr>
                <w:rFonts w:ascii="Arial Narrow" w:hAnsi="Arial Narrow" w:cs="Arial"/>
                <w:sz w:val="20"/>
                <w:szCs w:val="20"/>
              </w:rPr>
              <w:t>Active giant cell arteritis</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jc w:val="both"/>
              <w:rPr>
                <w:rFonts w:ascii="Arial Narrow" w:hAnsi="Arial Narrow" w:cs="Arial"/>
                <w:b/>
                <w:sz w:val="20"/>
                <w:szCs w:val="20"/>
              </w:rPr>
            </w:pPr>
            <w:r w:rsidRPr="00115B6A">
              <w:rPr>
                <w:rFonts w:ascii="Arial Narrow" w:hAnsi="Arial Narrow" w:cs="Arial"/>
                <w:b/>
                <w:sz w:val="20"/>
                <w:szCs w:val="20"/>
              </w:rPr>
              <w:t>Treatment phase:</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rPr>
                <w:rFonts w:ascii="Arial Narrow" w:hAnsi="Arial Narrow" w:cs="Arial"/>
                <w:sz w:val="20"/>
                <w:szCs w:val="20"/>
              </w:rPr>
            </w:pPr>
            <w:r w:rsidRPr="00115B6A">
              <w:rPr>
                <w:rFonts w:ascii="Arial Narrow" w:hAnsi="Arial Narrow" w:cs="Arial"/>
                <w:sz w:val="20"/>
                <w:szCs w:val="20"/>
              </w:rPr>
              <w:t>Initial</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7A39E3">
            <w:pPr>
              <w:spacing w:before="40" w:after="40"/>
              <w:jc w:val="both"/>
              <w:rPr>
                <w:rFonts w:ascii="Arial Narrow" w:hAnsi="Arial Narrow" w:cs="Arial"/>
                <w:b/>
                <w:sz w:val="20"/>
                <w:szCs w:val="20"/>
              </w:rPr>
            </w:pPr>
            <w:r w:rsidRPr="00115B6A">
              <w:rPr>
                <w:rFonts w:ascii="Arial Narrow" w:hAnsi="Arial Narrow" w:cs="Arial"/>
                <w:b/>
                <w:sz w:val="20"/>
                <w:szCs w:val="20"/>
              </w:rPr>
              <w:t>Restriction Level / Method:</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rPr>
                <w:rFonts w:ascii="Arial Narrow" w:hAnsi="Arial Narrow" w:cs="Arial"/>
                <w:sz w:val="20"/>
                <w:szCs w:val="20"/>
              </w:rPr>
            </w:pPr>
            <w:r w:rsidRPr="00EA5994">
              <w:rPr>
                <w:rFonts w:ascii="Arial Narrow" w:hAnsi="Arial Narrow" w:cs="Arial"/>
                <w:sz w:val="20"/>
                <w:szCs w:val="20"/>
              </w:rPr>
              <w:fldChar w:fldCharType="begin">
                <w:ffData>
                  <w:name w:val=""/>
                  <w:enabled/>
                  <w:calcOnExit w:val="0"/>
                  <w:checkBox>
                    <w:sizeAuto/>
                    <w:default w:val="1"/>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Authority Required - In Writing</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7A39E3">
            <w:pPr>
              <w:spacing w:before="40" w:after="40"/>
              <w:rPr>
                <w:rFonts w:ascii="Arial Narrow" w:hAnsi="Arial Narrow" w:cs="Arial"/>
                <w:b/>
                <w:sz w:val="20"/>
                <w:szCs w:val="20"/>
              </w:rPr>
            </w:pPr>
            <w:r w:rsidRPr="00115B6A">
              <w:rPr>
                <w:rFonts w:ascii="Arial Narrow" w:hAnsi="Arial Narrow" w:cs="Arial"/>
                <w:b/>
                <w:sz w:val="20"/>
                <w:szCs w:val="20"/>
              </w:rPr>
              <w:t>Treatment criteria:</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EB0B63">
            <w:pPr>
              <w:spacing w:before="40" w:after="40"/>
              <w:rPr>
                <w:rFonts w:ascii="Arial Narrow" w:hAnsi="Arial Narrow" w:cs="Arial"/>
                <w:sz w:val="20"/>
                <w:szCs w:val="20"/>
              </w:rPr>
            </w:pPr>
            <w:r w:rsidRPr="00115B6A">
              <w:rPr>
                <w:rFonts w:ascii="Arial Narrow" w:hAnsi="Arial Narrow" w:cstheme="minorHAnsi"/>
                <w:sz w:val="20"/>
                <w:szCs w:val="20"/>
              </w:rPr>
              <w:t>Patient must be treated by a rheumatologist, clinical immunologist or neurologist experienced in the management of giant cell arteritis</w:t>
            </w:r>
            <w:r w:rsidRPr="00115B6A">
              <w:rPr>
                <w:rFonts w:ascii="Arial Narrow" w:hAnsi="Arial Narrow" w:cstheme="minorHAnsi"/>
                <w:i/>
                <w:sz w:val="20"/>
                <w:szCs w:val="20"/>
              </w:rPr>
              <w:t xml:space="preserve"> </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BD6855">
            <w:pPr>
              <w:spacing w:before="40" w:after="40"/>
              <w:jc w:val="both"/>
              <w:rPr>
                <w:rFonts w:ascii="Arial Narrow" w:hAnsi="Arial Narrow" w:cs="Arial"/>
                <w:b/>
                <w:sz w:val="20"/>
                <w:szCs w:val="20"/>
              </w:rPr>
            </w:pPr>
            <w:r w:rsidRPr="00115B6A">
              <w:rPr>
                <w:rFonts w:ascii="Arial Narrow" w:hAnsi="Arial Narrow" w:cs="Arial"/>
                <w:b/>
                <w:sz w:val="20"/>
                <w:szCs w:val="20"/>
              </w:rPr>
              <w:lastRenderedPageBreak/>
              <w:t>Clinical criteria:</w:t>
            </w:r>
          </w:p>
        </w:tc>
        <w:tc>
          <w:tcPr>
            <w:tcW w:w="3831" w:type="pct"/>
            <w:gridSpan w:val="8"/>
            <w:tcBorders>
              <w:top w:val="single" w:sz="4" w:space="0" w:color="auto"/>
              <w:left w:val="single" w:sz="4" w:space="0" w:color="auto"/>
              <w:bottom w:val="single" w:sz="4" w:space="0" w:color="auto"/>
              <w:right w:val="single" w:sz="4" w:space="0" w:color="auto"/>
            </w:tcBorders>
          </w:tcPr>
          <w:p w:rsidR="007A39E3" w:rsidRPr="00115B6A" w:rsidRDefault="007A39E3" w:rsidP="007A39E3">
            <w:pPr>
              <w:rPr>
                <w:rFonts w:ascii="Arial Narrow" w:hAnsi="Arial Narrow" w:cstheme="minorHAnsi"/>
                <w:sz w:val="20"/>
                <w:szCs w:val="20"/>
              </w:rPr>
            </w:pPr>
            <w:r w:rsidRPr="00115B6A">
              <w:rPr>
                <w:rFonts w:ascii="Arial Narrow" w:hAnsi="Arial Narrow" w:cstheme="minorHAnsi"/>
                <w:sz w:val="20"/>
                <w:szCs w:val="20"/>
              </w:rPr>
              <w:t>Patient must have active giant cell arteritis defined as the:</w:t>
            </w:r>
          </w:p>
          <w:p w:rsidR="007A39E3" w:rsidRPr="00115B6A" w:rsidRDefault="007A39E3" w:rsidP="007A39E3">
            <w:pPr>
              <w:numPr>
                <w:ilvl w:val="0"/>
                <w:numId w:val="15"/>
              </w:numPr>
              <w:rPr>
                <w:rFonts w:ascii="Arial Narrow" w:hAnsi="Arial Narrow" w:cstheme="minorHAnsi"/>
                <w:sz w:val="20"/>
                <w:szCs w:val="20"/>
              </w:rPr>
            </w:pPr>
            <w:r w:rsidRPr="00115B6A">
              <w:rPr>
                <w:rFonts w:ascii="Arial Narrow" w:hAnsi="Arial Narrow" w:cstheme="minorHAnsi"/>
                <w:sz w:val="20"/>
                <w:szCs w:val="20"/>
              </w:rPr>
              <w:t>presence of clinical signs and symptoms AND ESR ≥ 30 mm/hour or CRP ≥ 10 mg/L) within the past 6 weeks;</w:t>
            </w:r>
          </w:p>
          <w:p w:rsidR="007A39E3" w:rsidRPr="00115B6A" w:rsidRDefault="007A39E3" w:rsidP="007A39E3">
            <w:pPr>
              <w:ind w:left="720"/>
              <w:rPr>
                <w:rFonts w:ascii="Arial Narrow" w:hAnsi="Arial Narrow" w:cstheme="minorHAnsi"/>
                <w:sz w:val="20"/>
                <w:szCs w:val="20"/>
              </w:rPr>
            </w:pPr>
            <w:r w:rsidRPr="00115B6A">
              <w:rPr>
                <w:rFonts w:ascii="Arial Narrow" w:hAnsi="Arial Narrow" w:cstheme="minorHAnsi"/>
                <w:sz w:val="20"/>
                <w:szCs w:val="20"/>
              </w:rPr>
              <w:t>OR</w:t>
            </w:r>
          </w:p>
          <w:p w:rsidR="007A39E3" w:rsidRPr="00115B6A" w:rsidRDefault="007A39E3" w:rsidP="007A39E3">
            <w:pPr>
              <w:numPr>
                <w:ilvl w:val="0"/>
                <w:numId w:val="15"/>
              </w:numPr>
              <w:rPr>
                <w:rFonts w:ascii="Arial Narrow" w:hAnsi="Arial Narrow" w:cstheme="minorHAnsi"/>
                <w:sz w:val="20"/>
                <w:szCs w:val="20"/>
              </w:rPr>
            </w:pPr>
            <w:r w:rsidRPr="00115B6A">
              <w:rPr>
                <w:rFonts w:ascii="Arial Narrow" w:hAnsi="Arial Narrow" w:cstheme="minorHAnsi"/>
                <w:sz w:val="20"/>
                <w:szCs w:val="20"/>
              </w:rPr>
              <w:t>presence of clinical signs and symptoms AND active giant cell arteritis confirmed by positive temporal artery biopsy or imaging</w:t>
            </w:r>
          </w:p>
          <w:p w:rsidR="007A39E3" w:rsidRPr="00115B6A" w:rsidRDefault="007A39E3" w:rsidP="007A39E3">
            <w:pPr>
              <w:rPr>
                <w:rFonts w:ascii="Arial Narrow" w:hAnsi="Arial Narrow" w:cstheme="minorHAnsi"/>
                <w:sz w:val="20"/>
                <w:szCs w:val="20"/>
              </w:rPr>
            </w:pPr>
            <w:r w:rsidRPr="00115B6A">
              <w:rPr>
                <w:rFonts w:ascii="Arial Narrow" w:hAnsi="Arial Narrow" w:cstheme="minorHAnsi"/>
                <w:sz w:val="20"/>
                <w:szCs w:val="20"/>
              </w:rPr>
              <w:t>AND</w:t>
            </w:r>
          </w:p>
          <w:p w:rsidR="007A39E3" w:rsidRPr="00115B6A" w:rsidRDefault="007A39E3" w:rsidP="007A39E3">
            <w:pPr>
              <w:rPr>
                <w:rFonts w:ascii="Arial Narrow" w:hAnsi="Arial Narrow" w:cstheme="minorHAnsi"/>
                <w:sz w:val="20"/>
                <w:szCs w:val="20"/>
              </w:rPr>
            </w:pPr>
            <w:r w:rsidRPr="00115B6A">
              <w:rPr>
                <w:rFonts w:ascii="Arial Narrow" w:hAnsi="Arial Narrow" w:cstheme="minorHAnsi"/>
                <w:sz w:val="20"/>
                <w:szCs w:val="20"/>
              </w:rPr>
              <w:t>The treatment must in combination with a tapering course of corticosteroids</w:t>
            </w:r>
          </w:p>
          <w:p w:rsidR="007A39E3" w:rsidRPr="00115B6A" w:rsidRDefault="007A39E3" w:rsidP="007A39E3">
            <w:pPr>
              <w:rPr>
                <w:rFonts w:ascii="Arial Narrow" w:hAnsi="Arial Narrow" w:cstheme="minorHAnsi"/>
                <w:sz w:val="20"/>
                <w:szCs w:val="20"/>
              </w:rPr>
            </w:pPr>
            <w:r w:rsidRPr="00115B6A">
              <w:rPr>
                <w:rFonts w:ascii="Arial Narrow" w:hAnsi="Arial Narrow" w:cstheme="minorHAnsi"/>
                <w:sz w:val="20"/>
                <w:szCs w:val="20"/>
              </w:rPr>
              <w:t>AND</w:t>
            </w:r>
          </w:p>
          <w:p w:rsidR="00A72799" w:rsidRPr="00115B6A" w:rsidRDefault="007A39E3" w:rsidP="001D3982">
            <w:pPr>
              <w:spacing w:before="40" w:after="40"/>
              <w:jc w:val="both"/>
              <w:rPr>
                <w:rFonts w:ascii="Arial Narrow" w:hAnsi="Arial Narrow" w:cs="Arial"/>
                <w:i/>
                <w:sz w:val="20"/>
                <w:szCs w:val="20"/>
              </w:rPr>
            </w:pPr>
            <w:r w:rsidRPr="00115B6A">
              <w:rPr>
                <w:rFonts w:ascii="Arial Narrow" w:hAnsi="Arial Narrow" w:cstheme="minorHAnsi"/>
                <w:sz w:val="20"/>
                <w:szCs w:val="20"/>
              </w:rPr>
              <w:t>The treatment with this drug for this condition must not exceed a total of 12 months therapy</w:t>
            </w:r>
            <w:r w:rsidR="00A72799" w:rsidRPr="00115B6A">
              <w:rPr>
                <w:rFonts w:ascii="Arial Narrow" w:hAnsi="Arial Narrow" w:cstheme="minorHAnsi"/>
                <w:i/>
                <w:sz w:val="20"/>
                <w:szCs w:val="20"/>
              </w:rPr>
              <w:t xml:space="preserve"> </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BD6855">
            <w:pPr>
              <w:spacing w:before="40" w:after="40"/>
              <w:jc w:val="both"/>
              <w:rPr>
                <w:rFonts w:ascii="Arial Narrow" w:hAnsi="Arial Narrow" w:cs="Arial"/>
                <w:b/>
                <w:sz w:val="20"/>
                <w:szCs w:val="20"/>
              </w:rPr>
            </w:pPr>
            <w:r w:rsidRPr="00115B6A">
              <w:rPr>
                <w:rFonts w:ascii="Arial Narrow" w:hAnsi="Arial Narrow" w:cs="Arial"/>
                <w:b/>
                <w:sz w:val="20"/>
                <w:szCs w:val="20"/>
              </w:rPr>
              <w:t>Definitions</w:t>
            </w:r>
          </w:p>
        </w:tc>
        <w:tc>
          <w:tcPr>
            <w:tcW w:w="3831" w:type="pct"/>
            <w:gridSpan w:val="8"/>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b/>
                <w:sz w:val="20"/>
                <w:szCs w:val="20"/>
              </w:rPr>
            </w:pPr>
            <w:r w:rsidRPr="00115B6A">
              <w:rPr>
                <w:rFonts w:ascii="Arial Narrow" w:hAnsi="Arial Narrow" w:cstheme="minorHAnsi"/>
                <w:b/>
                <w:sz w:val="20"/>
                <w:szCs w:val="20"/>
              </w:rPr>
              <w:t>Giant cell arteritis diagnosis criteria</w:t>
            </w:r>
          </w:p>
          <w:p w:rsidR="0028451A"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Clinical signs and symptoms of active giant cell arteritis must be in the absence of any other identifiable cause</w:t>
            </w:r>
            <w:r w:rsidR="00097C7D" w:rsidRPr="00115B6A">
              <w:rPr>
                <w:rFonts w:ascii="Arial Narrow" w:hAnsi="Arial Narrow" w:cstheme="minorHAnsi"/>
                <w:sz w:val="20"/>
                <w:szCs w:val="20"/>
                <w:u w:val="single"/>
              </w:rPr>
              <w:t xml:space="preserve"> </w:t>
            </w:r>
            <w:r w:rsidR="00097C7D" w:rsidRPr="00115B6A">
              <w:rPr>
                <w:rFonts w:ascii="Arial Narrow" w:hAnsi="Arial Narrow" w:cstheme="minorHAnsi"/>
                <w:sz w:val="20"/>
                <w:szCs w:val="20"/>
              </w:rPr>
              <w:t>and must include:</w:t>
            </w:r>
            <w:r w:rsidR="0028451A" w:rsidRPr="00115B6A">
              <w:rPr>
                <w:rFonts w:ascii="Arial Narrow" w:hAnsi="Arial Narrow" w:cstheme="minorHAnsi"/>
                <w:sz w:val="20"/>
                <w:szCs w:val="20"/>
              </w:rPr>
              <w:t xml:space="preserve"> </w:t>
            </w:r>
          </w:p>
          <w:p w:rsidR="00BD6855" w:rsidRPr="00115B6A" w:rsidRDefault="00BD6855" w:rsidP="00BD6855">
            <w:pPr>
              <w:numPr>
                <w:ilvl w:val="0"/>
                <w:numId w:val="16"/>
              </w:numPr>
              <w:rPr>
                <w:rFonts w:ascii="Arial Narrow" w:hAnsi="Arial Narrow" w:cstheme="minorHAnsi"/>
                <w:sz w:val="20"/>
                <w:szCs w:val="20"/>
              </w:rPr>
            </w:pPr>
            <w:r w:rsidRPr="00115B6A">
              <w:rPr>
                <w:rFonts w:ascii="Arial Narrow" w:hAnsi="Arial Narrow" w:cstheme="minorHAnsi"/>
                <w:sz w:val="20"/>
                <w:szCs w:val="20"/>
              </w:rPr>
              <w:t>Age ≥ 50 years</w:t>
            </w:r>
            <w:r w:rsidR="0028451A" w:rsidRPr="00115B6A">
              <w:rPr>
                <w:rFonts w:ascii="Arial Narrow" w:hAnsi="Arial Narrow" w:cstheme="minorHAnsi"/>
                <w:sz w:val="20"/>
                <w:szCs w:val="20"/>
              </w:rPr>
              <w:t xml:space="preserve">, </w:t>
            </w:r>
          </w:p>
          <w:p w:rsidR="00BD6855" w:rsidRPr="00115B6A" w:rsidRDefault="00BD6855" w:rsidP="00BD6855">
            <w:pPr>
              <w:numPr>
                <w:ilvl w:val="0"/>
                <w:numId w:val="16"/>
              </w:numPr>
              <w:rPr>
                <w:rFonts w:ascii="Arial Narrow" w:hAnsi="Arial Narrow" w:cstheme="minorHAnsi"/>
                <w:sz w:val="20"/>
                <w:szCs w:val="20"/>
              </w:rPr>
            </w:pPr>
            <w:r w:rsidRPr="00115B6A">
              <w:rPr>
                <w:rFonts w:ascii="Arial Narrow" w:hAnsi="Arial Narrow" w:cstheme="minorHAnsi"/>
                <w:sz w:val="20"/>
                <w:szCs w:val="20"/>
              </w:rPr>
              <w:t>ESR </w:t>
            </w:r>
            <w:r w:rsidRPr="00115B6A">
              <w:rPr>
                <w:rFonts w:ascii="Arial Narrow" w:hAnsi="Arial Narrow" w:cstheme="minorHAnsi"/>
                <w:sz w:val="20"/>
                <w:szCs w:val="20"/>
                <w:u w:val="single"/>
              </w:rPr>
              <w:t>≥ 30 mm/hour</w:t>
            </w:r>
            <w:r w:rsidRPr="00115B6A">
              <w:rPr>
                <w:rFonts w:ascii="Arial Narrow" w:hAnsi="Arial Narrow" w:cstheme="minorHAnsi"/>
                <w:sz w:val="20"/>
                <w:szCs w:val="20"/>
              </w:rPr>
              <w:t xml:space="preserve"> or CRP </w:t>
            </w:r>
            <w:r w:rsidRPr="00115B6A">
              <w:rPr>
                <w:rFonts w:ascii="Arial Narrow" w:hAnsi="Arial Narrow" w:cstheme="minorHAnsi"/>
                <w:sz w:val="20"/>
                <w:szCs w:val="20"/>
                <w:u w:val="single"/>
              </w:rPr>
              <w:t>≥10 mg/L</w:t>
            </w:r>
            <w:r w:rsidRPr="00115B6A">
              <w:rPr>
                <w:rFonts w:ascii="Arial Narrow" w:hAnsi="Arial Narrow" w:cstheme="minorHAnsi"/>
                <w:sz w:val="20"/>
                <w:szCs w:val="20"/>
              </w:rPr>
              <w:t xml:space="preserve"> at time of diagnosis</w:t>
            </w: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AND at least one of the following:</w:t>
            </w:r>
          </w:p>
          <w:p w:rsidR="00BD6855" w:rsidRPr="00115B6A" w:rsidRDefault="00BD6855" w:rsidP="00BD6855">
            <w:pPr>
              <w:numPr>
                <w:ilvl w:val="0"/>
                <w:numId w:val="16"/>
              </w:numPr>
              <w:rPr>
                <w:rFonts w:ascii="Arial Narrow" w:hAnsi="Arial Narrow" w:cstheme="minorHAnsi"/>
                <w:sz w:val="20"/>
                <w:szCs w:val="20"/>
              </w:rPr>
            </w:pPr>
            <w:r w:rsidRPr="00115B6A">
              <w:rPr>
                <w:rFonts w:ascii="Arial Narrow" w:hAnsi="Arial Narrow" w:cstheme="minorHAnsi"/>
                <w:sz w:val="20"/>
                <w:szCs w:val="20"/>
              </w:rPr>
              <w:t>Unequivocal cranial symptoms of giant cell arteritis (new</w:t>
            </w:r>
            <w:r w:rsidRPr="00115B6A">
              <w:rPr>
                <w:rFonts w:ascii="Arial Narrow" w:hAnsi="Arial Narrow" w:cstheme="minorHAnsi"/>
                <w:sz w:val="20"/>
                <w:szCs w:val="20"/>
              </w:rPr>
              <w:noBreakHyphen/>
              <w:t>onset localized headache, scalp tenderness, temporal artery tenderness or decreased pulsation, ischemia-related vision loss, or otherwise unexplained mouth or jaw pain upon mastication); OR</w:t>
            </w:r>
          </w:p>
          <w:p w:rsidR="00BD6855" w:rsidRPr="00115B6A" w:rsidRDefault="00BD6855" w:rsidP="00BD6855">
            <w:pPr>
              <w:numPr>
                <w:ilvl w:val="0"/>
                <w:numId w:val="16"/>
              </w:numPr>
              <w:rPr>
                <w:rFonts w:ascii="Arial Narrow" w:hAnsi="Arial Narrow" w:cstheme="minorHAnsi"/>
                <w:sz w:val="20"/>
                <w:szCs w:val="20"/>
              </w:rPr>
            </w:pPr>
            <w:r w:rsidRPr="00115B6A">
              <w:rPr>
                <w:rFonts w:ascii="Arial Narrow" w:hAnsi="Arial Narrow" w:cstheme="minorHAnsi"/>
                <w:sz w:val="20"/>
                <w:szCs w:val="20"/>
              </w:rPr>
              <w:t xml:space="preserve">Symptoms of polymyalgia </w:t>
            </w:r>
            <w:proofErr w:type="spellStart"/>
            <w:r w:rsidRPr="00115B6A">
              <w:rPr>
                <w:rFonts w:ascii="Arial Narrow" w:hAnsi="Arial Narrow" w:cstheme="minorHAnsi"/>
                <w:sz w:val="20"/>
                <w:szCs w:val="20"/>
              </w:rPr>
              <w:t>rheumatica</w:t>
            </w:r>
            <w:proofErr w:type="spellEnd"/>
            <w:r w:rsidRPr="00115B6A">
              <w:rPr>
                <w:rFonts w:ascii="Arial Narrow" w:hAnsi="Arial Narrow" w:cstheme="minorHAnsi"/>
                <w:sz w:val="20"/>
                <w:szCs w:val="20"/>
              </w:rPr>
              <w:t>, defined as shoulder and/or hip girdle pain associated with inflammatory morning stiffness</w:t>
            </w: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AND at least one of the following:</w:t>
            </w:r>
          </w:p>
          <w:p w:rsidR="00BD6855" w:rsidRPr="00115B6A" w:rsidRDefault="00BD6855" w:rsidP="00BD6855">
            <w:pPr>
              <w:numPr>
                <w:ilvl w:val="0"/>
                <w:numId w:val="16"/>
              </w:numPr>
              <w:rPr>
                <w:rFonts w:ascii="Arial Narrow" w:hAnsi="Arial Narrow" w:cstheme="minorHAnsi"/>
                <w:sz w:val="20"/>
                <w:szCs w:val="20"/>
              </w:rPr>
            </w:pPr>
            <w:r w:rsidRPr="00115B6A">
              <w:rPr>
                <w:rFonts w:ascii="Arial Narrow" w:hAnsi="Arial Narrow" w:cstheme="minorHAnsi"/>
                <w:sz w:val="20"/>
                <w:szCs w:val="20"/>
              </w:rPr>
              <w:t xml:space="preserve">Temporal artery biopsy </w:t>
            </w:r>
            <w:r w:rsidRPr="00115B6A">
              <w:rPr>
                <w:rFonts w:ascii="Arial Narrow" w:hAnsi="Arial Narrow" w:cstheme="minorHAnsi"/>
                <w:sz w:val="20"/>
                <w:szCs w:val="20"/>
                <w:u w:val="single"/>
              </w:rPr>
              <w:t>or ultrasound</w:t>
            </w:r>
            <w:r w:rsidRPr="00115B6A">
              <w:rPr>
                <w:rFonts w:ascii="Arial Narrow" w:hAnsi="Arial Narrow" w:cstheme="minorHAnsi"/>
                <w:sz w:val="20"/>
                <w:szCs w:val="20"/>
              </w:rPr>
              <w:t xml:space="preserve"> revealing features of giant cell arteritis; OR</w:t>
            </w:r>
          </w:p>
          <w:p w:rsidR="007A39E3" w:rsidRPr="00115B6A" w:rsidRDefault="00BD6855" w:rsidP="00914DD5">
            <w:pPr>
              <w:numPr>
                <w:ilvl w:val="0"/>
                <w:numId w:val="16"/>
              </w:numPr>
              <w:rPr>
                <w:rFonts w:ascii="Arial Narrow" w:hAnsi="Arial Narrow" w:cs="Arial"/>
                <w:sz w:val="20"/>
                <w:szCs w:val="20"/>
              </w:rPr>
            </w:pPr>
            <w:r w:rsidRPr="00115B6A">
              <w:rPr>
                <w:rFonts w:ascii="Arial Narrow" w:hAnsi="Arial Narrow" w:cstheme="minorHAnsi"/>
                <w:sz w:val="20"/>
                <w:szCs w:val="20"/>
              </w:rPr>
              <w:t>Evidence of large-vessel vasculitis by MR or CT angiography or PET/CT</w:t>
            </w:r>
          </w:p>
        </w:tc>
      </w:tr>
      <w:tr w:rsidR="007A39E3" w:rsidRPr="00115B6A" w:rsidTr="009A3D5C">
        <w:trPr>
          <w:cantSplit/>
          <w:trHeight w:val="360"/>
        </w:trPr>
        <w:tc>
          <w:tcPr>
            <w:tcW w:w="1169" w:type="pct"/>
            <w:tcBorders>
              <w:top w:val="single" w:sz="4" w:space="0" w:color="auto"/>
              <w:left w:val="single" w:sz="4" w:space="0" w:color="auto"/>
              <w:bottom w:val="single" w:sz="4" w:space="0" w:color="auto"/>
              <w:right w:val="single" w:sz="4" w:space="0" w:color="auto"/>
            </w:tcBorders>
          </w:tcPr>
          <w:p w:rsidR="007A39E3" w:rsidRPr="00115B6A" w:rsidRDefault="007A39E3" w:rsidP="00BD6855">
            <w:pPr>
              <w:spacing w:before="40" w:after="40"/>
              <w:jc w:val="both"/>
              <w:rPr>
                <w:rFonts w:ascii="Arial Narrow" w:hAnsi="Arial Narrow" w:cs="Arial"/>
                <w:b/>
                <w:sz w:val="20"/>
                <w:szCs w:val="20"/>
              </w:rPr>
            </w:pPr>
            <w:r w:rsidRPr="00115B6A">
              <w:rPr>
                <w:rFonts w:ascii="Arial Narrow" w:hAnsi="Arial Narrow" w:cs="Arial"/>
                <w:b/>
                <w:sz w:val="20"/>
                <w:szCs w:val="20"/>
              </w:rPr>
              <w:t>Administrative Advice</w:t>
            </w:r>
          </w:p>
        </w:tc>
        <w:tc>
          <w:tcPr>
            <w:tcW w:w="3831" w:type="pct"/>
            <w:gridSpan w:val="8"/>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Up to a maximum of 12 months of therapy will be reimbursed through the PBS</w:t>
            </w:r>
          </w:p>
          <w:p w:rsidR="00BD6855" w:rsidRPr="00115B6A" w:rsidRDefault="00BD6855" w:rsidP="00BD6855">
            <w:pPr>
              <w:rPr>
                <w:rFonts w:ascii="Arial Narrow" w:hAnsi="Arial Narrow" w:cstheme="minorHAnsi"/>
                <w:sz w:val="20"/>
                <w:szCs w:val="20"/>
              </w:rPr>
            </w:pP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The authority application must be made in writing and must include:</w:t>
            </w: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(1) a completed authority prescription form;</w:t>
            </w: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(2) a completed Giant Cell Arteritis - Supporting Information Form; and</w:t>
            </w: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(3) documentation that the patient has active giant cell arteritis including pathology reports outlining the patient’s ESR and CRP levels, or positive temporal artery biopsy or imaging within the last 6 weeks</w:t>
            </w:r>
            <w:r w:rsidR="00F422C8" w:rsidRPr="00115B6A">
              <w:rPr>
                <w:rFonts w:ascii="Arial Narrow" w:hAnsi="Arial Narrow" w:cstheme="minorHAnsi"/>
                <w:sz w:val="20"/>
                <w:szCs w:val="20"/>
              </w:rPr>
              <w:t>;</w:t>
            </w:r>
          </w:p>
          <w:p w:rsidR="00BD6855" w:rsidRPr="00115B6A" w:rsidRDefault="00BD6855" w:rsidP="00BD6855">
            <w:pPr>
              <w:rPr>
                <w:rFonts w:ascii="Arial Narrow" w:hAnsi="Arial Narrow" w:cstheme="minorHAnsi"/>
                <w:sz w:val="20"/>
                <w:szCs w:val="20"/>
              </w:rPr>
            </w:pP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p>
          <w:p w:rsidR="00BD6855" w:rsidRPr="00115B6A" w:rsidRDefault="00BD6855" w:rsidP="00BD6855">
            <w:pPr>
              <w:rPr>
                <w:rFonts w:ascii="Arial Narrow" w:hAnsi="Arial Narrow" w:cstheme="minorHAnsi"/>
                <w:sz w:val="20"/>
                <w:szCs w:val="20"/>
              </w:rPr>
            </w:pP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 xml:space="preserve">Prescribing information (including Authority Application forms and other relevant documentation as applicable) is available on the Department of Human Services website at </w:t>
            </w:r>
            <w:r w:rsidRPr="00EA7660">
              <w:rPr>
                <w:rFonts w:ascii="Arial Narrow" w:hAnsi="Arial Narrow" w:cstheme="minorHAnsi"/>
                <w:sz w:val="20"/>
                <w:szCs w:val="20"/>
              </w:rPr>
              <w:t>www.humanservices.gov.au</w:t>
            </w:r>
          </w:p>
          <w:p w:rsidR="00BD6855" w:rsidRPr="00115B6A" w:rsidRDefault="00BD6855" w:rsidP="00BD6855">
            <w:pPr>
              <w:rPr>
                <w:rFonts w:ascii="Arial Narrow" w:hAnsi="Arial Narrow" w:cstheme="minorHAnsi"/>
                <w:sz w:val="20"/>
                <w:szCs w:val="20"/>
              </w:rPr>
            </w:pP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 xml:space="preserve">Applications for authority to prescribe should be forwarded to: </w:t>
            </w: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Department of Human Services</w:t>
            </w: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 xml:space="preserve">Complex Drugs </w:t>
            </w:r>
          </w:p>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 xml:space="preserve">Reply Paid 9826 </w:t>
            </w:r>
          </w:p>
          <w:p w:rsidR="007A39E3" w:rsidRPr="00115B6A" w:rsidRDefault="00BD6855" w:rsidP="00BD6855">
            <w:pPr>
              <w:spacing w:before="40" w:after="40"/>
              <w:rPr>
                <w:rFonts w:ascii="Arial Narrow" w:hAnsi="Arial Narrow" w:cs="Arial"/>
                <w:sz w:val="20"/>
                <w:szCs w:val="20"/>
              </w:rPr>
            </w:pPr>
            <w:r w:rsidRPr="00115B6A">
              <w:rPr>
                <w:rFonts w:ascii="Arial Narrow" w:hAnsi="Arial Narrow" w:cstheme="minorHAnsi"/>
                <w:sz w:val="20"/>
                <w:szCs w:val="20"/>
              </w:rPr>
              <w:t>HOBART TAS 7001</w:t>
            </w:r>
          </w:p>
        </w:tc>
      </w:tr>
    </w:tbl>
    <w:p w:rsidR="00BD6855" w:rsidRPr="00115B6A" w:rsidRDefault="00BD6855" w:rsidP="002D4543">
      <w:pPr>
        <w:rPr>
          <w:szCs w:val="22"/>
        </w:rPr>
      </w:pPr>
    </w:p>
    <w:tbl>
      <w:tblPr>
        <w:tblW w:w="4942" w:type="pct"/>
        <w:tblInd w:w="108" w:type="dxa"/>
        <w:tblLook w:val="0000" w:firstRow="0" w:lastRow="0" w:firstColumn="0" w:lastColumn="0" w:noHBand="0" w:noVBand="0"/>
      </w:tblPr>
      <w:tblGrid>
        <w:gridCol w:w="1613"/>
        <w:gridCol w:w="1483"/>
        <w:gridCol w:w="831"/>
        <w:gridCol w:w="833"/>
        <w:gridCol w:w="555"/>
        <w:gridCol w:w="1388"/>
        <w:gridCol w:w="971"/>
        <w:gridCol w:w="1247"/>
      </w:tblGrid>
      <w:tr w:rsidR="00BD6855" w:rsidRPr="00115B6A" w:rsidTr="00AF78A8">
        <w:trPr>
          <w:cantSplit/>
          <w:trHeight w:val="20"/>
        </w:trPr>
        <w:tc>
          <w:tcPr>
            <w:tcW w:w="1735" w:type="pct"/>
            <w:gridSpan w:val="2"/>
            <w:tcBorders>
              <w:bottom w:val="single" w:sz="4" w:space="0" w:color="auto"/>
            </w:tcBorders>
          </w:tcPr>
          <w:p w:rsidR="00BD6855" w:rsidRPr="00115B6A" w:rsidRDefault="00BD6855" w:rsidP="00BD6855">
            <w:pPr>
              <w:keepNext/>
              <w:ind w:left="-108"/>
              <w:rPr>
                <w:rFonts w:ascii="Arial Narrow" w:hAnsi="Arial Narrow" w:cstheme="minorHAnsi"/>
                <w:b/>
                <w:sz w:val="20"/>
                <w:szCs w:val="20"/>
              </w:rPr>
            </w:pPr>
            <w:r w:rsidRPr="00115B6A">
              <w:rPr>
                <w:rFonts w:ascii="Arial Narrow" w:hAnsi="Arial Narrow" w:cstheme="minorHAnsi"/>
                <w:b/>
                <w:sz w:val="20"/>
                <w:szCs w:val="20"/>
              </w:rPr>
              <w:lastRenderedPageBreak/>
              <w:t>Name, Restriction,</w:t>
            </w:r>
          </w:p>
          <w:p w:rsidR="00BD6855" w:rsidRPr="00115B6A" w:rsidRDefault="00BD6855" w:rsidP="00BD6855">
            <w:pPr>
              <w:keepNext/>
              <w:ind w:left="-108"/>
              <w:rPr>
                <w:rFonts w:ascii="Arial Narrow" w:hAnsi="Arial Narrow" w:cstheme="minorHAnsi"/>
                <w:b/>
                <w:sz w:val="20"/>
                <w:szCs w:val="20"/>
              </w:rPr>
            </w:pPr>
            <w:r w:rsidRPr="00115B6A">
              <w:rPr>
                <w:rFonts w:ascii="Arial Narrow" w:hAnsi="Arial Narrow" w:cstheme="minorHAnsi"/>
                <w:b/>
                <w:sz w:val="20"/>
                <w:szCs w:val="20"/>
              </w:rPr>
              <w:t>Manner of administration and form</w:t>
            </w:r>
          </w:p>
        </w:tc>
        <w:tc>
          <w:tcPr>
            <w:tcW w:w="466" w:type="pct"/>
            <w:tcBorders>
              <w:bottom w:val="single" w:sz="4" w:space="0" w:color="auto"/>
            </w:tcBorders>
          </w:tcPr>
          <w:p w:rsidR="00BD6855" w:rsidRPr="00115B6A" w:rsidRDefault="00BD6855" w:rsidP="00BD6855">
            <w:pPr>
              <w:keepNext/>
              <w:ind w:left="-108"/>
              <w:jc w:val="center"/>
              <w:rPr>
                <w:rFonts w:ascii="Arial Narrow" w:hAnsi="Arial Narrow" w:cstheme="minorHAnsi"/>
                <w:b/>
                <w:sz w:val="20"/>
                <w:szCs w:val="20"/>
              </w:rPr>
            </w:pPr>
            <w:r w:rsidRPr="00115B6A">
              <w:rPr>
                <w:rFonts w:ascii="Arial Narrow" w:hAnsi="Arial Narrow" w:cstheme="minorHAnsi"/>
                <w:b/>
                <w:sz w:val="20"/>
                <w:szCs w:val="20"/>
              </w:rPr>
              <w:t>Max.</w:t>
            </w:r>
          </w:p>
          <w:p w:rsidR="00BD6855" w:rsidRPr="00115B6A" w:rsidRDefault="00BD6855" w:rsidP="00BD6855">
            <w:pPr>
              <w:keepNext/>
              <w:ind w:left="-108"/>
              <w:jc w:val="center"/>
              <w:rPr>
                <w:rFonts w:ascii="Arial Narrow" w:hAnsi="Arial Narrow" w:cstheme="minorHAnsi"/>
                <w:b/>
                <w:sz w:val="20"/>
                <w:szCs w:val="20"/>
              </w:rPr>
            </w:pPr>
            <w:proofErr w:type="spellStart"/>
            <w:r w:rsidRPr="00115B6A">
              <w:rPr>
                <w:rFonts w:ascii="Arial Narrow" w:hAnsi="Arial Narrow" w:cstheme="minorHAnsi"/>
                <w:b/>
                <w:sz w:val="20"/>
                <w:szCs w:val="20"/>
              </w:rPr>
              <w:t>Qty</w:t>
            </w:r>
            <w:proofErr w:type="spellEnd"/>
            <w:r w:rsidRPr="00115B6A">
              <w:rPr>
                <w:rFonts w:ascii="Arial Narrow" w:hAnsi="Arial Narrow" w:cstheme="minorHAnsi"/>
                <w:b/>
                <w:sz w:val="20"/>
                <w:szCs w:val="20"/>
              </w:rPr>
              <w:t xml:space="preserve"> packs</w:t>
            </w:r>
          </w:p>
        </w:tc>
        <w:tc>
          <w:tcPr>
            <w:tcW w:w="467" w:type="pct"/>
            <w:tcBorders>
              <w:bottom w:val="single" w:sz="4" w:space="0" w:color="auto"/>
            </w:tcBorders>
          </w:tcPr>
          <w:p w:rsidR="00BD6855" w:rsidRPr="00115B6A" w:rsidRDefault="00BD6855" w:rsidP="00BD6855">
            <w:pPr>
              <w:keepNext/>
              <w:jc w:val="center"/>
              <w:rPr>
                <w:rFonts w:ascii="Arial Narrow" w:hAnsi="Arial Narrow" w:cstheme="minorHAnsi"/>
                <w:b/>
                <w:sz w:val="20"/>
                <w:szCs w:val="20"/>
              </w:rPr>
            </w:pPr>
            <w:r w:rsidRPr="00115B6A">
              <w:rPr>
                <w:rFonts w:ascii="Arial Narrow" w:hAnsi="Arial Narrow" w:cstheme="minorHAnsi"/>
                <w:b/>
                <w:sz w:val="20"/>
                <w:szCs w:val="20"/>
              </w:rPr>
              <w:t xml:space="preserve">Max. </w:t>
            </w:r>
            <w:proofErr w:type="spellStart"/>
            <w:r w:rsidRPr="00115B6A">
              <w:rPr>
                <w:rFonts w:ascii="Arial Narrow" w:hAnsi="Arial Narrow" w:cstheme="minorHAnsi"/>
                <w:b/>
                <w:sz w:val="20"/>
                <w:szCs w:val="20"/>
              </w:rPr>
              <w:t>Qty</w:t>
            </w:r>
            <w:proofErr w:type="spellEnd"/>
            <w:r w:rsidRPr="00115B6A">
              <w:rPr>
                <w:rFonts w:ascii="Arial Narrow" w:hAnsi="Arial Narrow" w:cstheme="minorHAnsi"/>
                <w:b/>
                <w:sz w:val="20"/>
                <w:szCs w:val="20"/>
              </w:rPr>
              <w:t xml:space="preserve"> units</w:t>
            </w:r>
          </w:p>
        </w:tc>
        <w:tc>
          <w:tcPr>
            <w:tcW w:w="311" w:type="pct"/>
            <w:tcBorders>
              <w:bottom w:val="single" w:sz="4" w:space="0" w:color="auto"/>
            </w:tcBorders>
          </w:tcPr>
          <w:p w:rsidR="00BD6855" w:rsidRPr="00115B6A" w:rsidRDefault="00BD6855" w:rsidP="00BD6855">
            <w:pPr>
              <w:keepNext/>
              <w:ind w:left="-108"/>
              <w:jc w:val="center"/>
              <w:rPr>
                <w:rFonts w:ascii="Arial Narrow" w:hAnsi="Arial Narrow" w:cstheme="minorHAnsi"/>
                <w:b/>
                <w:sz w:val="20"/>
                <w:szCs w:val="20"/>
              </w:rPr>
            </w:pPr>
            <w:r w:rsidRPr="00115B6A">
              <w:rPr>
                <w:rFonts w:ascii="Arial Narrow" w:hAnsi="Arial Narrow" w:cstheme="minorHAnsi"/>
                <w:b/>
                <w:sz w:val="20"/>
                <w:szCs w:val="20"/>
              </w:rPr>
              <w:t>№.of</w:t>
            </w:r>
          </w:p>
          <w:p w:rsidR="00BD6855" w:rsidRPr="00115B6A" w:rsidRDefault="00BD6855" w:rsidP="00BD6855">
            <w:pPr>
              <w:keepNext/>
              <w:ind w:left="-108"/>
              <w:jc w:val="center"/>
              <w:rPr>
                <w:rFonts w:ascii="Arial Narrow" w:hAnsi="Arial Narrow" w:cstheme="minorHAnsi"/>
                <w:b/>
                <w:sz w:val="20"/>
                <w:szCs w:val="20"/>
              </w:rPr>
            </w:pPr>
            <w:proofErr w:type="spellStart"/>
            <w:r w:rsidRPr="00115B6A">
              <w:rPr>
                <w:rFonts w:ascii="Arial Narrow" w:hAnsi="Arial Narrow" w:cstheme="minorHAnsi"/>
                <w:b/>
                <w:sz w:val="20"/>
                <w:szCs w:val="20"/>
              </w:rPr>
              <w:t>Rpts</w:t>
            </w:r>
            <w:proofErr w:type="spellEnd"/>
          </w:p>
        </w:tc>
        <w:tc>
          <w:tcPr>
            <w:tcW w:w="778" w:type="pct"/>
            <w:tcBorders>
              <w:bottom w:val="single" w:sz="4" w:space="0" w:color="auto"/>
            </w:tcBorders>
          </w:tcPr>
          <w:p w:rsidR="00BD6855" w:rsidRPr="00115B6A" w:rsidRDefault="00BD6855" w:rsidP="00BD6855">
            <w:pPr>
              <w:keepNext/>
              <w:ind w:left="-108"/>
              <w:jc w:val="center"/>
              <w:rPr>
                <w:rFonts w:ascii="Arial Narrow" w:hAnsi="Arial Narrow" w:cstheme="minorHAnsi"/>
                <w:b/>
                <w:sz w:val="20"/>
                <w:szCs w:val="20"/>
              </w:rPr>
            </w:pPr>
            <w:r w:rsidRPr="00115B6A">
              <w:rPr>
                <w:rFonts w:ascii="Arial Narrow" w:hAnsi="Arial Narrow" w:cstheme="minorHAnsi"/>
                <w:b/>
                <w:sz w:val="20"/>
                <w:szCs w:val="20"/>
              </w:rPr>
              <w:t xml:space="preserve">Dispensed Price for Max. </w:t>
            </w:r>
            <w:proofErr w:type="spellStart"/>
            <w:r w:rsidRPr="00115B6A">
              <w:rPr>
                <w:rFonts w:ascii="Arial Narrow" w:hAnsi="Arial Narrow" w:cstheme="minorHAnsi"/>
                <w:b/>
                <w:sz w:val="20"/>
                <w:szCs w:val="20"/>
              </w:rPr>
              <w:t>Qty</w:t>
            </w:r>
            <w:proofErr w:type="spellEnd"/>
          </w:p>
        </w:tc>
        <w:tc>
          <w:tcPr>
            <w:tcW w:w="1242" w:type="pct"/>
            <w:gridSpan w:val="2"/>
            <w:tcBorders>
              <w:bottom w:val="single" w:sz="4" w:space="0" w:color="auto"/>
            </w:tcBorders>
          </w:tcPr>
          <w:p w:rsidR="00BD6855" w:rsidRPr="00EA5994" w:rsidRDefault="00BD6855" w:rsidP="00BD6855">
            <w:pPr>
              <w:keepNext/>
              <w:rPr>
                <w:rFonts w:ascii="Arial Narrow" w:hAnsi="Arial Narrow" w:cstheme="minorHAnsi"/>
                <w:b/>
                <w:sz w:val="20"/>
                <w:szCs w:val="20"/>
              </w:rPr>
            </w:pPr>
            <w:r w:rsidRPr="00115B6A">
              <w:rPr>
                <w:rFonts w:ascii="Arial Narrow" w:hAnsi="Arial Narrow" w:cstheme="minorHAnsi"/>
                <w:b/>
                <w:sz w:val="20"/>
                <w:szCs w:val="20"/>
              </w:rPr>
              <w:t>Proprietary Name and Manufacturer</w:t>
            </w:r>
          </w:p>
        </w:tc>
      </w:tr>
      <w:tr w:rsidR="00BD6855" w:rsidRPr="00115B6A" w:rsidTr="00AF78A8">
        <w:trPr>
          <w:cantSplit/>
          <w:trHeight w:val="20"/>
        </w:trPr>
        <w:tc>
          <w:tcPr>
            <w:tcW w:w="1735" w:type="pct"/>
            <w:gridSpan w:val="2"/>
          </w:tcPr>
          <w:p w:rsidR="00BD6855" w:rsidRPr="00115B6A" w:rsidRDefault="00BD6855" w:rsidP="00BD6855">
            <w:pPr>
              <w:keepNext/>
              <w:ind w:left="-108"/>
              <w:rPr>
                <w:rFonts w:ascii="Arial Narrow" w:hAnsi="Arial Narrow" w:cstheme="minorHAnsi"/>
                <w:smallCaps/>
                <w:sz w:val="20"/>
                <w:szCs w:val="20"/>
              </w:rPr>
            </w:pPr>
            <w:r w:rsidRPr="00115B6A">
              <w:rPr>
                <w:rFonts w:ascii="Arial Narrow" w:hAnsi="Arial Narrow" w:cstheme="minorHAnsi"/>
                <w:smallCaps/>
                <w:sz w:val="20"/>
                <w:szCs w:val="20"/>
              </w:rPr>
              <w:t>TOCILIZUMAB</w:t>
            </w:r>
          </w:p>
          <w:p w:rsidR="00BD6855" w:rsidRPr="00115B6A" w:rsidRDefault="00BD6855" w:rsidP="00BD6855">
            <w:pPr>
              <w:keepNext/>
              <w:ind w:left="-108"/>
              <w:rPr>
                <w:rFonts w:ascii="Arial Narrow" w:hAnsi="Arial Narrow" w:cstheme="minorHAnsi"/>
                <w:sz w:val="20"/>
                <w:szCs w:val="20"/>
              </w:rPr>
            </w:pPr>
            <w:r w:rsidRPr="00115B6A">
              <w:rPr>
                <w:rFonts w:ascii="Arial Narrow" w:hAnsi="Arial Narrow" w:cstheme="minorHAnsi"/>
                <w:smallCaps/>
                <w:sz w:val="20"/>
                <w:szCs w:val="20"/>
              </w:rPr>
              <w:t xml:space="preserve"> </w:t>
            </w:r>
            <w:r w:rsidRPr="00115B6A">
              <w:rPr>
                <w:rFonts w:ascii="Arial Narrow" w:hAnsi="Arial Narrow" w:cstheme="minorHAnsi"/>
                <w:sz w:val="20"/>
                <w:szCs w:val="20"/>
              </w:rPr>
              <w:t xml:space="preserve">162 mg/0.9 mL injection, 4 x 0.9 mL </w:t>
            </w:r>
          </w:p>
          <w:p w:rsidR="00BD6855" w:rsidRPr="00115B6A" w:rsidRDefault="00BD6855" w:rsidP="00BD6855">
            <w:pPr>
              <w:keepNext/>
              <w:ind w:left="-108"/>
              <w:rPr>
                <w:rFonts w:ascii="Arial Narrow" w:hAnsi="Arial Narrow" w:cstheme="minorHAnsi"/>
                <w:sz w:val="20"/>
                <w:szCs w:val="20"/>
              </w:rPr>
            </w:pPr>
            <w:r w:rsidRPr="00115B6A">
              <w:rPr>
                <w:rFonts w:ascii="Arial Narrow" w:hAnsi="Arial Narrow" w:cstheme="minorHAnsi"/>
                <w:sz w:val="20"/>
                <w:szCs w:val="20"/>
              </w:rPr>
              <w:t>pre-filled syringe</w:t>
            </w:r>
          </w:p>
          <w:p w:rsidR="00BD6855" w:rsidRPr="00115B6A" w:rsidRDefault="00BD6855" w:rsidP="00BD6855">
            <w:pPr>
              <w:keepNext/>
              <w:ind w:left="-108"/>
              <w:rPr>
                <w:rFonts w:ascii="Arial Narrow" w:hAnsi="Arial Narrow" w:cstheme="minorHAnsi"/>
                <w:sz w:val="20"/>
                <w:szCs w:val="20"/>
              </w:rPr>
            </w:pPr>
            <w:r w:rsidRPr="00115B6A">
              <w:rPr>
                <w:rFonts w:ascii="Arial Narrow" w:hAnsi="Arial Narrow" w:cstheme="minorHAnsi"/>
                <w:sz w:val="20"/>
                <w:szCs w:val="20"/>
              </w:rPr>
              <w:t xml:space="preserve"> 162 mg/0.9 mL injection, 4 x 0.9 mL </w:t>
            </w:r>
          </w:p>
          <w:p w:rsidR="00BD6855" w:rsidRPr="00115B6A" w:rsidRDefault="00BD6855" w:rsidP="00BD6855">
            <w:pPr>
              <w:keepNext/>
              <w:ind w:left="-108"/>
              <w:rPr>
                <w:rFonts w:ascii="Arial Narrow" w:hAnsi="Arial Narrow" w:cstheme="minorHAnsi"/>
                <w:sz w:val="20"/>
                <w:szCs w:val="20"/>
              </w:rPr>
            </w:pPr>
            <w:r w:rsidRPr="00115B6A">
              <w:rPr>
                <w:rFonts w:ascii="Arial Narrow" w:hAnsi="Arial Narrow" w:cstheme="minorHAnsi"/>
                <w:sz w:val="20"/>
                <w:szCs w:val="20"/>
              </w:rPr>
              <w:t>pre-filled pen</w:t>
            </w:r>
          </w:p>
        </w:tc>
        <w:tc>
          <w:tcPr>
            <w:tcW w:w="466" w:type="pct"/>
          </w:tcPr>
          <w:p w:rsidR="00BD6855" w:rsidRPr="00115B6A" w:rsidRDefault="00BD6855" w:rsidP="00BD6855">
            <w:pPr>
              <w:keepNext/>
              <w:ind w:left="-108"/>
              <w:jc w:val="center"/>
              <w:rPr>
                <w:rFonts w:ascii="Arial Narrow" w:hAnsi="Arial Narrow" w:cstheme="minorHAnsi"/>
                <w:sz w:val="20"/>
                <w:szCs w:val="20"/>
              </w:rPr>
            </w:pPr>
          </w:p>
          <w:p w:rsidR="00BD6855" w:rsidRPr="00115B6A" w:rsidRDefault="00BD6855" w:rsidP="00BD6855">
            <w:pPr>
              <w:keepNext/>
              <w:ind w:left="-108"/>
              <w:jc w:val="center"/>
              <w:rPr>
                <w:rFonts w:ascii="Arial Narrow" w:hAnsi="Arial Narrow" w:cstheme="minorHAnsi"/>
                <w:sz w:val="20"/>
                <w:szCs w:val="20"/>
              </w:rPr>
            </w:pPr>
            <w:r w:rsidRPr="00115B6A">
              <w:rPr>
                <w:rFonts w:ascii="Arial Narrow" w:hAnsi="Arial Narrow" w:cstheme="minorHAnsi"/>
                <w:sz w:val="20"/>
                <w:szCs w:val="20"/>
              </w:rPr>
              <w:t>1</w:t>
            </w:r>
          </w:p>
          <w:p w:rsidR="00BD6855" w:rsidRPr="00115B6A" w:rsidRDefault="00BD6855" w:rsidP="00BD6855">
            <w:pPr>
              <w:keepNext/>
              <w:ind w:left="-108"/>
              <w:jc w:val="center"/>
              <w:rPr>
                <w:rFonts w:ascii="Arial Narrow" w:hAnsi="Arial Narrow" w:cstheme="minorHAnsi"/>
                <w:sz w:val="20"/>
                <w:szCs w:val="20"/>
              </w:rPr>
            </w:pPr>
          </w:p>
          <w:p w:rsidR="00BD6855" w:rsidRPr="00115B6A" w:rsidRDefault="00BD6855" w:rsidP="00BD6855">
            <w:pPr>
              <w:keepNext/>
              <w:ind w:left="-108"/>
              <w:jc w:val="center"/>
              <w:rPr>
                <w:rFonts w:ascii="Arial Narrow" w:hAnsi="Arial Narrow" w:cstheme="minorHAnsi"/>
                <w:sz w:val="20"/>
                <w:szCs w:val="20"/>
              </w:rPr>
            </w:pPr>
            <w:r w:rsidRPr="00115B6A">
              <w:rPr>
                <w:rFonts w:ascii="Arial Narrow" w:hAnsi="Arial Narrow" w:cstheme="minorHAnsi"/>
                <w:sz w:val="20"/>
                <w:szCs w:val="20"/>
              </w:rPr>
              <w:t>1</w:t>
            </w:r>
          </w:p>
        </w:tc>
        <w:tc>
          <w:tcPr>
            <w:tcW w:w="467" w:type="pct"/>
          </w:tcPr>
          <w:p w:rsidR="00BD6855" w:rsidRPr="00115B6A" w:rsidRDefault="00BD6855" w:rsidP="00BD6855">
            <w:pPr>
              <w:jc w:val="center"/>
              <w:rPr>
                <w:rFonts w:ascii="Arial Narrow" w:hAnsi="Arial Narrow" w:cstheme="minorHAnsi"/>
                <w:sz w:val="20"/>
                <w:szCs w:val="20"/>
              </w:rPr>
            </w:pPr>
          </w:p>
          <w:p w:rsidR="00BD6855" w:rsidRPr="00115B6A" w:rsidRDefault="00BD6855" w:rsidP="00BD6855">
            <w:pPr>
              <w:keepNext/>
              <w:jc w:val="center"/>
              <w:rPr>
                <w:rFonts w:ascii="Arial Narrow" w:hAnsi="Arial Narrow" w:cstheme="minorHAnsi"/>
                <w:sz w:val="20"/>
                <w:szCs w:val="20"/>
              </w:rPr>
            </w:pPr>
            <w:r w:rsidRPr="00115B6A">
              <w:rPr>
                <w:rFonts w:ascii="Arial Narrow" w:hAnsi="Arial Narrow" w:cstheme="minorHAnsi"/>
                <w:sz w:val="20"/>
                <w:szCs w:val="20"/>
              </w:rPr>
              <w:t>4</w:t>
            </w:r>
          </w:p>
          <w:p w:rsidR="00BD6855" w:rsidRPr="00115B6A" w:rsidRDefault="00BD6855" w:rsidP="00BD6855">
            <w:pPr>
              <w:keepNext/>
              <w:jc w:val="center"/>
              <w:rPr>
                <w:rFonts w:ascii="Arial Narrow" w:hAnsi="Arial Narrow" w:cstheme="minorHAnsi"/>
                <w:sz w:val="20"/>
                <w:szCs w:val="20"/>
              </w:rPr>
            </w:pPr>
          </w:p>
          <w:p w:rsidR="00BD6855" w:rsidRPr="00115B6A" w:rsidRDefault="00BD6855" w:rsidP="00BD6855">
            <w:pPr>
              <w:keepNext/>
              <w:jc w:val="center"/>
              <w:rPr>
                <w:rFonts w:ascii="Arial Narrow" w:hAnsi="Arial Narrow" w:cstheme="minorHAnsi"/>
                <w:sz w:val="20"/>
                <w:szCs w:val="20"/>
              </w:rPr>
            </w:pPr>
            <w:r w:rsidRPr="00115B6A">
              <w:rPr>
                <w:rFonts w:ascii="Arial Narrow" w:hAnsi="Arial Narrow" w:cstheme="minorHAnsi"/>
                <w:sz w:val="20"/>
                <w:szCs w:val="20"/>
              </w:rPr>
              <w:t>4</w:t>
            </w:r>
          </w:p>
        </w:tc>
        <w:tc>
          <w:tcPr>
            <w:tcW w:w="311" w:type="pct"/>
          </w:tcPr>
          <w:p w:rsidR="00BD6855" w:rsidRPr="00115B6A" w:rsidRDefault="00BD6855" w:rsidP="00BD6855">
            <w:pPr>
              <w:keepNext/>
              <w:ind w:left="-108"/>
              <w:jc w:val="center"/>
              <w:rPr>
                <w:rFonts w:ascii="Arial Narrow" w:hAnsi="Arial Narrow" w:cstheme="minorHAnsi"/>
                <w:sz w:val="20"/>
                <w:szCs w:val="20"/>
              </w:rPr>
            </w:pPr>
          </w:p>
          <w:p w:rsidR="00BD6855" w:rsidRPr="00115B6A" w:rsidRDefault="00BD6855" w:rsidP="00BD6855">
            <w:pPr>
              <w:keepNext/>
              <w:ind w:left="-108"/>
              <w:jc w:val="center"/>
              <w:rPr>
                <w:rFonts w:ascii="Arial Narrow" w:hAnsi="Arial Narrow" w:cstheme="minorHAnsi"/>
                <w:sz w:val="20"/>
                <w:szCs w:val="20"/>
              </w:rPr>
            </w:pPr>
            <w:r w:rsidRPr="00115B6A">
              <w:rPr>
                <w:rFonts w:ascii="Arial Narrow" w:hAnsi="Arial Narrow" w:cstheme="minorHAnsi"/>
                <w:sz w:val="20"/>
                <w:szCs w:val="20"/>
              </w:rPr>
              <w:t>6</w:t>
            </w:r>
          </w:p>
          <w:p w:rsidR="00BD6855" w:rsidRPr="00115B6A" w:rsidRDefault="00BD6855" w:rsidP="00BD6855">
            <w:pPr>
              <w:keepNext/>
              <w:ind w:left="-108"/>
              <w:jc w:val="center"/>
              <w:rPr>
                <w:rFonts w:ascii="Arial Narrow" w:hAnsi="Arial Narrow" w:cstheme="minorHAnsi"/>
                <w:sz w:val="20"/>
                <w:szCs w:val="20"/>
              </w:rPr>
            </w:pPr>
          </w:p>
          <w:p w:rsidR="00BD6855" w:rsidRPr="00115B6A" w:rsidRDefault="00BD6855" w:rsidP="00BD6855">
            <w:pPr>
              <w:keepNext/>
              <w:ind w:left="-108"/>
              <w:jc w:val="center"/>
              <w:rPr>
                <w:rFonts w:ascii="Arial Narrow" w:hAnsi="Arial Narrow" w:cstheme="minorHAnsi"/>
                <w:sz w:val="20"/>
                <w:szCs w:val="20"/>
              </w:rPr>
            </w:pPr>
            <w:r w:rsidRPr="00115B6A">
              <w:rPr>
                <w:rFonts w:ascii="Arial Narrow" w:hAnsi="Arial Narrow" w:cstheme="minorHAnsi"/>
                <w:sz w:val="20"/>
                <w:szCs w:val="20"/>
              </w:rPr>
              <w:t>6</w:t>
            </w:r>
          </w:p>
        </w:tc>
        <w:tc>
          <w:tcPr>
            <w:tcW w:w="778" w:type="pct"/>
          </w:tcPr>
          <w:p w:rsidR="00BD6855" w:rsidRPr="00115B6A" w:rsidRDefault="00BD6855" w:rsidP="00BD6855">
            <w:pPr>
              <w:keepNext/>
              <w:ind w:left="-108"/>
              <w:jc w:val="center"/>
              <w:rPr>
                <w:rFonts w:ascii="Arial Narrow" w:hAnsi="Arial Narrow" w:cstheme="minorHAnsi"/>
                <w:sz w:val="20"/>
                <w:szCs w:val="20"/>
              </w:rPr>
            </w:pPr>
          </w:p>
          <w:p w:rsidR="00BD6855" w:rsidRPr="00115B6A" w:rsidRDefault="00BD6855" w:rsidP="00BD6855">
            <w:pPr>
              <w:keepNext/>
              <w:ind w:left="-108"/>
              <w:jc w:val="center"/>
              <w:rPr>
                <w:rFonts w:ascii="Arial Narrow" w:hAnsi="Arial Narrow" w:cstheme="minorHAnsi"/>
                <w:sz w:val="20"/>
                <w:szCs w:val="20"/>
              </w:rPr>
            </w:pPr>
            <w:r w:rsidRPr="00115B6A">
              <w:rPr>
                <w:rFonts w:ascii="Arial Narrow" w:hAnsi="Arial Narrow" w:cstheme="minorHAnsi"/>
                <w:sz w:val="20"/>
                <w:szCs w:val="20"/>
              </w:rPr>
              <w:t>$763.78</w:t>
            </w:r>
          </w:p>
        </w:tc>
        <w:tc>
          <w:tcPr>
            <w:tcW w:w="544" w:type="pct"/>
          </w:tcPr>
          <w:p w:rsidR="00BD6855" w:rsidRPr="00115B6A" w:rsidRDefault="00BD6855" w:rsidP="00BD6855">
            <w:pPr>
              <w:keepNext/>
              <w:rPr>
                <w:rFonts w:ascii="Arial Narrow" w:hAnsi="Arial Narrow" w:cstheme="minorHAnsi"/>
                <w:sz w:val="20"/>
                <w:szCs w:val="20"/>
              </w:rPr>
            </w:pPr>
          </w:p>
          <w:p w:rsidR="00BD6855" w:rsidRPr="00115B6A" w:rsidRDefault="00BD6855" w:rsidP="00BD6855">
            <w:pPr>
              <w:keepNext/>
              <w:rPr>
                <w:rFonts w:ascii="Arial Narrow" w:hAnsi="Arial Narrow" w:cstheme="minorHAnsi"/>
                <w:sz w:val="20"/>
                <w:szCs w:val="20"/>
              </w:rPr>
            </w:pPr>
            <w:proofErr w:type="spellStart"/>
            <w:r w:rsidRPr="00115B6A">
              <w:rPr>
                <w:rFonts w:ascii="Arial Narrow" w:hAnsi="Arial Narrow" w:cstheme="minorHAnsi"/>
                <w:sz w:val="20"/>
                <w:szCs w:val="20"/>
              </w:rPr>
              <w:t>Actemra</w:t>
            </w:r>
            <w:proofErr w:type="spellEnd"/>
            <w:r w:rsidRPr="00115B6A">
              <w:rPr>
                <w:rFonts w:ascii="Arial Narrow" w:hAnsi="Arial Narrow" w:cstheme="minorHAnsi"/>
                <w:sz w:val="20"/>
                <w:szCs w:val="20"/>
                <w:vertAlign w:val="superscript"/>
              </w:rPr>
              <w:t>®</w:t>
            </w:r>
          </w:p>
        </w:tc>
        <w:tc>
          <w:tcPr>
            <w:tcW w:w="697" w:type="pct"/>
          </w:tcPr>
          <w:p w:rsidR="00BD6855" w:rsidRPr="00115B6A" w:rsidRDefault="00BD6855" w:rsidP="00BD6855">
            <w:pPr>
              <w:keepNext/>
              <w:rPr>
                <w:rFonts w:ascii="Arial Narrow" w:hAnsi="Arial Narrow" w:cstheme="minorHAnsi"/>
                <w:sz w:val="20"/>
                <w:szCs w:val="20"/>
              </w:rPr>
            </w:pPr>
          </w:p>
          <w:p w:rsidR="00BD6855" w:rsidRPr="00115B6A" w:rsidRDefault="00BD6855" w:rsidP="00BD6855">
            <w:pPr>
              <w:keepNext/>
              <w:rPr>
                <w:rFonts w:ascii="Arial Narrow" w:hAnsi="Arial Narrow" w:cstheme="minorHAnsi"/>
                <w:sz w:val="20"/>
                <w:szCs w:val="20"/>
              </w:rPr>
            </w:pPr>
            <w:r w:rsidRPr="00115B6A">
              <w:rPr>
                <w:rFonts w:ascii="Arial Narrow" w:hAnsi="Arial Narrow" w:cstheme="minorHAnsi"/>
                <w:sz w:val="20"/>
                <w:szCs w:val="20"/>
              </w:rPr>
              <w:t>Roche</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b/>
                <w:sz w:val="20"/>
                <w:szCs w:val="20"/>
              </w:rPr>
            </w:pPr>
            <w:r w:rsidRPr="00115B6A">
              <w:rPr>
                <w:rFonts w:ascii="Arial Narrow" w:hAnsi="Arial Narrow" w:cstheme="minorHAnsi"/>
                <w:b/>
                <w:sz w:val="20"/>
                <w:szCs w:val="20"/>
              </w:rPr>
              <w:t>Category / Program</w:t>
            </w: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GENERAL – General Schedule (Code GE)</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b/>
                <w:sz w:val="20"/>
                <w:szCs w:val="20"/>
              </w:rPr>
            </w:pPr>
            <w:r w:rsidRPr="00115B6A">
              <w:rPr>
                <w:rFonts w:ascii="Arial Narrow" w:hAnsi="Arial Narrow" w:cstheme="minorHAnsi"/>
                <w:b/>
                <w:sz w:val="20"/>
                <w:szCs w:val="20"/>
              </w:rPr>
              <w:t>Prescriber type:</w:t>
            </w: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EA5994">
              <w:rPr>
                <w:rFonts w:ascii="Arial Narrow" w:hAnsi="Arial Narrow" w:cstheme="minorHAnsi"/>
                <w:sz w:val="20"/>
                <w:szCs w:val="20"/>
              </w:rPr>
              <w:fldChar w:fldCharType="begin">
                <w:ffData>
                  <w:name w:val="Check1"/>
                  <w:enabled/>
                  <w:calcOnExit w:val="0"/>
                  <w:checkBox>
                    <w:sizeAuto/>
                    <w:default w:val="0"/>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 xml:space="preserve">Dental  </w:t>
            </w:r>
            <w:r w:rsidRPr="00EA5994">
              <w:rPr>
                <w:rFonts w:ascii="Arial Narrow" w:hAnsi="Arial Narrow" w:cstheme="minorHAnsi"/>
                <w:sz w:val="20"/>
                <w:szCs w:val="20"/>
              </w:rPr>
              <w:fldChar w:fldCharType="begin">
                <w:ffData>
                  <w:name w:val=""/>
                  <w:enabled/>
                  <w:calcOnExit w:val="0"/>
                  <w:checkBox>
                    <w:sizeAuto/>
                    <w:default w:val="1"/>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 xml:space="preserve">Medical Practitioners  </w:t>
            </w:r>
            <w:r w:rsidRPr="00EA5994">
              <w:rPr>
                <w:rFonts w:ascii="Arial Narrow" w:hAnsi="Arial Narrow" w:cstheme="minorHAnsi"/>
                <w:sz w:val="20"/>
                <w:szCs w:val="20"/>
              </w:rPr>
              <w:fldChar w:fldCharType="begin">
                <w:ffData>
                  <w:name w:val="Check3"/>
                  <w:enabled/>
                  <w:calcOnExit w:val="0"/>
                  <w:checkBox>
                    <w:sizeAuto/>
                    <w:default w:val="0"/>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 xml:space="preserve">Nurse practitioners  </w:t>
            </w:r>
            <w:r w:rsidRPr="00EA5994">
              <w:rPr>
                <w:rFonts w:ascii="Arial Narrow" w:hAnsi="Arial Narrow" w:cstheme="minorHAnsi"/>
                <w:sz w:val="20"/>
                <w:szCs w:val="20"/>
              </w:rPr>
              <w:fldChar w:fldCharType="begin">
                <w:ffData>
                  <w:name w:val=""/>
                  <w:enabled/>
                  <w:calcOnExit w:val="0"/>
                  <w:checkBox>
                    <w:sizeAuto/>
                    <w:default w:val="0"/>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 xml:space="preserve">Optometrists </w:t>
            </w:r>
            <w:r w:rsidRPr="00EA5994">
              <w:rPr>
                <w:rFonts w:ascii="Arial Narrow" w:hAnsi="Arial Narrow" w:cstheme="minorHAnsi"/>
                <w:sz w:val="20"/>
                <w:szCs w:val="20"/>
              </w:rPr>
              <w:fldChar w:fldCharType="begin">
                <w:ffData>
                  <w:name w:val="Check5"/>
                  <w:enabled/>
                  <w:calcOnExit w:val="0"/>
                  <w:checkBox>
                    <w:sizeAuto/>
                    <w:default w:val="0"/>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Midwives</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b/>
                <w:sz w:val="20"/>
                <w:szCs w:val="20"/>
              </w:rPr>
            </w:pPr>
            <w:r w:rsidRPr="00115B6A">
              <w:rPr>
                <w:rFonts w:ascii="Arial Narrow" w:hAnsi="Arial Narrow" w:cstheme="minorHAnsi"/>
                <w:b/>
                <w:sz w:val="20"/>
                <w:szCs w:val="20"/>
              </w:rPr>
              <w:t>Severity:</w:t>
            </w: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keepNext/>
              <w:keepLines/>
              <w:rPr>
                <w:rFonts w:ascii="Arial Narrow" w:hAnsi="Arial Narrow" w:cstheme="minorHAnsi"/>
                <w:sz w:val="20"/>
                <w:szCs w:val="20"/>
              </w:rPr>
            </w:pPr>
            <w:r w:rsidRPr="00115B6A">
              <w:rPr>
                <w:rFonts w:ascii="Arial Narrow" w:hAnsi="Arial Narrow" w:cstheme="minorHAnsi"/>
                <w:sz w:val="20"/>
                <w:szCs w:val="20"/>
              </w:rPr>
              <w:t>Active</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b/>
                <w:sz w:val="20"/>
                <w:szCs w:val="20"/>
              </w:rPr>
            </w:pPr>
            <w:r w:rsidRPr="00115B6A">
              <w:rPr>
                <w:rFonts w:ascii="Arial Narrow" w:hAnsi="Arial Narrow" w:cstheme="minorHAnsi"/>
                <w:b/>
                <w:sz w:val="20"/>
                <w:szCs w:val="20"/>
              </w:rPr>
              <w:t>Condition:</w:t>
            </w: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keepNext/>
              <w:keepLines/>
              <w:rPr>
                <w:rFonts w:ascii="Arial Narrow" w:hAnsi="Arial Narrow" w:cstheme="minorHAnsi"/>
                <w:sz w:val="20"/>
                <w:szCs w:val="20"/>
              </w:rPr>
            </w:pPr>
            <w:r w:rsidRPr="00115B6A">
              <w:rPr>
                <w:rFonts w:ascii="Arial Narrow" w:hAnsi="Arial Narrow" w:cstheme="minorHAnsi"/>
                <w:sz w:val="20"/>
                <w:szCs w:val="20"/>
              </w:rPr>
              <w:t>Giant cell arteritis</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i/>
                <w:sz w:val="20"/>
                <w:szCs w:val="20"/>
              </w:rPr>
            </w:pPr>
            <w:r w:rsidRPr="00115B6A">
              <w:rPr>
                <w:rFonts w:ascii="Arial Narrow" w:hAnsi="Arial Narrow" w:cstheme="minorHAnsi"/>
                <w:b/>
                <w:sz w:val="20"/>
                <w:szCs w:val="20"/>
              </w:rPr>
              <w:t>PBS Indication:</w:t>
            </w: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Active giant cell arteritis</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b/>
                <w:sz w:val="20"/>
                <w:szCs w:val="20"/>
              </w:rPr>
            </w:pPr>
            <w:r w:rsidRPr="00115B6A">
              <w:rPr>
                <w:rFonts w:ascii="Arial Narrow" w:hAnsi="Arial Narrow" w:cstheme="minorHAnsi"/>
                <w:b/>
                <w:sz w:val="20"/>
                <w:szCs w:val="20"/>
              </w:rPr>
              <w:t>Treatment phase:</w:t>
            </w: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Continuing</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i/>
                <w:sz w:val="20"/>
                <w:szCs w:val="20"/>
              </w:rPr>
            </w:pPr>
            <w:r w:rsidRPr="00115B6A">
              <w:rPr>
                <w:rFonts w:ascii="Arial Narrow" w:hAnsi="Arial Narrow" w:cstheme="minorHAnsi"/>
                <w:b/>
                <w:sz w:val="20"/>
                <w:szCs w:val="20"/>
              </w:rPr>
              <w:t>Restriction Level / Method:</w:t>
            </w: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EA5994">
              <w:rPr>
                <w:rFonts w:ascii="Arial Narrow" w:hAnsi="Arial Narrow" w:cstheme="minorHAnsi"/>
                <w:i/>
                <w:sz w:val="20"/>
                <w:szCs w:val="20"/>
              </w:rPr>
              <w:fldChar w:fldCharType="begin">
                <w:ffData>
                  <w:name w:val="Check3"/>
                  <w:enabled/>
                  <w:calcOnExit w:val="0"/>
                  <w:checkBox>
                    <w:sizeAuto/>
                    <w:default w:val="1"/>
                  </w:checkBox>
                </w:ffData>
              </w:fldChar>
            </w:r>
            <w:bookmarkStart w:id="0" w:name="Check3"/>
            <w:r w:rsidRPr="00115B6A">
              <w:rPr>
                <w:rFonts w:ascii="Arial Narrow" w:hAnsi="Arial Narrow" w:cstheme="minorHAnsi"/>
                <w:i/>
                <w:sz w:val="20"/>
                <w:szCs w:val="20"/>
              </w:rPr>
              <w:instrText xml:space="preserve"> FORMCHECKBOX </w:instrText>
            </w:r>
            <w:r w:rsidR="001D4D95">
              <w:rPr>
                <w:rFonts w:ascii="Arial Narrow" w:hAnsi="Arial Narrow" w:cstheme="minorHAnsi"/>
                <w:i/>
                <w:sz w:val="20"/>
                <w:szCs w:val="20"/>
              </w:rPr>
            </w:r>
            <w:r w:rsidR="001D4D95">
              <w:rPr>
                <w:rFonts w:ascii="Arial Narrow" w:hAnsi="Arial Narrow" w:cstheme="minorHAnsi"/>
                <w:i/>
                <w:sz w:val="20"/>
                <w:szCs w:val="20"/>
              </w:rPr>
              <w:fldChar w:fldCharType="separate"/>
            </w:r>
            <w:r w:rsidRPr="00EA5994">
              <w:rPr>
                <w:rFonts w:ascii="Arial Narrow" w:hAnsi="Arial Narrow" w:cstheme="minorHAnsi"/>
                <w:i/>
                <w:sz w:val="20"/>
                <w:szCs w:val="20"/>
              </w:rPr>
              <w:fldChar w:fldCharType="end"/>
            </w:r>
            <w:bookmarkEnd w:id="0"/>
            <w:r w:rsidRPr="00115B6A">
              <w:rPr>
                <w:rFonts w:ascii="Arial Narrow" w:hAnsi="Arial Narrow" w:cstheme="minorHAnsi"/>
                <w:sz w:val="20"/>
                <w:szCs w:val="20"/>
              </w:rPr>
              <w:t>Authority Required - Telephone</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b/>
                <w:sz w:val="20"/>
                <w:szCs w:val="20"/>
              </w:rPr>
            </w:pPr>
            <w:r w:rsidRPr="00115B6A">
              <w:rPr>
                <w:rFonts w:ascii="Arial Narrow" w:hAnsi="Arial Narrow" w:cstheme="minorHAnsi"/>
                <w:b/>
                <w:sz w:val="20"/>
                <w:szCs w:val="20"/>
              </w:rPr>
              <w:t>Treatment criteria:</w:t>
            </w:r>
          </w:p>
          <w:p w:rsidR="00BD6855" w:rsidRPr="00115B6A" w:rsidRDefault="00BD6855" w:rsidP="00BD6855">
            <w:pPr>
              <w:rPr>
                <w:rFonts w:ascii="Arial Narrow" w:hAnsi="Arial Narrow" w:cstheme="minorHAnsi"/>
                <w:b/>
                <w:sz w:val="20"/>
                <w:szCs w:val="20"/>
              </w:rPr>
            </w:pP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Patient must be treated by a rheumatologist, clinical immunologist or neurologist experienced in the management of giant cell arteritis</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b/>
                <w:sz w:val="20"/>
                <w:szCs w:val="20"/>
              </w:rPr>
            </w:pPr>
            <w:r w:rsidRPr="00115B6A">
              <w:rPr>
                <w:rFonts w:ascii="Arial Narrow" w:hAnsi="Arial Narrow" w:cstheme="minorHAnsi"/>
                <w:b/>
                <w:sz w:val="20"/>
                <w:szCs w:val="20"/>
              </w:rPr>
              <w:t>Clinical criteria:</w:t>
            </w:r>
          </w:p>
          <w:p w:rsidR="00BD6855" w:rsidRPr="00115B6A" w:rsidRDefault="00BD6855" w:rsidP="00BD6855">
            <w:pPr>
              <w:rPr>
                <w:rFonts w:ascii="Arial Narrow" w:hAnsi="Arial Narrow" w:cstheme="minorHAnsi"/>
                <w:i/>
                <w:sz w:val="20"/>
                <w:szCs w:val="20"/>
              </w:rPr>
            </w:pPr>
          </w:p>
          <w:p w:rsidR="00BD6855" w:rsidRPr="00115B6A" w:rsidRDefault="00BD6855" w:rsidP="00BD6855">
            <w:pPr>
              <w:rPr>
                <w:rFonts w:ascii="Arial Narrow" w:hAnsi="Arial Narrow" w:cstheme="minorHAnsi"/>
                <w:sz w:val="20"/>
                <w:szCs w:val="20"/>
              </w:rPr>
            </w:pP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spacing w:line="276" w:lineRule="auto"/>
              <w:rPr>
                <w:rFonts w:ascii="Arial Narrow" w:eastAsia="Calibri" w:hAnsi="Arial Narrow" w:cstheme="minorHAnsi"/>
                <w:sz w:val="20"/>
                <w:szCs w:val="20"/>
              </w:rPr>
            </w:pPr>
            <w:r w:rsidRPr="00115B6A">
              <w:rPr>
                <w:rFonts w:ascii="Arial Narrow" w:eastAsia="Calibri" w:hAnsi="Arial Narrow" w:cstheme="minorHAnsi"/>
                <w:sz w:val="20"/>
                <w:szCs w:val="20"/>
              </w:rPr>
              <w:t>Patient must have previously received PBS-subsidised treatment with this drug for this condition</w:t>
            </w:r>
          </w:p>
          <w:p w:rsidR="00BD6855" w:rsidRPr="00115B6A" w:rsidRDefault="00BD6855" w:rsidP="00BD6855">
            <w:pPr>
              <w:spacing w:line="276" w:lineRule="auto"/>
              <w:rPr>
                <w:rFonts w:ascii="Arial Narrow" w:eastAsia="Calibri" w:hAnsi="Arial Narrow" w:cstheme="minorHAnsi"/>
                <w:sz w:val="20"/>
                <w:szCs w:val="20"/>
              </w:rPr>
            </w:pPr>
            <w:r w:rsidRPr="00115B6A">
              <w:rPr>
                <w:rFonts w:ascii="Arial Narrow" w:eastAsia="Calibri" w:hAnsi="Arial Narrow" w:cstheme="minorHAnsi"/>
                <w:sz w:val="20"/>
                <w:szCs w:val="20"/>
              </w:rPr>
              <w:t>AND</w:t>
            </w:r>
          </w:p>
          <w:p w:rsidR="00BD6855" w:rsidRPr="00115B6A" w:rsidRDefault="00BD6855" w:rsidP="00BD6855">
            <w:pPr>
              <w:spacing w:line="276" w:lineRule="auto"/>
              <w:rPr>
                <w:rFonts w:ascii="Arial Narrow" w:hAnsi="Arial Narrow" w:cstheme="minorHAnsi"/>
                <w:sz w:val="20"/>
                <w:szCs w:val="20"/>
              </w:rPr>
            </w:pPr>
            <w:r w:rsidRPr="00115B6A">
              <w:rPr>
                <w:rFonts w:ascii="Arial Narrow" w:eastAsia="Calibri" w:hAnsi="Arial Narrow" w:cstheme="minorHAnsi"/>
                <w:sz w:val="20"/>
                <w:szCs w:val="20"/>
              </w:rPr>
              <w:t>The treatment with this drug for this condition must not exceed a total of 12 months of therapy</w:t>
            </w:r>
            <w:r w:rsidRPr="00115B6A">
              <w:rPr>
                <w:rFonts w:ascii="Arial Narrow" w:hAnsi="Arial Narrow" w:cstheme="minorHAnsi"/>
                <w:i/>
                <w:sz w:val="20"/>
                <w:szCs w:val="20"/>
              </w:rPr>
              <w:t xml:space="preserve"> </w:t>
            </w:r>
          </w:p>
        </w:tc>
      </w:tr>
      <w:tr w:rsidR="00BD6855" w:rsidRPr="00115B6A" w:rsidTr="00AF78A8">
        <w:trPr>
          <w:cantSplit/>
          <w:trHeight w:val="20"/>
        </w:trPr>
        <w:tc>
          <w:tcPr>
            <w:tcW w:w="904" w:type="pct"/>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115B6A">
              <w:rPr>
                <w:rFonts w:ascii="Arial Narrow" w:hAnsi="Arial Narrow" w:cstheme="minorHAnsi"/>
                <w:b/>
                <w:sz w:val="20"/>
                <w:szCs w:val="20"/>
              </w:rPr>
              <w:t>Administrative Advice</w:t>
            </w:r>
          </w:p>
        </w:tc>
        <w:tc>
          <w:tcPr>
            <w:tcW w:w="4096" w:type="pct"/>
            <w:gridSpan w:val="7"/>
            <w:tcBorders>
              <w:top w:val="single" w:sz="4" w:space="0" w:color="auto"/>
              <w:left w:val="single" w:sz="4" w:space="0" w:color="auto"/>
              <w:bottom w:val="single" w:sz="4" w:space="0" w:color="auto"/>
              <w:right w:val="single" w:sz="4" w:space="0" w:color="auto"/>
            </w:tcBorders>
          </w:tcPr>
          <w:p w:rsidR="00BD6855" w:rsidRPr="00115B6A" w:rsidRDefault="00BD6855" w:rsidP="00BD6855">
            <w:pPr>
              <w:rPr>
                <w:rFonts w:ascii="Arial Narrow" w:hAnsi="Arial Narrow" w:cstheme="minorHAnsi"/>
                <w:sz w:val="20"/>
                <w:szCs w:val="20"/>
              </w:rPr>
            </w:pPr>
            <w:r w:rsidRPr="00115B6A">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r w:rsidR="00115B6A">
              <w:rPr>
                <w:rFonts w:ascii="Arial Narrow" w:hAnsi="Arial Narrow" w:cstheme="minorHAnsi"/>
                <w:sz w:val="20"/>
                <w:szCs w:val="20"/>
              </w:rPr>
              <w:t xml:space="preserve">. </w:t>
            </w:r>
          </w:p>
        </w:tc>
      </w:tr>
    </w:tbl>
    <w:p w:rsidR="00B7526E" w:rsidRPr="00115B6A" w:rsidRDefault="005A5FD8" w:rsidP="00212FEE">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bookmarkStart w:id="1" w:name="_GoBack"/>
      <w:bookmarkEnd w:id="1"/>
      <w:r w:rsidRPr="00115B6A">
        <w:rPr>
          <w:rFonts w:asciiTheme="minorHAnsi" w:eastAsiaTheme="minorHAnsi" w:hAnsiTheme="minorHAnsi" w:cstheme="minorBidi"/>
          <w:snapToGrid/>
          <w:sz w:val="24"/>
          <w:szCs w:val="24"/>
        </w:rPr>
        <w:t>At the November 2018 meeting</w:t>
      </w:r>
      <w:r w:rsidR="001F14CB" w:rsidRPr="00115B6A">
        <w:rPr>
          <w:rFonts w:asciiTheme="minorHAnsi" w:eastAsiaTheme="minorHAnsi" w:hAnsiTheme="minorHAnsi" w:cstheme="minorBidi"/>
          <w:snapToGrid/>
          <w:sz w:val="24"/>
          <w:szCs w:val="24"/>
        </w:rPr>
        <w:t>, t</w:t>
      </w:r>
      <w:r w:rsidR="00210B8C" w:rsidRPr="00115B6A">
        <w:rPr>
          <w:rFonts w:asciiTheme="minorHAnsi" w:eastAsiaTheme="minorHAnsi" w:hAnsiTheme="minorHAnsi" w:cstheme="minorBidi"/>
          <w:snapToGrid/>
          <w:sz w:val="24"/>
          <w:szCs w:val="24"/>
        </w:rPr>
        <w:t xml:space="preserve">he PBAC considered </w:t>
      </w:r>
      <w:r w:rsidRPr="00115B6A">
        <w:rPr>
          <w:rFonts w:asciiTheme="minorHAnsi" w:eastAsiaTheme="minorHAnsi" w:hAnsiTheme="minorHAnsi" w:cstheme="minorBidi"/>
          <w:snapToGrid/>
          <w:sz w:val="24"/>
          <w:szCs w:val="24"/>
        </w:rPr>
        <w:t xml:space="preserve">that </w:t>
      </w:r>
      <w:r w:rsidR="00210B8C" w:rsidRPr="00115B6A">
        <w:rPr>
          <w:rFonts w:asciiTheme="minorHAnsi" w:eastAsiaTheme="minorHAnsi" w:hAnsiTheme="minorHAnsi" w:cstheme="minorBidi"/>
          <w:snapToGrid/>
          <w:sz w:val="24"/>
          <w:szCs w:val="24"/>
        </w:rPr>
        <w:t>further work was required around the imaging and biopsy requirements for diagnosis of GCA in the proposed restriction to ensure accurate diagnosis of GCA</w:t>
      </w:r>
      <w:r w:rsidR="00E83DDA" w:rsidRPr="00115B6A">
        <w:rPr>
          <w:rFonts w:asciiTheme="minorHAnsi" w:eastAsiaTheme="minorHAnsi" w:hAnsiTheme="minorHAnsi" w:cstheme="minorBidi"/>
          <w:snapToGrid/>
          <w:sz w:val="24"/>
          <w:szCs w:val="24"/>
        </w:rPr>
        <w:t xml:space="preserve"> (</w:t>
      </w:r>
      <w:r w:rsidR="00AA5557" w:rsidRPr="00115B6A">
        <w:rPr>
          <w:rFonts w:asciiTheme="minorHAnsi" w:eastAsiaTheme="minorHAnsi" w:hAnsiTheme="minorHAnsi" w:cstheme="minorBidi"/>
          <w:snapToGrid/>
          <w:sz w:val="24"/>
          <w:szCs w:val="24"/>
        </w:rPr>
        <w:t xml:space="preserve">Paragraph 2.10, </w:t>
      </w:r>
      <w:proofErr w:type="spellStart"/>
      <w:r w:rsidR="00AA5557" w:rsidRPr="00115B6A">
        <w:rPr>
          <w:rFonts w:asciiTheme="minorHAnsi" w:eastAsiaTheme="minorHAnsi" w:hAnsiTheme="minorHAnsi" w:cstheme="minorBidi"/>
          <w:snapToGrid/>
          <w:sz w:val="24"/>
          <w:szCs w:val="24"/>
        </w:rPr>
        <w:t>Tocilizumab</w:t>
      </w:r>
      <w:proofErr w:type="spellEnd"/>
      <w:r w:rsidR="00AA5557" w:rsidRPr="00115B6A">
        <w:rPr>
          <w:rFonts w:asciiTheme="minorHAnsi" w:eastAsiaTheme="minorHAnsi" w:hAnsiTheme="minorHAnsi" w:cstheme="minorBidi"/>
          <w:snapToGrid/>
          <w:sz w:val="24"/>
          <w:szCs w:val="24"/>
        </w:rPr>
        <w:t xml:space="preserve"> November 2018 PBAC </w:t>
      </w:r>
      <w:r w:rsidR="002D4AE8">
        <w:rPr>
          <w:rFonts w:asciiTheme="minorHAnsi" w:eastAsiaTheme="minorHAnsi" w:hAnsiTheme="minorHAnsi" w:cstheme="minorBidi"/>
          <w:snapToGrid/>
          <w:sz w:val="24"/>
          <w:szCs w:val="24"/>
        </w:rPr>
        <w:t>PSD</w:t>
      </w:r>
      <w:r w:rsidR="009654A6" w:rsidRPr="00115B6A">
        <w:rPr>
          <w:rFonts w:asciiTheme="minorHAnsi" w:eastAsiaTheme="minorHAnsi" w:hAnsiTheme="minorHAnsi" w:cstheme="minorBidi"/>
          <w:snapToGrid/>
          <w:sz w:val="24"/>
          <w:szCs w:val="24"/>
        </w:rPr>
        <w:t>)</w:t>
      </w:r>
      <w:r w:rsidR="00210B8C" w:rsidRPr="00115B6A">
        <w:rPr>
          <w:rFonts w:asciiTheme="minorHAnsi" w:eastAsiaTheme="minorHAnsi" w:hAnsiTheme="minorHAnsi" w:cstheme="minorBidi"/>
          <w:snapToGrid/>
          <w:sz w:val="24"/>
          <w:szCs w:val="24"/>
        </w:rPr>
        <w:t xml:space="preserve">. </w:t>
      </w:r>
    </w:p>
    <w:p w:rsidR="000F338A" w:rsidRPr="00115B6A" w:rsidRDefault="000F307F" w:rsidP="00212FEE">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T</w:t>
      </w:r>
      <w:r w:rsidR="005734AA" w:rsidRPr="00115B6A">
        <w:rPr>
          <w:rFonts w:asciiTheme="minorHAnsi" w:eastAsiaTheme="minorHAnsi" w:hAnsiTheme="minorHAnsi" w:cstheme="minorBidi"/>
          <w:snapToGrid/>
          <w:sz w:val="24"/>
          <w:szCs w:val="24"/>
        </w:rPr>
        <w:t>he</w:t>
      </w:r>
      <w:r w:rsidR="00B7526E" w:rsidRPr="00115B6A">
        <w:rPr>
          <w:rFonts w:asciiTheme="minorHAnsi" w:eastAsiaTheme="minorHAnsi" w:hAnsiTheme="minorHAnsi" w:cstheme="minorBidi"/>
          <w:snapToGrid/>
          <w:sz w:val="24"/>
          <w:szCs w:val="24"/>
        </w:rPr>
        <w:t xml:space="preserve"> minor resubmission revised the proposed</w:t>
      </w:r>
      <w:r w:rsidR="005A5FD8" w:rsidRPr="00115B6A">
        <w:rPr>
          <w:rFonts w:asciiTheme="minorHAnsi" w:eastAsiaTheme="minorHAnsi" w:hAnsiTheme="minorHAnsi" w:cstheme="minorBidi"/>
          <w:snapToGrid/>
          <w:sz w:val="24"/>
          <w:szCs w:val="24"/>
        </w:rPr>
        <w:t xml:space="preserve"> restriction</w:t>
      </w:r>
      <w:r w:rsidR="005734AA" w:rsidRPr="00115B6A">
        <w:rPr>
          <w:rFonts w:asciiTheme="minorHAnsi" w:eastAsiaTheme="minorHAnsi" w:hAnsiTheme="minorHAnsi" w:cstheme="minorBidi"/>
          <w:snapToGrid/>
          <w:sz w:val="24"/>
          <w:szCs w:val="24"/>
        </w:rPr>
        <w:t xml:space="preserve"> </w:t>
      </w:r>
      <w:r w:rsidR="00B7526E" w:rsidRPr="00115B6A">
        <w:rPr>
          <w:rFonts w:asciiTheme="minorHAnsi" w:eastAsiaTheme="minorHAnsi" w:hAnsiTheme="minorHAnsi" w:cstheme="minorBidi"/>
          <w:snapToGrid/>
          <w:sz w:val="24"/>
          <w:szCs w:val="24"/>
        </w:rPr>
        <w:t>t</w:t>
      </w:r>
      <w:r w:rsidR="005734AA" w:rsidRPr="00115B6A">
        <w:rPr>
          <w:rFonts w:asciiTheme="minorHAnsi" w:eastAsiaTheme="minorHAnsi" w:hAnsiTheme="minorHAnsi" w:cstheme="minorBidi"/>
          <w:snapToGrid/>
          <w:sz w:val="24"/>
          <w:szCs w:val="24"/>
        </w:rPr>
        <w:t xml:space="preserve">o </w:t>
      </w:r>
      <w:r w:rsidR="00210B8C" w:rsidRPr="00115B6A">
        <w:rPr>
          <w:rFonts w:asciiTheme="minorHAnsi" w:eastAsiaTheme="minorHAnsi" w:hAnsiTheme="minorHAnsi" w:cstheme="minorBidi"/>
          <w:snapToGrid/>
          <w:sz w:val="24"/>
          <w:szCs w:val="24"/>
        </w:rPr>
        <w:t>specif</w:t>
      </w:r>
      <w:r w:rsidR="005734AA" w:rsidRPr="00115B6A">
        <w:rPr>
          <w:rFonts w:asciiTheme="minorHAnsi" w:eastAsiaTheme="minorHAnsi" w:hAnsiTheme="minorHAnsi" w:cstheme="minorBidi"/>
          <w:snapToGrid/>
          <w:sz w:val="24"/>
          <w:szCs w:val="24"/>
        </w:rPr>
        <w:t>y</w:t>
      </w:r>
      <w:r w:rsidR="00210B8C" w:rsidRPr="00115B6A">
        <w:rPr>
          <w:rFonts w:asciiTheme="minorHAnsi" w:eastAsiaTheme="minorHAnsi" w:hAnsiTheme="minorHAnsi" w:cstheme="minorBidi"/>
          <w:snapToGrid/>
          <w:sz w:val="24"/>
          <w:szCs w:val="24"/>
        </w:rPr>
        <w:t xml:space="preserve"> that</w:t>
      </w:r>
      <w:r w:rsidR="005A5FD8" w:rsidRPr="00115B6A">
        <w:rPr>
          <w:rFonts w:asciiTheme="minorHAnsi" w:eastAsiaTheme="minorHAnsi" w:hAnsiTheme="minorHAnsi" w:cstheme="minorBidi"/>
          <w:snapToGrid/>
          <w:sz w:val="24"/>
          <w:szCs w:val="24"/>
        </w:rPr>
        <w:t xml:space="preserve"> the diagnostic crite</w:t>
      </w:r>
      <w:r w:rsidR="00D233FD" w:rsidRPr="00115B6A">
        <w:rPr>
          <w:rFonts w:asciiTheme="minorHAnsi" w:eastAsiaTheme="minorHAnsi" w:hAnsiTheme="minorHAnsi" w:cstheme="minorBidi"/>
          <w:snapToGrid/>
          <w:sz w:val="24"/>
          <w:szCs w:val="24"/>
        </w:rPr>
        <w:t>ria for GCA must include either</w:t>
      </w:r>
      <w:r w:rsidR="00210B8C" w:rsidRPr="00115B6A">
        <w:rPr>
          <w:rFonts w:asciiTheme="minorHAnsi" w:eastAsiaTheme="minorHAnsi" w:hAnsiTheme="minorHAnsi" w:cstheme="minorBidi"/>
          <w:snapToGrid/>
          <w:sz w:val="24"/>
          <w:szCs w:val="24"/>
        </w:rPr>
        <w:t xml:space="preserve"> temporal artery biopsy </w:t>
      </w:r>
      <w:r w:rsidR="00210B8C" w:rsidRPr="00115B6A">
        <w:rPr>
          <w:rFonts w:asciiTheme="minorHAnsi" w:eastAsiaTheme="minorHAnsi" w:hAnsiTheme="minorHAnsi" w:cstheme="minorBidi"/>
          <w:snapToGrid/>
          <w:sz w:val="24"/>
          <w:szCs w:val="24"/>
          <w:u w:val="single"/>
        </w:rPr>
        <w:t>or ultrasound</w:t>
      </w:r>
      <w:r w:rsidR="00210B8C" w:rsidRPr="00115B6A">
        <w:rPr>
          <w:rFonts w:asciiTheme="minorHAnsi" w:eastAsiaTheme="minorHAnsi" w:hAnsiTheme="minorHAnsi" w:cstheme="minorBidi"/>
          <w:snapToGrid/>
          <w:sz w:val="24"/>
          <w:szCs w:val="24"/>
        </w:rPr>
        <w:t xml:space="preserve"> revealing features of </w:t>
      </w:r>
      <w:r w:rsidR="005734AA" w:rsidRPr="00115B6A">
        <w:rPr>
          <w:rFonts w:asciiTheme="minorHAnsi" w:eastAsiaTheme="minorHAnsi" w:hAnsiTheme="minorHAnsi" w:cstheme="minorBidi"/>
          <w:snapToGrid/>
          <w:sz w:val="24"/>
          <w:szCs w:val="24"/>
        </w:rPr>
        <w:t>GCA</w:t>
      </w:r>
      <w:r w:rsidR="00210B8C" w:rsidRPr="00115B6A">
        <w:rPr>
          <w:rFonts w:asciiTheme="minorHAnsi" w:eastAsiaTheme="minorHAnsi" w:hAnsiTheme="minorHAnsi" w:cstheme="minorBidi"/>
          <w:snapToGrid/>
          <w:sz w:val="24"/>
          <w:szCs w:val="24"/>
        </w:rPr>
        <w:t xml:space="preserve">; </w:t>
      </w:r>
      <w:r w:rsidR="005A5FD8" w:rsidRPr="00115B6A">
        <w:rPr>
          <w:rFonts w:asciiTheme="minorHAnsi" w:eastAsiaTheme="minorHAnsi" w:hAnsiTheme="minorHAnsi" w:cstheme="minorBidi"/>
          <w:snapToGrid/>
          <w:sz w:val="24"/>
          <w:szCs w:val="24"/>
        </w:rPr>
        <w:t>or</w:t>
      </w:r>
      <w:r w:rsidR="00210B8C" w:rsidRPr="00115B6A">
        <w:rPr>
          <w:rFonts w:asciiTheme="minorHAnsi" w:eastAsiaTheme="minorHAnsi" w:hAnsiTheme="minorHAnsi" w:cstheme="minorBidi"/>
          <w:snapToGrid/>
          <w:sz w:val="24"/>
          <w:szCs w:val="24"/>
        </w:rPr>
        <w:t xml:space="preserve"> </w:t>
      </w:r>
      <w:r w:rsidR="005A5FD8" w:rsidRPr="00115B6A">
        <w:rPr>
          <w:rFonts w:asciiTheme="minorHAnsi" w:eastAsiaTheme="minorHAnsi" w:hAnsiTheme="minorHAnsi" w:cstheme="minorBidi"/>
          <w:snapToGrid/>
          <w:sz w:val="24"/>
          <w:szCs w:val="24"/>
        </w:rPr>
        <w:t>e</w:t>
      </w:r>
      <w:r w:rsidR="00210B8C" w:rsidRPr="00115B6A">
        <w:rPr>
          <w:rFonts w:asciiTheme="minorHAnsi" w:eastAsiaTheme="minorHAnsi" w:hAnsiTheme="minorHAnsi" w:cstheme="minorBidi"/>
          <w:snapToGrid/>
          <w:sz w:val="24"/>
          <w:szCs w:val="24"/>
        </w:rPr>
        <w:t>vidence of large-vessel vasculitis by MR or CT angiography or PET/CT</w:t>
      </w:r>
      <w:r w:rsidR="005A5FD8" w:rsidRPr="00115B6A">
        <w:rPr>
          <w:rFonts w:asciiTheme="minorHAnsi" w:eastAsiaTheme="minorHAnsi" w:hAnsiTheme="minorHAnsi" w:cstheme="minorBidi"/>
          <w:snapToGrid/>
          <w:sz w:val="24"/>
          <w:szCs w:val="24"/>
        </w:rPr>
        <w:t xml:space="preserve"> (change underlined)</w:t>
      </w:r>
      <w:r w:rsidR="00210B8C" w:rsidRPr="00115B6A">
        <w:rPr>
          <w:rFonts w:asciiTheme="minorHAnsi" w:eastAsiaTheme="minorHAnsi" w:hAnsiTheme="minorHAnsi" w:cstheme="minorBidi"/>
          <w:snapToGrid/>
          <w:sz w:val="24"/>
          <w:szCs w:val="24"/>
        </w:rPr>
        <w:t>.</w:t>
      </w:r>
      <w:r w:rsidR="00B7526E" w:rsidRPr="00115B6A">
        <w:rPr>
          <w:rFonts w:asciiTheme="minorHAnsi" w:eastAsiaTheme="minorHAnsi" w:hAnsiTheme="minorHAnsi" w:cstheme="minorBidi"/>
          <w:snapToGrid/>
          <w:sz w:val="24"/>
          <w:szCs w:val="24"/>
        </w:rPr>
        <w:t xml:space="preserve"> </w:t>
      </w:r>
      <w:r w:rsidR="005A5FD8" w:rsidRPr="00115B6A">
        <w:rPr>
          <w:rFonts w:asciiTheme="minorHAnsi" w:eastAsiaTheme="minorHAnsi" w:hAnsiTheme="minorHAnsi" w:cstheme="minorBidi"/>
          <w:snapToGrid/>
          <w:sz w:val="24"/>
          <w:szCs w:val="24"/>
        </w:rPr>
        <w:t xml:space="preserve">The </w:t>
      </w:r>
      <w:r w:rsidR="000F338A" w:rsidRPr="00115B6A">
        <w:rPr>
          <w:rFonts w:asciiTheme="minorHAnsi" w:eastAsiaTheme="minorHAnsi" w:hAnsiTheme="minorHAnsi" w:cstheme="minorBidi"/>
          <w:snapToGrid/>
          <w:sz w:val="24"/>
          <w:szCs w:val="24"/>
        </w:rPr>
        <w:t xml:space="preserve">minor </w:t>
      </w:r>
      <w:r w:rsidR="005A5FD8" w:rsidRPr="00115B6A">
        <w:rPr>
          <w:rFonts w:asciiTheme="minorHAnsi" w:eastAsiaTheme="minorHAnsi" w:hAnsiTheme="minorHAnsi" w:cstheme="minorBidi"/>
          <w:snapToGrid/>
          <w:sz w:val="24"/>
          <w:szCs w:val="24"/>
        </w:rPr>
        <w:t xml:space="preserve">resubmission noted that ultrasound was not part of the inclusion criteria in the </w:t>
      </w:r>
      <w:proofErr w:type="spellStart"/>
      <w:r w:rsidR="005A5FD8" w:rsidRPr="00115B6A">
        <w:rPr>
          <w:rFonts w:asciiTheme="minorHAnsi" w:eastAsiaTheme="minorHAnsi" w:hAnsiTheme="minorHAnsi" w:cstheme="minorBidi"/>
          <w:snapToGrid/>
          <w:sz w:val="24"/>
          <w:szCs w:val="24"/>
        </w:rPr>
        <w:t>GiACTA</w:t>
      </w:r>
      <w:proofErr w:type="spellEnd"/>
      <w:r w:rsidR="005A5FD8" w:rsidRPr="00115B6A">
        <w:rPr>
          <w:rFonts w:asciiTheme="minorHAnsi" w:eastAsiaTheme="minorHAnsi" w:hAnsiTheme="minorHAnsi" w:cstheme="minorBidi"/>
          <w:snapToGrid/>
          <w:sz w:val="24"/>
          <w:szCs w:val="24"/>
        </w:rPr>
        <w:t xml:space="preserve"> trial</w:t>
      </w:r>
      <w:r w:rsidR="007E1365" w:rsidRPr="00115B6A">
        <w:rPr>
          <w:rFonts w:asciiTheme="minorHAnsi" w:eastAsiaTheme="minorHAnsi" w:hAnsiTheme="minorHAnsi" w:cstheme="minorBidi"/>
          <w:snapToGrid/>
          <w:sz w:val="24"/>
          <w:szCs w:val="24"/>
        </w:rPr>
        <w:t xml:space="preserve">, but </w:t>
      </w:r>
      <w:r w:rsidR="00BA4779" w:rsidRPr="00115B6A">
        <w:rPr>
          <w:rFonts w:asciiTheme="minorHAnsi" w:eastAsiaTheme="minorHAnsi" w:hAnsiTheme="minorHAnsi" w:cstheme="minorBidi"/>
          <w:snapToGrid/>
          <w:sz w:val="24"/>
          <w:szCs w:val="24"/>
        </w:rPr>
        <w:t xml:space="preserve">claimed </w:t>
      </w:r>
      <w:r w:rsidR="005734AA" w:rsidRPr="00115B6A">
        <w:rPr>
          <w:rFonts w:asciiTheme="minorHAnsi" w:eastAsiaTheme="minorHAnsi" w:hAnsiTheme="minorHAnsi" w:cstheme="minorBidi"/>
          <w:snapToGrid/>
          <w:sz w:val="24"/>
          <w:szCs w:val="24"/>
        </w:rPr>
        <w:t xml:space="preserve">that ultrasound has improved reliability and readability versus temporal artery biopsy and improved safety and tolerability versus other imaging techniques (Schmidt, 2018). The resubmission further stated that the most recent European League </w:t>
      </w:r>
      <w:proofErr w:type="gramStart"/>
      <w:r w:rsidR="005734AA" w:rsidRPr="00115B6A">
        <w:rPr>
          <w:rFonts w:asciiTheme="minorHAnsi" w:eastAsiaTheme="minorHAnsi" w:hAnsiTheme="minorHAnsi" w:cstheme="minorBidi"/>
          <w:snapToGrid/>
          <w:sz w:val="24"/>
          <w:szCs w:val="24"/>
        </w:rPr>
        <w:t>Against</w:t>
      </w:r>
      <w:proofErr w:type="gramEnd"/>
      <w:r w:rsidR="005734AA" w:rsidRPr="00115B6A">
        <w:rPr>
          <w:rFonts w:asciiTheme="minorHAnsi" w:eastAsiaTheme="minorHAnsi" w:hAnsiTheme="minorHAnsi" w:cstheme="minorBidi"/>
          <w:snapToGrid/>
          <w:sz w:val="24"/>
          <w:szCs w:val="24"/>
        </w:rPr>
        <w:t xml:space="preserve"> Rheumatism (EULAR) Guidelines</w:t>
      </w:r>
      <w:r w:rsidR="00FB22E3" w:rsidRPr="00115B6A">
        <w:rPr>
          <w:rFonts w:asciiTheme="minorHAnsi" w:eastAsiaTheme="minorHAnsi" w:hAnsiTheme="minorHAnsi" w:cstheme="minorBidi"/>
          <w:snapToGrid/>
          <w:sz w:val="24"/>
          <w:szCs w:val="24"/>
        </w:rPr>
        <w:t xml:space="preserve"> (</w:t>
      </w:r>
      <w:r w:rsidRPr="00115B6A">
        <w:rPr>
          <w:rFonts w:asciiTheme="minorHAnsi" w:eastAsiaTheme="minorHAnsi" w:hAnsiTheme="minorHAnsi" w:cstheme="minorBidi"/>
          <w:snapToGrid/>
          <w:sz w:val="24"/>
          <w:szCs w:val="24"/>
        </w:rPr>
        <w:t xml:space="preserve">titled </w:t>
      </w:r>
      <w:r w:rsidR="00FB22E3" w:rsidRPr="00115B6A">
        <w:rPr>
          <w:rFonts w:asciiTheme="minorHAnsi" w:eastAsiaTheme="minorHAnsi" w:hAnsiTheme="minorHAnsi" w:cstheme="minorBidi"/>
          <w:snapToGrid/>
          <w:sz w:val="24"/>
          <w:szCs w:val="24"/>
        </w:rPr>
        <w:t xml:space="preserve">the ‘EULAR recommendations for the use of imaging in large vessel vasculitis in clinical practice’) </w:t>
      </w:r>
      <w:r w:rsidR="005734AA" w:rsidRPr="00115B6A">
        <w:rPr>
          <w:rFonts w:asciiTheme="minorHAnsi" w:eastAsiaTheme="minorHAnsi" w:hAnsiTheme="minorHAnsi" w:cstheme="minorBidi"/>
          <w:snapToGrid/>
          <w:sz w:val="24"/>
          <w:szCs w:val="24"/>
        </w:rPr>
        <w:t xml:space="preserve">state that “ultrasound of the temporal ± axillary arteries is recommended as the first imaging modality in patients with suspected predominantly cranial GCA”. </w:t>
      </w:r>
      <w:r w:rsidR="00BA4779" w:rsidRPr="00115B6A">
        <w:rPr>
          <w:rFonts w:asciiTheme="minorHAnsi" w:eastAsiaTheme="minorHAnsi" w:hAnsiTheme="minorHAnsi" w:cstheme="minorBidi"/>
          <w:snapToGrid/>
          <w:sz w:val="24"/>
          <w:szCs w:val="24"/>
        </w:rPr>
        <w:t>The guidelines further state that u</w:t>
      </w:r>
      <w:r w:rsidR="005734AA" w:rsidRPr="00115B6A">
        <w:rPr>
          <w:rFonts w:asciiTheme="minorHAnsi" w:eastAsiaTheme="minorHAnsi" w:hAnsiTheme="minorHAnsi" w:cstheme="minorBidi"/>
          <w:snapToGrid/>
          <w:sz w:val="24"/>
          <w:szCs w:val="24"/>
        </w:rPr>
        <w:t>ltrasound should be the primary imaging test in patients with suspected GCA presenting predominantly with cranial symptoms because of a high level of evidence of good test performance, easy access, absence of radiation or other procedural risks and the relative low costs as compared with other modalities (</w:t>
      </w:r>
      <w:r w:rsidR="000F338A" w:rsidRPr="00115B6A">
        <w:rPr>
          <w:rFonts w:asciiTheme="minorHAnsi" w:eastAsiaTheme="minorHAnsi" w:hAnsiTheme="minorHAnsi" w:cstheme="minorBidi"/>
          <w:snapToGrid/>
          <w:sz w:val="24"/>
          <w:szCs w:val="24"/>
        </w:rPr>
        <w:t xml:space="preserve">Recommendation 3 from </w:t>
      </w:r>
      <w:proofErr w:type="spellStart"/>
      <w:r w:rsidR="005734AA" w:rsidRPr="00115B6A">
        <w:rPr>
          <w:rFonts w:asciiTheme="minorHAnsi" w:eastAsiaTheme="minorHAnsi" w:hAnsiTheme="minorHAnsi" w:cstheme="minorBidi"/>
          <w:snapToGrid/>
          <w:sz w:val="24"/>
          <w:szCs w:val="24"/>
        </w:rPr>
        <w:t>Dejaco</w:t>
      </w:r>
      <w:proofErr w:type="spellEnd"/>
      <w:r w:rsidR="005734AA" w:rsidRPr="00115B6A">
        <w:rPr>
          <w:rFonts w:asciiTheme="minorHAnsi" w:eastAsiaTheme="minorHAnsi" w:hAnsiTheme="minorHAnsi" w:cstheme="minorBidi"/>
          <w:snapToGrid/>
          <w:sz w:val="24"/>
          <w:szCs w:val="24"/>
        </w:rPr>
        <w:t>, 2018).</w:t>
      </w:r>
      <w:r w:rsidR="000F338A" w:rsidRPr="00115B6A">
        <w:rPr>
          <w:rFonts w:asciiTheme="minorHAnsi" w:eastAsiaTheme="minorHAnsi" w:hAnsiTheme="minorHAnsi" w:cstheme="minorBidi"/>
          <w:snapToGrid/>
          <w:sz w:val="24"/>
          <w:szCs w:val="24"/>
        </w:rPr>
        <w:t xml:space="preserve"> </w:t>
      </w:r>
    </w:p>
    <w:p w:rsidR="000F338A" w:rsidRPr="00115B6A" w:rsidRDefault="000F338A" w:rsidP="00212FEE">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lastRenderedPageBreak/>
        <w:t xml:space="preserve">The minor resubmission further stated that </w:t>
      </w:r>
      <w:r w:rsidR="00FB22E3" w:rsidRPr="00115B6A">
        <w:rPr>
          <w:rFonts w:asciiTheme="minorHAnsi" w:eastAsiaTheme="minorHAnsi" w:hAnsiTheme="minorHAnsi" w:cstheme="minorBidi"/>
          <w:snapToGrid/>
          <w:sz w:val="24"/>
          <w:szCs w:val="24"/>
        </w:rPr>
        <w:t>expert opinion</w:t>
      </w:r>
      <w:r w:rsidRPr="00115B6A">
        <w:rPr>
          <w:rFonts w:asciiTheme="minorHAnsi" w:eastAsiaTheme="minorHAnsi" w:hAnsiTheme="minorHAnsi" w:cstheme="minorBidi"/>
          <w:snapToGrid/>
          <w:sz w:val="24"/>
          <w:szCs w:val="24"/>
        </w:rPr>
        <w:t xml:space="preserve"> was that ultrasound is standard practice and should be included in the diagnostic criteria. </w:t>
      </w:r>
      <w:r w:rsidR="00FB22E3" w:rsidRPr="00115B6A">
        <w:rPr>
          <w:rFonts w:asciiTheme="minorHAnsi" w:eastAsiaTheme="minorHAnsi" w:hAnsiTheme="minorHAnsi" w:cstheme="minorBidi"/>
          <w:snapToGrid/>
          <w:sz w:val="24"/>
          <w:szCs w:val="24"/>
        </w:rPr>
        <w:t xml:space="preserve">No further details </w:t>
      </w:r>
      <w:proofErr w:type="gramStart"/>
      <w:r w:rsidR="00FB22E3" w:rsidRPr="00115B6A">
        <w:rPr>
          <w:rFonts w:asciiTheme="minorHAnsi" w:eastAsiaTheme="minorHAnsi" w:hAnsiTheme="minorHAnsi" w:cstheme="minorBidi"/>
          <w:snapToGrid/>
          <w:sz w:val="24"/>
          <w:szCs w:val="24"/>
        </w:rPr>
        <w:t>were provided</w:t>
      </w:r>
      <w:proofErr w:type="gramEnd"/>
      <w:r w:rsidR="00FB22E3" w:rsidRPr="00115B6A">
        <w:rPr>
          <w:rFonts w:asciiTheme="minorHAnsi" w:eastAsiaTheme="minorHAnsi" w:hAnsiTheme="minorHAnsi" w:cstheme="minorBidi"/>
          <w:i/>
          <w:snapToGrid/>
          <w:sz w:val="24"/>
          <w:szCs w:val="24"/>
        </w:rPr>
        <w:t xml:space="preserve"> </w:t>
      </w:r>
      <w:r w:rsidR="00FB22E3" w:rsidRPr="00115B6A">
        <w:rPr>
          <w:rFonts w:asciiTheme="minorHAnsi" w:eastAsiaTheme="minorHAnsi" w:hAnsiTheme="minorHAnsi" w:cstheme="minorBidi"/>
          <w:snapToGrid/>
          <w:sz w:val="24"/>
          <w:szCs w:val="24"/>
        </w:rPr>
        <w:t>regarding the how the expert opinion was obtained (</w:t>
      </w:r>
      <w:r w:rsidR="00A43BD8" w:rsidRPr="00115B6A">
        <w:rPr>
          <w:rFonts w:asciiTheme="minorHAnsi" w:eastAsiaTheme="minorHAnsi" w:hAnsiTheme="minorHAnsi" w:cstheme="minorBidi"/>
          <w:snapToGrid/>
          <w:sz w:val="24"/>
          <w:szCs w:val="24"/>
        </w:rPr>
        <w:t>for example,</w:t>
      </w:r>
      <w:r w:rsidR="00FB22E3" w:rsidRPr="00115B6A">
        <w:rPr>
          <w:rFonts w:asciiTheme="minorHAnsi" w:eastAsiaTheme="minorHAnsi" w:hAnsiTheme="minorHAnsi" w:cstheme="minorBidi"/>
          <w:snapToGrid/>
          <w:sz w:val="24"/>
          <w:szCs w:val="24"/>
        </w:rPr>
        <w:t xml:space="preserve"> what questions were asked, how many clinicians were surveyed and what specialty-types were represented).</w:t>
      </w:r>
    </w:p>
    <w:p w:rsidR="00FB22E3" w:rsidRPr="00115B6A" w:rsidRDefault="00FB22E3" w:rsidP="00212FEE">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 xml:space="preserve">The minor resubmission did not address whether the inclusion of ultrasound in the diagnostic criteria would </w:t>
      </w:r>
      <w:r w:rsidR="00E24423" w:rsidRPr="00115B6A">
        <w:rPr>
          <w:rFonts w:asciiTheme="minorHAnsi" w:eastAsiaTheme="minorHAnsi" w:hAnsiTheme="minorHAnsi" w:cstheme="minorBidi"/>
          <w:snapToGrid/>
          <w:sz w:val="24"/>
          <w:szCs w:val="24"/>
        </w:rPr>
        <w:t xml:space="preserve">enable detection of GCA with a </w:t>
      </w:r>
      <w:r w:rsidRPr="00115B6A">
        <w:rPr>
          <w:rFonts w:asciiTheme="minorHAnsi" w:eastAsiaTheme="minorHAnsi" w:hAnsiTheme="minorHAnsi" w:cstheme="minorBidi"/>
          <w:snapToGrid/>
          <w:sz w:val="24"/>
          <w:szCs w:val="24"/>
        </w:rPr>
        <w:t xml:space="preserve">different severity level to that included in the </w:t>
      </w:r>
      <w:proofErr w:type="spellStart"/>
      <w:r w:rsidRPr="00115B6A">
        <w:rPr>
          <w:rFonts w:asciiTheme="minorHAnsi" w:eastAsiaTheme="minorHAnsi" w:hAnsiTheme="minorHAnsi" w:cstheme="minorBidi"/>
          <w:snapToGrid/>
          <w:sz w:val="24"/>
          <w:szCs w:val="24"/>
        </w:rPr>
        <w:t>GiACTA</w:t>
      </w:r>
      <w:proofErr w:type="spellEnd"/>
      <w:r w:rsidRPr="00115B6A">
        <w:rPr>
          <w:rFonts w:asciiTheme="minorHAnsi" w:eastAsiaTheme="minorHAnsi" w:hAnsiTheme="minorHAnsi" w:cstheme="minorBidi"/>
          <w:snapToGrid/>
          <w:sz w:val="24"/>
          <w:szCs w:val="24"/>
        </w:rPr>
        <w:t xml:space="preserve"> trial (for example, ultrasound may potentially detect less severe disease </w:t>
      </w:r>
      <w:r w:rsidR="00E24423" w:rsidRPr="00115B6A">
        <w:rPr>
          <w:rFonts w:asciiTheme="minorHAnsi" w:eastAsiaTheme="minorHAnsi" w:hAnsiTheme="minorHAnsi" w:cstheme="minorBidi"/>
          <w:snapToGrid/>
          <w:sz w:val="24"/>
          <w:szCs w:val="24"/>
        </w:rPr>
        <w:t>which could</w:t>
      </w:r>
      <w:r w:rsidRPr="00115B6A">
        <w:rPr>
          <w:rFonts w:asciiTheme="minorHAnsi" w:eastAsiaTheme="minorHAnsi" w:hAnsiTheme="minorHAnsi" w:cstheme="minorBidi"/>
          <w:snapToGrid/>
          <w:sz w:val="24"/>
          <w:szCs w:val="24"/>
        </w:rPr>
        <w:t xml:space="preserve"> reduce the applicability of the trial results). </w:t>
      </w:r>
    </w:p>
    <w:p w:rsidR="00B42B75" w:rsidRPr="00115B6A" w:rsidRDefault="00B42B75" w:rsidP="00212FEE">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 xml:space="preserve">The PBAC </w:t>
      </w:r>
      <w:r w:rsidR="000F307F" w:rsidRPr="00115B6A">
        <w:rPr>
          <w:rFonts w:asciiTheme="minorHAnsi" w:eastAsiaTheme="minorHAnsi" w:hAnsiTheme="minorHAnsi" w:cstheme="minorBidi"/>
          <w:snapToGrid/>
          <w:sz w:val="24"/>
          <w:szCs w:val="24"/>
        </w:rPr>
        <w:t>advised</w:t>
      </w:r>
      <w:r w:rsidRPr="00115B6A">
        <w:rPr>
          <w:rFonts w:asciiTheme="minorHAnsi" w:eastAsiaTheme="minorHAnsi" w:hAnsiTheme="minorHAnsi" w:cstheme="minorBidi"/>
          <w:snapToGrid/>
          <w:sz w:val="24"/>
          <w:szCs w:val="24"/>
        </w:rPr>
        <w:t xml:space="preserve"> that ultrasound </w:t>
      </w:r>
      <w:r w:rsidR="000F307F" w:rsidRPr="00115B6A">
        <w:rPr>
          <w:rFonts w:asciiTheme="minorHAnsi" w:eastAsiaTheme="minorHAnsi" w:hAnsiTheme="minorHAnsi" w:cstheme="minorBidi"/>
          <w:snapToGrid/>
          <w:sz w:val="24"/>
          <w:szCs w:val="24"/>
        </w:rPr>
        <w:t xml:space="preserve">should not be included </w:t>
      </w:r>
      <w:r w:rsidR="00C6561E" w:rsidRPr="00115B6A">
        <w:rPr>
          <w:rFonts w:asciiTheme="minorHAnsi" w:eastAsiaTheme="minorHAnsi" w:hAnsiTheme="minorHAnsi" w:cstheme="minorBidi"/>
          <w:snapToGrid/>
          <w:sz w:val="24"/>
          <w:szCs w:val="24"/>
        </w:rPr>
        <w:t xml:space="preserve">as part of the diagnostic criteria in the restriction </w:t>
      </w:r>
      <w:r w:rsidRPr="00115B6A">
        <w:rPr>
          <w:rFonts w:asciiTheme="minorHAnsi" w:eastAsiaTheme="minorHAnsi" w:hAnsiTheme="minorHAnsi" w:cstheme="minorBidi"/>
          <w:snapToGrid/>
          <w:sz w:val="24"/>
          <w:szCs w:val="24"/>
        </w:rPr>
        <w:t>as it</w:t>
      </w:r>
      <w:r w:rsidR="0005789E" w:rsidRPr="00115B6A">
        <w:rPr>
          <w:rFonts w:asciiTheme="minorHAnsi" w:eastAsiaTheme="minorHAnsi" w:hAnsiTheme="minorHAnsi" w:cstheme="minorBidi"/>
          <w:snapToGrid/>
          <w:sz w:val="24"/>
          <w:szCs w:val="24"/>
        </w:rPr>
        <w:t xml:space="preserve"> was not used in the </w:t>
      </w:r>
      <w:proofErr w:type="spellStart"/>
      <w:r w:rsidR="0005789E" w:rsidRPr="00115B6A">
        <w:rPr>
          <w:rFonts w:asciiTheme="minorHAnsi" w:eastAsiaTheme="minorHAnsi" w:hAnsiTheme="minorHAnsi" w:cstheme="minorBidi"/>
          <w:snapToGrid/>
          <w:sz w:val="24"/>
          <w:szCs w:val="24"/>
        </w:rPr>
        <w:t>GiACTA</w:t>
      </w:r>
      <w:proofErr w:type="spellEnd"/>
      <w:r w:rsidR="0005789E" w:rsidRPr="00115B6A">
        <w:rPr>
          <w:rFonts w:asciiTheme="minorHAnsi" w:eastAsiaTheme="minorHAnsi" w:hAnsiTheme="minorHAnsi" w:cstheme="minorBidi"/>
          <w:snapToGrid/>
          <w:sz w:val="24"/>
          <w:szCs w:val="24"/>
        </w:rPr>
        <w:t xml:space="preserve"> trial inclusion criteria</w:t>
      </w:r>
      <w:r w:rsidRPr="00115B6A">
        <w:rPr>
          <w:rFonts w:asciiTheme="minorHAnsi" w:eastAsiaTheme="minorHAnsi" w:hAnsiTheme="minorHAnsi" w:cstheme="minorBidi"/>
          <w:snapToGrid/>
          <w:sz w:val="24"/>
          <w:szCs w:val="24"/>
        </w:rPr>
        <w:t xml:space="preserve">, </w:t>
      </w:r>
      <w:r w:rsidR="0005789E" w:rsidRPr="00115B6A">
        <w:rPr>
          <w:rFonts w:asciiTheme="minorHAnsi" w:eastAsiaTheme="minorHAnsi" w:hAnsiTheme="minorHAnsi" w:cstheme="minorBidi"/>
          <w:snapToGrid/>
          <w:sz w:val="24"/>
          <w:szCs w:val="24"/>
        </w:rPr>
        <w:t xml:space="preserve">and the PBAC considered that </w:t>
      </w:r>
      <w:r w:rsidRPr="00115B6A">
        <w:rPr>
          <w:rFonts w:asciiTheme="minorHAnsi" w:eastAsiaTheme="minorHAnsi" w:hAnsiTheme="minorHAnsi" w:cstheme="minorBidi"/>
          <w:snapToGrid/>
          <w:sz w:val="24"/>
          <w:szCs w:val="24"/>
        </w:rPr>
        <w:t>it is highly operator dependant and</w:t>
      </w:r>
      <w:r w:rsidR="0005789E" w:rsidRPr="00115B6A">
        <w:rPr>
          <w:rFonts w:asciiTheme="minorHAnsi" w:eastAsiaTheme="minorHAnsi" w:hAnsiTheme="minorHAnsi" w:cstheme="minorBidi"/>
          <w:snapToGrid/>
          <w:sz w:val="24"/>
          <w:szCs w:val="24"/>
        </w:rPr>
        <w:t xml:space="preserve"> is</w:t>
      </w:r>
      <w:r w:rsidRPr="00115B6A">
        <w:rPr>
          <w:rFonts w:asciiTheme="minorHAnsi" w:eastAsiaTheme="minorHAnsi" w:hAnsiTheme="minorHAnsi" w:cstheme="minorBidi"/>
          <w:snapToGrid/>
          <w:sz w:val="24"/>
          <w:szCs w:val="24"/>
        </w:rPr>
        <w:t xml:space="preserve"> </w:t>
      </w:r>
      <w:r w:rsidR="0005789E" w:rsidRPr="00115B6A">
        <w:rPr>
          <w:rFonts w:asciiTheme="minorHAnsi" w:eastAsiaTheme="minorHAnsi" w:hAnsiTheme="minorHAnsi" w:cstheme="minorBidi"/>
          <w:snapToGrid/>
          <w:sz w:val="24"/>
          <w:szCs w:val="24"/>
        </w:rPr>
        <w:t>not</w:t>
      </w:r>
      <w:r w:rsidRPr="00115B6A">
        <w:rPr>
          <w:rFonts w:asciiTheme="minorHAnsi" w:eastAsiaTheme="minorHAnsi" w:hAnsiTheme="minorHAnsi" w:cstheme="minorBidi"/>
          <w:snapToGrid/>
          <w:sz w:val="24"/>
          <w:szCs w:val="24"/>
        </w:rPr>
        <w:t xml:space="preserve"> standard practice at most sites in Australia.</w:t>
      </w:r>
    </w:p>
    <w:p w:rsidR="00117AE4" w:rsidRPr="00115B6A" w:rsidRDefault="00117AE4" w:rsidP="00212FEE">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The PBAC noted that the minor resubmission had updated the imaging criteria for evidence of large-vessel vasculitis in line with the wording suggested by the PBAC in November 2018 (i.e. amended to be ‘evidence of large-vessel vasculitis by MR or CT angiography or PET/CT’).</w:t>
      </w:r>
    </w:p>
    <w:p w:rsidR="0005789E" w:rsidRPr="00115B6A" w:rsidRDefault="0028451A" w:rsidP="00212FEE">
      <w:pPr>
        <w:pStyle w:val="ListParagraph"/>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The proposed restriction includes diagnostic crit</w:t>
      </w:r>
      <w:r w:rsidR="002D28A0" w:rsidRPr="00115B6A">
        <w:rPr>
          <w:rFonts w:asciiTheme="minorHAnsi" w:eastAsiaTheme="minorHAnsi" w:hAnsiTheme="minorHAnsi" w:cstheme="minorBidi"/>
          <w:snapToGrid/>
          <w:sz w:val="24"/>
          <w:szCs w:val="24"/>
        </w:rPr>
        <w:t>eria that require patients to have had</w:t>
      </w:r>
      <w:r w:rsidRPr="00115B6A">
        <w:rPr>
          <w:rFonts w:asciiTheme="minorHAnsi" w:eastAsiaTheme="minorHAnsi" w:hAnsiTheme="minorHAnsi" w:cstheme="minorBidi"/>
          <w:snapToGrid/>
          <w:sz w:val="24"/>
          <w:szCs w:val="24"/>
        </w:rPr>
        <w:t xml:space="preserve">, </w:t>
      </w:r>
      <w:r w:rsidRPr="00115B6A">
        <w:rPr>
          <w:rFonts w:asciiTheme="minorHAnsi" w:eastAsiaTheme="minorHAnsi" w:hAnsiTheme="minorHAnsi" w:cstheme="minorBidi"/>
          <w:snapToGrid/>
          <w:sz w:val="24"/>
          <w:szCs w:val="24"/>
          <w:u w:val="single"/>
        </w:rPr>
        <w:t xml:space="preserve">at the time of </w:t>
      </w:r>
      <w:r w:rsidR="002A1E55" w:rsidRPr="00115B6A">
        <w:rPr>
          <w:rFonts w:asciiTheme="minorHAnsi" w:eastAsiaTheme="minorHAnsi" w:hAnsiTheme="minorHAnsi" w:cstheme="minorBidi"/>
          <w:snapToGrid/>
          <w:sz w:val="24"/>
          <w:szCs w:val="24"/>
          <w:u w:val="single"/>
        </w:rPr>
        <w:t xml:space="preserve">initial GCA </w:t>
      </w:r>
      <w:r w:rsidRPr="00115B6A">
        <w:rPr>
          <w:rFonts w:asciiTheme="minorHAnsi" w:eastAsiaTheme="minorHAnsi" w:hAnsiTheme="minorHAnsi" w:cstheme="minorBidi"/>
          <w:snapToGrid/>
          <w:sz w:val="24"/>
          <w:szCs w:val="24"/>
          <w:u w:val="single"/>
        </w:rPr>
        <w:t>diagnosis</w:t>
      </w:r>
      <w:r w:rsidRPr="00115B6A">
        <w:rPr>
          <w:rFonts w:asciiTheme="minorHAnsi" w:eastAsiaTheme="minorHAnsi" w:hAnsiTheme="minorHAnsi" w:cstheme="minorBidi"/>
          <w:snapToGrid/>
          <w:sz w:val="24"/>
          <w:szCs w:val="24"/>
        </w:rPr>
        <w:t xml:space="preserve">, </w:t>
      </w:r>
      <w:r w:rsidR="00CA0663" w:rsidRPr="00115B6A">
        <w:rPr>
          <w:rFonts w:asciiTheme="minorHAnsi" w:eastAsiaTheme="minorHAnsi" w:hAnsiTheme="minorHAnsi" w:cstheme="minorBidi"/>
          <w:snapToGrid/>
          <w:sz w:val="24"/>
          <w:szCs w:val="24"/>
        </w:rPr>
        <w:t xml:space="preserve">an erythrocyte sedimentation rate </w:t>
      </w:r>
      <w:r w:rsidR="002A1E55" w:rsidRPr="00115B6A">
        <w:rPr>
          <w:rFonts w:asciiTheme="minorHAnsi" w:eastAsiaTheme="minorHAnsi" w:hAnsiTheme="minorHAnsi" w:cstheme="minorBidi"/>
          <w:snapToGrid/>
          <w:sz w:val="24"/>
          <w:szCs w:val="24"/>
        </w:rPr>
        <w:t>(</w:t>
      </w:r>
      <w:r w:rsidRPr="00115B6A">
        <w:rPr>
          <w:rFonts w:asciiTheme="minorHAnsi" w:eastAsiaTheme="minorHAnsi" w:hAnsiTheme="minorHAnsi" w:cstheme="minorBidi"/>
          <w:snapToGrid/>
          <w:sz w:val="24"/>
          <w:szCs w:val="24"/>
        </w:rPr>
        <w:t>ESR</w:t>
      </w:r>
      <w:r w:rsidR="002A1E55" w:rsidRPr="00115B6A">
        <w:rPr>
          <w:rFonts w:asciiTheme="minorHAnsi" w:eastAsiaTheme="minorHAnsi" w:hAnsiTheme="minorHAnsi" w:cstheme="minorBidi"/>
          <w:snapToGrid/>
          <w:sz w:val="24"/>
          <w:szCs w:val="24"/>
        </w:rPr>
        <w:t>)</w:t>
      </w:r>
      <w:r w:rsidR="00A72799" w:rsidRPr="00115B6A">
        <w:rPr>
          <w:rFonts w:asciiTheme="minorHAnsi" w:eastAsiaTheme="minorHAnsi" w:hAnsiTheme="minorHAnsi" w:cstheme="minorBidi"/>
          <w:snapToGrid/>
          <w:sz w:val="24"/>
          <w:szCs w:val="24"/>
        </w:rPr>
        <w:t xml:space="preserve"> ≥ </w:t>
      </w:r>
      <w:r w:rsidRPr="00115B6A">
        <w:rPr>
          <w:rFonts w:asciiTheme="minorHAnsi" w:eastAsiaTheme="minorHAnsi" w:hAnsiTheme="minorHAnsi" w:cstheme="minorBidi"/>
          <w:snapToGrid/>
          <w:sz w:val="24"/>
          <w:szCs w:val="24"/>
        </w:rPr>
        <w:t>30 mm/hour or</w:t>
      </w:r>
      <w:r w:rsidR="002A1E55" w:rsidRPr="00115B6A">
        <w:rPr>
          <w:sz w:val="24"/>
          <w:szCs w:val="24"/>
        </w:rPr>
        <w:t xml:space="preserve"> </w:t>
      </w:r>
      <w:r w:rsidR="002A1E55" w:rsidRPr="00115B6A">
        <w:rPr>
          <w:rFonts w:asciiTheme="minorHAnsi" w:eastAsiaTheme="minorHAnsi" w:hAnsiTheme="minorHAnsi" w:cstheme="minorBidi"/>
          <w:snapToGrid/>
          <w:sz w:val="24"/>
          <w:szCs w:val="24"/>
        </w:rPr>
        <w:t>c</w:t>
      </w:r>
      <w:r w:rsidR="002A1E55" w:rsidRPr="00115B6A">
        <w:rPr>
          <w:rFonts w:asciiTheme="minorHAnsi" w:eastAsiaTheme="minorHAnsi" w:hAnsiTheme="minorHAnsi" w:cstheme="minorBidi"/>
          <w:snapToGrid/>
          <w:sz w:val="24"/>
          <w:szCs w:val="24"/>
        </w:rPr>
        <w:noBreakHyphen/>
        <w:t>reactive protein</w:t>
      </w:r>
      <w:r w:rsidRPr="00115B6A">
        <w:rPr>
          <w:rFonts w:asciiTheme="minorHAnsi" w:eastAsiaTheme="minorHAnsi" w:hAnsiTheme="minorHAnsi" w:cstheme="minorBidi"/>
          <w:snapToGrid/>
          <w:sz w:val="24"/>
          <w:szCs w:val="24"/>
        </w:rPr>
        <w:t xml:space="preserve"> </w:t>
      </w:r>
      <w:r w:rsidR="002A1E55" w:rsidRPr="00115B6A">
        <w:rPr>
          <w:rFonts w:asciiTheme="minorHAnsi" w:eastAsiaTheme="minorHAnsi" w:hAnsiTheme="minorHAnsi" w:cstheme="minorBidi"/>
          <w:snapToGrid/>
          <w:sz w:val="24"/>
          <w:szCs w:val="24"/>
        </w:rPr>
        <w:t>(</w:t>
      </w:r>
      <w:r w:rsidRPr="00115B6A">
        <w:rPr>
          <w:rFonts w:asciiTheme="minorHAnsi" w:eastAsiaTheme="minorHAnsi" w:hAnsiTheme="minorHAnsi" w:cstheme="minorBidi"/>
          <w:snapToGrid/>
          <w:sz w:val="24"/>
          <w:szCs w:val="24"/>
        </w:rPr>
        <w:t>CRP</w:t>
      </w:r>
      <w:r w:rsidR="002A1E55" w:rsidRPr="00115B6A">
        <w:rPr>
          <w:rFonts w:asciiTheme="minorHAnsi" w:eastAsiaTheme="minorHAnsi" w:hAnsiTheme="minorHAnsi" w:cstheme="minorBidi"/>
          <w:snapToGrid/>
          <w:sz w:val="24"/>
          <w:szCs w:val="24"/>
        </w:rPr>
        <w:t>)</w:t>
      </w:r>
      <w:r w:rsidRPr="00115B6A">
        <w:rPr>
          <w:rFonts w:asciiTheme="minorHAnsi" w:eastAsiaTheme="minorHAnsi" w:hAnsiTheme="minorHAnsi" w:cstheme="minorBidi"/>
          <w:snapToGrid/>
          <w:sz w:val="24"/>
          <w:szCs w:val="24"/>
        </w:rPr>
        <w:t xml:space="preserve"> ≥</w:t>
      </w:r>
      <w:r w:rsidR="00CA0663" w:rsidRPr="00115B6A">
        <w:rPr>
          <w:rFonts w:asciiTheme="minorHAnsi" w:eastAsiaTheme="minorHAnsi" w:hAnsiTheme="minorHAnsi" w:cstheme="minorBidi"/>
          <w:snapToGrid/>
          <w:sz w:val="24"/>
          <w:szCs w:val="24"/>
        </w:rPr>
        <w:t xml:space="preserve"> </w:t>
      </w:r>
      <w:r w:rsidRPr="00115B6A">
        <w:rPr>
          <w:rFonts w:asciiTheme="minorHAnsi" w:eastAsiaTheme="minorHAnsi" w:hAnsiTheme="minorHAnsi" w:cstheme="minorBidi"/>
          <w:snapToGrid/>
          <w:sz w:val="24"/>
          <w:szCs w:val="24"/>
        </w:rPr>
        <w:t xml:space="preserve">10 mg/L. These thresholds are less stringent </w:t>
      </w:r>
      <w:proofErr w:type="gramStart"/>
      <w:r w:rsidRPr="00115B6A">
        <w:rPr>
          <w:rFonts w:asciiTheme="minorHAnsi" w:eastAsiaTheme="minorHAnsi" w:hAnsiTheme="minorHAnsi" w:cstheme="minorBidi"/>
          <w:snapToGrid/>
          <w:sz w:val="24"/>
          <w:szCs w:val="24"/>
        </w:rPr>
        <w:t>than those</w:t>
      </w:r>
      <w:proofErr w:type="gramEnd"/>
      <w:r w:rsidRPr="00115B6A">
        <w:rPr>
          <w:rFonts w:asciiTheme="minorHAnsi" w:eastAsiaTheme="minorHAnsi" w:hAnsiTheme="minorHAnsi" w:cstheme="minorBidi"/>
          <w:snapToGrid/>
          <w:sz w:val="24"/>
          <w:szCs w:val="24"/>
        </w:rPr>
        <w:t xml:space="preserve"> proposed in the previous submission</w:t>
      </w:r>
      <w:r w:rsidR="00CA0663" w:rsidRPr="00115B6A">
        <w:rPr>
          <w:rFonts w:asciiTheme="minorHAnsi" w:eastAsiaTheme="minorHAnsi" w:hAnsiTheme="minorHAnsi" w:cstheme="minorBidi"/>
          <w:snapToGrid/>
          <w:sz w:val="24"/>
          <w:szCs w:val="24"/>
        </w:rPr>
        <w:t>,</w:t>
      </w:r>
      <w:r w:rsidR="00E3220C" w:rsidRPr="00115B6A">
        <w:rPr>
          <w:rFonts w:asciiTheme="minorHAnsi" w:eastAsiaTheme="minorHAnsi" w:hAnsiTheme="minorHAnsi" w:cstheme="minorBidi"/>
          <w:snapToGrid/>
          <w:sz w:val="24"/>
          <w:szCs w:val="24"/>
        </w:rPr>
        <w:t xml:space="preserve"> which were ESR </w:t>
      </w:r>
      <w:r w:rsidR="00115B6A" w:rsidRPr="00115B6A">
        <w:rPr>
          <w:rFonts w:asciiTheme="minorHAnsi" w:eastAsiaTheme="minorHAnsi" w:hAnsiTheme="minorHAnsi" w:cstheme="minorBidi"/>
          <w:snapToGrid/>
          <w:sz w:val="24"/>
          <w:szCs w:val="24"/>
        </w:rPr>
        <w:t>≥</w:t>
      </w:r>
      <w:r w:rsidR="00EA5994">
        <w:rPr>
          <w:rFonts w:asciiTheme="minorHAnsi" w:eastAsiaTheme="minorHAnsi" w:hAnsiTheme="minorHAnsi" w:cstheme="minorBidi"/>
          <w:snapToGrid/>
          <w:sz w:val="24"/>
          <w:szCs w:val="24"/>
        </w:rPr>
        <w:t> </w:t>
      </w:r>
      <w:r w:rsidR="00115B6A" w:rsidRPr="00115B6A">
        <w:rPr>
          <w:rFonts w:asciiTheme="minorHAnsi" w:eastAsiaTheme="minorHAnsi" w:hAnsiTheme="minorHAnsi" w:cstheme="minorBidi"/>
          <w:snapToGrid/>
          <w:sz w:val="24"/>
          <w:szCs w:val="24"/>
        </w:rPr>
        <w:t>50</w:t>
      </w:r>
      <w:r w:rsidR="00E3220C" w:rsidRPr="00115B6A">
        <w:rPr>
          <w:rFonts w:asciiTheme="minorHAnsi" w:eastAsiaTheme="minorHAnsi" w:hAnsiTheme="minorHAnsi" w:cstheme="minorBidi"/>
          <w:snapToGrid/>
          <w:sz w:val="24"/>
          <w:szCs w:val="24"/>
        </w:rPr>
        <w:t> </w:t>
      </w:r>
      <w:r w:rsidRPr="00115B6A">
        <w:rPr>
          <w:rFonts w:asciiTheme="minorHAnsi" w:eastAsiaTheme="minorHAnsi" w:hAnsiTheme="minorHAnsi" w:cstheme="minorBidi"/>
          <w:snapToGrid/>
          <w:sz w:val="24"/>
          <w:szCs w:val="24"/>
        </w:rPr>
        <w:t>mm/hour or CRP ≥ 24.5 mg/L</w:t>
      </w:r>
      <w:r w:rsidR="007E1365" w:rsidRPr="00115B6A">
        <w:rPr>
          <w:rFonts w:asciiTheme="minorHAnsi" w:eastAsiaTheme="minorHAnsi" w:hAnsiTheme="minorHAnsi" w:cstheme="minorBidi"/>
          <w:snapToGrid/>
          <w:sz w:val="24"/>
          <w:szCs w:val="24"/>
        </w:rPr>
        <w:t xml:space="preserve"> at diagnosis</w:t>
      </w:r>
      <w:r w:rsidRPr="00115B6A">
        <w:rPr>
          <w:rFonts w:asciiTheme="minorHAnsi" w:eastAsiaTheme="minorHAnsi" w:hAnsiTheme="minorHAnsi" w:cstheme="minorBidi"/>
          <w:snapToGrid/>
          <w:sz w:val="24"/>
          <w:szCs w:val="24"/>
        </w:rPr>
        <w:t xml:space="preserve">. The resubmission stated </w:t>
      </w:r>
      <w:r w:rsidR="002A1E55" w:rsidRPr="00115B6A">
        <w:rPr>
          <w:rFonts w:asciiTheme="minorHAnsi" w:eastAsiaTheme="minorHAnsi" w:hAnsiTheme="minorHAnsi" w:cstheme="minorBidi"/>
          <w:snapToGrid/>
          <w:sz w:val="24"/>
          <w:szCs w:val="24"/>
        </w:rPr>
        <w:t>this change was</w:t>
      </w:r>
      <w:r w:rsidRPr="00115B6A">
        <w:rPr>
          <w:rFonts w:asciiTheme="minorHAnsi" w:eastAsiaTheme="minorHAnsi" w:hAnsiTheme="minorHAnsi" w:cstheme="minorBidi"/>
          <w:snapToGrid/>
          <w:sz w:val="24"/>
          <w:szCs w:val="24"/>
        </w:rPr>
        <w:t xml:space="preserve"> </w:t>
      </w:r>
      <w:r w:rsidR="00F70656" w:rsidRPr="00115B6A">
        <w:rPr>
          <w:rFonts w:asciiTheme="minorHAnsi" w:eastAsiaTheme="minorHAnsi" w:hAnsiTheme="minorHAnsi" w:cstheme="minorBidi"/>
          <w:snapToGrid/>
          <w:sz w:val="24"/>
          <w:szCs w:val="24"/>
        </w:rPr>
        <w:t>based on clinic</w:t>
      </w:r>
      <w:r w:rsidR="00CA0663" w:rsidRPr="00115B6A">
        <w:rPr>
          <w:rFonts w:asciiTheme="minorHAnsi" w:eastAsiaTheme="minorHAnsi" w:hAnsiTheme="minorHAnsi" w:cstheme="minorBidi"/>
          <w:snapToGrid/>
          <w:sz w:val="24"/>
          <w:szCs w:val="24"/>
        </w:rPr>
        <w:t>ian advice</w:t>
      </w:r>
      <w:r w:rsidR="00F70656" w:rsidRPr="00115B6A">
        <w:rPr>
          <w:rFonts w:asciiTheme="minorHAnsi" w:eastAsiaTheme="minorHAnsi" w:hAnsiTheme="minorHAnsi" w:cstheme="minorBidi"/>
          <w:snapToGrid/>
          <w:sz w:val="24"/>
          <w:szCs w:val="24"/>
        </w:rPr>
        <w:t xml:space="preserve"> </w:t>
      </w:r>
      <w:r w:rsidR="002D363A" w:rsidRPr="00115B6A">
        <w:rPr>
          <w:rFonts w:asciiTheme="minorHAnsi" w:eastAsiaTheme="minorHAnsi" w:hAnsiTheme="minorHAnsi" w:cstheme="minorBidi"/>
          <w:snapToGrid/>
          <w:sz w:val="24"/>
          <w:szCs w:val="24"/>
        </w:rPr>
        <w:t xml:space="preserve">which included </w:t>
      </w:r>
      <w:r w:rsidR="00F70656" w:rsidRPr="00115B6A">
        <w:rPr>
          <w:rFonts w:asciiTheme="minorHAnsi" w:eastAsiaTheme="minorHAnsi" w:hAnsiTheme="minorHAnsi" w:cstheme="minorBidi"/>
          <w:snapToGrid/>
          <w:sz w:val="24"/>
          <w:szCs w:val="24"/>
        </w:rPr>
        <w:t xml:space="preserve">that the </w:t>
      </w:r>
      <w:r w:rsidR="00D2695F" w:rsidRPr="00115B6A">
        <w:rPr>
          <w:rFonts w:asciiTheme="minorHAnsi" w:eastAsiaTheme="minorHAnsi" w:hAnsiTheme="minorHAnsi" w:cstheme="minorBidi"/>
          <w:snapToGrid/>
          <w:sz w:val="24"/>
          <w:szCs w:val="24"/>
        </w:rPr>
        <w:t>“</w:t>
      </w:r>
      <w:r w:rsidR="00F70656" w:rsidRPr="00115B6A">
        <w:rPr>
          <w:rFonts w:asciiTheme="minorHAnsi" w:eastAsiaTheme="minorHAnsi" w:hAnsiTheme="minorHAnsi" w:cstheme="minorBidi"/>
          <w:snapToGrid/>
          <w:sz w:val="24"/>
          <w:szCs w:val="24"/>
        </w:rPr>
        <w:t>inflammatory marker</w:t>
      </w:r>
      <w:r w:rsidR="00D2695F" w:rsidRPr="00115B6A">
        <w:rPr>
          <w:rFonts w:asciiTheme="minorHAnsi" w:eastAsiaTheme="minorHAnsi" w:hAnsiTheme="minorHAnsi" w:cstheme="minorBidi"/>
          <w:snapToGrid/>
          <w:sz w:val="24"/>
          <w:szCs w:val="24"/>
        </w:rPr>
        <w:t xml:space="preserve"> levels </w:t>
      </w:r>
      <w:r w:rsidR="00F70656" w:rsidRPr="00115B6A">
        <w:rPr>
          <w:rFonts w:asciiTheme="minorHAnsi" w:eastAsiaTheme="minorHAnsi" w:hAnsiTheme="minorHAnsi" w:cstheme="minorBidi"/>
          <w:snapToGrid/>
          <w:sz w:val="24"/>
          <w:szCs w:val="24"/>
        </w:rPr>
        <w:t xml:space="preserve">should be lower </w:t>
      </w:r>
      <w:r w:rsidR="00D2695F" w:rsidRPr="00115B6A">
        <w:rPr>
          <w:rFonts w:asciiTheme="minorHAnsi" w:eastAsiaTheme="minorHAnsi" w:hAnsiTheme="minorHAnsi" w:cstheme="minorBidi"/>
          <w:snapToGrid/>
          <w:sz w:val="24"/>
          <w:szCs w:val="24"/>
        </w:rPr>
        <w:t xml:space="preserve">(blindness in patients occur with low markers)”. </w:t>
      </w:r>
      <w:r w:rsidR="002A1E55" w:rsidRPr="00115B6A">
        <w:rPr>
          <w:rFonts w:asciiTheme="minorHAnsi" w:eastAsiaTheme="minorHAnsi" w:hAnsiTheme="minorHAnsi" w:cstheme="minorBidi"/>
          <w:snapToGrid/>
          <w:sz w:val="24"/>
          <w:szCs w:val="24"/>
        </w:rPr>
        <w:t xml:space="preserve">However, the </w:t>
      </w:r>
      <w:r w:rsidR="00A72799" w:rsidRPr="00115B6A">
        <w:rPr>
          <w:rFonts w:asciiTheme="minorHAnsi" w:eastAsiaTheme="minorHAnsi" w:hAnsiTheme="minorHAnsi" w:cstheme="minorBidi"/>
          <w:snapToGrid/>
          <w:sz w:val="24"/>
          <w:szCs w:val="24"/>
        </w:rPr>
        <w:t xml:space="preserve">newly proposed thresholds do not </w:t>
      </w:r>
      <w:r w:rsidR="002A1E55" w:rsidRPr="00115B6A">
        <w:rPr>
          <w:rFonts w:asciiTheme="minorHAnsi" w:eastAsiaTheme="minorHAnsi" w:hAnsiTheme="minorHAnsi" w:cstheme="minorBidi"/>
          <w:snapToGrid/>
          <w:sz w:val="24"/>
          <w:szCs w:val="24"/>
        </w:rPr>
        <w:t xml:space="preserve">align with the </w:t>
      </w:r>
      <w:proofErr w:type="spellStart"/>
      <w:r w:rsidR="00D2695F" w:rsidRPr="00115B6A">
        <w:rPr>
          <w:rFonts w:asciiTheme="minorHAnsi" w:eastAsiaTheme="minorHAnsi" w:hAnsiTheme="minorHAnsi" w:cstheme="minorBidi"/>
          <w:snapToGrid/>
          <w:sz w:val="24"/>
          <w:szCs w:val="24"/>
        </w:rPr>
        <w:t>GiACTA</w:t>
      </w:r>
      <w:proofErr w:type="spellEnd"/>
      <w:r w:rsidR="00D2695F" w:rsidRPr="00115B6A">
        <w:rPr>
          <w:rFonts w:asciiTheme="minorHAnsi" w:eastAsiaTheme="minorHAnsi" w:hAnsiTheme="minorHAnsi" w:cstheme="minorBidi"/>
          <w:snapToGrid/>
          <w:sz w:val="24"/>
          <w:szCs w:val="24"/>
        </w:rPr>
        <w:t xml:space="preserve"> trial </w:t>
      </w:r>
      <w:r w:rsidR="002A1E55" w:rsidRPr="00115B6A">
        <w:rPr>
          <w:rFonts w:asciiTheme="minorHAnsi" w:eastAsiaTheme="minorHAnsi" w:hAnsiTheme="minorHAnsi" w:cstheme="minorBidi"/>
          <w:snapToGrid/>
          <w:sz w:val="24"/>
          <w:szCs w:val="24"/>
        </w:rPr>
        <w:t>inclusion criteria, which required p</w:t>
      </w:r>
      <w:r w:rsidR="00D2695F" w:rsidRPr="00115B6A">
        <w:rPr>
          <w:rFonts w:asciiTheme="minorHAnsi" w:eastAsiaTheme="minorHAnsi" w:hAnsiTheme="minorHAnsi" w:cstheme="minorBidi"/>
          <w:snapToGrid/>
          <w:sz w:val="24"/>
          <w:szCs w:val="24"/>
        </w:rPr>
        <w:t xml:space="preserve">atients to </w:t>
      </w:r>
      <w:r w:rsidR="00960112" w:rsidRPr="00115B6A">
        <w:rPr>
          <w:rFonts w:asciiTheme="minorHAnsi" w:eastAsiaTheme="minorHAnsi" w:hAnsiTheme="minorHAnsi" w:cstheme="minorBidi"/>
          <w:snapToGrid/>
          <w:sz w:val="24"/>
          <w:szCs w:val="24"/>
        </w:rPr>
        <w:t xml:space="preserve">have </w:t>
      </w:r>
      <w:r w:rsidR="00B11948" w:rsidRPr="00115B6A">
        <w:rPr>
          <w:rFonts w:asciiTheme="minorHAnsi" w:eastAsiaTheme="minorHAnsi" w:hAnsiTheme="minorHAnsi" w:cstheme="minorBidi"/>
          <w:snapToGrid/>
          <w:sz w:val="24"/>
          <w:szCs w:val="24"/>
        </w:rPr>
        <w:t xml:space="preserve">had </w:t>
      </w:r>
      <w:r w:rsidR="00D2695F" w:rsidRPr="00115B6A">
        <w:rPr>
          <w:rFonts w:asciiTheme="minorHAnsi" w:eastAsiaTheme="minorHAnsi" w:hAnsiTheme="minorHAnsi" w:cstheme="minorBidi"/>
          <w:snapToGrid/>
          <w:sz w:val="24"/>
          <w:szCs w:val="24"/>
        </w:rPr>
        <w:t>a history of ESR ≥ 50 mm/hour</w:t>
      </w:r>
      <w:r w:rsidR="00712C57" w:rsidRPr="00115B6A">
        <w:rPr>
          <w:rFonts w:asciiTheme="minorHAnsi" w:eastAsiaTheme="minorHAnsi" w:hAnsiTheme="minorHAnsi" w:cstheme="minorBidi"/>
          <w:snapToGrid/>
          <w:sz w:val="24"/>
          <w:szCs w:val="24"/>
        </w:rPr>
        <w:t>;</w:t>
      </w:r>
      <w:r w:rsidR="00D2695F" w:rsidRPr="00115B6A">
        <w:rPr>
          <w:rFonts w:asciiTheme="minorHAnsi" w:eastAsiaTheme="minorHAnsi" w:hAnsiTheme="minorHAnsi" w:cstheme="minorBidi"/>
          <w:snapToGrid/>
          <w:sz w:val="24"/>
          <w:szCs w:val="24"/>
        </w:rPr>
        <w:t xml:space="preserve"> if historic ESR was unavailable, a history of CRP ≥</w:t>
      </w:r>
      <w:r w:rsidR="00712C57" w:rsidRPr="00115B6A">
        <w:rPr>
          <w:rFonts w:asciiTheme="minorHAnsi" w:eastAsiaTheme="minorHAnsi" w:hAnsiTheme="minorHAnsi" w:cstheme="minorBidi"/>
          <w:snapToGrid/>
          <w:sz w:val="24"/>
          <w:szCs w:val="24"/>
        </w:rPr>
        <w:t> </w:t>
      </w:r>
      <w:r w:rsidR="00D2695F" w:rsidRPr="00115B6A">
        <w:rPr>
          <w:rFonts w:asciiTheme="minorHAnsi" w:eastAsiaTheme="minorHAnsi" w:hAnsiTheme="minorHAnsi" w:cstheme="minorBidi"/>
          <w:snapToGrid/>
          <w:sz w:val="24"/>
          <w:szCs w:val="24"/>
        </w:rPr>
        <w:t>24</w:t>
      </w:r>
      <w:r w:rsidR="00960112" w:rsidRPr="00115B6A">
        <w:rPr>
          <w:rFonts w:asciiTheme="minorHAnsi" w:eastAsiaTheme="minorHAnsi" w:hAnsiTheme="minorHAnsi" w:cstheme="minorBidi"/>
          <w:snapToGrid/>
          <w:sz w:val="24"/>
          <w:szCs w:val="24"/>
        </w:rPr>
        <w:t>.</w:t>
      </w:r>
      <w:r w:rsidR="00D2695F" w:rsidRPr="00115B6A">
        <w:rPr>
          <w:rFonts w:asciiTheme="minorHAnsi" w:eastAsiaTheme="minorHAnsi" w:hAnsiTheme="minorHAnsi" w:cstheme="minorBidi"/>
          <w:snapToGrid/>
          <w:sz w:val="24"/>
          <w:szCs w:val="24"/>
        </w:rPr>
        <w:t>5 mg/L was required.</w:t>
      </w:r>
      <w:r w:rsidR="007E1365" w:rsidRPr="00115B6A">
        <w:rPr>
          <w:rFonts w:asciiTheme="minorHAnsi" w:eastAsiaTheme="minorHAnsi" w:hAnsiTheme="minorHAnsi" w:cstheme="minorBidi"/>
          <w:snapToGrid/>
          <w:sz w:val="24"/>
          <w:szCs w:val="24"/>
        </w:rPr>
        <w:t xml:space="preserve"> </w:t>
      </w:r>
      <w:r w:rsidR="0005789E" w:rsidRPr="00115B6A">
        <w:rPr>
          <w:rFonts w:asciiTheme="minorHAnsi" w:eastAsiaTheme="minorHAnsi" w:hAnsiTheme="minorHAnsi" w:cstheme="minorBidi"/>
          <w:snapToGrid/>
          <w:sz w:val="24"/>
          <w:szCs w:val="24"/>
        </w:rPr>
        <w:t>The PBAC considered that u</w:t>
      </w:r>
      <w:r w:rsidR="007E1365" w:rsidRPr="00115B6A">
        <w:rPr>
          <w:rFonts w:asciiTheme="minorHAnsi" w:eastAsiaTheme="minorHAnsi" w:hAnsiTheme="minorHAnsi" w:cstheme="minorBidi"/>
          <w:snapToGrid/>
          <w:sz w:val="24"/>
          <w:szCs w:val="24"/>
        </w:rPr>
        <w:t xml:space="preserve">se of lower levels of inflammatory markers in the </w:t>
      </w:r>
      <w:r w:rsidR="002D28A0" w:rsidRPr="00115B6A">
        <w:rPr>
          <w:rFonts w:asciiTheme="minorHAnsi" w:eastAsiaTheme="minorHAnsi" w:hAnsiTheme="minorHAnsi" w:cstheme="minorBidi"/>
          <w:snapToGrid/>
          <w:sz w:val="24"/>
          <w:szCs w:val="24"/>
        </w:rPr>
        <w:t xml:space="preserve">PBS </w:t>
      </w:r>
      <w:r w:rsidR="007E1365" w:rsidRPr="00115B6A">
        <w:rPr>
          <w:rFonts w:asciiTheme="minorHAnsi" w:eastAsiaTheme="minorHAnsi" w:hAnsiTheme="minorHAnsi" w:cstheme="minorBidi"/>
          <w:snapToGrid/>
          <w:sz w:val="24"/>
          <w:szCs w:val="24"/>
        </w:rPr>
        <w:t xml:space="preserve">restriction, compared with the trial, </w:t>
      </w:r>
      <w:r w:rsidR="0005789E" w:rsidRPr="00115B6A">
        <w:rPr>
          <w:rFonts w:asciiTheme="minorHAnsi" w:eastAsiaTheme="minorHAnsi" w:hAnsiTheme="minorHAnsi" w:cstheme="minorBidi"/>
          <w:snapToGrid/>
          <w:sz w:val="24"/>
          <w:szCs w:val="24"/>
        </w:rPr>
        <w:t>would</w:t>
      </w:r>
      <w:r w:rsidR="007E1365" w:rsidRPr="00115B6A">
        <w:rPr>
          <w:rFonts w:asciiTheme="minorHAnsi" w:eastAsiaTheme="minorHAnsi" w:hAnsiTheme="minorHAnsi" w:cstheme="minorBidi"/>
          <w:snapToGrid/>
          <w:sz w:val="24"/>
          <w:szCs w:val="24"/>
        </w:rPr>
        <w:t xml:space="preserve"> reduce the applicability of the trial results</w:t>
      </w:r>
      <w:r w:rsidR="0005789E" w:rsidRPr="00115B6A">
        <w:rPr>
          <w:rFonts w:asciiTheme="minorHAnsi" w:eastAsiaTheme="minorHAnsi" w:hAnsiTheme="minorHAnsi" w:cstheme="minorBidi"/>
          <w:snapToGrid/>
          <w:sz w:val="24"/>
          <w:szCs w:val="24"/>
        </w:rPr>
        <w:t xml:space="preserve">. The PBAC advised that </w:t>
      </w:r>
      <w:r w:rsidR="00C6561E" w:rsidRPr="00115B6A">
        <w:rPr>
          <w:rFonts w:asciiTheme="minorHAnsi" w:eastAsiaTheme="minorHAnsi" w:hAnsiTheme="minorHAnsi" w:cstheme="minorBidi"/>
          <w:snapToGrid/>
          <w:sz w:val="24"/>
          <w:szCs w:val="24"/>
        </w:rPr>
        <w:t>the restriction should specify that d</w:t>
      </w:r>
      <w:r w:rsidR="0005789E" w:rsidRPr="00115B6A">
        <w:rPr>
          <w:rFonts w:asciiTheme="minorHAnsi" w:eastAsiaTheme="minorHAnsi" w:hAnsiTheme="minorHAnsi" w:cstheme="minorBidi"/>
          <w:snapToGrid/>
          <w:sz w:val="24"/>
          <w:szCs w:val="24"/>
        </w:rPr>
        <w:t>iagnosis of giant cell arteritis must include</w:t>
      </w:r>
      <w:r w:rsidR="00C6561E" w:rsidRPr="00115B6A">
        <w:rPr>
          <w:rFonts w:asciiTheme="minorHAnsi" w:eastAsiaTheme="minorHAnsi" w:hAnsiTheme="minorHAnsi" w:cstheme="minorBidi"/>
          <w:snapToGrid/>
          <w:sz w:val="24"/>
          <w:szCs w:val="24"/>
        </w:rPr>
        <w:t xml:space="preserve"> a h</w:t>
      </w:r>
      <w:r w:rsidR="0005789E" w:rsidRPr="00115B6A">
        <w:rPr>
          <w:rFonts w:asciiTheme="minorHAnsi" w:eastAsiaTheme="minorHAnsi" w:hAnsiTheme="minorHAnsi" w:cstheme="minorBidi"/>
          <w:snapToGrid/>
          <w:sz w:val="24"/>
          <w:szCs w:val="24"/>
        </w:rPr>
        <w:t xml:space="preserve">istory of ESR ≥ 50 mm/hour or CRP ≥ 24.5 mg/L </w:t>
      </w:r>
      <w:r w:rsidR="00C6561E" w:rsidRPr="00115B6A">
        <w:rPr>
          <w:rFonts w:asciiTheme="minorHAnsi" w:eastAsiaTheme="minorHAnsi" w:hAnsiTheme="minorHAnsi" w:cstheme="minorBidi"/>
          <w:snapToGrid/>
          <w:sz w:val="24"/>
          <w:szCs w:val="24"/>
        </w:rPr>
        <w:t>(among other factors).</w:t>
      </w:r>
    </w:p>
    <w:p w:rsidR="00F84FB5" w:rsidRPr="00115B6A" w:rsidRDefault="00C6561E" w:rsidP="00212FEE">
      <w:pPr>
        <w:pStyle w:val="ListParagraph"/>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The</w:t>
      </w:r>
      <w:r w:rsidR="00A72799" w:rsidRPr="00115B6A">
        <w:rPr>
          <w:rFonts w:asciiTheme="minorHAnsi" w:eastAsiaTheme="minorHAnsi" w:hAnsiTheme="minorHAnsi" w:cstheme="minorBidi"/>
          <w:snapToGrid/>
          <w:sz w:val="24"/>
          <w:szCs w:val="24"/>
        </w:rPr>
        <w:t xml:space="preserve"> </w:t>
      </w:r>
      <w:proofErr w:type="spellStart"/>
      <w:r w:rsidR="00A72799" w:rsidRPr="00115B6A">
        <w:rPr>
          <w:rFonts w:asciiTheme="minorHAnsi" w:eastAsiaTheme="minorHAnsi" w:hAnsiTheme="minorHAnsi" w:cstheme="minorBidi"/>
          <w:snapToGrid/>
          <w:sz w:val="24"/>
          <w:szCs w:val="24"/>
        </w:rPr>
        <w:t>GiACTA</w:t>
      </w:r>
      <w:proofErr w:type="spellEnd"/>
      <w:r w:rsidR="00A72799" w:rsidRPr="00115B6A">
        <w:rPr>
          <w:rFonts w:asciiTheme="minorHAnsi" w:eastAsiaTheme="minorHAnsi" w:hAnsiTheme="minorHAnsi" w:cstheme="minorBidi"/>
          <w:snapToGrid/>
          <w:sz w:val="24"/>
          <w:szCs w:val="24"/>
        </w:rPr>
        <w:t xml:space="preserve"> trial and the proposed restriction include</w:t>
      </w:r>
      <w:r w:rsidRPr="00115B6A">
        <w:rPr>
          <w:rFonts w:asciiTheme="minorHAnsi" w:eastAsiaTheme="minorHAnsi" w:hAnsiTheme="minorHAnsi" w:cstheme="minorBidi"/>
          <w:snapToGrid/>
          <w:sz w:val="24"/>
          <w:szCs w:val="24"/>
        </w:rPr>
        <w:t>d</w:t>
      </w:r>
      <w:r w:rsidR="00A72799" w:rsidRPr="00115B6A">
        <w:rPr>
          <w:rFonts w:asciiTheme="minorHAnsi" w:eastAsiaTheme="minorHAnsi" w:hAnsiTheme="minorHAnsi" w:cstheme="minorBidi"/>
          <w:snapToGrid/>
          <w:sz w:val="24"/>
          <w:szCs w:val="24"/>
        </w:rPr>
        <w:t xml:space="preserve"> two </w:t>
      </w:r>
      <w:r w:rsidR="00F84FB5" w:rsidRPr="00115B6A">
        <w:rPr>
          <w:rFonts w:asciiTheme="minorHAnsi" w:eastAsiaTheme="minorHAnsi" w:hAnsiTheme="minorHAnsi" w:cstheme="minorBidi"/>
          <w:snapToGrid/>
          <w:sz w:val="24"/>
          <w:szCs w:val="24"/>
        </w:rPr>
        <w:t xml:space="preserve">sets of </w:t>
      </w:r>
      <w:r w:rsidR="00A72799" w:rsidRPr="00115B6A">
        <w:rPr>
          <w:rFonts w:asciiTheme="minorHAnsi" w:eastAsiaTheme="minorHAnsi" w:hAnsiTheme="minorHAnsi" w:cstheme="minorBidi"/>
          <w:snapToGrid/>
          <w:sz w:val="24"/>
          <w:szCs w:val="24"/>
        </w:rPr>
        <w:t>thresholds</w:t>
      </w:r>
      <w:r w:rsidR="00F84FB5" w:rsidRPr="00115B6A">
        <w:rPr>
          <w:rFonts w:asciiTheme="minorHAnsi" w:eastAsiaTheme="minorHAnsi" w:hAnsiTheme="minorHAnsi" w:cstheme="minorBidi"/>
          <w:snapToGrid/>
          <w:sz w:val="24"/>
          <w:szCs w:val="24"/>
        </w:rPr>
        <w:t xml:space="preserve"> for inflammatory markers: </w:t>
      </w:r>
    </w:p>
    <w:p w:rsidR="00F84FB5" w:rsidRPr="00115B6A" w:rsidRDefault="00F84FB5" w:rsidP="00212FEE">
      <w:pPr>
        <w:pStyle w:val="ListParagraph"/>
        <w:numPr>
          <w:ilvl w:val="0"/>
          <w:numId w:val="31"/>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thresholds required at initial diagnosis of GCA, as outlined above; and</w:t>
      </w:r>
    </w:p>
    <w:p w:rsidR="00683955" w:rsidRPr="00115B6A" w:rsidRDefault="00F84FB5" w:rsidP="00212FEE">
      <w:pPr>
        <w:pStyle w:val="ListParagraph"/>
        <w:numPr>
          <w:ilvl w:val="0"/>
          <w:numId w:val="31"/>
        </w:numPr>
        <w:spacing w:before="120" w:after="120"/>
        <w:ind w:left="1077" w:hanging="357"/>
        <w:contextualSpacing w:val="0"/>
        <w:rPr>
          <w:rFonts w:asciiTheme="minorHAnsi" w:eastAsiaTheme="minorHAnsi" w:hAnsiTheme="minorHAnsi" w:cstheme="minorBidi"/>
          <w:snapToGrid/>
          <w:sz w:val="24"/>
          <w:szCs w:val="24"/>
        </w:rPr>
      </w:pPr>
      <w:proofErr w:type="gramStart"/>
      <w:r w:rsidRPr="00115B6A">
        <w:rPr>
          <w:rFonts w:asciiTheme="minorHAnsi" w:eastAsiaTheme="minorHAnsi" w:hAnsiTheme="minorHAnsi" w:cstheme="minorBidi"/>
          <w:snapToGrid/>
          <w:sz w:val="24"/>
          <w:szCs w:val="24"/>
        </w:rPr>
        <w:t>thresholds</w:t>
      </w:r>
      <w:proofErr w:type="gramEnd"/>
      <w:r w:rsidRPr="00115B6A">
        <w:rPr>
          <w:rFonts w:asciiTheme="minorHAnsi" w:eastAsiaTheme="minorHAnsi" w:hAnsiTheme="minorHAnsi" w:cstheme="minorBidi"/>
          <w:snapToGrid/>
          <w:sz w:val="24"/>
          <w:szCs w:val="24"/>
        </w:rPr>
        <w:t xml:space="preserve"> to indicate active disease within the previous six weeks (ESR ≥ 30 mm/hour or CRP</w:t>
      </w:r>
      <w:r w:rsidR="003E2D37" w:rsidRPr="00115B6A">
        <w:rPr>
          <w:rFonts w:asciiTheme="minorHAnsi" w:eastAsiaTheme="minorHAnsi" w:hAnsiTheme="minorHAnsi" w:cstheme="minorBidi"/>
          <w:snapToGrid/>
          <w:sz w:val="24"/>
          <w:szCs w:val="24"/>
        </w:rPr>
        <w:t xml:space="preserve"> ≥</w:t>
      </w:r>
      <w:r w:rsidRPr="00115B6A">
        <w:rPr>
          <w:rFonts w:asciiTheme="minorHAnsi" w:eastAsiaTheme="minorHAnsi" w:hAnsiTheme="minorHAnsi" w:cstheme="minorBidi"/>
          <w:snapToGrid/>
          <w:sz w:val="24"/>
          <w:szCs w:val="24"/>
        </w:rPr>
        <w:t xml:space="preserve"> 10 mg/L). </w:t>
      </w:r>
      <w:r w:rsidR="0050069A" w:rsidRPr="00115B6A">
        <w:rPr>
          <w:rFonts w:asciiTheme="minorHAnsi" w:eastAsiaTheme="minorHAnsi" w:hAnsiTheme="minorHAnsi" w:cstheme="minorBidi"/>
          <w:snapToGrid/>
          <w:sz w:val="24"/>
          <w:szCs w:val="24"/>
        </w:rPr>
        <w:t>The PBAC noted that, i</w:t>
      </w:r>
      <w:r w:rsidRPr="00115B6A">
        <w:rPr>
          <w:rFonts w:asciiTheme="minorHAnsi" w:eastAsiaTheme="minorHAnsi" w:hAnsiTheme="minorHAnsi" w:cstheme="minorBidi"/>
          <w:snapToGrid/>
          <w:sz w:val="24"/>
          <w:szCs w:val="24"/>
        </w:rPr>
        <w:t xml:space="preserve">n the </w:t>
      </w:r>
      <w:proofErr w:type="spellStart"/>
      <w:r w:rsidRPr="00115B6A">
        <w:rPr>
          <w:rFonts w:asciiTheme="minorHAnsi" w:eastAsiaTheme="minorHAnsi" w:hAnsiTheme="minorHAnsi" w:cstheme="minorBidi"/>
          <w:snapToGrid/>
          <w:sz w:val="24"/>
          <w:szCs w:val="24"/>
        </w:rPr>
        <w:t>GiACTA</w:t>
      </w:r>
      <w:proofErr w:type="spellEnd"/>
      <w:r w:rsidRPr="00115B6A">
        <w:rPr>
          <w:rFonts w:asciiTheme="minorHAnsi" w:eastAsiaTheme="minorHAnsi" w:hAnsiTheme="minorHAnsi" w:cstheme="minorBidi"/>
          <w:snapToGrid/>
          <w:sz w:val="24"/>
          <w:szCs w:val="24"/>
        </w:rPr>
        <w:t xml:space="preserve"> trial</w:t>
      </w:r>
      <w:r w:rsidR="0050069A" w:rsidRPr="00115B6A">
        <w:rPr>
          <w:rFonts w:asciiTheme="minorHAnsi" w:eastAsiaTheme="minorHAnsi" w:hAnsiTheme="minorHAnsi" w:cstheme="minorBidi"/>
          <w:snapToGrid/>
          <w:sz w:val="24"/>
          <w:szCs w:val="24"/>
        </w:rPr>
        <w:t>,</w:t>
      </w:r>
      <w:r w:rsidRPr="00115B6A">
        <w:rPr>
          <w:rFonts w:asciiTheme="minorHAnsi" w:eastAsiaTheme="minorHAnsi" w:hAnsiTheme="minorHAnsi" w:cstheme="minorBidi"/>
          <w:snapToGrid/>
          <w:sz w:val="24"/>
          <w:szCs w:val="24"/>
        </w:rPr>
        <w:t xml:space="preserve"> the th</w:t>
      </w:r>
      <w:r w:rsidR="0050069A" w:rsidRPr="00115B6A">
        <w:rPr>
          <w:rFonts w:asciiTheme="minorHAnsi" w:eastAsiaTheme="minorHAnsi" w:hAnsiTheme="minorHAnsi" w:cstheme="minorBidi"/>
          <w:snapToGrid/>
          <w:sz w:val="24"/>
          <w:szCs w:val="24"/>
        </w:rPr>
        <w:t>resholds to indicate active disea</w:t>
      </w:r>
      <w:r w:rsidRPr="00115B6A">
        <w:rPr>
          <w:rFonts w:asciiTheme="minorHAnsi" w:eastAsiaTheme="minorHAnsi" w:hAnsiTheme="minorHAnsi" w:cstheme="minorBidi"/>
          <w:snapToGrid/>
          <w:sz w:val="24"/>
          <w:szCs w:val="24"/>
        </w:rPr>
        <w:t>se were lower than the inflammatory marker levels required at initial diagnosis</w:t>
      </w:r>
      <w:r w:rsidR="0050069A" w:rsidRPr="00115B6A">
        <w:rPr>
          <w:rFonts w:asciiTheme="minorHAnsi" w:eastAsiaTheme="minorHAnsi" w:hAnsiTheme="minorHAnsi" w:cstheme="minorBidi"/>
          <w:snapToGrid/>
          <w:sz w:val="24"/>
          <w:szCs w:val="24"/>
        </w:rPr>
        <w:t>, and the PBAC considered that it was appropriate for the restriction to include different thresholds for initial diagnosis versus active disease.</w:t>
      </w:r>
      <w:r w:rsidR="00BB36CB" w:rsidRPr="00115B6A">
        <w:rPr>
          <w:rFonts w:asciiTheme="minorHAnsi" w:eastAsiaTheme="minorHAnsi" w:hAnsiTheme="minorHAnsi" w:cstheme="minorBidi"/>
          <w:snapToGrid/>
          <w:sz w:val="24"/>
          <w:szCs w:val="24"/>
        </w:rPr>
        <w:t xml:space="preserve"> </w:t>
      </w:r>
    </w:p>
    <w:p w:rsidR="00712C57" w:rsidRPr="00115B6A" w:rsidRDefault="00B11948" w:rsidP="00212FEE">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lastRenderedPageBreak/>
        <w:t>Consistent with the PBAC’s previous advice, the p</w:t>
      </w:r>
      <w:r w:rsidR="006165F7" w:rsidRPr="00115B6A">
        <w:rPr>
          <w:rFonts w:asciiTheme="minorHAnsi" w:eastAsiaTheme="minorHAnsi" w:hAnsiTheme="minorHAnsi" w:cstheme="minorBidi"/>
          <w:snapToGrid/>
          <w:sz w:val="24"/>
          <w:szCs w:val="24"/>
        </w:rPr>
        <w:t>roposed restriction was updated:</w:t>
      </w:r>
    </w:p>
    <w:p w:rsidR="006165F7" w:rsidRPr="00115B6A" w:rsidRDefault="00777681" w:rsidP="00212FEE">
      <w:pPr>
        <w:pStyle w:val="ListParagraph"/>
        <w:widowControl/>
        <w:numPr>
          <w:ilvl w:val="2"/>
          <w:numId w:val="14"/>
        </w:numPr>
        <w:spacing w:before="120" w:after="120"/>
        <w:ind w:left="1276" w:hanging="284"/>
        <w:contextualSpacing w:val="0"/>
        <w:rPr>
          <w:rFonts w:asciiTheme="minorHAnsi" w:eastAsiaTheme="minorHAnsi" w:hAnsiTheme="minorHAnsi" w:cstheme="minorBidi"/>
          <w:snapToGrid/>
          <w:sz w:val="24"/>
          <w:szCs w:val="24"/>
        </w:rPr>
      </w:pPr>
      <w:proofErr w:type="gramStart"/>
      <w:r w:rsidRPr="00115B6A">
        <w:rPr>
          <w:rFonts w:asciiTheme="minorHAnsi" w:eastAsiaTheme="minorHAnsi" w:hAnsiTheme="minorHAnsi" w:cstheme="minorBidi"/>
          <w:snapToGrid/>
          <w:sz w:val="24"/>
          <w:szCs w:val="24"/>
        </w:rPr>
        <w:t>t</w:t>
      </w:r>
      <w:r w:rsidR="006165F7" w:rsidRPr="00115B6A">
        <w:rPr>
          <w:rFonts w:asciiTheme="minorHAnsi" w:eastAsiaTheme="minorHAnsi" w:hAnsiTheme="minorHAnsi" w:cstheme="minorBidi"/>
          <w:snapToGrid/>
          <w:sz w:val="24"/>
          <w:szCs w:val="24"/>
        </w:rPr>
        <w:t>o</w:t>
      </w:r>
      <w:proofErr w:type="gramEnd"/>
      <w:r w:rsidR="006165F7" w:rsidRPr="00115B6A">
        <w:rPr>
          <w:rFonts w:asciiTheme="minorHAnsi" w:eastAsiaTheme="minorHAnsi" w:hAnsiTheme="minorHAnsi" w:cstheme="minorBidi"/>
          <w:snapToGrid/>
          <w:sz w:val="24"/>
          <w:szCs w:val="24"/>
        </w:rPr>
        <w:t xml:space="preserve"> be Authority Required (In Writing) </w:t>
      </w:r>
      <w:r w:rsidRPr="00115B6A">
        <w:rPr>
          <w:rFonts w:asciiTheme="minorHAnsi" w:eastAsiaTheme="minorHAnsi" w:hAnsiTheme="minorHAnsi" w:cstheme="minorBidi"/>
          <w:snapToGrid/>
          <w:sz w:val="24"/>
          <w:szCs w:val="24"/>
        </w:rPr>
        <w:t xml:space="preserve">for Initial treatment and </w:t>
      </w:r>
      <w:r w:rsidR="006165F7" w:rsidRPr="00115B6A">
        <w:rPr>
          <w:rFonts w:asciiTheme="minorHAnsi" w:eastAsiaTheme="minorHAnsi" w:hAnsiTheme="minorHAnsi" w:cstheme="minorBidi"/>
          <w:snapToGrid/>
          <w:sz w:val="24"/>
          <w:szCs w:val="24"/>
        </w:rPr>
        <w:t xml:space="preserve">Authority Required (Telephone) for Continuing treatment. This was consistent with the PBAC’s previous advice that these restriction levels would be required to help mitigate the risk of use beyond 12 months (Paragraph 2.7, </w:t>
      </w:r>
      <w:proofErr w:type="spellStart"/>
      <w:r w:rsidR="006165F7" w:rsidRPr="00115B6A">
        <w:rPr>
          <w:rFonts w:asciiTheme="minorHAnsi" w:eastAsiaTheme="minorHAnsi" w:hAnsiTheme="minorHAnsi" w:cstheme="minorBidi"/>
          <w:snapToGrid/>
          <w:sz w:val="24"/>
          <w:szCs w:val="24"/>
        </w:rPr>
        <w:t>Tocilizumab</w:t>
      </w:r>
      <w:proofErr w:type="spellEnd"/>
      <w:r w:rsidR="006165F7" w:rsidRPr="00115B6A">
        <w:rPr>
          <w:rFonts w:asciiTheme="minorHAnsi" w:eastAsiaTheme="minorHAnsi" w:hAnsiTheme="minorHAnsi" w:cstheme="minorBidi"/>
          <w:snapToGrid/>
          <w:sz w:val="24"/>
          <w:szCs w:val="24"/>
        </w:rPr>
        <w:t xml:space="preserve"> November 2018 </w:t>
      </w:r>
      <w:r w:rsidR="002D4AE8">
        <w:rPr>
          <w:rFonts w:asciiTheme="minorHAnsi" w:eastAsiaTheme="minorHAnsi" w:hAnsiTheme="minorHAnsi" w:cstheme="minorBidi"/>
          <w:snapToGrid/>
          <w:sz w:val="24"/>
          <w:szCs w:val="24"/>
        </w:rPr>
        <w:t>PSD</w:t>
      </w:r>
      <w:r w:rsidR="006165F7" w:rsidRPr="00115B6A">
        <w:rPr>
          <w:rFonts w:asciiTheme="minorHAnsi" w:eastAsiaTheme="minorHAnsi" w:hAnsiTheme="minorHAnsi" w:cstheme="minorBidi"/>
          <w:snapToGrid/>
          <w:sz w:val="24"/>
          <w:szCs w:val="24"/>
        </w:rPr>
        <w:t>).</w:t>
      </w:r>
    </w:p>
    <w:p w:rsidR="005A5FD8" w:rsidRPr="00115B6A" w:rsidRDefault="006165F7" w:rsidP="00212FEE">
      <w:pPr>
        <w:pStyle w:val="ListParagraph"/>
        <w:widowControl/>
        <w:numPr>
          <w:ilvl w:val="2"/>
          <w:numId w:val="14"/>
        </w:numPr>
        <w:spacing w:before="120" w:after="120"/>
        <w:ind w:left="1276" w:hanging="284"/>
        <w:contextualSpacing w:val="0"/>
        <w:rPr>
          <w:rFonts w:asciiTheme="minorHAnsi" w:eastAsiaTheme="minorHAnsi" w:hAnsiTheme="minorHAnsi" w:cstheme="minorBidi"/>
          <w:snapToGrid/>
          <w:sz w:val="24"/>
          <w:szCs w:val="24"/>
        </w:rPr>
      </w:pPr>
      <w:proofErr w:type="gramStart"/>
      <w:r w:rsidRPr="00115B6A">
        <w:rPr>
          <w:rFonts w:asciiTheme="minorHAnsi" w:eastAsiaTheme="minorHAnsi" w:hAnsiTheme="minorHAnsi" w:cstheme="minorBidi"/>
          <w:snapToGrid/>
          <w:sz w:val="24"/>
          <w:szCs w:val="24"/>
        </w:rPr>
        <w:t>to</w:t>
      </w:r>
      <w:proofErr w:type="gramEnd"/>
      <w:r w:rsidRPr="00115B6A">
        <w:rPr>
          <w:rFonts w:asciiTheme="minorHAnsi" w:eastAsiaTheme="minorHAnsi" w:hAnsiTheme="minorHAnsi" w:cstheme="minorBidi"/>
          <w:snapToGrid/>
          <w:sz w:val="24"/>
          <w:szCs w:val="24"/>
        </w:rPr>
        <w:t xml:space="preserve"> specify that </w:t>
      </w:r>
      <w:r w:rsidR="005A5FD8" w:rsidRPr="00115B6A">
        <w:rPr>
          <w:rFonts w:asciiTheme="minorHAnsi" w:eastAsiaTheme="minorHAnsi" w:hAnsiTheme="minorHAnsi" w:cstheme="minorBidi"/>
          <w:snapToGrid/>
          <w:sz w:val="24"/>
          <w:szCs w:val="24"/>
        </w:rPr>
        <w:t xml:space="preserve">a maximum of 12 months of </w:t>
      </w:r>
      <w:proofErr w:type="spellStart"/>
      <w:r w:rsidR="005A5FD8" w:rsidRPr="00115B6A">
        <w:rPr>
          <w:rFonts w:asciiTheme="minorHAnsi" w:eastAsiaTheme="minorHAnsi" w:hAnsiTheme="minorHAnsi" w:cstheme="minorBidi"/>
          <w:snapToGrid/>
          <w:sz w:val="24"/>
          <w:szCs w:val="24"/>
        </w:rPr>
        <w:t>tocilizumab</w:t>
      </w:r>
      <w:proofErr w:type="spellEnd"/>
      <w:r w:rsidR="005A5FD8" w:rsidRPr="00115B6A">
        <w:rPr>
          <w:rFonts w:asciiTheme="minorHAnsi" w:eastAsiaTheme="minorHAnsi" w:hAnsiTheme="minorHAnsi" w:cstheme="minorBidi"/>
          <w:snapToGrid/>
          <w:sz w:val="24"/>
          <w:szCs w:val="24"/>
        </w:rPr>
        <w:t xml:space="preserve"> will be PBS-subsidised (rather than 52 injections, which would have allowed 24 months of therapy if used fortnightly) (Paragraph 7.5, </w:t>
      </w:r>
      <w:proofErr w:type="spellStart"/>
      <w:r w:rsidR="005A5FD8" w:rsidRPr="00115B6A">
        <w:rPr>
          <w:rFonts w:asciiTheme="minorHAnsi" w:eastAsiaTheme="minorHAnsi" w:hAnsiTheme="minorHAnsi" w:cstheme="minorBidi"/>
          <w:snapToGrid/>
          <w:sz w:val="24"/>
          <w:szCs w:val="24"/>
        </w:rPr>
        <w:t>Tocilizumab</w:t>
      </w:r>
      <w:proofErr w:type="spellEnd"/>
      <w:r w:rsidR="005A5FD8" w:rsidRPr="00115B6A">
        <w:rPr>
          <w:rFonts w:asciiTheme="minorHAnsi" w:eastAsiaTheme="minorHAnsi" w:hAnsiTheme="minorHAnsi" w:cstheme="minorBidi"/>
          <w:snapToGrid/>
          <w:sz w:val="24"/>
          <w:szCs w:val="24"/>
        </w:rPr>
        <w:t xml:space="preserve"> November 2018 PBAC </w:t>
      </w:r>
      <w:r w:rsidR="002D4AE8">
        <w:rPr>
          <w:rFonts w:asciiTheme="minorHAnsi" w:eastAsiaTheme="minorHAnsi" w:hAnsiTheme="minorHAnsi" w:cstheme="minorBidi"/>
          <w:snapToGrid/>
          <w:sz w:val="24"/>
          <w:szCs w:val="24"/>
        </w:rPr>
        <w:t>PSD</w:t>
      </w:r>
      <w:r w:rsidR="005A5FD8" w:rsidRPr="00115B6A">
        <w:rPr>
          <w:rFonts w:asciiTheme="minorHAnsi" w:eastAsiaTheme="minorHAnsi" w:hAnsiTheme="minorHAnsi" w:cstheme="minorBidi"/>
          <w:snapToGrid/>
          <w:sz w:val="24"/>
          <w:szCs w:val="24"/>
        </w:rPr>
        <w:t>).</w:t>
      </w:r>
    </w:p>
    <w:p w:rsidR="00B11948" w:rsidRPr="00115B6A" w:rsidRDefault="006165F7" w:rsidP="00212FEE">
      <w:pPr>
        <w:pStyle w:val="ListParagraph"/>
        <w:widowControl/>
        <w:numPr>
          <w:ilvl w:val="2"/>
          <w:numId w:val="14"/>
        </w:numPr>
        <w:spacing w:before="120" w:after="120"/>
        <w:ind w:left="1276" w:hanging="283"/>
        <w:contextualSpacing w:val="0"/>
        <w:rPr>
          <w:rFonts w:asciiTheme="minorHAnsi" w:eastAsiaTheme="minorHAnsi" w:hAnsiTheme="minorHAnsi" w:cstheme="minorBidi"/>
          <w:snapToGrid/>
          <w:sz w:val="24"/>
          <w:szCs w:val="24"/>
        </w:rPr>
      </w:pPr>
      <w:proofErr w:type="gramStart"/>
      <w:r w:rsidRPr="00115B6A">
        <w:rPr>
          <w:rFonts w:asciiTheme="minorHAnsi" w:eastAsiaTheme="minorHAnsi" w:hAnsiTheme="minorHAnsi" w:cstheme="minorBidi"/>
          <w:snapToGrid/>
          <w:sz w:val="24"/>
          <w:szCs w:val="24"/>
        </w:rPr>
        <w:t>to</w:t>
      </w:r>
      <w:proofErr w:type="gramEnd"/>
      <w:r w:rsidRPr="00115B6A">
        <w:rPr>
          <w:rFonts w:asciiTheme="minorHAnsi" w:eastAsiaTheme="minorHAnsi" w:hAnsiTheme="minorHAnsi" w:cstheme="minorBidi"/>
          <w:snapToGrid/>
          <w:sz w:val="24"/>
          <w:szCs w:val="24"/>
        </w:rPr>
        <w:t xml:space="preserve"> specify that </w:t>
      </w:r>
      <w:r w:rsidR="00B11948" w:rsidRPr="00115B6A">
        <w:rPr>
          <w:rFonts w:asciiTheme="minorHAnsi" w:eastAsiaTheme="minorHAnsi" w:hAnsiTheme="minorHAnsi" w:cstheme="minorBidi"/>
          <w:snapToGrid/>
          <w:sz w:val="24"/>
          <w:szCs w:val="24"/>
        </w:rPr>
        <w:t xml:space="preserve">the patient must be treated by a rheumatologist, clinical immunologist or neurologist experienced in the management of GCA (Paragraph 2.9, </w:t>
      </w:r>
      <w:proofErr w:type="spellStart"/>
      <w:r w:rsidR="00B11948" w:rsidRPr="00115B6A">
        <w:rPr>
          <w:rFonts w:asciiTheme="minorHAnsi" w:eastAsiaTheme="minorHAnsi" w:hAnsiTheme="minorHAnsi" w:cstheme="minorBidi"/>
          <w:snapToGrid/>
          <w:sz w:val="24"/>
          <w:szCs w:val="24"/>
        </w:rPr>
        <w:t>Tocilizumab</w:t>
      </w:r>
      <w:proofErr w:type="spellEnd"/>
      <w:r w:rsidR="00B11948" w:rsidRPr="00115B6A">
        <w:rPr>
          <w:rFonts w:asciiTheme="minorHAnsi" w:eastAsiaTheme="minorHAnsi" w:hAnsiTheme="minorHAnsi" w:cstheme="minorBidi"/>
          <w:snapToGrid/>
          <w:sz w:val="24"/>
          <w:szCs w:val="24"/>
        </w:rPr>
        <w:t xml:space="preserve"> November 2018 PBAC </w:t>
      </w:r>
      <w:r w:rsidR="002D4AE8">
        <w:rPr>
          <w:rFonts w:asciiTheme="minorHAnsi" w:eastAsiaTheme="minorHAnsi" w:hAnsiTheme="minorHAnsi" w:cstheme="minorBidi"/>
          <w:snapToGrid/>
          <w:sz w:val="24"/>
          <w:szCs w:val="24"/>
        </w:rPr>
        <w:t>PSD</w:t>
      </w:r>
      <w:r w:rsidR="00B11948" w:rsidRPr="00115B6A">
        <w:rPr>
          <w:rFonts w:asciiTheme="minorHAnsi" w:eastAsiaTheme="minorHAnsi" w:hAnsiTheme="minorHAnsi" w:cstheme="minorBidi"/>
          <w:snapToGrid/>
          <w:sz w:val="24"/>
          <w:szCs w:val="24"/>
        </w:rPr>
        <w:t>).</w:t>
      </w:r>
    </w:p>
    <w:p w:rsidR="003C168C" w:rsidRPr="00C65565" w:rsidRDefault="003C168C" w:rsidP="00C65565">
      <w:pPr>
        <w:pStyle w:val="ListParagraph"/>
        <w:widowControl/>
        <w:spacing w:before="120" w:after="120"/>
        <w:ind w:left="0"/>
        <w:contextualSpacing w:val="0"/>
        <w:rPr>
          <w:rFonts w:asciiTheme="minorHAnsi" w:eastAsiaTheme="minorHAnsi" w:hAnsiTheme="minorHAnsi" w:cstheme="minorBidi"/>
          <w:i/>
          <w:snapToGrid/>
          <w:sz w:val="24"/>
          <w:szCs w:val="24"/>
        </w:rPr>
      </w:pPr>
      <w:r w:rsidRPr="00C65565">
        <w:rPr>
          <w:rFonts w:asciiTheme="minorHAnsi" w:eastAsiaTheme="minorHAnsi" w:hAnsiTheme="minorHAnsi" w:cstheme="minorBidi"/>
          <w:i/>
          <w:snapToGrid/>
          <w:sz w:val="24"/>
          <w:szCs w:val="24"/>
        </w:rPr>
        <w:t>For more detail on PBAC’s view, see section 7 PBAC outcome.</w:t>
      </w:r>
    </w:p>
    <w:p w:rsidR="00C603D4" w:rsidRPr="00115B6A" w:rsidRDefault="00CE10C4" w:rsidP="0012103D">
      <w:pPr>
        <w:pStyle w:val="PBACHeading1"/>
        <w:spacing w:before="120" w:after="120"/>
        <w:ind w:left="709" w:hanging="709"/>
        <w:rPr>
          <w:rFonts w:asciiTheme="minorHAnsi" w:hAnsiTheme="minorHAnsi"/>
          <w:sz w:val="32"/>
          <w:szCs w:val="32"/>
        </w:rPr>
      </w:pPr>
      <w:r w:rsidRPr="00115B6A">
        <w:rPr>
          <w:rFonts w:asciiTheme="minorHAnsi" w:hAnsiTheme="minorHAnsi"/>
          <w:sz w:val="32"/>
          <w:szCs w:val="32"/>
        </w:rPr>
        <w:t>Background</w:t>
      </w:r>
    </w:p>
    <w:p w:rsidR="00D051FD" w:rsidRPr="00115B6A" w:rsidRDefault="00210B8C" w:rsidP="0012103D">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 xml:space="preserve">The subcutaneous formulation of </w:t>
      </w:r>
      <w:proofErr w:type="spellStart"/>
      <w:r w:rsidRPr="00115B6A">
        <w:rPr>
          <w:rFonts w:asciiTheme="minorHAnsi" w:eastAsiaTheme="minorHAnsi" w:hAnsiTheme="minorHAnsi" w:cstheme="minorBidi"/>
          <w:snapToGrid/>
          <w:sz w:val="24"/>
          <w:szCs w:val="24"/>
        </w:rPr>
        <w:t>tocilizumab</w:t>
      </w:r>
      <w:proofErr w:type="spellEnd"/>
      <w:r w:rsidRPr="00115B6A">
        <w:rPr>
          <w:rFonts w:asciiTheme="minorHAnsi" w:eastAsiaTheme="minorHAnsi" w:hAnsiTheme="minorHAnsi" w:cstheme="minorBidi"/>
          <w:snapToGrid/>
          <w:sz w:val="24"/>
          <w:szCs w:val="24"/>
        </w:rPr>
        <w:t xml:space="preserve"> </w:t>
      </w:r>
      <w:proofErr w:type="gramStart"/>
      <w:r w:rsidRPr="00115B6A">
        <w:rPr>
          <w:rFonts w:asciiTheme="minorHAnsi" w:eastAsiaTheme="minorHAnsi" w:hAnsiTheme="minorHAnsi" w:cstheme="minorBidi"/>
          <w:snapToGrid/>
          <w:sz w:val="24"/>
          <w:szCs w:val="24"/>
        </w:rPr>
        <w:t>w</w:t>
      </w:r>
      <w:r w:rsidR="0053037E" w:rsidRPr="00115B6A">
        <w:rPr>
          <w:rFonts w:asciiTheme="minorHAnsi" w:eastAsiaTheme="minorHAnsi" w:hAnsiTheme="minorHAnsi" w:cstheme="minorBidi"/>
          <w:snapToGrid/>
          <w:sz w:val="24"/>
          <w:szCs w:val="24"/>
        </w:rPr>
        <w:t>as registered</w:t>
      </w:r>
      <w:proofErr w:type="gramEnd"/>
      <w:r w:rsidR="0053037E" w:rsidRPr="00115B6A">
        <w:rPr>
          <w:rFonts w:asciiTheme="minorHAnsi" w:eastAsiaTheme="minorHAnsi" w:hAnsiTheme="minorHAnsi" w:cstheme="minorBidi"/>
          <w:snapToGrid/>
          <w:sz w:val="24"/>
          <w:szCs w:val="24"/>
        </w:rPr>
        <w:t xml:space="preserve"> on the ARTG on 14 </w:t>
      </w:r>
      <w:r w:rsidRPr="00115B6A">
        <w:rPr>
          <w:rFonts w:asciiTheme="minorHAnsi" w:eastAsiaTheme="minorHAnsi" w:hAnsiTheme="minorHAnsi" w:cstheme="minorBidi"/>
          <w:snapToGrid/>
          <w:sz w:val="24"/>
          <w:szCs w:val="24"/>
        </w:rPr>
        <w:t>November</w:t>
      </w:r>
      <w:r w:rsidR="00044F4C" w:rsidRPr="00115B6A">
        <w:rPr>
          <w:rFonts w:asciiTheme="minorHAnsi" w:eastAsiaTheme="minorHAnsi" w:hAnsiTheme="minorHAnsi" w:cstheme="minorBidi"/>
          <w:snapToGrid/>
          <w:sz w:val="24"/>
          <w:szCs w:val="24"/>
        </w:rPr>
        <w:t> </w:t>
      </w:r>
      <w:r w:rsidRPr="00115B6A">
        <w:rPr>
          <w:rFonts w:asciiTheme="minorHAnsi" w:eastAsiaTheme="minorHAnsi" w:hAnsiTheme="minorHAnsi" w:cstheme="minorBidi"/>
          <w:snapToGrid/>
          <w:sz w:val="24"/>
          <w:szCs w:val="24"/>
        </w:rPr>
        <w:t xml:space="preserve">2017 for the treatment of </w:t>
      </w:r>
      <w:r w:rsidR="00522A07" w:rsidRPr="00115B6A">
        <w:rPr>
          <w:rFonts w:asciiTheme="minorHAnsi" w:eastAsiaTheme="minorHAnsi" w:hAnsiTheme="minorHAnsi" w:cstheme="minorBidi"/>
          <w:snapToGrid/>
          <w:sz w:val="24"/>
          <w:szCs w:val="24"/>
        </w:rPr>
        <w:t>GCA</w:t>
      </w:r>
      <w:r w:rsidRPr="00115B6A">
        <w:rPr>
          <w:rFonts w:asciiTheme="minorHAnsi" w:eastAsiaTheme="minorHAnsi" w:hAnsiTheme="minorHAnsi" w:cstheme="minorBidi"/>
          <w:snapToGrid/>
          <w:sz w:val="24"/>
          <w:szCs w:val="24"/>
        </w:rPr>
        <w:t xml:space="preserve"> in adult patients.</w:t>
      </w:r>
      <w:r w:rsidR="00BA24CF" w:rsidRPr="00115B6A">
        <w:rPr>
          <w:rFonts w:asciiTheme="minorHAnsi" w:eastAsiaTheme="minorHAnsi" w:hAnsiTheme="minorHAnsi" w:cstheme="minorBidi"/>
          <w:snapToGrid/>
          <w:sz w:val="24"/>
          <w:szCs w:val="24"/>
        </w:rPr>
        <w:t xml:space="preserve"> </w:t>
      </w:r>
      <w:proofErr w:type="spellStart"/>
      <w:r w:rsidRPr="00115B6A">
        <w:rPr>
          <w:rFonts w:asciiTheme="minorHAnsi" w:eastAsiaTheme="minorHAnsi" w:hAnsiTheme="minorHAnsi" w:cstheme="minorBidi"/>
          <w:snapToGrid/>
          <w:sz w:val="24"/>
          <w:szCs w:val="24"/>
        </w:rPr>
        <w:t>Tocilizumab</w:t>
      </w:r>
      <w:proofErr w:type="spellEnd"/>
      <w:r w:rsidRPr="00115B6A">
        <w:rPr>
          <w:rFonts w:asciiTheme="minorHAnsi" w:eastAsiaTheme="minorHAnsi" w:hAnsiTheme="minorHAnsi" w:cstheme="minorBidi"/>
          <w:snapToGrid/>
          <w:sz w:val="24"/>
          <w:szCs w:val="24"/>
        </w:rPr>
        <w:t xml:space="preserve"> is also TGA registered for use in rheumatoid arthritis (intravenous and subcutaneous formulations), </w:t>
      </w:r>
      <w:proofErr w:type="spellStart"/>
      <w:r w:rsidRPr="00115B6A">
        <w:rPr>
          <w:rFonts w:asciiTheme="minorHAnsi" w:eastAsiaTheme="minorHAnsi" w:hAnsiTheme="minorHAnsi" w:cstheme="minorBidi"/>
          <w:snapToGrid/>
          <w:sz w:val="24"/>
          <w:szCs w:val="24"/>
        </w:rPr>
        <w:t>polyarticular</w:t>
      </w:r>
      <w:proofErr w:type="spellEnd"/>
      <w:r w:rsidRPr="00115B6A">
        <w:rPr>
          <w:rFonts w:asciiTheme="minorHAnsi" w:eastAsiaTheme="minorHAnsi" w:hAnsiTheme="minorHAnsi" w:cstheme="minorBidi"/>
          <w:snapToGrid/>
          <w:sz w:val="24"/>
          <w:szCs w:val="24"/>
        </w:rPr>
        <w:t xml:space="preserve"> juvenile idiopathic arthritis (intravenous formulation), and systemic juvenile idiopathic arthritis (intravenous formulation).</w:t>
      </w:r>
    </w:p>
    <w:p w:rsidR="00204DC5" w:rsidRPr="00115B6A" w:rsidRDefault="00204DC5" w:rsidP="0012103D">
      <w:pPr>
        <w:pStyle w:val="ListParagraph"/>
        <w:widowControl/>
        <w:numPr>
          <w:ilvl w:val="1"/>
          <w:numId w:val="14"/>
        </w:numPr>
        <w:spacing w:before="120" w:after="120"/>
        <w:contextualSpacing w:val="0"/>
        <w:rPr>
          <w:rFonts w:asciiTheme="minorHAnsi" w:eastAsiaTheme="minorHAnsi" w:hAnsiTheme="minorHAnsi" w:cstheme="minorBidi"/>
          <w:sz w:val="24"/>
          <w:szCs w:val="24"/>
        </w:rPr>
      </w:pPr>
      <w:r w:rsidRPr="00115B6A">
        <w:rPr>
          <w:rFonts w:asciiTheme="minorHAnsi" w:eastAsiaTheme="minorHAnsi" w:hAnsiTheme="minorHAnsi" w:cstheme="minorBidi"/>
          <w:sz w:val="24"/>
          <w:szCs w:val="24"/>
        </w:rPr>
        <w:t>Table 1 presents a summary of the matters of concern from the November 2018 PBAC meeting.</w:t>
      </w:r>
    </w:p>
    <w:p w:rsidR="00FF2E9E" w:rsidRPr="00115B6A" w:rsidRDefault="00FF2E9E" w:rsidP="00EC4D49">
      <w:pPr>
        <w:pStyle w:val="Caption"/>
        <w:keepLines/>
        <w:rPr>
          <w:rFonts w:ascii="Arial Narrow" w:hAnsi="Arial Narrow"/>
          <w:sz w:val="20"/>
          <w:szCs w:val="20"/>
        </w:rPr>
      </w:pPr>
      <w:bookmarkStart w:id="2" w:name="_Ref532547860"/>
      <w:r w:rsidRPr="00115B6A">
        <w:rPr>
          <w:rFonts w:ascii="Arial Narrow" w:hAnsi="Arial Narrow"/>
          <w:sz w:val="20"/>
          <w:szCs w:val="20"/>
        </w:rPr>
        <w:t xml:space="preserve">Table </w:t>
      </w:r>
      <w:r w:rsidRPr="00EA5994">
        <w:rPr>
          <w:rFonts w:ascii="Arial Narrow" w:hAnsi="Arial Narrow"/>
          <w:sz w:val="20"/>
          <w:szCs w:val="20"/>
        </w:rPr>
        <w:t>1</w:t>
      </w:r>
      <w:bookmarkEnd w:id="2"/>
      <w:r w:rsidR="0053037E" w:rsidRPr="00EA5994">
        <w:rPr>
          <w:rFonts w:ascii="Arial Narrow" w:hAnsi="Arial Narrow"/>
          <w:sz w:val="20"/>
          <w:szCs w:val="20"/>
        </w:rPr>
        <w:t>:</w:t>
      </w:r>
      <w:r w:rsidRPr="00115B6A">
        <w:rPr>
          <w:rFonts w:ascii="Arial Narrow" w:hAnsi="Arial Narrow"/>
          <w:sz w:val="20"/>
          <w:szCs w:val="20"/>
        </w:rPr>
        <w:t xml:space="preserve"> </w:t>
      </w:r>
      <w:r w:rsidR="00BA24CF" w:rsidRPr="00115B6A">
        <w:rPr>
          <w:rFonts w:ascii="Arial Narrow" w:hAnsi="Arial Narrow"/>
          <w:sz w:val="20"/>
          <w:szCs w:val="20"/>
        </w:rPr>
        <w:t xml:space="preserve">Summary of matters of concern </w:t>
      </w:r>
      <w:r w:rsidR="009B2DAE" w:rsidRPr="00115B6A">
        <w:rPr>
          <w:rFonts w:ascii="Arial Narrow" w:hAnsi="Arial Narrow"/>
          <w:sz w:val="20"/>
          <w:szCs w:val="20"/>
        </w:rPr>
        <w:t xml:space="preserve">from the November 2018 </w:t>
      </w:r>
      <w:r w:rsidR="0050069A" w:rsidRPr="00115B6A">
        <w:rPr>
          <w:rFonts w:ascii="Arial Narrow" w:hAnsi="Arial Narrow"/>
          <w:sz w:val="20"/>
          <w:szCs w:val="20"/>
        </w:rPr>
        <w:t xml:space="preserve">PBAC </w:t>
      </w:r>
      <w:r w:rsidR="009B2DAE" w:rsidRPr="00115B6A">
        <w:rPr>
          <w:rFonts w:ascii="Arial Narrow" w:hAnsi="Arial Narrow"/>
          <w:sz w:val="20"/>
          <w:szCs w:val="20"/>
        </w:rPr>
        <w:t>meeting</w:t>
      </w:r>
    </w:p>
    <w:tbl>
      <w:tblPr>
        <w:tblStyle w:val="TableGrid"/>
        <w:tblW w:w="4832" w:type="pct"/>
        <w:tblInd w:w="108" w:type="dxa"/>
        <w:tblLook w:val="04A0" w:firstRow="1" w:lastRow="0" w:firstColumn="1" w:lastColumn="0" w:noHBand="0" w:noVBand="1"/>
        <w:tblCaption w:val="Summary of matters of concern from the November 2018 PBAC meeting"/>
      </w:tblPr>
      <w:tblGrid>
        <w:gridCol w:w="1246"/>
        <w:gridCol w:w="3870"/>
        <w:gridCol w:w="3597"/>
      </w:tblGrid>
      <w:tr w:rsidR="00EC4D49" w:rsidRPr="00115B6A" w:rsidTr="00AF78A8">
        <w:trPr>
          <w:tblHeader/>
        </w:trPr>
        <w:tc>
          <w:tcPr>
            <w:tcW w:w="715" w:type="pct"/>
            <w:vAlign w:val="center"/>
          </w:tcPr>
          <w:p w:rsidR="00EC4D49" w:rsidRPr="00115B6A" w:rsidRDefault="00EC4D49" w:rsidP="00EC4D49">
            <w:pPr>
              <w:pStyle w:val="TableHeadingRow"/>
              <w:keepLines/>
              <w:spacing w:after="0"/>
              <w:rPr>
                <w:rFonts w:ascii="Arial Narrow" w:hAnsi="Arial Narrow"/>
              </w:rPr>
            </w:pPr>
            <w:r w:rsidRPr="00115B6A">
              <w:rPr>
                <w:rFonts w:ascii="Arial Narrow" w:hAnsi="Arial Narrow"/>
              </w:rPr>
              <w:t>Component</w:t>
            </w:r>
          </w:p>
        </w:tc>
        <w:tc>
          <w:tcPr>
            <w:tcW w:w="2221" w:type="pct"/>
            <w:vAlign w:val="center"/>
          </w:tcPr>
          <w:p w:rsidR="00EC4D49" w:rsidRPr="00115B6A" w:rsidRDefault="00EC4D49" w:rsidP="00201107">
            <w:pPr>
              <w:pStyle w:val="TableHeadingRow"/>
              <w:keepLines/>
              <w:spacing w:after="0"/>
              <w:rPr>
                <w:rFonts w:ascii="Arial Narrow" w:hAnsi="Arial Narrow"/>
              </w:rPr>
            </w:pPr>
            <w:r w:rsidRPr="00115B6A">
              <w:rPr>
                <w:rFonts w:ascii="Arial Narrow" w:hAnsi="Arial Narrow"/>
              </w:rPr>
              <w:t>Matter of concern (November 2018 Minutes)</w:t>
            </w:r>
          </w:p>
        </w:tc>
        <w:tc>
          <w:tcPr>
            <w:tcW w:w="2064" w:type="pct"/>
          </w:tcPr>
          <w:p w:rsidR="00EC4D49" w:rsidRPr="00115B6A" w:rsidRDefault="00EC4D49" w:rsidP="00EC4D49">
            <w:pPr>
              <w:pStyle w:val="TableHeadingRow"/>
              <w:keepLines/>
              <w:spacing w:after="0"/>
              <w:rPr>
                <w:rFonts w:ascii="Arial Narrow" w:hAnsi="Arial Narrow"/>
              </w:rPr>
            </w:pPr>
            <w:r w:rsidRPr="00115B6A">
              <w:rPr>
                <w:rFonts w:ascii="Arial Narrow" w:hAnsi="Arial Narrow"/>
              </w:rPr>
              <w:t>How the resubmission proposed to address it</w:t>
            </w:r>
          </w:p>
        </w:tc>
      </w:tr>
      <w:tr w:rsidR="00EC4D49" w:rsidRPr="00115B6A" w:rsidTr="00AF78A8">
        <w:tc>
          <w:tcPr>
            <w:tcW w:w="715" w:type="pct"/>
          </w:tcPr>
          <w:p w:rsidR="00EC4D49" w:rsidRPr="00115B6A" w:rsidRDefault="00EC4D49" w:rsidP="00EC4D49">
            <w:pPr>
              <w:pStyle w:val="TableText0"/>
              <w:keepNext/>
              <w:keepLines/>
              <w:spacing w:before="0" w:after="0"/>
              <w:rPr>
                <w:rFonts w:ascii="Arial Narrow" w:hAnsi="Arial Narrow"/>
              </w:rPr>
            </w:pPr>
            <w:r w:rsidRPr="00115B6A">
              <w:rPr>
                <w:rFonts w:ascii="Arial Narrow" w:hAnsi="Arial Narrow"/>
              </w:rPr>
              <w:t>PBS Restriction</w:t>
            </w:r>
          </w:p>
        </w:tc>
        <w:tc>
          <w:tcPr>
            <w:tcW w:w="2221" w:type="pct"/>
          </w:tcPr>
          <w:p w:rsidR="00EC4D49" w:rsidRPr="00115B6A" w:rsidRDefault="00EC4D49" w:rsidP="00EC4D49">
            <w:pPr>
              <w:keepNext/>
              <w:keepLines/>
              <w:rPr>
                <w:rFonts w:ascii="Arial Narrow" w:hAnsi="Arial Narrow" w:cs="Arial"/>
                <w:snapToGrid w:val="0"/>
                <w:sz w:val="20"/>
                <w:szCs w:val="20"/>
                <w:lang w:eastAsia="en-US"/>
              </w:rPr>
            </w:pPr>
            <w:r w:rsidRPr="00115B6A">
              <w:rPr>
                <w:rFonts w:ascii="Arial Narrow" w:hAnsi="Arial Narrow"/>
                <w:sz w:val="20"/>
                <w:szCs w:val="20"/>
              </w:rPr>
              <w:t xml:space="preserve">Expert advice required around </w:t>
            </w:r>
            <w:r w:rsidRPr="00115B6A">
              <w:rPr>
                <w:rFonts w:ascii="Arial Narrow" w:hAnsi="Arial Narrow" w:cs="Arial"/>
                <w:snapToGrid w:val="0"/>
                <w:sz w:val="20"/>
                <w:szCs w:val="20"/>
                <w:lang w:eastAsia="en-US"/>
              </w:rPr>
              <w:t>imaging and biopsy requirements for GCA diagnosis (Para 7.16)</w:t>
            </w:r>
            <w:r w:rsidR="0050069A" w:rsidRPr="00115B6A">
              <w:rPr>
                <w:rFonts w:ascii="Arial Narrow" w:hAnsi="Arial Narrow" w:cs="Arial"/>
                <w:snapToGrid w:val="0"/>
                <w:sz w:val="20"/>
                <w:szCs w:val="20"/>
                <w:lang w:eastAsia="en-US"/>
              </w:rPr>
              <w:t>.</w:t>
            </w:r>
          </w:p>
          <w:p w:rsidR="0050069A" w:rsidRPr="00115B6A" w:rsidRDefault="0050069A" w:rsidP="0020662D">
            <w:pPr>
              <w:keepNext/>
              <w:keepLines/>
              <w:rPr>
                <w:rFonts w:ascii="Arial Narrow" w:hAnsi="Arial Narrow"/>
              </w:rPr>
            </w:pPr>
            <w:r w:rsidRPr="00115B6A">
              <w:rPr>
                <w:rFonts w:ascii="Arial Narrow" w:hAnsi="Arial Narrow" w:cs="Arial"/>
                <w:snapToGrid w:val="0"/>
                <w:sz w:val="20"/>
                <w:szCs w:val="20"/>
                <w:lang w:eastAsia="en-US"/>
              </w:rPr>
              <w:t xml:space="preserve">The PBAC also provided suggested wording </w:t>
            </w:r>
            <w:r w:rsidR="0020662D" w:rsidRPr="00115B6A">
              <w:rPr>
                <w:rFonts w:ascii="Arial Narrow" w:hAnsi="Arial Narrow" w:cs="Arial"/>
                <w:snapToGrid w:val="0"/>
                <w:sz w:val="20"/>
                <w:szCs w:val="20"/>
                <w:lang w:eastAsia="en-US"/>
              </w:rPr>
              <w:t>around</w:t>
            </w:r>
            <w:r w:rsidRPr="00115B6A">
              <w:rPr>
                <w:rFonts w:ascii="Arial Narrow" w:hAnsi="Arial Narrow" w:cs="Arial"/>
                <w:snapToGrid w:val="0"/>
                <w:sz w:val="20"/>
                <w:szCs w:val="20"/>
                <w:lang w:eastAsia="en-US"/>
              </w:rPr>
              <w:t xml:space="preserve"> </w:t>
            </w:r>
            <w:r w:rsidR="0020662D" w:rsidRPr="00115B6A">
              <w:rPr>
                <w:rFonts w:ascii="Arial Narrow" w:hAnsi="Arial Narrow" w:cs="Arial"/>
                <w:snapToGrid w:val="0"/>
                <w:sz w:val="20"/>
                <w:szCs w:val="20"/>
                <w:lang w:eastAsia="en-US"/>
              </w:rPr>
              <w:t xml:space="preserve">imaging </w:t>
            </w:r>
            <w:r w:rsidRPr="00115B6A">
              <w:rPr>
                <w:rFonts w:ascii="Arial Narrow" w:hAnsi="Arial Narrow" w:cs="Arial"/>
                <w:snapToGrid w:val="0"/>
                <w:sz w:val="20"/>
                <w:szCs w:val="20"/>
                <w:lang w:eastAsia="en-US"/>
              </w:rPr>
              <w:t xml:space="preserve">in </w:t>
            </w:r>
            <w:r w:rsidR="0020662D" w:rsidRPr="00115B6A">
              <w:rPr>
                <w:rFonts w:ascii="Arial Narrow" w:hAnsi="Arial Narrow" w:cs="Arial"/>
                <w:snapToGrid w:val="0"/>
                <w:sz w:val="20"/>
                <w:szCs w:val="20"/>
                <w:lang w:eastAsia="en-US"/>
              </w:rPr>
              <w:t xml:space="preserve">the diagnostic criteria </w:t>
            </w:r>
            <w:r w:rsidRPr="00115B6A">
              <w:rPr>
                <w:rFonts w:ascii="Arial Narrow" w:hAnsi="Arial Narrow" w:cs="Arial"/>
                <w:snapToGrid w:val="0"/>
                <w:sz w:val="20"/>
                <w:szCs w:val="20"/>
                <w:lang w:eastAsia="en-US"/>
              </w:rPr>
              <w:t>(Section 2)</w:t>
            </w:r>
          </w:p>
        </w:tc>
        <w:tc>
          <w:tcPr>
            <w:tcW w:w="2064" w:type="pct"/>
          </w:tcPr>
          <w:p w:rsidR="0020662D" w:rsidRPr="00115B6A" w:rsidRDefault="0020662D" w:rsidP="0020662D">
            <w:pPr>
              <w:keepNext/>
              <w:keepLines/>
              <w:rPr>
                <w:rFonts w:ascii="Arial Narrow" w:hAnsi="Arial Narrow" w:cstheme="minorHAnsi"/>
                <w:sz w:val="20"/>
                <w:szCs w:val="20"/>
              </w:rPr>
            </w:pPr>
            <w:r w:rsidRPr="00115B6A">
              <w:rPr>
                <w:rFonts w:ascii="Arial Narrow" w:hAnsi="Arial Narrow" w:cstheme="minorHAnsi"/>
                <w:sz w:val="20"/>
                <w:szCs w:val="20"/>
              </w:rPr>
              <w:t xml:space="preserve">Added ultrasound in the diagnosis of GCA involving the cranial arteries. </w:t>
            </w:r>
          </w:p>
          <w:p w:rsidR="00EC4D49" w:rsidRPr="00115B6A" w:rsidRDefault="00FD2DF5" w:rsidP="0020662D">
            <w:pPr>
              <w:keepNext/>
              <w:keepLines/>
              <w:rPr>
                <w:rFonts w:ascii="Arial Narrow" w:hAnsi="Arial Narrow"/>
              </w:rPr>
            </w:pPr>
            <w:r w:rsidRPr="00115B6A">
              <w:rPr>
                <w:rFonts w:ascii="Arial Narrow" w:hAnsi="Arial Narrow" w:cstheme="minorHAnsi"/>
                <w:sz w:val="20"/>
                <w:szCs w:val="20"/>
              </w:rPr>
              <w:t>P</w:t>
            </w:r>
            <w:r w:rsidR="00EC4D49" w:rsidRPr="00115B6A">
              <w:rPr>
                <w:rFonts w:ascii="Arial Narrow" w:hAnsi="Arial Narrow" w:cstheme="minorHAnsi"/>
                <w:sz w:val="20"/>
                <w:szCs w:val="20"/>
              </w:rPr>
              <w:t xml:space="preserve">roposed restriction </w:t>
            </w:r>
            <w:proofErr w:type="gramStart"/>
            <w:r w:rsidR="0050069A" w:rsidRPr="00115B6A">
              <w:rPr>
                <w:rFonts w:ascii="Arial Narrow" w:hAnsi="Arial Narrow" w:cstheme="minorHAnsi"/>
                <w:sz w:val="20"/>
                <w:szCs w:val="20"/>
              </w:rPr>
              <w:t>was updated</w:t>
            </w:r>
            <w:proofErr w:type="gramEnd"/>
            <w:r w:rsidR="0050069A" w:rsidRPr="00115B6A">
              <w:rPr>
                <w:rFonts w:ascii="Arial Narrow" w:hAnsi="Arial Narrow" w:cstheme="minorHAnsi"/>
                <w:sz w:val="20"/>
                <w:szCs w:val="20"/>
              </w:rPr>
              <w:t xml:space="preserve"> to include </w:t>
            </w:r>
            <w:r w:rsidR="0020662D" w:rsidRPr="00115B6A">
              <w:rPr>
                <w:rFonts w:ascii="Arial Narrow" w:hAnsi="Arial Narrow" w:cstheme="minorHAnsi"/>
                <w:sz w:val="20"/>
                <w:szCs w:val="20"/>
              </w:rPr>
              <w:t>PBAC’s suggested wording around imaging.</w:t>
            </w:r>
          </w:p>
        </w:tc>
      </w:tr>
      <w:tr w:rsidR="00EC4D49" w:rsidRPr="00115B6A" w:rsidTr="00AF78A8">
        <w:tc>
          <w:tcPr>
            <w:tcW w:w="715" w:type="pct"/>
          </w:tcPr>
          <w:p w:rsidR="00EC4D49" w:rsidRPr="00115B6A" w:rsidRDefault="00EC4D49" w:rsidP="00EC4D49">
            <w:pPr>
              <w:pStyle w:val="TableText0"/>
              <w:keepNext/>
              <w:keepLines/>
              <w:spacing w:before="0" w:after="0"/>
              <w:rPr>
                <w:rFonts w:ascii="Arial Narrow" w:hAnsi="Arial Narrow"/>
              </w:rPr>
            </w:pPr>
            <w:r w:rsidRPr="00115B6A">
              <w:rPr>
                <w:rFonts w:ascii="Arial Narrow" w:hAnsi="Arial Narrow"/>
              </w:rPr>
              <w:t>Financial estimates</w:t>
            </w:r>
          </w:p>
        </w:tc>
        <w:tc>
          <w:tcPr>
            <w:tcW w:w="2221" w:type="pct"/>
          </w:tcPr>
          <w:p w:rsidR="00EC4D49" w:rsidRPr="00115B6A" w:rsidRDefault="00EC4D49" w:rsidP="00EC4D49">
            <w:pPr>
              <w:pStyle w:val="TableText0"/>
              <w:keepNext/>
              <w:keepLines/>
              <w:spacing w:before="0" w:after="0"/>
              <w:rPr>
                <w:rFonts w:ascii="Arial Narrow" w:hAnsi="Arial Narrow"/>
              </w:rPr>
            </w:pPr>
            <w:r w:rsidRPr="00115B6A">
              <w:rPr>
                <w:rFonts w:ascii="Arial Narrow" w:hAnsi="Arial Narrow"/>
              </w:rPr>
              <w:t>The financial estimates should account for the proportion of patients who could use fortnightly dosing (Para 7.16)</w:t>
            </w:r>
          </w:p>
        </w:tc>
        <w:tc>
          <w:tcPr>
            <w:tcW w:w="2064" w:type="pct"/>
          </w:tcPr>
          <w:p w:rsidR="00EC4D49" w:rsidRPr="00115B6A" w:rsidRDefault="00EC4D49" w:rsidP="00EC4D49">
            <w:pPr>
              <w:pStyle w:val="TableText0"/>
              <w:keepNext/>
              <w:keepLines/>
              <w:spacing w:before="0" w:after="0"/>
              <w:rPr>
                <w:rFonts w:ascii="Arial Narrow" w:hAnsi="Arial Narrow"/>
              </w:rPr>
            </w:pPr>
            <w:r w:rsidRPr="00115B6A">
              <w:rPr>
                <w:rFonts w:ascii="Arial Narrow" w:hAnsi="Arial Narrow"/>
              </w:rPr>
              <w:t xml:space="preserve">Assumes </w:t>
            </w:r>
            <w:r w:rsidR="00EA7660">
              <w:rPr>
                <w:rFonts w:ascii="Arial Narrow" w:hAnsi="Arial Narrow"/>
                <w:noProof/>
                <w:color w:val="000000"/>
                <w:highlight w:val="black"/>
              </w:rPr>
              <w:t>''''''</w:t>
            </w:r>
            <w:r w:rsidR="00277412" w:rsidRPr="00115B6A">
              <w:rPr>
                <w:rFonts w:ascii="Arial Narrow" w:hAnsi="Arial Narrow"/>
              </w:rPr>
              <w:t>%</w:t>
            </w:r>
            <w:r w:rsidRPr="00115B6A">
              <w:rPr>
                <w:rFonts w:ascii="Arial Narrow" w:hAnsi="Arial Narrow"/>
              </w:rPr>
              <w:t xml:space="preserve"> of patients could use fortnightly dosing (versus </w:t>
            </w:r>
            <w:r w:rsidR="00EA7660">
              <w:rPr>
                <w:rFonts w:ascii="Arial Narrow" w:hAnsi="Arial Narrow"/>
                <w:noProof/>
                <w:color w:val="000000"/>
                <w:highlight w:val="black"/>
              </w:rPr>
              <w:t>''''</w:t>
            </w:r>
            <w:r w:rsidR="00277412" w:rsidRPr="00115B6A">
              <w:rPr>
                <w:rFonts w:ascii="Arial Narrow" w:hAnsi="Arial Narrow"/>
              </w:rPr>
              <w:t>%</w:t>
            </w:r>
            <w:r w:rsidRPr="00115B6A">
              <w:rPr>
                <w:rFonts w:ascii="Arial Narrow" w:hAnsi="Arial Narrow"/>
              </w:rPr>
              <w:t xml:space="preserve"> in the previous submission).</w:t>
            </w:r>
          </w:p>
        </w:tc>
      </w:tr>
      <w:tr w:rsidR="00EC4D49" w:rsidRPr="00115B6A" w:rsidTr="00AF78A8">
        <w:tc>
          <w:tcPr>
            <w:tcW w:w="715" w:type="pct"/>
          </w:tcPr>
          <w:p w:rsidR="00EC4D49" w:rsidRPr="00115B6A" w:rsidRDefault="00EC4D49" w:rsidP="00EC4D49">
            <w:pPr>
              <w:pStyle w:val="TableText0"/>
              <w:keepNext/>
              <w:keepLines/>
              <w:spacing w:before="0" w:after="0"/>
              <w:rPr>
                <w:rFonts w:ascii="Arial Narrow" w:hAnsi="Arial Narrow"/>
              </w:rPr>
            </w:pPr>
            <w:r w:rsidRPr="00115B6A">
              <w:rPr>
                <w:rFonts w:ascii="Arial Narrow" w:hAnsi="Arial Narrow"/>
              </w:rPr>
              <w:t>Financial estimates</w:t>
            </w:r>
          </w:p>
        </w:tc>
        <w:tc>
          <w:tcPr>
            <w:tcW w:w="2221" w:type="pct"/>
          </w:tcPr>
          <w:p w:rsidR="00EC4D49" w:rsidRPr="00115B6A" w:rsidRDefault="00FD2DF5" w:rsidP="00EC4D49">
            <w:pPr>
              <w:pStyle w:val="TableText0"/>
              <w:keepNext/>
              <w:keepLines/>
              <w:numPr>
                <w:ilvl w:val="0"/>
                <w:numId w:val="30"/>
              </w:numPr>
              <w:ind w:left="200" w:hanging="142"/>
              <w:rPr>
                <w:rFonts w:ascii="Arial Narrow" w:hAnsi="Arial Narrow"/>
              </w:rPr>
            </w:pPr>
            <w:r w:rsidRPr="00E45AA8">
              <w:rPr>
                <w:rFonts w:ascii="Arial Narrow" w:hAnsi="Arial Narrow"/>
              </w:rPr>
              <w:t>An i</w:t>
            </w:r>
            <w:r w:rsidR="00EC4D49" w:rsidRPr="00E45AA8">
              <w:rPr>
                <w:rFonts w:ascii="Arial Narrow" w:hAnsi="Arial Narrow"/>
              </w:rPr>
              <w:t xml:space="preserve">ncidence rate of </w:t>
            </w:r>
            <w:r w:rsidR="00EA7660">
              <w:rPr>
                <w:rFonts w:ascii="Arial Narrow" w:hAnsi="Arial Narrow"/>
                <w:noProof/>
                <w:color w:val="000000"/>
                <w:highlight w:val="black"/>
              </w:rPr>
              <w:t>''''''''</w:t>
            </w:r>
            <w:r w:rsidR="00277412" w:rsidRPr="00E45AA8">
              <w:rPr>
                <w:rFonts w:ascii="Arial Narrow" w:hAnsi="Arial Narrow"/>
              </w:rPr>
              <w:t xml:space="preserve"> </w:t>
            </w:r>
            <w:r w:rsidR="00EC4D49" w:rsidRPr="00E45AA8">
              <w:rPr>
                <w:rFonts w:ascii="Arial Narrow" w:hAnsi="Arial Narrow"/>
              </w:rPr>
              <w:t>per 100</w:t>
            </w:r>
            <w:r w:rsidR="00EC4D49" w:rsidRPr="00115B6A">
              <w:rPr>
                <w:rFonts w:ascii="Arial Narrow" w:hAnsi="Arial Narrow"/>
              </w:rPr>
              <w:t>,000 persons &gt;</w:t>
            </w:r>
            <w:r w:rsidR="00C72A6F" w:rsidRPr="00115B6A">
              <w:rPr>
                <w:rFonts w:ascii="Arial Narrow" w:hAnsi="Arial Narrow"/>
              </w:rPr>
              <w:t> </w:t>
            </w:r>
            <w:r w:rsidR="00EC4D49" w:rsidRPr="00115B6A">
              <w:rPr>
                <w:rFonts w:ascii="Arial Narrow" w:hAnsi="Arial Narrow"/>
              </w:rPr>
              <w:t xml:space="preserve">50 years should be used. </w:t>
            </w:r>
          </w:p>
          <w:p w:rsidR="00EC4D49" w:rsidRPr="00115B6A" w:rsidRDefault="00EC4D49" w:rsidP="00EC4D49">
            <w:pPr>
              <w:pStyle w:val="TableText0"/>
              <w:keepNext/>
              <w:keepLines/>
              <w:numPr>
                <w:ilvl w:val="0"/>
                <w:numId w:val="30"/>
              </w:numPr>
              <w:ind w:left="200" w:hanging="142"/>
              <w:rPr>
                <w:rFonts w:ascii="Arial Narrow" w:hAnsi="Arial Narrow"/>
              </w:rPr>
            </w:pPr>
            <w:r w:rsidRPr="00115B6A">
              <w:rPr>
                <w:rFonts w:ascii="Arial Narrow" w:hAnsi="Arial Narrow"/>
              </w:rPr>
              <w:t>The RSA caps should be informed by a compliance rate of 85% and a reduced uptake rate (Para 7.13).</w:t>
            </w:r>
          </w:p>
        </w:tc>
        <w:tc>
          <w:tcPr>
            <w:tcW w:w="2064" w:type="pct"/>
          </w:tcPr>
          <w:p w:rsidR="00EC4D49" w:rsidRPr="00115B6A" w:rsidRDefault="00EC4D49" w:rsidP="00EC4D49">
            <w:pPr>
              <w:pStyle w:val="TableText0"/>
              <w:keepNext/>
              <w:keepLines/>
              <w:spacing w:before="0" w:after="0"/>
              <w:rPr>
                <w:rFonts w:ascii="Arial Narrow" w:hAnsi="Arial Narrow"/>
              </w:rPr>
            </w:pPr>
            <w:r w:rsidRPr="00115B6A">
              <w:rPr>
                <w:rFonts w:ascii="Arial Narrow" w:hAnsi="Arial Narrow"/>
              </w:rPr>
              <w:t xml:space="preserve">Addressed. </w:t>
            </w:r>
          </w:p>
          <w:p w:rsidR="00EC4D49" w:rsidRPr="00115B6A" w:rsidRDefault="00EC4D49" w:rsidP="00EC4D49">
            <w:pPr>
              <w:pStyle w:val="TableText0"/>
              <w:keepNext/>
              <w:keepLines/>
              <w:numPr>
                <w:ilvl w:val="0"/>
                <w:numId w:val="30"/>
              </w:numPr>
              <w:spacing w:before="0" w:after="0"/>
              <w:ind w:left="171" w:hanging="142"/>
              <w:rPr>
                <w:rFonts w:ascii="Arial Narrow" w:hAnsi="Arial Narrow"/>
              </w:rPr>
            </w:pPr>
            <w:r w:rsidRPr="00115B6A">
              <w:rPr>
                <w:rFonts w:ascii="Arial Narrow" w:hAnsi="Arial Narrow"/>
              </w:rPr>
              <w:t>Incidence rate reduced from 12.73 to 9.6 per 100,000 persons &gt; 50 years.</w:t>
            </w:r>
          </w:p>
          <w:p w:rsidR="00EC4D49" w:rsidRPr="00115B6A" w:rsidRDefault="00EC4D49" w:rsidP="00EC4D49">
            <w:pPr>
              <w:pStyle w:val="TableText0"/>
              <w:keepNext/>
              <w:keepLines/>
              <w:numPr>
                <w:ilvl w:val="0"/>
                <w:numId w:val="30"/>
              </w:numPr>
              <w:spacing w:before="0" w:after="0"/>
              <w:ind w:left="171" w:hanging="142"/>
              <w:rPr>
                <w:rFonts w:ascii="Arial Narrow" w:hAnsi="Arial Narrow"/>
              </w:rPr>
            </w:pPr>
            <w:r w:rsidRPr="00115B6A">
              <w:rPr>
                <w:rFonts w:ascii="Arial Narrow" w:hAnsi="Arial Narrow"/>
              </w:rPr>
              <w:t xml:space="preserve">The compliance and uptake rates were both reduced </w:t>
            </w:r>
            <w:r w:rsidRPr="00E45AA8">
              <w:rPr>
                <w:rFonts w:ascii="Arial Narrow" w:hAnsi="Arial Narrow"/>
              </w:rPr>
              <w:t xml:space="preserve">from </w:t>
            </w:r>
            <w:r w:rsidR="00EA7660">
              <w:rPr>
                <w:rFonts w:ascii="Arial Narrow" w:hAnsi="Arial Narrow"/>
                <w:noProof/>
                <w:color w:val="000000"/>
                <w:highlight w:val="black"/>
              </w:rPr>
              <w:t>''''''''''</w:t>
            </w:r>
            <w:r w:rsidR="00277412" w:rsidRPr="00E45AA8">
              <w:rPr>
                <w:rFonts w:ascii="Arial Narrow" w:hAnsi="Arial Narrow"/>
              </w:rPr>
              <w:t>%</w:t>
            </w:r>
            <w:r w:rsidRPr="00E45AA8">
              <w:rPr>
                <w:rFonts w:ascii="Arial Narrow" w:hAnsi="Arial Narrow"/>
              </w:rPr>
              <w:t xml:space="preserve"> to </w:t>
            </w:r>
            <w:proofErr w:type="gramStart"/>
            <w:r w:rsidR="00EA7660">
              <w:rPr>
                <w:rFonts w:ascii="Arial Narrow" w:hAnsi="Arial Narrow"/>
                <w:noProof/>
                <w:color w:val="000000"/>
                <w:highlight w:val="black"/>
              </w:rPr>
              <w:t>''''''</w:t>
            </w:r>
            <w:r w:rsidR="00277412" w:rsidRPr="00E45AA8">
              <w:rPr>
                <w:rFonts w:ascii="Arial Narrow" w:hAnsi="Arial Narrow"/>
              </w:rPr>
              <w:t>%</w:t>
            </w:r>
            <w:proofErr w:type="gramEnd"/>
            <w:r w:rsidRPr="00E45AA8">
              <w:rPr>
                <w:rFonts w:ascii="Arial Narrow" w:hAnsi="Arial Narrow"/>
              </w:rPr>
              <w:t xml:space="preserve">. </w:t>
            </w:r>
          </w:p>
        </w:tc>
      </w:tr>
      <w:tr w:rsidR="00EC4D49" w:rsidRPr="00115B6A" w:rsidTr="00AF78A8">
        <w:tc>
          <w:tcPr>
            <w:tcW w:w="715" w:type="pct"/>
          </w:tcPr>
          <w:p w:rsidR="00EC4D49" w:rsidRPr="00115B6A" w:rsidRDefault="00EC4D49" w:rsidP="00EC4D49">
            <w:pPr>
              <w:pStyle w:val="TableText0"/>
              <w:keepNext/>
              <w:keepLines/>
              <w:spacing w:after="0"/>
              <w:rPr>
                <w:rFonts w:ascii="Arial Narrow" w:hAnsi="Arial Narrow"/>
              </w:rPr>
            </w:pPr>
            <w:r w:rsidRPr="00115B6A">
              <w:rPr>
                <w:rFonts w:ascii="Arial Narrow" w:hAnsi="Arial Narrow"/>
              </w:rPr>
              <w:t>Risk-share arrangement</w:t>
            </w:r>
          </w:p>
        </w:tc>
        <w:tc>
          <w:tcPr>
            <w:tcW w:w="2221" w:type="pct"/>
          </w:tcPr>
          <w:p w:rsidR="00EC4D49" w:rsidRPr="00115B6A" w:rsidRDefault="00EC4D49" w:rsidP="00EC4D49">
            <w:pPr>
              <w:pStyle w:val="TableText0"/>
              <w:keepNext/>
              <w:keepLines/>
              <w:spacing w:after="0"/>
              <w:rPr>
                <w:rFonts w:ascii="Arial Narrow" w:hAnsi="Arial Narrow"/>
              </w:rPr>
            </w:pPr>
            <w:r w:rsidRPr="00115B6A">
              <w:rPr>
                <w:rFonts w:ascii="Arial Narrow" w:hAnsi="Arial Narrow"/>
              </w:rPr>
              <w:t>An RSA proposal with hard caps should be provided  (Para 7.16)</w:t>
            </w:r>
          </w:p>
        </w:tc>
        <w:tc>
          <w:tcPr>
            <w:tcW w:w="2064" w:type="pct"/>
          </w:tcPr>
          <w:p w:rsidR="00EC4D49" w:rsidRPr="00115B6A" w:rsidRDefault="00EC4D49" w:rsidP="00FD2DF5">
            <w:pPr>
              <w:pStyle w:val="TableText0"/>
              <w:keepNext/>
              <w:keepLines/>
              <w:spacing w:after="0"/>
              <w:rPr>
                <w:rFonts w:ascii="Arial Narrow" w:hAnsi="Arial Narrow"/>
              </w:rPr>
            </w:pPr>
            <w:r w:rsidRPr="00115B6A">
              <w:rPr>
                <w:rFonts w:ascii="Arial Narrow" w:hAnsi="Arial Narrow"/>
              </w:rPr>
              <w:t>Addressed.</w:t>
            </w:r>
          </w:p>
        </w:tc>
      </w:tr>
    </w:tbl>
    <w:p w:rsidR="00434DC5" w:rsidRPr="00115B6A" w:rsidRDefault="00434DC5" w:rsidP="00EC4D49">
      <w:pPr>
        <w:pStyle w:val="TableNotes0"/>
        <w:keepNext/>
        <w:keepLines/>
        <w:ind w:left="0" w:firstLine="0"/>
        <w:rPr>
          <w:rFonts w:ascii="Arial Narrow" w:hAnsi="Arial Narrow" w:cstheme="minorHAnsi"/>
        </w:rPr>
      </w:pPr>
      <w:r w:rsidRPr="00115B6A">
        <w:rPr>
          <w:rFonts w:ascii="Arial Narrow" w:hAnsi="Arial Narrow" w:cstheme="minorHAnsi"/>
        </w:rPr>
        <w:t>Source: Tables 1 and 2 of the minor resubmissio</w:t>
      </w:r>
      <w:r w:rsidR="00836C4B" w:rsidRPr="00115B6A">
        <w:rPr>
          <w:rFonts w:ascii="Arial Narrow" w:hAnsi="Arial Narrow" w:cstheme="minorHAnsi"/>
        </w:rPr>
        <w:t>n.</w:t>
      </w:r>
    </w:p>
    <w:p w:rsidR="00836C4B" w:rsidRPr="00115B6A" w:rsidRDefault="0053037E" w:rsidP="00EC4D49">
      <w:pPr>
        <w:pStyle w:val="TableNotes0"/>
        <w:keepNext/>
        <w:keepLines/>
        <w:tabs>
          <w:tab w:val="clear" w:pos="1134"/>
          <w:tab w:val="left" w:pos="0"/>
        </w:tabs>
        <w:ind w:left="0" w:firstLine="0"/>
        <w:rPr>
          <w:rFonts w:ascii="Arial Narrow" w:hAnsi="Arial Narrow"/>
        </w:rPr>
      </w:pPr>
      <w:r w:rsidRPr="00115B6A">
        <w:rPr>
          <w:rFonts w:ascii="Arial Narrow" w:hAnsi="Arial Narrow"/>
        </w:rPr>
        <w:t>PBAC= Pharmaceutical Advisory Committee;</w:t>
      </w:r>
      <w:r w:rsidR="00201107">
        <w:rPr>
          <w:rFonts w:ascii="Arial Narrow" w:hAnsi="Arial Narrow"/>
        </w:rPr>
        <w:t xml:space="preserve"> PSD= Public Summary Document;</w:t>
      </w:r>
      <w:r w:rsidR="00836C4B" w:rsidRPr="00115B6A">
        <w:rPr>
          <w:rFonts w:ascii="Arial Narrow" w:hAnsi="Arial Narrow"/>
        </w:rPr>
        <w:t xml:space="preserve"> RSA= risk sharing</w:t>
      </w:r>
      <w:r w:rsidRPr="00115B6A">
        <w:rPr>
          <w:rFonts w:ascii="Arial Narrow" w:hAnsi="Arial Narrow"/>
        </w:rPr>
        <w:t xml:space="preserve"> arrangement</w:t>
      </w:r>
      <w:r w:rsidR="00204DC5" w:rsidRPr="00115B6A">
        <w:rPr>
          <w:rFonts w:ascii="Arial Narrow" w:hAnsi="Arial Narrow"/>
        </w:rPr>
        <w:t xml:space="preserve"> </w:t>
      </w:r>
    </w:p>
    <w:p w:rsidR="00AD2A3B" w:rsidRPr="00115B6A" w:rsidRDefault="00AD2A3B" w:rsidP="00AD2A3B">
      <w:pPr>
        <w:rPr>
          <w:lang w:eastAsia="en-US"/>
        </w:rPr>
      </w:pPr>
    </w:p>
    <w:p w:rsidR="00AD2A3B" w:rsidRPr="00EA5994" w:rsidRDefault="00AD2A3B" w:rsidP="00D7750C">
      <w:pPr>
        <w:pStyle w:val="PBACHeading1"/>
        <w:keepNext/>
        <w:keepLines/>
        <w:spacing w:before="120" w:after="120"/>
        <w:rPr>
          <w:rFonts w:asciiTheme="minorHAnsi" w:hAnsiTheme="minorHAnsi" w:cstheme="minorHAnsi"/>
          <w:snapToGrid/>
          <w:sz w:val="32"/>
          <w:szCs w:val="32"/>
        </w:rPr>
      </w:pPr>
      <w:r w:rsidRPr="00EA5994">
        <w:rPr>
          <w:rStyle w:val="Heading1Char"/>
          <w:rFonts w:asciiTheme="minorHAnsi" w:hAnsiTheme="minorHAnsi" w:cstheme="minorHAnsi"/>
          <w:b/>
          <w:sz w:val="32"/>
          <w:szCs w:val="32"/>
        </w:rPr>
        <w:lastRenderedPageBreak/>
        <w:t>Consideration of the evidence</w:t>
      </w:r>
    </w:p>
    <w:p w:rsidR="00AD2A3B" w:rsidRPr="0014471B" w:rsidRDefault="00AD2A3B" w:rsidP="00D7750C">
      <w:pPr>
        <w:pStyle w:val="Heading2"/>
        <w:keepLines/>
        <w:spacing w:before="120" w:after="120"/>
        <w:jc w:val="both"/>
        <w:rPr>
          <w:rFonts w:ascii="Calibri" w:hAnsi="Calibri" w:cs="Arial"/>
          <w:snapToGrid w:val="0"/>
          <w:sz w:val="28"/>
          <w:szCs w:val="22"/>
          <w:lang w:eastAsia="en-US"/>
        </w:rPr>
      </w:pPr>
      <w:r w:rsidRPr="0014471B">
        <w:rPr>
          <w:rFonts w:ascii="Calibri" w:hAnsi="Calibri" w:cs="Arial"/>
          <w:snapToGrid w:val="0"/>
          <w:sz w:val="28"/>
          <w:szCs w:val="22"/>
          <w:lang w:eastAsia="en-US"/>
        </w:rPr>
        <w:t>Sponsor hearing</w:t>
      </w:r>
    </w:p>
    <w:p w:rsidR="00AD2A3B" w:rsidRPr="00115B6A" w:rsidRDefault="00AD2A3B" w:rsidP="00D7750C">
      <w:pPr>
        <w:widowControl w:val="0"/>
        <w:numPr>
          <w:ilvl w:val="1"/>
          <w:numId w:val="5"/>
        </w:numPr>
        <w:spacing w:before="120" w:after="120"/>
        <w:jc w:val="both"/>
        <w:rPr>
          <w:rFonts w:asciiTheme="minorHAnsi" w:hAnsiTheme="minorHAnsi" w:cs="Arial"/>
          <w:bCs/>
          <w:snapToGrid w:val="0"/>
        </w:rPr>
      </w:pPr>
      <w:r w:rsidRPr="00115B6A">
        <w:rPr>
          <w:rFonts w:asciiTheme="minorHAnsi" w:hAnsiTheme="minorHAnsi" w:cs="Arial"/>
          <w:bCs/>
          <w:snapToGrid w:val="0"/>
        </w:rPr>
        <w:t>There was no hearing for this item as it was a minor submission.</w:t>
      </w:r>
    </w:p>
    <w:p w:rsidR="00AD2A3B" w:rsidRPr="0014471B" w:rsidRDefault="00AD2A3B" w:rsidP="00D7750C">
      <w:pPr>
        <w:pStyle w:val="Heading2"/>
        <w:keepLines/>
        <w:spacing w:before="120" w:after="120"/>
        <w:jc w:val="both"/>
        <w:rPr>
          <w:rFonts w:ascii="Calibri" w:hAnsi="Calibri" w:cs="Arial"/>
          <w:snapToGrid w:val="0"/>
          <w:sz w:val="28"/>
          <w:szCs w:val="22"/>
          <w:lang w:eastAsia="en-US"/>
        </w:rPr>
      </w:pPr>
      <w:r w:rsidRPr="0014471B">
        <w:rPr>
          <w:rFonts w:ascii="Calibri" w:hAnsi="Calibri" w:cs="Arial"/>
          <w:snapToGrid w:val="0"/>
          <w:sz w:val="28"/>
          <w:szCs w:val="22"/>
          <w:lang w:eastAsia="en-US"/>
        </w:rPr>
        <w:t>Consumer comments</w:t>
      </w:r>
    </w:p>
    <w:p w:rsidR="00AD2A3B" w:rsidRPr="00EA5994" w:rsidRDefault="00AD2A3B" w:rsidP="00D7750C">
      <w:pPr>
        <w:widowControl w:val="0"/>
        <w:numPr>
          <w:ilvl w:val="1"/>
          <w:numId w:val="5"/>
        </w:numPr>
        <w:spacing w:before="120" w:after="120"/>
        <w:jc w:val="both"/>
      </w:pPr>
      <w:r w:rsidRPr="00115B6A">
        <w:rPr>
          <w:rFonts w:asciiTheme="minorHAnsi" w:hAnsiTheme="minorHAnsi" w:cs="Arial"/>
          <w:bCs/>
          <w:snapToGrid w:val="0"/>
        </w:rPr>
        <w:t xml:space="preserve">The PBAC noted that no consumer comments </w:t>
      </w:r>
      <w:proofErr w:type="gramStart"/>
      <w:r w:rsidRPr="00115B6A">
        <w:rPr>
          <w:rFonts w:asciiTheme="minorHAnsi" w:hAnsiTheme="minorHAnsi" w:cs="Arial"/>
          <w:bCs/>
          <w:snapToGrid w:val="0"/>
        </w:rPr>
        <w:t>were received</w:t>
      </w:r>
      <w:proofErr w:type="gramEnd"/>
      <w:r w:rsidRPr="00115B6A">
        <w:rPr>
          <w:rFonts w:asciiTheme="minorHAnsi" w:hAnsiTheme="minorHAnsi" w:cs="Arial"/>
          <w:bCs/>
          <w:snapToGrid w:val="0"/>
        </w:rPr>
        <w:t xml:space="preserve"> for this item.</w:t>
      </w:r>
    </w:p>
    <w:p w:rsidR="0020662D" w:rsidRPr="0014471B" w:rsidRDefault="0020662D" w:rsidP="00D7750C">
      <w:pPr>
        <w:pStyle w:val="Heading2"/>
        <w:keepLines/>
        <w:spacing w:before="120" w:after="120"/>
        <w:jc w:val="both"/>
        <w:rPr>
          <w:rFonts w:ascii="Calibri" w:hAnsi="Calibri" w:cs="Arial"/>
          <w:snapToGrid w:val="0"/>
          <w:sz w:val="28"/>
          <w:szCs w:val="22"/>
          <w:lang w:eastAsia="en-US"/>
        </w:rPr>
      </w:pPr>
      <w:r w:rsidRPr="0014471B">
        <w:rPr>
          <w:rFonts w:ascii="Calibri" w:hAnsi="Calibri" w:cs="Arial"/>
          <w:snapToGrid w:val="0"/>
          <w:sz w:val="28"/>
          <w:szCs w:val="22"/>
          <w:lang w:eastAsia="en-US"/>
        </w:rPr>
        <w:t>Interpretation of clinical evidence</w:t>
      </w:r>
    </w:p>
    <w:p w:rsidR="0020662D" w:rsidRPr="00115B6A" w:rsidRDefault="0020662D" w:rsidP="00D7750C">
      <w:pPr>
        <w:widowControl w:val="0"/>
        <w:numPr>
          <w:ilvl w:val="1"/>
          <w:numId w:val="5"/>
        </w:numPr>
        <w:spacing w:before="120" w:after="120"/>
        <w:jc w:val="both"/>
        <w:rPr>
          <w:rFonts w:asciiTheme="minorHAnsi" w:hAnsiTheme="minorHAnsi" w:cs="Arial"/>
          <w:bCs/>
          <w:snapToGrid w:val="0"/>
        </w:rPr>
      </w:pPr>
      <w:r w:rsidRPr="00115B6A">
        <w:rPr>
          <w:rFonts w:asciiTheme="minorHAnsi" w:hAnsiTheme="minorHAnsi" w:cs="Arial"/>
          <w:bCs/>
          <w:snapToGrid w:val="0"/>
        </w:rPr>
        <w:t xml:space="preserve">As a minor submission, no new clinical evidence </w:t>
      </w:r>
      <w:proofErr w:type="gramStart"/>
      <w:r w:rsidRPr="00115B6A">
        <w:rPr>
          <w:rFonts w:asciiTheme="minorHAnsi" w:hAnsiTheme="minorHAnsi" w:cs="Arial"/>
          <w:bCs/>
          <w:snapToGrid w:val="0"/>
        </w:rPr>
        <w:t>was provided</w:t>
      </w:r>
      <w:proofErr w:type="gramEnd"/>
      <w:r w:rsidRPr="00115B6A">
        <w:rPr>
          <w:rFonts w:asciiTheme="minorHAnsi" w:hAnsiTheme="minorHAnsi" w:cs="Arial"/>
          <w:bCs/>
          <w:snapToGrid w:val="0"/>
        </w:rPr>
        <w:t xml:space="preserve"> in the submission. </w:t>
      </w:r>
    </w:p>
    <w:p w:rsidR="005A3173" w:rsidRPr="00115B6A" w:rsidRDefault="005A3173" w:rsidP="00D7750C">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115B6A">
        <w:rPr>
          <w:rFonts w:asciiTheme="minorHAnsi" w:hAnsiTheme="minorHAnsi"/>
          <w:sz w:val="32"/>
          <w:szCs w:val="32"/>
        </w:rPr>
        <w:t>Estimated PBS usage &amp; financial implications</w:t>
      </w:r>
    </w:p>
    <w:p w:rsidR="005F76BD" w:rsidRPr="00115B6A" w:rsidRDefault="00444E35" w:rsidP="00D7750C">
      <w:pPr>
        <w:widowControl w:val="0"/>
        <w:numPr>
          <w:ilvl w:val="1"/>
          <w:numId w:val="14"/>
        </w:numPr>
        <w:spacing w:before="120" w:after="120"/>
        <w:jc w:val="both"/>
        <w:rPr>
          <w:rFonts w:asciiTheme="minorHAnsi" w:eastAsiaTheme="minorHAnsi" w:hAnsiTheme="minorHAnsi" w:cstheme="minorBidi"/>
          <w:lang w:eastAsia="en-US"/>
        </w:rPr>
      </w:pPr>
      <w:r w:rsidRPr="00115B6A">
        <w:rPr>
          <w:rFonts w:asciiTheme="minorHAnsi" w:eastAsiaTheme="minorHAnsi" w:hAnsiTheme="minorHAnsi" w:cstheme="minorBidi"/>
          <w:lang w:eastAsia="en-US"/>
        </w:rPr>
        <w:t xml:space="preserve">At its November 2018 meeting, the PBAC considered that “based on the data presented, there was limited difference in efficacy between weekly versus fortnightly dosing of </w:t>
      </w:r>
      <w:proofErr w:type="spellStart"/>
      <w:r w:rsidRPr="00115B6A">
        <w:rPr>
          <w:rFonts w:asciiTheme="minorHAnsi" w:eastAsiaTheme="minorHAnsi" w:hAnsiTheme="minorHAnsi" w:cstheme="minorBidi"/>
          <w:lang w:eastAsia="en-US"/>
        </w:rPr>
        <w:t>tocilizumab</w:t>
      </w:r>
      <w:proofErr w:type="spellEnd"/>
      <w:r w:rsidR="002E2277" w:rsidRPr="00115B6A">
        <w:rPr>
          <w:rFonts w:asciiTheme="minorHAnsi" w:eastAsiaTheme="minorHAnsi" w:hAnsiTheme="minorHAnsi" w:cstheme="minorBidi"/>
          <w:lang w:eastAsia="en-US"/>
        </w:rPr>
        <w:t>.</w:t>
      </w:r>
      <w:r w:rsidR="005F76BD" w:rsidRPr="00115B6A">
        <w:rPr>
          <w:rFonts w:asciiTheme="minorHAnsi" w:eastAsiaTheme="minorHAnsi" w:hAnsiTheme="minorHAnsi" w:cstheme="minorBidi"/>
          <w:lang w:eastAsia="en-US"/>
        </w:rPr>
        <w:t>”</w:t>
      </w:r>
      <w:r w:rsidR="002E2277" w:rsidRPr="00115B6A">
        <w:rPr>
          <w:rFonts w:asciiTheme="minorHAnsi" w:eastAsiaTheme="minorHAnsi" w:hAnsiTheme="minorHAnsi" w:cstheme="minorBidi"/>
          <w:lang w:eastAsia="en-US"/>
        </w:rPr>
        <w:t xml:space="preserve"> (Paragraph</w:t>
      </w:r>
      <w:r w:rsidR="00FD2DF5" w:rsidRPr="00115B6A">
        <w:rPr>
          <w:rFonts w:asciiTheme="minorHAnsi" w:eastAsiaTheme="minorHAnsi" w:hAnsiTheme="minorHAnsi" w:cstheme="minorBidi"/>
          <w:lang w:eastAsia="en-US"/>
        </w:rPr>
        <w:t xml:space="preserve"> </w:t>
      </w:r>
      <w:r w:rsidR="002E2277" w:rsidRPr="00115B6A">
        <w:rPr>
          <w:rFonts w:asciiTheme="minorHAnsi" w:eastAsiaTheme="minorHAnsi" w:hAnsiTheme="minorHAnsi" w:cstheme="minorBidi"/>
          <w:lang w:eastAsia="en-US"/>
        </w:rPr>
        <w:t xml:space="preserve">7.4, </w:t>
      </w:r>
      <w:proofErr w:type="spellStart"/>
      <w:r w:rsidR="002E2277" w:rsidRPr="00115B6A">
        <w:rPr>
          <w:rFonts w:asciiTheme="minorHAnsi" w:eastAsiaTheme="minorHAnsi" w:hAnsiTheme="minorHAnsi" w:cstheme="minorBidi"/>
          <w:lang w:eastAsia="en-US"/>
        </w:rPr>
        <w:t>Tocilizumab</w:t>
      </w:r>
      <w:proofErr w:type="spellEnd"/>
      <w:r w:rsidR="002E2277" w:rsidRPr="00115B6A">
        <w:rPr>
          <w:rFonts w:asciiTheme="minorHAnsi" w:eastAsiaTheme="minorHAnsi" w:hAnsiTheme="minorHAnsi" w:cstheme="minorBidi"/>
          <w:lang w:eastAsia="en-US"/>
        </w:rPr>
        <w:t xml:space="preserve"> November 2018 PBAC </w:t>
      </w:r>
      <w:r w:rsidR="000553AB">
        <w:rPr>
          <w:rFonts w:asciiTheme="minorHAnsi" w:eastAsiaTheme="minorHAnsi" w:hAnsiTheme="minorHAnsi" w:cstheme="minorBidi"/>
          <w:lang w:eastAsia="en-US"/>
        </w:rPr>
        <w:t>PSD</w:t>
      </w:r>
      <w:r w:rsidR="00A15F9A" w:rsidRPr="00115B6A">
        <w:rPr>
          <w:rFonts w:asciiTheme="minorHAnsi" w:eastAsiaTheme="minorHAnsi" w:hAnsiTheme="minorHAnsi" w:cstheme="minorBidi"/>
          <w:lang w:eastAsia="en-US"/>
        </w:rPr>
        <w:t xml:space="preserve">). </w:t>
      </w:r>
      <w:r w:rsidR="00FD2DF5" w:rsidRPr="00115B6A">
        <w:rPr>
          <w:rFonts w:asciiTheme="minorHAnsi" w:eastAsiaTheme="minorHAnsi" w:hAnsiTheme="minorHAnsi" w:cstheme="minorBidi"/>
          <w:lang w:eastAsia="en-US"/>
        </w:rPr>
        <w:t xml:space="preserve">The data presented included the </w:t>
      </w:r>
      <w:proofErr w:type="spellStart"/>
      <w:r w:rsidR="00FD2DF5" w:rsidRPr="00115B6A">
        <w:rPr>
          <w:rFonts w:asciiTheme="minorHAnsi" w:eastAsiaTheme="minorHAnsi" w:hAnsiTheme="minorHAnsi" w:cstheme="minorBidi"/>
          <w:lang w:eastAsia="en-US"/>
        </w:rPr>
        <w:t>GiACTA</w:t>
      </w:r>
      <w:proofErr w:type="spellEnd"/>
      <w:r w:rsidR="00FD2DF5" w:rsidRPr="00115B6A">
        <w:rPr>
          <w:rFonts w:asciiTheme="minorHAnsi" w:eastAsiaTheme="minorHAnsi" w:hAnsiTheme="minorHAnsi" w:cstheme="minorBidi"/>
          <w:lang w:eastAsia="en-US"/>
        </w:rPr>
        <w:t xml:space="preserve"> trial, which found that t</w:t>
      </w:r>
      <w:r w:rsidR="00201C5E" w:rsidRPr="00115B6A">
        <w:rPr>
          <w:rFonts w:asciiTheme="minorHAnsi" w:eastAsiaTheme="minorHAnsi" w:hAnsiTheme="minorHAnsi" w:cstheme="minorBidi"/>
          <w:lang w:eastAsia="en-US"/>
        </w:rPr>
        <w:t xml:space="preserve">he proportion of patients in sustained remission at 52 weeks </w:t>
      </w:r>
      <w:r w:rsidR="00FD2DF5" w:rsidRPr="00115B6A">
        <w:rPr>
          <w:rFonts w:asciiTheme="minorHAnsi" w:eastAsiaTheme="minorHAnsi" w:hAnsiTheme="minorHAnsi" w:cstheme="minorBidi"/>
          <w:lang w:eastAsia="en-US"/>
        </w:rPr>
        <w:t xml:space="preserve">(the primary outcome) </w:t>
      </w:r>
      <w:r w:rsidR="00201C5E" w:rsidRPr="00115B6A">
        <w:rPr>
          <w:rFonts w:asciiTheme="minorHAnsi" w:eastAsiaTheme="minorHAnsi" w:hAnsiTheme="minorHAnsi" w:cstheme="minorBidi"/>
          <w:lang w:eastAsia="en-US"/>
        </w:rPr>
        <w:t xml:space="preserve">was 56% and 53% for patients in the </w:t>
      </w:r>
      <w:proofErr w:type="spellStart"/>
      <w:r w:rsidR="00201C5E" w:rsidRPr="00115B6A">
        <w:rPr>
          <w:rFonts w:asciiTheme="minorHAnsi" w:eastAsiaTheme="minorHAnsi" w:hAnsiTheme="minorHAnsi" w:cstheme="minorBidi"/>
          <w:lang w:eastAsia="en-US"/>
        </w:rPr>
        <w:t>tocilizumab</w:t>
      </w:r>
      <w:proofErr w:type="spellEnd"/>
      <w:r w:rsidR="00201C5E" w:rsidRPr="00115B6A">
        <w:rPr>
          <w:rFonts w:asciiTheme="minorHAnsi" w:eastAsiaTheme="minorHAnsi" w:hAnsiTheme="minorHAnsi" w:cstheme="minorBidi"/>
          <w:lang w:eastAsia="en-US"/>
        </w:rPr>
        <w:t xml:space="preserve"> weekly and fortnightly arms, respectively (both were in combination with a 26 week corticosteroid taper). </w:t>
      </w:r>
      <w:r w:rsidR="002E2277" w:rsidRPr="00115B6A">
        <w:rPr>
          <w:rFonts w:asciiTheme="minorHAnsi" w:eastAsiaTheme="minorHAnsi" w:hAnsiTheme="minorHAnsi" w:cstheme="minorBidi"/>
          <w:lang w:eastAsia="en-US"/>
        </w:rPr>
        <w:t>As such, the November 2018 PBAC considered that “the financial estimates should be updated to account for the proportion of patients who could use fortnightly dosing”</w:t>
      </w:r>
      <w:r w:rsidRPr="00115B6A">
        <w:rPr>
          <w:rFonts w:asciiTheme="minorHAnsi" w:eastAsiaTheme="minorHAnsi" w:hAnsiTheme="minorHAnsi" w:cstheme="minorBidi"/>
          <w:lang w:eastAsia="en-US"/>
        </w:rPr>
        <w:t xml:space="preserve"> </w:t>
      </w:r>
      <w:r w:rsidR="00BE4FD2" w:rsidRPr="00115B6A">
        <w:rPr>
          <w:rFonts w:asciiTheme="minorHAnsi" w:eastAsiaTheme="minorHAnsi" w:hAnsiTheme="minorHAnsi" w:cstheme="minorBidi"/>
          <w:lang w:eastAsia="en-US"/>
        </w:rPr>
        <w:t xml:space="preserve">and that an RSA with hard caps would be required </w:t>
      </w:r>
      <w:r w:rsidR="005F76BD" w:rsidRPr="00115B6A">
        <w:rPr>
          <w:rFonts w:asciiTheme="minorHAnsi" w:eastAsiaTheme="minorHAnsi" w:hAnsiTheme="minorHAnsi" w:cstheme="minorBidi"/>
          <w:lang w:eastAsia="en-US"/>
        </w:rPr>
        <w:t>(Paragraph</w:t>
      </w:r>
      <w:r w:rsidR="002E2277" w:rsidRPr="00115B6A">
        <w:rPr>
          <w:rFonts w:asciiTheme="minorHAnsi" w:eastAsiaTheme="minorHAnsi" w:hAnsiTheme="minorHAnsi" w:cstheme="minorBidi"/>
          <w:lang w:eastAsia="en-US"/>
        </w:rPr>
        <w:t xml:space="preserve"> 7.16</w:t>
      </w:r>
      <w:r w:rsidR="005F76BD" w:rsidRPr="00115B6A">
        <w:rPr>
          <w:rFonts w:asciiTheme="minorHAnsi" w:eastAsiaTheme="minorHAnsi" w:hAnsiTheme="minorHAnsi" w:cstheme="minorBidi"/>
          <w:lang w:eastAsia="en-US"/>
        </w:rPr>
        <w:t xml:space="preserve">, </w:t>
      </w:r>
      <w:proofErr w:type="spellStart"/>
      <w:r w:rsidR="005F76BD" w:rsidRPr="00115B6A">
        <w:rPr>
          <w:rFonts w:asciiTheme="minorHAnsi" w:eastAsiaTheme="minorHAnsi" w:hAnsiTheme="minorHAnsi" w:cstheme="minorBidi"/>
          <w:lang w:eastAsia="en-US"/>
        </w:rPr>
        <w:t>Tocilizumab</w:t>
      </w:r>
      <w:proofErr w:type="spellEnd"/>
      <w:r w:rsidR="005F76BD" w:rsidRPr="00115B6A">
        <w:rPr>
          <w:rFonts w:asciiTheme="minorHAnsi" w:eastAsiaTheme="minorHAnsi" w:hAnsiTheme="minorHAnsi" w:cstheme="minorBidi"/>
          <w:lang w:eastAsia="en-US"/>
        </w:rPr>
        <w:t xml:space="preserve"> November 2018 PBAC </w:t>
      </w:r>
      <w:r w:rsidR="000553AB">
        <w:rPr>
          <w:rFonts w:asciiTheme="minorHAnsi" w:eastAsiaTheme="minorHAnsi" w:hAnsiTheme="minorHAnsi" w:cstheme="minorBidi"/>
          <w:lang w:eastAsia="en-US"/>
        </w:rPr>
        <w:t>PSD</w:t>
      </w:r>
      <w:r w:rsidR="005F76BD" w:rsidRPr="00115B6A">
        <w:rPr>
          <w:rFonts w:asciiTheme="minorHAnsi" w:eastAsiaTheme="minorHAnsi" w:hAnsiTheme="minorHAnsi" w:cstheme="minorBidi"/>
          <w:lang w:eastAsia="en-US"/>
        </w:rPr>
        <w:t xml:space="preserve">). </w:t>
      </w:r>
    </w:p>
    <w:p w:rsidR="006B3D16" w:rsidRPr="00115B6A" w:rsidRDefault="006B3D16" w:rsidP="00D7750C">
      <w:pPr>
        <w:widowControl w:val="0"/>
        <w:numPr>
          <w:ilvl w:val="1"/>
          <w:numId w:val="14"/>
        </w:numPr>
        <w:spacing w:before="120" w:after="120"/>
        <w:jc w:val="both"/>
        <w:rPr>
          <w:rFonts w:asciiTheme="minorHAnsi" w:eastAsiaTheme="minorHAnsi" w:hAnsiTheme="minorHAnsi" w:cstheme="minorBidi"/>
          <w:lang w:eastAsia="en-US"/>
        </w:rPr>
      </w:pPr>
      <w:r w:rsidRPr="00115B6A">
        <w:rPr>
          <w:rFonts w:asciiTheme="minorHAnsi" w:eastAsiaTheme="minorHAnsi" w:hAnsiTheme="minorHAnsi" w:cstheme="minorBidi"/>
        </w:rPr>
        <w:t>Given there is a lack of evidence that weekly administration provides superior efficacy versus fortnightly administration, it may not be appropriate for the Commonwealth to pay for weekly administration in those patient groups who may be appropriate for fortnightly administration, i.e. patients whose active disease is under control, newly diagnosed patients and patients who cannot self-administer the subcutaneous injection.</w:t>
      </w:r>
    </w:p>
    <w:p w:rsidR="00BE4FD2" w:rsidRPr="00115B6A" w:rsidRDefault="00FF2801" w:rsidP="00D7750C">
      <w:pPr>
        <w:widowControl w:val="0"/>
        <w:numPr>
          <w:ilvl w:val="1"/>
          <w:numId w:val="14"/>
        </w:numPr>
        <w:spacing w:before="120" w:after="120"/>
        <w:jc w:val="both"/>
        <w:rPr>
          <w:rFonts w:asciiTheme="minorHAnsi" w:eastAsiaTheme="minorHAnsi" w:hAnsiTheme="minorHAnsi" w:cstheme="minorBidi"/>
          <w:lang w:eastAsia="en-US"/>
        </w:rPr>
      </w:pPr>
      <w:r w:rsidRPr="00115B6A">
        <w:rPr>
          <w:rFonts w:asciiTheme="minorHAnsi" w:eastAsiaTheme="minorHAnsi" w:hAnsiTheme="minorHAnsi" w:cstheme="minorBidi"/>
        </w:rPr>
        <w:t xml:space="preserve">The minor </w:t>
      </w:r>
      <w:r w:rsidR="0064271C" w:rsidRPr="00115B6A">
        <w:rPr>
          <w:rFonts w:asciiTheme="minorHAnsi" w:eastAsiaTheme="minorHAnsi" w:hAnsiTheme="minorHAnsi" w:cstheme="minorBidi"/>
        </w:rPr>
        <w:t>re</w:t>
      </w:r>
      <w:r w:rsidRPr="00115B6A">
        <w:rPr>
          <w:rFonts w:asciiTheme="minorHAnsi" w:eastAsiaTheme="minorHAnsi" w:hAnsiTheme="minorHAnsi" w:cstheme="minorBidi"/>
        </w:rPr>
        <w:t xml:space="preserve">submission </w:t>
      </w:r>
      <w:r w:rsidR="00A81C7F" w:rsidRPr="00115B6A">
        <w:rPr>
          <w:rFonts w:asciiTheme="minorHAnsi" w:eastAsiaTheme="minorHAnsi" w:hAnsiTheme="minorHAnsi" w:cstheme="minorBidi"/>
        </w:rPr>
        <w:t xml:space="preserve">stated that </w:t>
      </w:r>
      <w:r w:rsidR="00EB4AB9" w:rsidRPr="00115B6A">
        <w:rPr>
          <w:rFonts w:asciiTheme="minorHAnsi" w:eastAsiaTheme="minorHAnsi" w:hAnsiTheme="minorHAnsi" w:cstheme="minorBidi"/>
        </w:rPr>
        <w:t xml:space="preserve">advice received from </w:t>
      </w:r>
      <w:r w:rsidR="00A81C7F" w:rsidRPr="00115B6A">
        <w:rPr>
          <w:rFonts w:asciiTheme="minorHAnsi" w:eastAsiaTheme="minorHAnsi" w:hAnsiTheme="minorHAnsi" w:cstheme="minorBidi"/>
        </w:rPr>
        <w:t>clinician</w:t>
      </w:r>
      <w:r w:rsidR="00EB4AB9" w:rsidRPr="00115B6A">
        <w:rPr>
          <w:rFonts w:asciiTheme="minorHAnsi" w:eastAsiaTheme="minorHAnsi" w:hAnsiTheme="minorHAnsi" w:cstheme="minorBidi"/>
        </w:rPr>
        <w:t>s</w:t>
      </w:r>
      <w:r w:rsidR="00A81C7F" w:rsidRPr="00115B6A">
        <w:rPr>
          <w:rFonts w:asciiTheme="minorHAnsi" w:eastAsiaTheme="minorHAnsi" w:hAnsiTheme="minorHAnsi" w:cstheme="minorBidi"/>
        </w:rPr>
        <w:t xml:space="preserve"> was that </w:t>
      </w:r>
      <w:r w:rsidR="00FD2DF5" w:rsidRPr="00115B6A">
        <w:rPr>
          <w:rFonts w:asciiTheme="minorHAnsi" w:eastAsiaTheme="minorHAnsi" w:hAnsiTheme="minorHAnsi" w:cstheme="minorBidi"/>
        </w:rPr>
        <w:t>“</w:t>
      </w:r>
      <w:r w:rsidR="00A81C7F" w:rsidRPr="00115B6A">
        <w:rPr>
          <w:rFonts w:asciiTheme="minorHAnsi" w:eastAsiaTheme="minorHAnsi" w:hAnsiTheme="minorHAnsi" w:cstheme="minorBidi"/>
        </w:rPr>
        <w:t>no patients would be initiated on a fortnightly dose taking into account clinical context and patient concerns around the risk of relapse and clinical sequelae from a disease flare, including vision loss</w:t>
      </w:r>
      <w:r w:rsidR="00BE4FD2" w:rsidRPr="00115B6A">
        <w:rPr>
          <w:rFonts w:asciiTheme="minorHAnsi" w:eastAsiaTheme="minorHAnsi" w:hAnsiTheme="minorHAnsi" w:cstheme="minorBidi"/>
        </w:rPr>
        <w:t>”</w:t>
      </w:r>
      <w:r w:rsidR="00A81C7F" w:rsidRPr="00115B6A">
        <w:rPr>
          <w:rFonts w:asciiTheme="minorHAnsi" w:eastAsiaTheme="minorHAnsi" w:hAnsiTheme="minorHAnsi" w:cstheme="minorBidi"/>
        </w:rPr>
        <w:t xml:space="preserve">. The </w:t>
      </w:r>
      <w:r w:rsidR="009E0DD1" w:rsidRPr="00115B6A">
        <w:rPr>
          <w:rFonts w:asciiTheme="minorHAnsi" w:eastAsiaTheme="minorHAnsi" w:hAnsiTheme="minorHAnsi" w:cstheme="minorBidi"/>
        </w:rPr>
        <w:t xml:space="preserve">resubmission also stated that </w:t>
      </w:r>
      <w:r w:rsidR="00D5391E" w:rsidRPr="00115B6A">
        <w:rPr>
          <w:rFonts w:asciiTheme="minorHAnsi" w:eastAsiaTheme="minorHAnsi" w:hAnsiTheme="minorHAnsi" w:cstheme="minorBidi"/>
        </w:rPr>
        <w:t>fortnightly dosing is feasible in patients with good disease control</w:t>
      </w:r>
      <w:r w:rsidR="005F76BD" w:rsidRPr="00115B6A">
        <w:rPr>
          <w:rFonts w:asciiTheme="minorHAnsi" w:eastAsiaTheme="minorHAnsi" w:hAnsiTheme="minorHAnsi" w:cstheme="minorBidi"/>
        </w:rPr>
        <w:t xml:space="preserve">, but </w:t>
      </w:r>
      <w:r w:rsidR="00BE4FD2" w:rsidRPr="00115B6A">
        <w:rPr>
          <w:rFonts w:asciiTheme="minorHAnsi" w:eastAsiaTheme="minorHAnsi" w:hAnsiTheme="minorHAnsi" w:cstheme="minorBidi"/>
        </w:rPr>
        <w:t xml:space="preserve">suggested </w:t>
      </w:r>
      <w:r w:rsidR="00D5391E" w:rsidRPr="00115B6A">
        <w:rPr>
          <w:rFonts w:asciiTheme="minorHAnsi" w:eastAsiaTheme="minorHAnsi" w:hAnsiTheme="minorHAnsi" w:cstheme="minorBidi"/>
        </w:rPr>
        <w:t xml:space="preserve">that patients may not be </w:t>
      </w:r>
      <w:proofErr w:type="gramStart"/>
      <w:r w:rsidR="00D5391E" w:rsidRPr="00115B6A">
        <w:rPr>
          <w:rFonts w:asciiTheme="minorHAnsi" w:eastAsiaTheme="minorHAnsi" w:hAnsiTheme="minorHAnsi" w:cstheme="minorBidi"/>
        </w:rPr>
        <w:t>down</w:t>
      </w:r>
      <w:r w:rsidR="00BE4FD2" w:rsidRPr="00115B6A">
        <w:rPr>
          <w:rFonts w:asciiTheme="minorHAnsi" w:eastAsiaTheme="minorHAnsi" w:hAnsiTheme="minorHAnsi" w:cstheme="minorBidi"/>
        </w:rPr>
        <w:t>-</w:t>
      </w:r>
      <w:r w:rsidR="00D5391E" w:rsidRPr="00115B6A">
        <w:rPr>
          <w:rFonts w:asciiTheme="minorHAnsi" w:eastAsiaTheme="minorHAnsi" w:hAnsiTheme="minorHAnsi" w:cstheme="minorBidi"/>
        </w:rPr>
        <w:t>titrated</w:t>
      </w:r>
      <w:proofErr w:type="gramEnd"/>
      <w:r w:rsidR="00D5391E" w:rsidRPr="00115B6A">
        <w:rPr>
          <w:rFonts w:asciiTheme="minorHAnsi" w:eastAsiaTheme="minorHAnsi" w:hAnsiTheme="minorHAnsi" w:cstheme="minorBidi"/>
        </w:rPr>
        <w:t xml:space="preserve"> to fortnightly dosing if funded access </w:t>
      </w:r>
      <w:r w:rsidR="00BE4FD2" w:rsidRPr="00115B6A">
        <w:rPr>
          <w:rFonts w:asciiTheme="minorHAnsi" w:eastAsiaTheme="minorHAnsi" w:hAnsiTheme="minorHAnsi" w:cstheme="minorBidi"/>
        </w:rPr>
        <w:t xml:space="preserve">to weekly dosing </w:t>
      </w:r>
      <w:r w:rsidR="00D5391E" w:rsidRPr="00115B6A">
        <w:rPr>
          <w:rFonts w:asciiTheme="minorHAnsi" w:eastAsiaTheme="minorHAnsi" w:hAnsiTheme="minorHAnsi" w:cstheme="minorBidi"/>
        </w:rPr>
        <w:t>w</w:t>
      </w:r>
      <w:r w:rsidR="00BE4FD2" w:rsidRPr="00115B6A">
        <w:rPr>
          <w:rFonts w:asciiTheme="minorHAnsi" w:eastAsiaTheme="minorHAnsi" w:hAnsiTheme="minorHAnsi" w:cstheme="minorBidi"/>
        </w:rPr>
        <w:t>ere</w:t>
      </w:r>
      <w:r w:rsidR="00D5391E" w:rsidRPr="00115B6A">
        <w:rPr>
          <w:rFonts w:asciiTheme="minorHAnsi" w:eastAsiaTheme="minorHAnsi" w:hAnsiTheme="minorHAnsi" w:cstheme="minorBidi"/>
        </w:rPr>
        <w:t xml:space="preserve"> available.</w:t>
      </w:r>
      <w:r w:rsidR="00086138" w:rsidRPr="00115B6A">
        <w:rPr>
          <w:rFonts w:asciiTheme="minorHAnsi" w:eastAsiaTheme="minorHAnsi" w:hAnsiTheme="minorHAnsi" w:cstheme="minorBidi"/>
        </w:rPr>
        <w:t xml:space="preserve"> </w:t>
      </w:r>
    </w:p>
    <w:p w:rsidR="00FC3221" w:rsidRPr="00115B6A" w:rsidRDefault="00BE4FD2" w:rsidP="00D7750C">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To help address the PBAC’s previous concerns, t</w:t>
      </w:r>
      <w:r w:rsidR="00086138" w:rsidRPr="00115B6A">
        <w:rPr>
          <w:rFonts w:asciiTheme="minorHAnsi" w:eastAsiaTheme="minorHAnsi" w:hAnsiTheme="minorHAnsi" w:cstheme="minorBidi"/>
          <w:snapToGrid/>
          <w:sz w:val="24"/>
          <w:szCs w:val="24"/>
        </w:rPr>
        <w:t>he minor resubmission</w:t>
      </w:r>
      <w:r w:rsidRPr="00115B6A">
        <w:rPr>
          <w:rFonts w:asciiTheme="minorHAnsi" w:eastAsiaTheme="minorHAnsi" w:hAnsiTheme="minorHAnsi" w:cstheme="minorBidi"/>
          <w:snapToGrid/>
          <w:sz w:val="24"/>
          <w:szCs w:val="24"/>
        </w:rPr>
        <w:t xml:space="preserve"> updated the financial estimates to </w:t>
      </w:r>
      <w:r w:rsidRPr="00277412">
        <w:rPr>
          <w:rFonts w:asciiTheme="minorHAnsi" w:eastAsiaTheme="minorHAnsi" w:hAnsiTheme="minorHAnsi" w:cstheme="minorBidi"/>
          <w:snapToGrid/>
          <w:sz w:val="24"/>
          <w:szCs w:val="24"/>
        </w:rPr>
        <w:t xml:space="preserve">incorporate </w:t>
      </w:r>
      <w:r w:rsidR="00EA7660">
        <w:rPr>
          <w:rFonts w:asciiTheme="minorHAnsi" w:eastAsiaTheme="minorHAnsi" w:hAnsiTheme="minorHAnsi" w:cstheme="minorBidi"/>
          <w:noProof/>
          <w:snapToGrid/>
          <w:color w:val="000000"/>
          <w:sz w:val="24"/>
          <w:szCs w:val="24"/>
          <w:highlight w:val="black"/>
        </w:rPr>
        <w:t>'''''</w:t>
      </w:r>
      <w:r w:rsidR="00086138" w:rsidRPr="00277412">
        <w:rPr>
          <w:rFonts w:asciiTheme="minorHAnsi" w:eastAsiaTheme="minorHAnsi" w:hAnsiTheme="minorHAnsi" w:cstheme="minorBidi"/>
          <w:snapToGrid/>
          <w:sz w:val="24"/>
          <w:szCs w:val="24"/>
        </w:rPr>
        <w:t xml:space="preserve">% of patients </w:t>
      </w:r>
      <w:r w:rsidRPr="00277412">
        <w:rPr>
          <w:rFonts w:asciiTheme="minorHAnsi" w:eastAsiaTheme="minorHAnsi" w:hAnsiTheme="minorHAnsi" w:cstheme="minorBidi"/>
          <w:snapToGrid/>
          <w:sz w:val="24"/>
          <w:szCs w:val="24"/>
        </w:rPr>
        <w:t>using</w:t>
      </w:r>
      <w:r w:rsidR="00086138" w:rsidRPr="00115B6A">
        <w:rPr>
          <w:rFonts w:asciiTheme="minorHAnsi" w:eastAsiaTheme="minorHAnsi" w:hAnsiTheme="minorHAnsi" w:cstheme="minorBidi"/>
          <w:snapToGrid/>
          <w:sz w:val="24"/>
          <w:szCs w:val="24"/>
        </w:rPr>
        <w:t xml:space="preserve"> the fortnightly dosing regimen</w:t>
      </w:r>
      <w:r w:rsidR="002E2277" w:rsidRPr="00115B6A">
        <w:rPr>
          <w:rFonts w:asciiTheme="minorHAnsi" w:eastAsiaTheme="minorHAnsi" w:hAnsiTheme="minorHAnsi" w:cstheme="minorBidi"/>
          <w:snapToGrid/>
          <w:sz w:val="24"/>
          <w:szCs w:val="24"/>
        </w:rPr>
        <w:t xml:space="preserve">, </w:t>
      </w:r>
      <w:r w:rsidRPr="00115B6A">
        <w:rPr>
          <w:rFonts w:asciiTheme="minorHAnsi" w:eastAsiaTheme="minorHAnsi" w:hAnsiTheme="minorHAnsi" w:cstheme="minorBidi"/>
          <w:snapToGrid/>
          <w:sz w:val="24"/>
          <w:szCs w:val="24"/>
        </w:rPr>
        <w:t xml:space="preserve">which it </w:t>
      </w:r>
      <w:r w:rsidR="00201C5E" w:rsidRPr="00115B6A">
        <w:rPr>
          <w:rFonts w:asciiTheme="minorHAnsi" w:eastAsiaTheme="minorHAnsi" w:hAnsiTheme="minorHAnsi" w:cstheme="minorBidi"/>
          <w:snapToGrid/>
          <w:sz w:val="24"/>
          <w:szCs w:val="24"/>
        </w:rPr>
        <w:t>not</w:t>
      </w:r>
      <w:r w:rsidRPr="00115B6A">
        <w:rPr>
          <w:rFonts w:asciiTheme="minorHAnsi" w:eastAsiaTheme="minorHAnsi" w:hAnsiTheme="minorHAnsi" w:cstheme="minorBidi"/>
          <w:snapToGrid/>
          <w:sz w:val="24"/>
          <w:szCs w:val="24"/>
        </w:rPr>
        <w:t>ed was</w:t>
      </w:r>
      <w:r w:rsidR="002E2277" w:rsidRPr="00115B6A">
        <w:rPr>
          <w:rFonts w:asciiTheme="minorHAnsi" w:eastAsiaTheme="minorHAnsi" w:hAnsiTheme="minorHAnsi" w:cstheme="minorBidi"/>
          <w:snapToGrid/>
          <w:sz w:val="24"/>
          <w:szCs w:val="24"/>
        </w:rPr>
        <w:t xml:space="preserve"> equivalent to </w:t>
      </w:r>
      <w:r w:rsidR="00EA7660">
        <w:rPr>
          <w:rFonts w:asciiTheme="minorHAnsi" w:eastAsiaTheme="minorHAnsi" w:hAnsiTheme="minorHAnsi" w:cstheme="minorBidi"/>
          <w:noProof/>
          <w:snapToGrid/>
          <w:color w:val="000000"/>
          <w:sz w:val="24"/>
          <w:szCs w:val="24"/>
          <w:highlight w:val="black"/>
        </w:rPr>
        <w:t>''''''</w:t>
      </w:r>
      <w:r w:rsidR="00277412" w:rsidRPr="00277412">
        <w:rPr>
          <w:rFonts w:asciiTheme="minorHAnsi" w:eastAsiaTheme="minorHAnsi" w:hAnsiTheme="minorHAnsi" w:cstheme="minorBidi"/>
          <w:snapToGrid/>
          <w:sz w:val="24"/>
          <w:szCs w:val="24"/>
        </w:rPr>
        <w:t xml:space="preserve">% </w:t>
      </w:r>
      <w:r w:rsidR="002E2277" w:rsidRPr="00277412">
        <w:rPr>
          <w:rFonts w:asciiTheme="minorHAnsi" w:eastAsiaTheme="minorHAnsi" w:hAnsiTheme="minorHAnsi" w:cstheme="minorBidi"/>
          <w:snapToGrid/>
          <w:sz w:val="24"/>
          <w:szCs w:val="24"/>
        </w:rPr>
        <w:t>of</w:t>
      </w:r>
      <w:r w:rsidR="002E2277" w:rsidRPr="00115B6A">
        <w:rPr>
          <w:rFonts w:asciiTheme="minorHAnsi" w:eastAsiaTheme="minorHAnsi" w:hAnsiTheme="minorHAnsi" w:cstheme="minorBidi"/>
          <w:snapToGrid/>
          <w:sz w:val="24"/>
          <w:szCs w:val="24"/>
        </w:rPr>
        <w:t xml:space="preserve"> patients us</w:t>
      </w:r>
      <w:r w:rsidRPr="00115B6A">
        <w:rPr>
          <w:rFonts w:asciiTheme="minorHAnsi" w:eastAsiaTheme="minorHAnsi" w:hAnsiTheme="minorHAnsi" w:cstheme="minorBidi"/>
          <w:snapToGrid/>
          <w:sz w:val="24"/>
          <w:szCs w:val="24"/>
        </w:rPr>
        <w:t>ing</w:t>
      </w:r>
      <w:r w:rsidR="002E2277" w:rsidRPr="00115B6A">
        <w:rPr>
          <w:rFonts w:asciiTheme="minorHAnsi" w:eastAsiaTheme="minorHAnsi" w:hAnsiTheme="minorHAnsi" w:cstheme="minorBidi"/>
          <w:snapToGrid/>
          <w:sz w:val="24"/>
          <w:szCs w:val="24"/>
        </w:rPr>
        <w:t xml:space="preserve"> weekly dosing for 6 months followed by fortnightly dosing for the latter 6 months</w:t>
      </w:r>
      <w:r w:rsidR="00086138" w:rsidRPr="00115B6A">
        <w:rPr>
          <w:rFonts w:asciiTheme="minorHAnsi" w:eastAsiaTheme="minorHAnsi" w:hAnsiTheme="minorHAnsi" w:cstheme="minorBidi"/>
          <w:snapToGrid/>
          <w:sz w:val="24"/>
          <w:szCs w:val="24"/>
        </w:rPr>
        <w:t>.</w:t>
      </w:r>
    </w:p>
    <w:p w:rsidR="00FC3221" w:rsidRPr="00115B6A" w:rsidRDefault="00FC3221" w:rsidP="00D7750C">
      <w:pPr>
        <w:spacing w:before="120" w:after="120"/>
        <w:rPr>
          <w:rFonts w:asciiTheme="minorHAnsi" w:eastAsiaTheme="minorHAnsi" w:hAnsiTheme="minorHAnsi" w:cstheme="minorBidi"/>
          <w:u w:val="single"/>
          <w:lang w:eastAsia="en-US"/>
        </w:rPr>
      </w:pPr>
      <w:r w:rsidRPr="00115B6A">
        <w:rPr>
          <w:rFonts w:asciiTheme="minorHAnsi" w:eastAsiaTheme="minorHAnsi" w:hAnsiTheme="minorHAnsi" w:cstheme="minorBidi"/>
          <w:u w:val="single"/>
          <w:lang w:eastAsia="en-US"/>
        </w:rPr>
        <w:t>Other changes to the financial estimates</w:t>
      </w:r>
    </w:p>
    <w:p w:rsidR="003B5EDD" w:rsidRPr="00115B6A" w:rsidRDefault="00FC3221" w:rsidP="00D7750C">
      <w:pPr>
        <w:pStyle w:val="ListParagraph"/>
        <w:numPr>
          <w:ilvl w:val="1"/>
          <w:numId w:val="14"/>
        </w:numPr>
        <w:spacing w:before="120" w:after="120"/>
        <w:contextualSpacing w:val="0"/>
        <w:rPr>
          <w:rFonts w:asciiTheme="minorHAnsi" w:eastAsiaTheme="minorHAnsi" w:hAnsiTheme="minorHAnsi" w:cstheme="minorBidi"/>
          <w:snapToGrid/>
          <w:sz w:val="24"/>
          <w:szCs w:val="24"/>
        </w:rPr>
      </w:pPr>
      <w:r w:rsidRPr="00115B6A">
        <w:rPr>
          <w:rFonts w:asciiTheme="minorHAnsi" w:eastAsiaTheme="minorHAnsi" w:hAnsiTheme="minorHAnsi" w:cstheme="minorBidi"/>
          <w:snapToGrid/>
          <w:sz w:val="24"/>
          <w:szCs w:val="24"/>
        </w:rPr>
        <w:t xml:space="preserve">Compared with the previous submission, </w:t>
      </w:r>
      <w:r w:rsidR="007E71EC" w:rsidRPr="00115B6A">
        <w:rPr>
          <w:rFonts w:asciiTheme="minorHAnsi" w:eastAsiaTheme="minorHAnsi" w:hAnsiTheme="minorHAnsi" w:cstheme="minorBidi"/>
          <w:snapToGrid/>
          <w:sz w:val="24"/>
          <w:szCs w:val="24"/>
        </w:rPr>
        <w:t>four</w:t>
      </w:r>
      <w:r w:rsidR="003B5EDD" w:rsidRPr="00115B6A">
        <w:rPr>
          <w:rFonts w:asciiTheme="minorHAnsi" w:eastAsiaTheme="minorHAnsi" w:hAnsiTheme="minorHAnsi" w:cstheme="minorBidi"/>
          <w:snapToGrid/>
          <w:sz w:val="24"/>
          <w:szCs w:val="24"/>
        </w:rPr>
        <w:t xml:space="preserve"> other </w:t>
      </w:r>
      <w:r w:rsidRPr="00115B6A">
        <w:rPr>
          <w:rFonts w:asciiTheme="minorHAnsi" w:eastAsiaTheme="minorHAnsi" w:hAnsiTheme="minorHAnsi" w:cstheme="minorBidi"/>
          <w:snapToGrid/>
          <w:sz w:val="24"/>
          <w:szCs w:val="24"/>
        </w:rPr>
        <w:t xml:space="preserve">changes were made to the </w:t>
      </w:r>
      <w:r w:rsidRPr="00115B6A">
        <w:rPr>
          <w:rFonts w:asciiTheme="minorHAnsi" w:eastAsiaTheme="minorHAnsi" w:hAnsiTheme="minorHAnsi" w:cstheme="minorBidi"/>
          <w:snapToGrid/>
          <w:sz w:val="24"/>
          <w:szCs w:val="24"/>
        </w:rPr>
        <w:lastRenderedPageBreak/>
        <w:t>financial estimates</w:t>
      </w:r>
      <w:r w:rsidR="003B5EDD" w:rsidRPr="00115B6A">
        <w:rPr>
          <w:rFonts w:asciiTheme="minorHAnsi" w:eastAsiaTheme="minorHAnsi" w:hAnsiTheme="minorHAnsi" w:cstheme="minorBidi"/>
          <w:snapToGrid/>
          <w:sz w:val="24"/>
          <w:szCs w:val="24"/>
        </w:rPr>
        <w:t>:</w:t>
      </w:r>
    </w:p>
    <w:p w:rsidR="009446FD" w:rsidRPr="00115B6A" w:rsidRDefault="003B5EDD" w:rsidP="00D7750C">
      <w:pPr>
        <w:pStyle w:val="ListParagraph"/>
        <w:numPr>
          <w:ilvl w:val="2"/>
          <w:numId w:val="14"/>
        </w:numPr>
        <w:tabs>
          <w:tab w:val="left" w:pos="993"/>
          <w:tab w:val="left" w:pos="1276"/>
        </w:tabs>
        <w:spacing w:before="120" w:after="120"/>
        <w:ind w:left="1276" w:hanging="283"/>
        <w:contextualSpacing w:val="0"/>
        <w:rPr>
          <w:rFonts w:asciiTheme="minorHAnsi" w:eastAsiaTheme="minorHAnsi" w:hAnsiTheme="minorHAnsi" w:cstheme="minorBidi"/>
          <w:sz w:val="24"/>
          <w:szCs w:val="24"/>
        </w:rPr>
      </w:pPr>
      <w:r w:rsidRPr="00115B6A">
        <w:rPr>
          <w:rFonts w:asciiTheme="minorHAnsi" w:hAnsiTheme="minorHAnsi"/>
          <w:sz w:val="24"/>
          <w:szCs w:val="24"/>
        </w:rPr>
        <w:t>The incidence was</w:t>
      </w:r>
      <w:r w:rsidR="007E71EC" w:rsidRPr="00115B6A">
        <w:rPr>
          <w:rFonts w:asciiTheme="minorHAnsi" w:hAnsiTheme="minorHAnsi"/>
          <w:sz w:val="24"/>
          <w:szCs w:val="24"/>
        </w:rPr>
        <w:t xml:space="preserve"> </w:t>
      </w:r>
      <w:r w:rsidRPr="00115B6A">
        <w:rPr>
          <w:rFonts w:asciiTheme="minorHAnsi" w:hAnsiTheme="minorHAnsi"/>
          <w:sz w:val="24"/>
          <w:szCs w:val="24"/>
        </w:rPr>
        <w:t>re</w:t>
      </w:r>
      <w:r w:rsidR="00C84E1E" w:rsidRPr="00115B6A">
        <w:rPr>
          <w:rFonts w:asciiTheme="minorHAnsi" w:hAnsiTheme="minorHAnsi"/>
          <w:sz w:val="24"/>
          <w:szCs w:val="24"/>
        </w:rPr>
        <w:t>duced</w:t>
      </w:r>
      <w:r w:rsidRPr="00115B6A">
        <w:rPr>
          <w:rFonts w:asciiTheme="minorHAnsi" w:hAnsiTheme="minorHAnsi"/>
          <w:sz w:val="24"/>
          <w:szCs w:val="24"/>
        </w:rPr>
        <w:t xml:space="preserve"> from 12.73 to </w:t>
      </w:r>
      <w:r w:rsidR="00EA7660">
        <w:rPr>
          <w:rFonts w:asciiTheme="minorHAnsi" w:hAnsiTheme="minorHAnsi"/>
          <w:noProof/>
          <w:color w:val="000000"/>
          <w:sz w:val="24"/>
          <w:szCs w:val="24"/>
          <w:highlight w:val="black"/>
        </w:rPr>
        <w:t>'''''''</w:t>
      </w:r>
      <w:r w:rsidRPr="00115B6A">
        <w:rPr>
          <w:rFonts w:asciiTheme="minorHAnsi" w:hAnsiTheme="minorHAnsi"/>
          <w:sz w:val="24"/>
          <w:szCs w:val="24"/>
        </w:rPr>
        <w:t xml:space="preserve"> per 100,000 persons aged &gt;</w:t>
      </w:r>
      <w:r w:rsidR="00C72A6F" w:rsidRPr="00115B6A">
        <w:rPr>
          <w:rFonts w:asciiTheme="minorHAnsi" w:hAnsiTheme="minorHAnsi"/>
          <w:sz w:val="24"/>
          <w:szCs w:val="24"/>
        </w:rPr>
        <w:t xml:space="preserve"> </w:t>
      </w:r>
      <w:r w:rsidRPr="00115B6A">
        <w:rPr>
          <w:rFonts w:asciiTheme="minorHAnsi" w:hAnsiTheme="minorHAnsi"/>
          <w:sz w:val="24"/>
          <w:szCs w:val="24"/>
        </w:rPr>
        <w:t xml:space="preserve">50 years, consistent with PBAC’s previous advice. The revised incidence rate was based on a </w:t>
      </w:r>
      <w:r w:rsidRPr="00115B6A">
        <w:rPr>
          <w:rFonts w:asciiTheme="minorHAnsi" w:eastAsiaTheme="minorHAnsi" w:hAnsiTheme="minorHAnsi" w:cstheme="minorBidi"/>
          <w:snapToGrid/>
          <w:sz w:val="24"/>
          <w:szCs w:val="24"/>
        </w:rPr>
        <w:t xml:space="preserve">sensitivity analysis provided in the November 2018 pre-PBAC response which </w:t>
      </w:r>
      <w:r w:rsidR="00C72A6F" w:rsidRPr="00115B6A">
        <w:rPr>
          <w:rFonts w:asciiTheme="minorHAnsi" w:eastAsiaTheme="minorHAnsi" w:hAnsiTheme="minorHAnsi" w:cstheme="minorBidi"/>
          <w:snapToGrid/>
          <w:sz w:val="24"/>
          <w:szCs w:val="24"/>
        </w:rPr>
        <w:t xml:space="preserve">had </w:t>
      </w:r>
      <w:r w:rsidRPr="00115B6A">
        <w:rPr>
          <w:rFonts w:asciiTheme="minorHAnsi" w:eastAsiaTheme="minorHAnsi" w:hAnsiTheme="minorHAnsi" w:cstheme="minorBidi"/>
          <w:snapToGrid/>
          <w:sz w:val="24"/>
          <w:szCs w:val="24"/>
        </w:rPr>
        <w:t xml:space="preserve">used an incidence rate </w:t>
      </w:r>
      <w:r w:rsidR="00EA7660">
        <w:rPr>
          <w:rFonts w:asciiTheme="minorHAnsi" w:eastAsiaTheme="minorHAnsi" w:hAnsiTheme="minorHAnsi" w:cstheme="minorBidi"/>
          <w:noProof/>
          <w:snapToGrid/>
          <w:color w:val="000000"/>
          <w:sz w:val="24"/>
          <w:szCs w:val="24"/>
          <w:highlight w:val="black"/>
        </w:rPr>
        <w:t>''''''''''</w:t>
      </w:r>
      <w:r w:rsidRPr="00115B6A">
        <w:rPr>
          <w:rFonts w:asciiTheme="minorHAnsi" w:eastAsiaTheme="minorHAnsi" w:hAnsiTheme="minorHAnsi" w:cstheme="minorBidi"/>
          <w:snapToGrid/>
          <w:sz w:val="24"/>
          <w:szCs w:val="24"/>
        </w:rPr>
        <w:t xml:space="preserve"> that reported in Dunstan 2014 (resulting in an incidence of </w:t>
      </w:r>
      <w:r w:rsidR="00EA7660">
        <w:rPr>
          <w:rFonts w:asciiTheme="minorHAnsi" w:eastAsiaTheme="minorHAnsi" w:hAnsiTheme="minorHAnsi" w:cstheme="minorBidi"/>
          <w:noProof/>
          <w:snapToGrid/>
          <w:color w:val="000000"/>
          <w:sz w:val="24"/>
          <w:szCs w:val="24"/>
          <w:highlight w:val="black"/>
        </w:rPr>
        <w:t>''''''</w:t>
      </w:r>
      <w:r w:rsidRPr="00115B6A">
        <w:rPr>
          <w:rFonts w:asciiTheme="minorHAnsi" w:eastAsiaTheme="minorHAnsi" w:hAnsiTheme="minorHAnsi" w:cstheme="minorBidi"/>
          <w:snapToGrid/>
          <w:sz w:val="24"/>
          <w:szCs w:val="24"/>
        </w:rPr>
        <w:t xml:space="preserve"> per 100,000 persons aged &gt;50 years). Th</w:t>
      </w:r>
      <w:r w:rsidR="009446FD" w:rsidRPr="00115B6A">
        <w:rPr>
          <w:rFonts w:asciiTheme="minorHAnsi" w:eastAsiaTheme="minorHAnsi" w:hAnsiTheme="minorHAnsi" w:cstheme="minorBidi"/>
          <w:snapToGrid/>
          <w:sz w:val="24"/>
          <w:szCs w:val="24"/>
        </w:rPr>
        <w:t xml:space="preserve">e previous </w:t>
      </w:r>
      <w:r w:rsidRPr="00115B6A">
        <w:rPr>
          <w:rFonts w:asciiTheme="minorHAnsi" w:eastAsiaTheme="minorHAnsi" w:hAnsiTheme="minorHAnsi" w:cstheme="minorBidi"/>
          <w:snapToGrid/>
          <w:sz w:val="24"/>
          <w:szCs w:val="24"/>
        </w:rPr>
        <w:t xml:space="preserve">submission </w:t>
      </w:r>
      <w:r w:rsidR="009446FD" w:rsidRPr="00115B6A">
        <w:rPr>
          <w:rFonts w:asciiTheme="minorHAnsi" w:eastAsiaTheme="minorHAnsi" w:hAnsiTheme="minorHAnsi" w:cstheme="minorBidi"/>
          <w:snapToGrid/>
          <w:sz w:val="24"/>
          <w:szCs w:val="24"/>
        </w:rPr>
        <w:t xml:space="preserve">had </w:t>
      </w:r>
      <w:proofErr w:type="gramStart"/>
      <w:r w:rsidR="00115B6A" w:rsidRPr="00115B6A">
        <w:rPr>
          <w:rFonts w:asciiTheme="minorHAnsi" w:eastAsiaTheme="minorHAnsi" w:hAnsiTheme="minorHAnsi" w:cstheme="minorBidi"/>
          <w:snapToGrid/>
          <w:sz w:val="24"/>
          <w:szCs w:val="24"/>
        </w:rPr>
        <w:t>stated</w:t>
      </w:r>
      <w:proofErr w:type="gramEnd"/>
      <w:r w:rsidR="00C84E1E" w:rsidRPr="00115B6A">
        <w:rPr>
          <w:rFonts w:asciiTheme="minorHAnsi" w:eastAsiaTheme="minorHAnsi" w:hAnsiTheme="minorHAnsi" w:cstheme="minorBidi"/>
          <w:snapToGrid/>
          <w:sz w:val="24"/>
          <w:szCs w:val="24"/>
        </w:rPr>
        <w:t xml:space="preserve"> </w:t>
      </w:r>
      <w:r w:rsidRPr="00115B6A">
        <w:rPr>
          <w:rFonts w:asciiTheme="minorHAnsi" w:eastAsiaTheme="minorHAnsi" w:hAnsiTheme="minorHAnsi" w:cstheme="minorBidi"/>
          <w:snapToGrid/>
          <w:sz w:val="24"/>
          <w:szCs w:val="24"/>
        </w:rPr>
        <w:t>“</w:t>
      </w:r>
      <w:r w:rsidR="009446FD" w:rsidRPr="00115B6A">
        <w:rPr>
          <w:rFonts w:asciiTheme="minorHAnsi" w:eastAsiaTheme="minorHAnsi" w:hAnsiTheme="minorHAnsi" w:cstheme="minorBidi"/>
          <w:snapToGrid/>
          <w:sz w:val="24"/>
          <w:szCs w:val="24"/>
        </w:rPr>
        <w:t>d</w:t>
      </w:r>
      <w:r w:rsidRPr="00115B6A">
        <w:rPr>
          <w:rFonts w:asciiTheme="minorHAnsi" w:eastAsiaTheme="minorHAnsi" w:hAnsiTheme="minorHAnsi" w:cstheme="minorBidi"/>
          <w:snapToGrid/>
          <w:sz w:val="24"/>
          <w:szCs w:val="24"/>
        </w:rPr>
        <w:t>iscussion with Roche’s advisory board supported the incidence being considered low and consensus was that a more realistic estimate was to “</w:t>
      </w:r>
      <w:r w:rsidR="00EA7660">
        <w:rPr>
          <w:rFonts w:asciiTheme="minorHAnsi" w:eastAsiaTheme="minorHAnsi" w:hAnsiTheme="minorHAnsi" w:cstheme="minorBidi"/>
          <w:noProof/>
          <w:snapToGrid/>
          <w:color w:val="000000"/>
          <w:sz w:val="24"/>
          <w:szCs w:val="24"/>
          <w:highlight w:val="black"/>
        </w:rPr>
        <w:t>'''''''''</w:t>
      </w:r>
      <w:r w:rsidRPr="00115B6A">
        <w:rPr>
          <w:rFonts w:asciiTheme="minorHAnsi" w:eastAsiaTheme="minorHAnsi" w:hAnsiTheme="minorHAnsi" w:cstheme="minorBidi"/>
          <w:snapToGrid/>
          <w:sz w:val="24"/>
          <w:szCs w:val="24"/>
        </w:rPr>
        <w:t>” the incidence reported by Dunstan.”</w:t>
      </w:r>
      <w:r w:rsidR="009446FD" w:rsidRPr="00115B6A">
        <w:rPr>
          <w:rFonts w:asciiTheme="minorHAnsi" w:eastAsiaTheme="minorHAnsi" w:hAnsiTheme="minorHAnsi" w:cstheme="minorBidi"/>
          <w:snapToGrid/>
          <w:sz w:val="24"/>
          <w:szCs w:val="24"/>
        </w:rPr>
        <w:t xml:space="preserve"> </w:t>
      </w:r>
      <w:r w:rsidR="009446FD" w:rsidRPr="00115B6A">
        <w:rPr>
          <w:rFonts w:asciiTheme="minorHAnsi" w:eastAsiaTheme="minorHAnsi" w:hAnsiTheme="minorHAnsi" w:cstheme="minorBidi"/>
          <w:sz w:val="24"/>
          <w:szCs w:val="24"/>
        </w:rPr>
        <w:t>(Paragraph 7.65</w:t>
      </w:r>
      <w:r w:rsidR="00C84E1E" w:rsidRPr="00115B6A">
        <w:rPr>
          <w:rFonts w:asciiTheme="minorHAnsi" w:eastAsiaTheme="minorHAnsi" w:hAnsiTheme="minorHAnsi" w:cstheme="minorBidi"/>
          <w:sz w:val="24"/>
          <w:szCs w:val="24"/>
        </w:rPr>
        <w:t>,</w:t>
      </w:r>
      <w:r w:rsidR="009446FD" w:rsidRPr="00115B6A">
        <w:rPr>
          <w:rFonts w:asciiTheme="minorHAnsi" w:eastAsiaTheme="minorHAnsi" w:hAnsiTheme="minorHAnsi" w:cstheme="minorBidi"/>
          <w:sz w:val="24"/>
          <w:szCs w:val="24"/>
        </w:rPr>
        <w:t xml:space="preserve"> </w:t>
      </w:r>
      <w:proofErr w:type="spellStart"/>
      <w:r w:rsidR="009446FD" w:rsidRPr="00115B6A">
        <w:rPr>
          <w:rFonts w:asciiTheme="minorHAnsi" w:eastAsiaTheme="minorHAnsi" w:hAnsiTheme="minorHAnsi" w:cstheme="minorBidi"/>
          <w:sz w:val="24"/>
          <w:szCs w:val="24"/>
        </w:rPr>
        <w:t>Tocilizumab</w:t>
      </w:r>
      <w:proofErr w:type="spellEnd"/>
      <w:r w:rsidR="009446FD" w:rsidRPr="00115B6A">
        <w:rPr>
          <w:rFonts w:asciiTheme="minorHAnsi" w:eastAsiaTheme="minorHAnsi" w:hAnsiTheme="minorHAnsi" w:cstheme="minorBidi"/>
          <w:sz w:val="24"/>
          <w:szCs w:val="24"/>
        </w:rPr>
        <w:t xml:space="preserve"> November 2018 PBAC </w:t>
      </w:r>
      <w:r w:rsidR="000553AB">
        <w:rPr>
          <w:rFonts w:asciiTheme="minorHAnsi" w:eastAsiaTheme="minorHAnsi" w:hAnsiTheme="minorHAnsi" w:cstheme="minorBidi"/>
          <w:sz w:val="24"/>
          <w:szCs w:val="24"/>
        </w:rPr>
        <w:t>PSD</w:t>
      </w:r>
      <w:r w:rsidR="009446FD" w:rsidRPr="00115B6A">
        <w:rPr>
          <w:rFonts w:asciiTheme="minorHAnsi" w:eastAsiaTheme="minorHAnsi" w:hAnsiTheme="minorHAnsi" w:cstheme="minorBidi"/>
          <w:sz w:val="24"/>
          <w:szCs w:val="24"/>
        </w:rPr>
        <w:t xml:space="preserve">). </w:t>
      </w:r>
      <w:r w:rsidR="00CE0E50" w:rsidRPr="00115B6A">
        <w:rPr>
          <w:rFonts w:asciiTheme="minorHAnsi" w:eastAsiaTheme="minorHAnsi" w:hAnsiTheme="minorHAnsi" w:cstheme="minorBidi"/>
          <w:sz w:val="24"/>
          <w:szCs w:val="24"/>
        </w:rPr>
        <w:t xml:space="preserve">The PBAC considered </w:t>
      </w:r>
      <w:r w:rsidR="006B3D16" w:rsidRPr="00115B6A">
        <w:rPr>
          <w:rFonts w:asciiTheme="minorHAnsi" w:eastAsiaTheme="minorHAnsi" w:hAnsiTheme="minorHAnsi" w:cstheme="minorBidi"/>
          <w:sz w:val="24"/>
          <w:szCs w:val="24"/>
        </w:rPr>
        <w:t xml:space="preserve">that </w:t>
      </w:r>
      <w:r w:rsidR="00CE0E50" w:rsidRPr="00115B6A">
        <w:rPr>
          <w:rFonts w:asciiTheme="minorHAnsi" w:eastAsiaTheme="minorHAnsi" w:hAnsiTheme="minorHAnsi" w:cstheme="minorBidi"/>
          <w:sz w:val="24"/>
          <w:szCs w:val="24"/>
        </w:rPr>
        <w:t xml:space="preserve">the incidence of </w:t>
      </w:r>
      <w:r w:rsidR="00EA7660">
        <w:rPr>
          <w:rFonts w:asciiTheme="minorHAnsi" w:eastAsiaTheme="minorHAnsi" w:hAnsiTheme="minorHAnsi" w:cstheme="minorBidi"/>
          <w:noProof/>
          <w:color w:val="000000"/>
          <w:sz w:val="24"/>
          <w:szCs w:val="24"/>
          <w:highlight w:val="black"/>
        </w:rPr>
        <w:t>''''''</w:t>
      </w:r>
      <w:r w:rsidR="00CE0E50" w:rsidRPr="00115B6A">
        <w:rPr>
          <w:rFonts w:asciiTheme="minorHAnsi" w:eastAsiaTheme="minorHAnsi" w:hAnsiTheme="minorHAnsi" w:cstheme="minorBidi"/>
          <w:sz w:val="24"/>
          <w:szCs w:val="24"/>
        </w:rPr>
        <w:t xml:space="preserve"> per 100,000 </w:t>
      </w:r>
      <w:r w:rsidR="006B3D16" w:rsidRPr="00115B6A">
        <w:rPr>
          <w:rFonts w:asciiTheme="minorHAnsi" w:eastAsiaTheme="minorHAnsi" w:hAnsiTheme="minorHAnsi" w:cstheme="minorBidi"/>
          <w:sz w:val="24"/>
          <w:szCs w:val="24"/>
        </w:rPr>
        <w:t>p</w:t>
      </w:r>
      <w:r w:rsidR="006B3D16" w:rsidRPr="00115B6A">
        <w:rPr>
          <w:rFonts w:asciiTheme="minorHAnsi" w:hAnsiTheme="minorHAnsi"/>
          <w:sz w:val="24"/>
          <w:szCs w:val="24"/>
        </w:rPr>
        <w:t>ersons aged &gt; 50 years, as used in the minor resubmission, was</w:t>
      </w:r>
      <w:r w:rsidR="00CE0E50" w:rsidRPr="00115B6A">
        <w:rPr>
          <w:rFonts w:asciiTheme="minorHAnsi" w:eastAsiaTheme="minorHAnsi" w:hAnsiTheme="minorHAnsi" w:cstheme="minorBidi"/>
          <w:sz w:val="24"/>
          <w:szCs w:val="24"/>
        </w:rPr>
        <w:t xml:space="preserve"> reasonable.</w:t>
      </w:r>
    </w:p>
    <w:p w:rsidR="003B5EDD" w:rsidRPr="00115B6A" w:rsidRDefault="003B5EDD" w:rsidP="00D7750C">
      <w:pPr>
        <w:pStyle w:val="ListParagraph"/>
        <w:numPr>
          <w:ilvl w:val="2"/>
          <w:numId w:val="14"/>
        </w:numPr>
        <w:tabs>
          <w:tab w:val="left" w:pos="993"/>
          <w:tab w:val="left" w:pos="1276"/>
        </w:tabs>
        <w:spacing w:before="120" w:after="120"/>
        <w:ind w:left="1276" w:hanging="283"/>
        <w:contextualSpacing w:val="0"/>
        <w:rPr>
          <w:rFonts w:asciiTheme="minorHAnsi" w:hAnsiTheme="minorHAnsi"/>
          <w:sz w:val="24"/>
          <w:szCs w:val="24"/>
        </w:rPr>
      </w:pPr>
      <w:r w:rsidRPr="00115B6A">
        <w:rPr>
          <w:rFonts w:asciiTheme="minorHAnsi" w:hAnsiTheme="minorHAnsi"/>
          <w:sz w:val="24"/>
          <w:szCs w:val="24"/>
        </w:rPr>
        <w:t xml:space="preserve">The compliance rate </w:t>
      </w:r>
      <w:r w:rsidR="007E71EC" w:rsidRPr="00115B6A">
        <w:rPr>
          <w:rFonts w:asciiTheme="minorHAnsi" w:hAnsiTheme="minorHAnsi"/>
          <w:sz w:val="24"/>
          <w:szCs w:val="24"/>
        </w:rPr>
        <w:t xml:space="preserve">was </w:t>
      </w:r>
      <w:r w:rsidRPr="00115B6A">
        <w:rPr>
          <w:rFonts w:asciiTheme="minorHAnsi" w:hAnsiTheme="minorHAnsi"/>
          <w:sz w:val="24"/>
          <w:szCs w:val="24"/>
        </w:rPr>
        <w:t xml:space="preserve">reduced from </w:t>
      </w:r>
      <w:proofErr w:type="gramStart"/>
      <w:r w:rsidR="00EA7660">
        <w:rPr>
          <w:rFonts w:asciiTheme="minorHAnsi" w:hAnsiTheme="minorHAnsi"/>
          <w:noProof/>
          <w:color w:val="000000"/>
          <w:sz w:val="24"/>
          <w:szCs w:val="24"/>
          <w:highlight w:val="black"/>
        </w:rPr>
        <w:t>''''''</w:t>
      </w:r>
      <w:r w:rsidRPr="00115B6A">
        <w:rPr>
          <w:rFonts w:asciiTheme="minorHAnsi" w:hAnsiTheme="minorHAnsi"/>
          <w:sz w:val="24"/>
          <w:szCs w:val="24"/>
        </w:rPr>
        <w:t>%</w:t>
      </w:r>
      <w:proofErr w:type="gramEnd"/>
      <w:r w:rsidRPr="00115B6A">
        <w:rPr>
          <w:rFonts w:asciiTheme="minorHAnsi" w:hAnsiTheme="minorHAnsi"/>
          <w:sz w:val="24"/>
          <w:szCs w:val="24"/>
        </w:rPr>
        <w:t xml:space="preserve"> in the previous submission to 85%</w:t>
      </w:r>
      <w:r w:rsidR="007E71EC" w:rsidRPr="00115B6A">
        <w:rPr>
          <w:rFonts w:asciiTheme="minorHAnsi" w:hAnsiTheme="minorHAnsi"/>
          <w:sz w:val="24"/>
          <w:szCs w:val="24"/>
        </w:rPr>
        <w:t xml:space="preserve"> </w:t>
      </w:r>
      <w:r w:rsidR="007E71EC" w:rsidRPr="00115B6A">
        <w:rPr>
          <w:rFonts w:asciiTheme="minorHAnsi" w:eastAsiaTheme="minorHAnsi" w:hAnsiTheme="minorHAnsi" w:cstheme="minorBidi"/>
          <w:snapToGrid/>
          <w:sz w:val="24"/>
          <w:szCs w:val="24"/>
        </w:rPr>
        <w:t>(based on usage in the trial),</w:t>
      </w:r>
      <w:r w:rsidRPr="00115B6A">
        <w:rPr>
          <w:rFonts w:asciiTheme="minorHAnsi" w:hAnsiTheme="minorHAnsi"/>
          <w:sz w:val="24"/>
          <w:szCs w:val="24"/>
        </w:rPr>
        <w:t xml:space="preserve"> consistent </w:t>
      </w:r>
      <w:r w:rsidR="007E71EC" w:rsidRPr="00115B6A">
        <w:rPr>
          <w:rFonts w:asciiTheme="minorHAnsi" w:hAnsiTheme="minorHAnsi"/>
          <w:sz w:val="24"/>
          <w:szCs w:val="24"/>
        </w:rPr>
        <w:t>with the PBAC’s previous advice (and consistent with the value used in the previous pre-PBAC response).</w:t>
      </w:r>
    </w:p>
    <w:p w:rsidR="007E71EC" w:rsidRPr="00115B6A" w:rsidRDefault="007E71EC" w:rsidP="00D7750C">
      <w:pPr>
        <w:pStyle w:val="ListParagraph"/>
        <w:numPr>
          <w:ilvl w:val="2"/>
          <w:numId w:val="14"/>
        </w:numPr>
        <w:tabs>
          <w:tab w:val="left" w:pos="993"/>
          <w:tab w:val="left" w:pos="1276"/>
        </w:tabs>
        <w:spacing w:before="120" w:after="120"/>
        <w:ind w:left="1276" w:hanging="283"/>
        <w:contextualSpacing w:val="0"/>
        <w:rPr>
          <w:rFonts w:asciiTheme="minorHAnsi" w:hAnsiTheme="minorHAnsi"/>
          <w:sz w:val="24"/>
          <w:szCs w:val="24"/>
        </w:rPr>
      </w:pPr>
      <w:r w:rsidRPr="00115B6A">
        <w:rPr>
          <w:rFonts w:asciiTheme="minorHAnsi" w:hAnsiTheme="minorHAnsi"/>
          <w:sz w:val="24"/>
          <w:szCs w:val="24"/>
        </w:rPr>
        <w:t xml:space="preserve">The uptake rate was reduced from 100% to </w:t>
      </w:r>
      <w:proofErr w:type="gramStart"/>
      <w:r w:rsidR="00EA7660">
        <w:rPr>
          <w:rFonts w:asciiTheme="minorHAnsi" w:hAnsiTheme="minorHAnsi"/>
          <w:noProof/>
          <w:color w:val="000000"/>
          <w:sz w:val="24"/>
          <w:szCs w:val="24"/>
          <w:highlight w:val="black"/>
        </w:rPr>
        <w:t>''''''</w:t>
      </w:r>
      <w:r w:rsidRPr="00115B6A">
        <w:rPr>
          <w:rFonts w:asciiTheme="minorHAnsi" w:hAnsiTheme="minorHAnsi"/>
          <w:sz w:val="24"/>
          <w:szCs w:val="24"/>
        </w:rPr>
        <w:t>%</w:t>
      </w:r>
      <w:proofErr w:type="gramEnd"/>
      <w:r w:rsidRPr="00115B6A">
        <w:rPr>
          <w:rFonts w:asciiTheme="minorHAnsi" w:hAnsiTheme="minorHAnsi"/>
          <w:sz w:val="24"/>
          <w:szCs w:val="24"/>
        </w:rPr>
        <w:t xml:space="preserve">, in response to the PBAC’s previous advice that a reduced uptake rate should be used. The minor resubmission stated the revised rate </w:t>
      </w:r>
      <w:proofErr w:type="gramStart"/>
      <w:r w:rsidRPr="00115B6A">
        <w:rPr>
          <w:rFonts w:asciiTheme="minorHAnsi" w:hAnsiTheme="minorHAnsi"/>
          <w:sz w:val="24"/>
          <w:szCs w:val="24"/>
        </w:rPr>
        <w:t>was based</w:t>
      </w:r>
      <w:proofErr w:type="gramEnd"/>
      <w:r w:rsidRPr="00115B6A">
        <w:rPr>
          <w:rFonts w:asciiTheme="minorHAnsi" w:hAnsiTheme="minorHAnsi"/>
          <w:sz w:val="24"/>
          <w:szCs w:val="24"/>
        </w:rPr>
        <w:t xml:space="preserve"> on clinician advice.</w:t>
      </w:r>
    </w:p>
    <w:p w:rsidR="007E71EC" w:rsidRPr="00115B6A" w:rsidRDefault="007E71EC" w:rsidP="00D7750C">
      <w:pPr>
        <w:pStyle w:val="ListParagraph"/>
        <w:numPr>
          <w:ilvl w:val="2"/>
          <w:numId w:val="14"/>
        </w:numPr>
        <w:tabs>
          <w:tab w:val="left" w:pos="993"/>
          <w:tab w:val="left" w:pos="1276"/>
        </w:tabs>
        <w:spacing w:before="120" w:after="120"/>
        <w:ind w:left="1276" w:hanging="283"/>
        <w:contextualSpacing w:val="0"/>
        <w:rPr>
          <w:rFonts w:asciiTheme="minorHAnsi" w:eastAsiaTheme="minorHAnsi" w:hAnsiTheme="minorHAnsi" w:cstheme="minorBidi"/>
          <w:snapToGrid/>
          <w:sz w:val="24"/>
          <w:szCs w:val="24"/>
        </w:rPr>
      </w:pPr>
      <w:r w:rsidRPr="00115B6A">
        <w:rPr>
          <w:rFonts w:asciiTheme="minorHAnsi" w:hAnsiTheme="minorHAnsi"/>
          <w:sz w:val="24"/>
          <w:szCs w:val="24"/>
        </w:rPr>
        <w:t xml:space="preserve">The price of </w:t>
      </w:r>
      <w:proofErr w:type="spellStart"/>
      <w:r w:rsidRPr="00115B6A">
        <w:rPr>
          <w:rFonts w:asciiTheme="minorHAnsi" w:hAnsiTheme="minorHAnsi"/>
          <w:sz w:val="24"/>
          <w:szCs w:val="24"/>
        </w:rPr>
        <w:t>tocilizumab</w:t>
      </w:r>
      <w:proofErr w:type="spellEnd"/>
      <w:r w:rsidRPr="00115B6A">
        <w:rPr>
          <w:rFonts w:asciiTheme="minorHAnsi" w:hAnsiTheme="minorHAnsi"/>
          <w:sz w:val="24"/>
          <w:szCs w:val="24"/>
        </w:rPr>
        <w:t xml:space="preserve"> was reduced (from an AEMP of $852.28 in the previous submission to $681.82) consistent with the current price of </w:t>
      </w:r>
      <w:proofErr w:type="spellStart"/>
      <w:r w:rsidRPr="00115B6A">
        <w:rPr>
          <w:rFonts w:asciiTheme="minorHAnsi" w:hAnsiTheme="minorHAnsi"/>
          <w:sz w:val="24"/>
          <w:szCs w:val="24"/>
        </w:rPr>
        <w:t>tocilizumab</w:t>
      </w:r>
      <w:proofErr w:type="spellEnd"/>
      <w:r w:rsidRPr="00115B6A">
        <w:rPr>
          <w:rFonts w:asciiTheme="minorHAnsi" w:hAnsiTheme="minorHAnsi"/>
          <w:sz w:val="24"/>
          <w:szCs w:val="24"/>
        </w:rPr>
        <w:t xml:space="preserve"> in rheumatoid arthritis (following a </w:t>
      </w:r>
      <w:r w:rsidR="00EA7660">
        <w:rPr>
          <w:rFonts w:asciiTheme="minorHAnsi" w:hAnsiTheme="minorHAnsi"/>
          <w:noProof/>
          <w:color w:val="000000"/>
          <w:sz w:val="24"/>
          <w:szCs w:val="24"/>
          <w:highlight w:val="black"/>
        </w:rPr>
        <w:t>'''''</w:t>
      </w:r>
      <w:r w:rsidRPr="00115B6A">
        <w:rPr>
          <w:rFonts w:asciiTheme="minorHAnsi" w:hAnsiTheme="minorHAnsi"/>
          <w:sz w:val="24"/>
          <w:szCs w:val="24"/>
        </w:rPr>
        <w:t>% statutory price reduction in th</w:t>
      </w:r>
      <w:r w:rsidR="00C72A6F" w:rsidRPr="00115B6A">
        <w:rPr>
          <w:rFonts w:asciiTheme="minorHAnsi" w:hAnsiTheme="minorHAnsi"/>
          <w:sz w:val="24"/>
          <w:szCs w:val="24"/>
        </w:rPr>
        <w:t xml:space="preserve">e rheumatoid arthritis </w:t>
      </w:r>
      <w:r w:rsidR="00F678ED" w:rsidRPr="00115B6A">
        <w:rPr>
          <w:rFonts w:asciiTheme="minorHAnsi" w:eastAsiaTheme="minorHAnsi" w:hAnsiTheme="minorHAnsi" w:cstheme="minorBidi"/>
          <w:snapToGrid/>
          <w:sz w:val="24"/>
          <w:szCs w:val="24"/>
        </w:rPr>
        <w:t>indication).</w:t>
      </w:r>
    </w:p>
    <w:p w:rsidR="007E71EC" w:rsidRPr="00115B6A" w:rsidRDefault="007E71EC" w:rsidP="00D7750C">
      <w:pPr>
        <w:pStyle w:val="ListParagraph"/>
        <w:widowControl/>
        <w:numPr>
          <w:ilvl w:val="1"/>
          <w:numId w:val="14"/>
        </w:numPr>
        <w:spacing w:before="120" w:after="120"/>
        <w:contextualSpacing w:val="0"/>
        <w:rPr>
          <w:rFonts w:asciiTheme="minorHAnsi" w:eastAsiaTheme="minorHAnsi" w:hAnsiTheme="minorHAnsi" w:cstheme="minorBidi"/>
          <w:i/>
          <w:snapToGrid/>
          <w:sz w:val="24"/>
          <w:szCs w:val="24"/>
        </w:rPr>
      </w:pPr>
      <w:r w:rsidRPr="00115B6A">
        <w:rPr>
          <w:rFonts w:asciiTheme="minorHAnsi" w:eastAsiaTheme="minorHAnsi" w:hAnsiTheme="minorHAnsi" w:cstheme="minorBidi"/>
          <w:snapToGrid/>
          <w:sz w:val="24"/>
          <w:szCs w:val="24"/>
        </w:rPr>
        <w:t>The net cost to the PBS/RPBS</w:t>
      </w:r>
      <w:r w:rsidR="00CF4FD3" w:rsidRPr="00115B6A">
        <w:rPr>
          <w:rFonts w:asciiTheme="minorHAnsi" w:eastAsiaTheme="minorHAnsi" w:hAnsiTheme="minorHAnsi" w:cstheme="minorBidi"/>
          <w:snapToGrid/>
          <w:sz w:val="24"/>
          <w:szCs w:val="24"/>
        </w:rPr>
        <w:t>/MBS</w:t>
      </w:r>
      <w:r w:rsidRPr="00115B6A">
        <w:rPr>
          <w:rFonts w:asciiTheme="minorHAnsi" w:eastAsiaTheme="minorHAnsi" w:hAnsiTheme="minorHAnsi" w:cstheme="minorBidi"/>
          <w:snapToGrid/>
          <w:sz w:val="24"/>
          <w:szCs w:val="24"/>
        </w:rPr>
        <w:t xml:space="preserve">, as estimated in the </w:t>
      </w:r>
      <w:r w:rsidR="00CF4FD3" w:rsidRPr="00115B6A">
        <w:rPr>
          <w:rFonts w:asciiTheme="minorHAnsi" w:eastAsiaTheme="minorHAnsi" w:hAnsiTheme="minorHAnsi" w:cstheme="minorBidi"/>
          <w:snapToGrid/>
          <w:sz w:val="24"/>
          <w:szCs w:val="24"/>
        </w:rPr>
        <w:t>minor re</w:t>
      </w:r>
      <w:r w:rsidRPr="00115B6A">
        <w:rPr>
          <w:rFonts w:asciiTheme="minorHAnsi" w:eastAsiaTheme="minorHAnsi" w:hAnsiTheme="minorHAnsi" w:cstheme="minorBidi"/>
          <w:snapToGrid/>
          <w:sz w:val="24"/>
          <w:szCs w:val="24"/>
        </w:rPr>
        <w:t xml:space="preserve">submission, </w:t>
      </w:r>
      <w:proofErr w:type="gramStart"/>
      <w:r w:rsidRPr="00115B6A">
        <w:rPr>
          <w:rFonts w:asciiTheme="minorHAnsi" w:eastAsiaTheme="minorHAnsi" w:hAnsiTheme="minorHAnsi" w:cstheme="minorBidi"/>
          <w:snapToGrid/>
          <w:sz w:val="24"/>
          <w:szCs w:val="24"/>
        </w:rPr>
        <w:t>is shown</w:t>
      </w:r>
      <w:proofErr w:type="gramEnd"/>
      <w:r w:rsidRPr="00115B6A">
        <w:rPr>
          <w:rFonts w:asciiTheme="minorHAnsi" w:eastAsiaTheme="minorHAnsi" w:hAnsiTheme="minorHAnsi" w:cstheme="minorBidi"/>
          <w:snapToGrid/>
          <w:sz w:val="24"/>
          <w:szCs w:val="24"/>
        </w:rPr>
        <w:t xml:space="preserve"> in Table </w:t>
      </w:r>
      <w:r w:rsidR="00305EA4" w:rsidRPr="00115B6A">
        <w:rPr>
          <w:rFonts w:asciiTheme="minorHAnsi" w:eastAsiaTheme="minorHAnsi" w:hAnsiTheme="minorHAnsi" w:cstheme="minorBidi"/>
          <w:snapToGrid/>
          <w:sz w:val="24"/>
          <w:szCs w:val="24"/>
        </w:rPr>
        <w:t>1</w:t>
      </w:r>
      <w:r w:rsidRPr="00115B6A">
        <w:rPr>
          <w:rFonts w:asciiTheme="minorHAnsi" w:eastAsiaTheme="minorHAnsi" w:hAnsiTheme="minorHAnsi" w:cstheme="minorBidi"/>
          <w:i/>
          <w:snapToGrid/>
          <w:sz w:val="24"/>
          <w:szCs w:val="24"/>
        </w:rPr>
        <w:t>.</w:t>
      </w:r>
    </w:p>
    <w:p w:rsidR="00086138" w:rsidRPr="00115B6A" w:rsidRDefault="00086138" w:rsidP="00AD2A3B">
      <w:pPr>
        <w:pStyle w:val="PBACHeading1"/>
        <w:keepNext/>
        <w:keepLines/>
        <w:numPr>
          <w:ilvl w:val="0"/>
          <w:numId w:val="0"/>
        </w:numPr>
        <w:outlineLvl w:val="9"/>
        <w:rPr>
          <w:rFonts w:ascii="Arial Narrow" w:hAnsi="Arial Narrow"/>
          <w:sz w:val="20"/>
          <w:szCs w:val="20"/>
        </w:rPr>
      </w:pPr>
      <w:r w:rsidRPr="00115B6A">
        <w:rPr>
          <w:rFonts w:ascii="Arial Narrow" w:hAnsi="Arial Narrow"/>
          <w:sz w:val="20"/>
          <w:szCs w:val="20"/>
        </w:rPr>
        <w:lastRenderedPageBreak/>
        <w:t xml:space="preserve">Table </w:t>
      </w:r>
      <w:r w:rsidR="00EB4AB9" w:rsidRPr="00115B6A">
        <w:rPr>
          <w:rFonts w:ascii="Arial Narrow" w:hAnsi="Arial Narrow"/>
          <w:sz w:val="20"/>
          <w:szCs w:val="20"/>
        </w:rPr>
        <w:t>2</w:t>
      </w:r>
      <w:r w:rsidRPr="00115B6A">
        <w:rPr>
          <w:rFonts w:ascii="Arial Narrow" w:hAnsi="Arial Narrow"/>
          <w:sz w:val="20"/>
          <w:szCs w:val="20"/>
        </w:rPr>
        <w:t>: Estimated utilisation and cost to the PBS</w:t>
      </w:r>
      <w:r w:rsidR="009F31BA" w:rsidRPr="00115B6A">
        <w:rPr>
          <w:rFonts w:ascii="Arial Narrow" w:hAnsi="Arial Narrow"/>
          <w:sz w:val="20"/>
          <w:szCs w:val="20"/>
        </w:rPr>
        <w:t>/RPBS</w:t>
      </w:r>
      <w:r w:rsidRPr="00115B6A">
        <w:rPr>
          <w:rFonts w:ascii="Arial Narrow" w:hAnsi="Arial Narrow"/>
          <w:sz w:val="20"/>
          <w:szCs w:val="20"/>
        </w:rPr>
        <w:t xml:space="preserve"> of listing </w:t>
      </w:r>
      <w:proofErr w:type="spellStart"/>
      <w:r w:rsidRPr="00115B6A">
        <w:rPr>
          <w:rFonts w:ascii="Arial Narrow" w:hAnsi="Arial Narrow"/>
          <w:sz w:val="20"/>
          <w:szCs w:val="20"/>
        </w:rPr>
        <w:t>tocilizumab</w:t>
      </w:r>
      <w:proofErr w:type="spellEnd"/>
      <w:r w:rsidRPr="00115B6A">
        <w:rPr>
          <w:rFonts w:ascii="Arial Narrow" w:hAnsi="Arial Narrow"/>
          <w:sz w:val="20"/>
          <w:szCs w:val="20"/>
        </w:rPr>
        <w:t xml:space="preserve"> for GCA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stimated utilisation and cost to the PBS/RPBS of listing tocilizumab for GCA "/>
      </w:tblPr>
      <w:tblGrid>
        <w:gridCol w:w="2701"/>
        <w:gridCol w:w="1052"/>
        <w:gridCol w:w="1054"/>
        <w:gridCol w:w="1052"/>
        <w:gridCol w:w="1054"/>
        <w:gridCol w:w="1052"/>
        <w:gridCol w:w="1055"/>
      </w:tblGrid>
      <w:tr w:rsidR="00086138" w:rsidRPr="00115B6A" w:rsidTr="00032303">
        <w:trPr>
          <w:tblHeader/>
        </w:trPr>
        <w:tc>
          <w:tcPr>
            <w:tcW w:w="1498" w:type="pct"/>
            <w:tcBorders>
              <w:left w:val="single" w:sz="4" w:space="0" w:color="auto"/>
              <w:bottom w:val="single" w:sz="4" w:space="0" w:color="auto"/>
            </w:tcBorders>
            <w:shd w:val="clear" w:color="auto" w:fill="auto"/>
            <w:vAlign w:val="center"/>
          </w:tcPr>
          <w:p w:rsidR="00086138" w:rsidRPr="00115B6A" w:rsidRDefault="00086138" w:rsidP="00914DD5">
            <w:pPr>
              <w:keepNext/>
              <w:keepLines/>
              <w:rPr>
                <w:rFonts w:ascii="Arial Narrow" w:eastAsia="Calibri" w:hAnsi="Arial Narrow"/>
                <w:sz w:val="20"/>
                <w:szCs w:val="20"/>
              </w:rPr>
            </w:pPr>
          </w:p>
        </w:tc>
        <w:tc>
          <w:tcPr>
            <w:tcW w:w="583" w:type="pct"/>
            <w:tcBorders>
              <w:bottom w:val="single" w:sz="4" w:space="0" w:color="auto"/>
            </w:tcBorders>
            <w:shd w:val="clear" w:color="auto" w:fill="auto"/>
            <w:vAlign w:val="center"/>
          </w:tcPr>
          <w:p w:rsidR="00086138" w:rsidRPr="00115B6A" w:rsidRDefault="00086138" w:rsidP="00914DD5">
            <w:pPr>
              <w:keepNext/>
              <w:keepLines/>
              <w:jc w:val="center"/>
              <w:rPr>
                <w:rFonts w:ascii="Arial Narrow" w:eastAsia="Calibri" w:hAnsi="Arial Narrow"/>
                <w:b/>
                <w:bCs/>
                <w:sz w:val="20"/>
                <w:szCs w:val="20"/>
              </w:rPr>
            </w:pPr>
            <w:r w:rsidRPr="00115B6A">
              <w:rPr>
                <w:rFonts w:ascii="Arial Narrow" w:eastAsia="Calibri" w:hAnsi="Arial Narrow"/>
                <w:b/>
                <w:bCs/>
                <w:sz w:val="20"/>
                <w:szCs w:val="20"/>
              </w:rPr>
              <w:t>Year 1</w:t>
            </w:r>
          </w:p>
        </w:tc>
        <w:tc>
          <w:tcPr>
            <w:tcW w:w="584" w:type="pct"/>
            <w:tcBorders>
              <w:bottom w:val="single" w:sz="4" w:space="0" w:color="auto"/>
            </w:tcBorders>
            <w:shd w:val="clear" w:color="auto" w:fill="auto"/>
            <w:vAlign w:val="center"/>
          </w:tcPr>
          <w:p w:rsidR="00086138" w:rsidRPr="00115B6A" w:rsidRDefault="00086138" w:rsidP="00914DD5">
            <w:pPr>
              <w:keepNext/>
              <w:keepLines/>
              <w:jc w:val="center"/>
              <w:rPr>
                <w:rFonts w:ascii="Arial Narrow" w:eastAsia="Calibri" w:hAnsi="Arial Narrow"/>
                <w:b/>
                <w:bCs/>
                <w:sz w:val="20"/>
                <w:szCs w:val="20"/>
              </w:rPr>
            </w:pPr>
            <w:r w:rsidRPr="00115B6A">
              <w:rPr>
                <w:rFonts w:ascii="Arial Narrow" w:eastAsia="Calibri" w:hAnsi="Arial Narrow"/>
                <w:b/>
                <w:bCs/>
                <w:sz w:val="20"/>
                <w:szCs w:val="20"/>
              </w:rPr>
              <w:t>Year 2</w:t>
            </w:r>
          </w:p>
        </w:tc>
        <w:tc>
          <w:tcPr>
            <w:tcW w:w="583" w:type="pct"/>
            <w:tcBorders>
              <w:bottom w:val="single" w:sz="4" w:space="0" w:color="auto"/>
            </w:tcBorders>
            <w:shd w:val="clear" w:color="auto" w:fill="auto"/>
            <w:vAlign w:val="center"/>
          </w:tcPr>
          <w:p w:rsidR="00086138" w:rsidRPr="00115B6A" w:rsidRDefault="00086138" w:rsidP="00914DD5">
            <w:pPr>
              <w:keepNext/>
              <w:keepLines/>
              <w:jc w:val="center"/>
              <w:rPr>
                <w:rFonts w:ascii="Arial Narrow" w:eastAsia="Calibri" w:hAnsi="Arial Narrow"/>
                <w:b/>
                <w:bCs/>
                <w:sz w:val="20"/>
                <w:szCs w:val="20"/>
              </w:rPr>
            </w:pPr>
            <w:r w:rsidRPr="00115B6A">
              <w:rPr>
                <w:rFonts w:ascii="Arial Narrow" w:eastAsia="Calibri" w:hAnsi="Arial Narrow"/>
                <w:b/>
                <w:bCs/>
                <w:sz w:val="20"/>
                <w:szCs w:val="20"/>
              </w:rPr>
              <w:t>Year 3</w:t>
            </w:r>
          </w:p>
        </w:tc>
        <w:tc>
          <w:tcPr>
            <w:tcW w:w="584" w:type="pct"/>
            <w:tcBorders>
              <w:bottom w:val="single" w:sz="4" w:space="0" w:color="auto"/>
            </w:tcBorders>
            <w:shd w:val="clear" w:color="auto" w:fill="auto"/>
            <w:vAlign w:val="center"/>
          </w:tcPr>
          <w:p w:rsidR="00086138" w:rsidRPr="00115B6A" w:rsidRDefault="00086138" w:rsidP="00914DD5">
            <w:pPr>
              <w:keepNext/>
              <w:keepLines/>
              <w:jc w:val="center"/>
              <w:rPr>
                <w:rFonts w:ascii="Arial Narrow" w:eastAsia="Calibri" w:hAnsi="Arial Narrow"/>
                <w:b/>
                <w:bCs/>
                <w:sz w:val="20"/>
                <w:szCs w:val="20"/>
              </w:rPr>
            </w:pPr>
            <w:r w:rsidRPr="00115B6A">
              <w:rPr>
                <w:rFonts w:ascii="Arial Narrow" w:eastAsia="Calibri" w:hAnsi="Arial Narrow"/>
                <w:b/>
                <w:bCs/>
                <w:sz w:val="20"/>
                <w:szCs w:val="20"/>
              </w:rPr>
              <w:t>Year 4</w:t>
            </w:r>
          </w:p>
        </w:tc>
        <w:tc>
          <w:tcPr>
            <w:tcW w:w="583" w:type="pct"/>
            <w:tcBorders>
              <w:bottom w:val="single" w:sz="4" w:space="0" w:color="auto"/>
              <w:right w:val="single" w:sz="4" w:space="0" w:color="auto"/>
            </w:tcBorders>
            <w:shd w:val="clear" w:color="auto" w:fill="auto"/>
            <w:vAlign w:val="center"/>
          </w:tcPr>
          <w:p w:rsidR="00086138" w:rsidRPr="00115B6A" w:rsidRDefault="00086138" w:rsidP="00914DD5">
            <w:pPr>
              <w:keepNext/>
              <w:keepLines/>
              <w:jc w:val="center"/>
              <w:rPr>
                <w:rFonts w:ascii="Arial Narrow" w:eastAsia="Calibri" w:hAnsi="Arial Narrow"/>
                <w:b/>
                <w:bCs/>
                <w:sz w:val="20"/>
                <w:szCs w:val="20"/>
              </w:rPr>
            </w:pPr>
            <w:r w:rsidRPr="00115B6A">
              <w:rPr>
                <w:rFonts w:ascii="Arial Narrow" w:eastAsia="Calibri" w:hAnsi="Arial Narrow"/>
                <w:b/>
                <w:bCs/>
                <w:sz w:val="20"/>
                <w:szCs w:val="20"/>
              </w:rPr>
              <w:t xml:space="preserve">Year 5 </w:t>
            </w:r>
          </w:p>
        </w:tc>
        <w:tc>
          <w:tcPr>
            <w:tcW w:w="584" w:type="pct"/>
            <w:tcBorders>
              <w:bottom w:val="single" w:sz="4" w:space="0" w:color="auto"/>
              <w:right w:val="single" w:sz="4" w:space="0" w:color="auto"/>
            </w:tcBorders>
            <w:vAlign w:val="center"/>
          </w:tcPr>
          <w:p w:rsidR="00086138" w:rsidRPr="00115B6A" w:rsidRDefault="00086138" w:rsidP="00914DD5">
            <w:pPr>
              <w:keepNext/>
              <w:keepLines/>
              <w:jc w:val="center"/>
              <w:rPr>
                <w:rFonts w:ascii="Arial Narrow" w:eastAsia="Calibri" w:hAnsi="Arial Narrow"/>
                <w:b/>
                <w:bCs/>
                <w:sz w:val="20"/>
                <w:szCs w:val="20"/>
              </w:rPr>
            </w:pPr>
            <w:r w:rsidRPr="00115B6A">
              <w:rPr>
                <w:rFonts w:ascii="Arial Narrow" w:eastAsia="Calibri" w:hAnsi="Arial Narrow"/>
                <w:b/>
                <w:bCs/>
                <w:sz w:val="20"/>
                <w:szCs w:val="20"/>
              </w:rPr>
              <w:t xml:space="preserve">Year 6 </w:t>
            </w:r>
          </w:p>
        </w:tc>
      </w:tr>
      <w:tr w:rsidR="00086138" w:rsidRPr="00115B6A" w:rsidTr="00032303">
        <w:tc>
          <w:tcPr>
            <w:tcW w:w="1498" w:type="pct"/>
            <w:tcBorders>
              <w:left w:val="single" w:sz="4" w:space="0" w:color="auto"/>
            </w:tcBorders>
            <w:shd w:val="clear" w:color="auto" w:fill="auto"/>
            <w:vAlign w:val="center"/>
          </w:tcPr>
          <w:p w:rsidR="00086138" w:rsidRPr="00115B6A" w:rsidRDefault="009F31BA" w:rsidP="00914DD5">
            <w:pPr>
              <w:keepNext/>
              <w:keepLines/>
              <w:rPr>
                <w:rFonts w:ascii="Arial Narrow" w:eastAsia="Calibri" w:hAnsi="Arial Narrow"/>
                <w:sz w:val="20"/>
                <w:szCs w:val="20"/>
              </w:rPr>
            </w:pPr>
            <w:r w:rsidRPr="00115B6A">
              <w:rPr>
                <w:rFonts w:ascii="Arial Narrow" w:eastAsia="Calibri" w:hAnsi="Arial Narrow"/>
                <w:sz w:val="20"/>
                <w:szCs w:val="20"/>
              </w:rPr>
              <w:t xml:space="preserve">Incident </w:t>
            </w:r>
            <w:r w:rsidR="00086138" w:rsidRPr="00115B6A">
              <w:rPr>
                <w:rFonts w:ascii="Arial Narrow" w:eastAsia="Calibri" w:hAnsi="Arial Narrow"/>
                <w:sz w:val="20"/>
                <w:szCs w:val="20"/>
              </w:rPr>
              <w:t xml:space="preserve">GCA patients </w:t>
            </w:r>
          </w:p>
        </w:tc>
        <w:tc>
          <w:tcPr>
            <w:tcW w:w="583" w:type="pct"/>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tcBorders>
              <w:right w:val="single" w:sz="4" w:space="0" w:color="auto"/>
            </w:tcBorders>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tcBorders>
              <w:right w:val="single" w:sz="4" w:space="0" w:color="auto"/>
            </w:tcBorders>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57F09" w:rsidRPr="00115B6A" w:rsidTr="00032303">
        <w:tc>
          <w:tcPr>
            <w:tcW w:w="1498" w:type="pct"/>
            <w:tcBorders>
              <w:left w:val="single" w:sz="4" w:space="0" w:color="auto"/>
            </w:tcBorders>
            <w:shd w:val="clear" w:color="auto" w:fill="auto"/>
            <w:vAlign w:val="center"/>
          </w:tcPr>
          <w:p w:rsidR="00F57F09" w:rsidRPr="00115B6A" w:rsidDel="009F31BA" w:rsidRDefault="00451011" w:rsidP="00F57F09">
            <w:pPr>
              <w:keepNext/>
              <w:keepLines/>
              <w:rPr>
                <w:rFonts w:ascii="Arial Narrow" w:eastAsia="Calibri" w:hAnsi="Arial Narrow"/>
                <w:sz w:val="20"/>
                <w:szCs w:val="20"/>
                <w:vertAlign w:val="superscript"/>
              </w:rPr>
            </w:pPr>
            <w:r w:rsidRPr="00115B6A">
              <w:rPr>
                <w:rFonts w:ascii="Arial Narrow" w:eastAsia="Calibri" w:hAnsi="Arial Narrow"/>
                <w:sz w:val="20"/>
                <w:szCs w:val="20"/>
              </w:rPr>
              <w:t>“</w:t>
            </w:r>
            <w:r w:rsidR="00F57F09" w:rsidRPr="00115B6A">
              <w:rPr>
                <w:rFonts w:ascii="Arial Narrow" w:eastAsia="Calibri" w:hAnsi="Arial Narrow"/>
                <w:sz w:val="20"/>
                <w:szCs w:val="20"/>
              </w:rPr>
              <w:t>Prevalent</w:t>
            </w:r>
            <w:r w:rsidRPr="00115B6A">
              <w:rPr>
                <w:rFonts w:ascii="Arial Narrow" w:eastAsia="Calibri" w:hAnsi="Arial Narrow"/>
                <w:sz w:val="20"/>
                <w:szCs w:val="20"/>
              </w:rPr>
              <w:t>”</w:t>
            </w:r>
            <w:r w:rsidR="00F57F09" w:rsidRPr="00115B6A">
              <w:rPr>
                <w:rFonts w:ascii="Arial Narrow" w:eastAsia="Calibri" w:hAnsi="Arial Narrow"/>
                <w:sz w:val="20"/>
                <w:szCs w:val="20"/>
              </w:rPr>
              <w:t xml:space="preserve"> patients</w:t>
            </w:r>
            <w:r w:rsidRPr="00115B6A">
              <w:rPr>
                <w:rFonts w:ascii="Arial Narrow" w:eastAsia="Calibri" w:hAnsi="Arial Narrow"/>
                <w:sz w:val="20"/>
                <w:szCs w:val="20"/>
              </w:rPr>
              <w:t xml:space="preserve"> </w:t>
            </w:r>
            <w:r w:rsidRPr="00115B6A">
              <w:rPr>
                <w:rFonts w:ascii="Arial Narrow" w:eastAsia="Calibri" w:hAnsi="Arial Narrow"/>
                <w:sz w:val="20"/>
                <w:szCs w:val="20"/>
                <w:vertAlign w:val="superscript"/>
              </w:rPr>
              <w:t>a</w:t>
            </w:r>
          </w:p>
        </w:tc>
        <w:tc>
          <w:tcPr>
            <w:tcW w:w="583" w:type="pct"/>
            <w:shd w:val="clear" w:color="auto" w:fill="auto"/>
          </w:tcPr>
          <w:p w:rsidR="00F57F09" w:rsidRPr="00EA7660" w:rsidRDefault="00EA7660" w:rsidP="00F57F09">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auto"/>
          </w:tcPr>
          <w:p w:rsidR="00F57F09" w:rsidRPr="00EA7660" w:rsidRDefault="00EA7660" w:rsidP="00F57F09">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shd w:val="clear" w:color="auto" w:fill="auto"/>
          </w:tcPr>
          <w:p w:rsidR="00F57F09" w:rsidRPr="00EA7660" w:rsidRDefault="00EA7660" w:rsidP="00F57F09">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auto"/>
          </w:tcPr>
          <w:p w:rsidR="00F57F09" w:rsidRPr="00EA7660" w:rsidRDefault="00EA7660" w:rsidP="00F57F09">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tcBorders>
              <w:right w:val="single" w:sz="4" w:space="0" w:color="auto"/>
            </w:tcBorders>
            <w:shd w:val="clear" w:color="auto" w:fill="auto"/>
          </w:tcPr>
          <w:p w:rsidR="00F57F09" w:rsidRPr="00EA7660" w:rsidRDefault="00EA7660" w:rsidP="00F57F09">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tcBorders>
              <w:right w:val="single" w:sz="4" w:space="0" w:color="auto"/>
            </w:tcBorders>
          </w:tcPr>
          <w:p w:rsidR="00F57F09" w:rsidRPr="00EA7660" w:rsidRDefault="00EA7660" w:rsidP="00F57F09">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86138" w:rsidRPr="00115B6A" w:rsidTr="00032303">
        <w:tc>
          <w:tcPr>
            <w:tcW w:w="1498" w:type="pct"/>
            <w:tcBorders>
              <w:left w:val="single" w:sz="4" w:space="0" w:color="auto"/>
            </w:tcBorders>
            <w:shd w:val="clear" w:color="auto" w:fill="auto"/>
            <w:vAlign w:val="center"/>
          </w:tcPr>
          <w:p w:rsidR="00086138" w:rsidRPr="00115B6A" w:rsidRDefault="004555E4" w:rsidP="004555E4">
            <w:pPr>
              <w:keepNext/>
              <w:keepLines/>
              <w:rPr>
                <w:rFonts w:ascii="Arial Narrow" w:eastAsia="Calibri" w:hAnsi="Arial Narrow"/>
                <w:sz w:val="20"/>
                <w:szCs w:val="20"/>
              </w:rPr>
            </w:pPr>
            <w:r w:rsidRPr="00115B6A">
              <w:rPr>
                <w:rFonts w:ascii="Arial Narrow" w:eastAsia="Calibri" w:hAnsi="Arial Narrow"/>
                <w:sz w:val="20"/>
                <w:szCs w:val="20"/>
              </w:rPr>
              <w:t xml:space="preserve">Total treated </w:t>
            </w:r>
            <w:r w:rsidRPr="00717ADE">
              <w:rPr>
                <w:rFonts w:ascii="Arial Narrow" w:eastAsia="Calibri" w:hAnsi="Arial Narrow"/>
                <w:sz w:val="20"/>
                <w:szCs w:val="20"/>
              </w:rPr>
              <w:t xml:space="preserve">patients </w:t>
            </w:r>
            <w:r w:rsidR="00086138" w:rsidRPr="00717ADE">
              <w:rPr>
                <w:rFonts w:ascii="Arial Narrow" w:eastAsia="Calibri" w:hAnsi="Arial Narrow"/>
                <w:sz w:val="20"/>
                <w:szCs w:val="20"/>
              </w:rPr>
              <w:t>(</w:t>
            </w:r>
            <w:r w:rsidR="00EA7660">
              <w:rPr>
                <w:rFonts w:ascii="Arial Narrow" w:eastAsia="Calibri" w:hAnsi="Arial Narrow"/>
                <w:noProof/>
                <w:color w:val="000000"/>
                <w:sz w:val="20"/>
                <w:szCs w:val="20"/>
                <w:highlight w:val="black"/>
              </w:rPr>
              <w:t>''''''</w:t>
            </w:r>
            <w:r w:rsidR="00086138" w:rsidRPr="00717ADE">
              <w:rPr>
                <w:rFonts w:ascii="Arial Narrow" w:eastAsia="Calibri" w:hAnsi="Arial Narrow"/>
                <w:sz w:val="20"/>
                <w:szCs w:val="20"/>
              </w:rPr>
              <w:t>%</w:t>
            </w:r>
            <w:r w:rsidR="00914DD5" w:rsidRPr="00717ADE">
              <w:rPr>
                <w:rFonts w:ascii="Arial Narrow" w:eastAsia="Calibri" w:hAnsi="Arial Narrow"/>
                <w:sz w:val="20"/>
                <w:szCs w:val="20"/>
              </w:rPr>
              <w:t xml:space="preserve"> uptake</w:t>
            </w:r>
            <w:r w:rsidR="00086138" w:rsidRPr="00115B6A">
              <w:rPr>
                <w:rFonts w:ascii="Arial Narrow" w:eastAsia="Calibri" w:hAnsi="Arial Narrow"/>
                <w:sz w:val="20"/>
                <w:szCs w:val="20"/>
              </w:rPr>
              <w:t>)</w:t>
            </w:r>
          </w:p>
        </w:tc>
        <w:tc>
          <w:tcPr>
            <w:tcW w:w="583" w:type="pct"/>
            <w:shd w:val="clear" w:color="auto" w:fill="auto"/>
            <w:vAlign w:val="center"/>
          </w:tcPr>
          <w:p w:rsidR="00086138"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4" w:type="pct"/>
            <w:shd w:val="clear" w:color="auto" w:fill="auto"/>
            <w:vAlign w:val="center"/>
          </w:tcPr>
          <w:p w:rsidR="00086138"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3" w:type="pct"/>
            <w:shd w:val="clear" w:color="auto" w:fill="auto"/>
            <w:vAlign w:val="center"/>
          </w:tcPr>
          <w:p w:rsidR="00086138"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4" w:type="pct"/>
            <w:shd w:val="clear" w:color="auto" w:fill="auto"/>
            <w:vAlign w:val="center"/>
          </w:tcPr>
          <w:p w:rsidR="00086138"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3" w:type="pct"/>
            <w:tcBorders>
              <w:right w:val="single" w:sz="4" w:space="0" w:color="auto"/>
            </w:tcBorders>
            <w:shd w:val="clear" w:color="auto" w:fill="auto"/>
            <w:vAlign w:val="center"/>
          </w:tcPr>
          <w:p w:rsidR="00086138"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4" w:type="pct"/>
            <w:tcBorders>
              <w:right w:val="single" w:sz="4" w:space="0" w:color="auto"/>
            </w:tcBorders>
            <w:vAlign w:val="center"/>
          </w:tcPr>
          <w:p w:rsidR="00086138"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9F31BA" w:rsidRPr="00115B6A" w:rsidTr="00032303">
        <w:tc>
          <w:tcPr>
            <w:tcW w:w="1498" w:type="pct"/>
            <w:tcBorders>
              <w:left w:val="single" w:sz="4" w:space="0" w:color="auto"/>
            </w:tcBorders>
            <w:shd w:val="clear" w:color="auto" w:fill="auto"/>
            <w:vAlign w:val="center"/>
          </w:tcPr>
          <w:p w:rsidR="009F31BA" w:rsidRPr="00115B6A" w:rsidRDefault="004555E4" w:rsidP="00032303">
            <w:pPr>
              <w:keepNext/>
              <w:keepLines/>
              <w:rPr>
                <w:rFonts w:ascii="Arial Narrow" w:eastAsia="Calibri" w:hAnsi="Arial Narrow"/>
                <w:sz w:val="20"/>
                <w:szCs w:val="20"/>
              </w:rPr>
            </w:pPr>
            <w:r w:rsidRPr="00115B6A">
              <w:rPr>
                <w:rFonts w:ascii="Arial Narrow" w:eastAsia="Calibri" w:hAnsi="Arial Narrow"/>
                <w:sz w:val="20"/>
                <w:szCs w:val="20"/>
              </w:rPr>
              <w:t>S</w:t>
            </w:r>
            <w:r w:rsidR="009F31BA" w:rsidRPr="00115B6A">
              <w:rPr>
                <w:rFonts w:ascii="Arial Narrow" w:eastAsia="Calibri" w:hAnsi="Arial Narrow"/>
                <w:sz w:val="20"/>
                <w:szCs w:val="20"/>
              </w:rPr>
              <w:t xml:space="preserve">cripts </w:t>
            </w:r>
            <w:r w:rsidRPr="00115B6A">
              <w:rPr>
                <w:rFonts w:ascii="Arial Narrow" w:eastAsia="Calibri" w:hAnsi="Arial Narrow"/>
                <w:sz w:val="20"/>
                <w:szCs w:val="20"/>
              </w:rPr>
              <w:t>dispensed</w:t>
            </w:r>
            <w:r w:rsidR="00032303" w:rsidRPr="00115B6A">
              <w:rPr>
                <w:rFonts w:ascii="Arial Narrow" w:eastAsia="Calibri" w:hAnsi="Arial Narrow"/>
                <w:sz w:val="20"/>
                <w:szCs w:val="20"/>
              </w:rPr>
              <w:t xml:space="preserve"> </w:t>
            </w:r>
            <w:r w:rsidR="009F31BA" w:rsidRPr="00115B6A">
              <w:rPr>
                <w:rFonts w:ascii="Arial Narrow" w:eastAsia="Calibri" w:hAnsi="Arial Narrow"/>
                <w:sz w:val="20"/>
                <w:szCs w:val="20"/>
              </w:rPr>
              <w:t>(</w:t>
            </w:r>
            <w:r w:rsidR="00032303" w:rsidRPr="00E45AA8">
              <w:rPr>
                <w:rFonts w:ascii="Arial Narrow" w:eastAsia="Calibri" w:hAnsi="Arial Narrow"/>
                <w:sz w:val="20"/>
                <w:szCs w:val="20"/>
              </w:rPr>
              <w:t xml:space="preserve">assumes </w:t>
            </w:r>
            <w:r w:rsidR="00EA7660">
              <w:rPr>
                <w:rFonts w:ascii="Arial Narrow" w:eastAsia="Calibri" w:hAnsi="Arial Narrow"/>
                <w:noProof/>
                <w:color w:val="000000"/>
                <w:sz w:val="20"/>
                <w:szCs w:val="20"/>
                <w:highlight w:val="black"/>
              </w:rPr>
              <w:t>'''''''</w:t>
            </w:r>
            <w:r w:rsidR="00717ADE" w:rsidRPr="00E45AA8">
              <w:rPr>
                <w:rFonts w:ascii="Arial Narrow" w:eastAsia="Calibri" w:hAnsi="Arial Narrow"/>
                <w:sz w:val="20"/>
                <w:szCs w:val="20"/>
              </w:rPr>
              <w:t>%</w:t>
            </w:r>
            <w:r w:rsidR="00717ADE" w:rsidRPr="00115B6A">
              <w:rPr>
                <w:rFonts w:ascii="Arial Narrow" w:eastAsia="Calibri" w:hAnsi="Arial Narrow"/>
                <w:sz w:val="20"/>
                <w:szCs w:val="20"/>
              </w:rPr>
              <w:t xml:space="preserve"> </w:t>
            </w:r>
            <w:r w:rsidR="009F31BA" w:rsidRPr="00115B6A">
              <w:rPr>
                <w:rFonts w:ascii="Arial Narrow" w:eastAsia="Calibri" w:hAnsi="Arial Narrow"/>
                <w:sz w:val="20"/>
                <w:szCs w:val="20"/>
              </w:rPr>
              <w:t>fortnightly dosing</w:t>
            </w:r>
            <w:r w:rsidR="00914DD5" w:rsidRPr="00115B6A">
              <w:rPr>
                <w:rFonts w:ascii="Arial Narrow" w:eastAsia="Calibri" w:hAnsi="Arial Narrow"/>
                <w:sz w:val="20"/>
                <w:szCs w:val="20"/>
              </w:rPr>
              <w:t>, 85% compliance</w:t>
            </w:r>
            <w:r w:rsidR="009F31BA" w:rsidRPr="00115B6A">
              <w:rPr>
                <w:rFonts w:ascii="Arial Narrow" w:eastAsia="Calibri" w:hAnsi="Arial Narrow"/>
                <w:sz w:val="20"/>
                <w:szCs w:val="20"/>
              </w:rPr>
              <w:t xml:space="preserve">)  </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bottom"/>
          </w:tcPr>
          <w:p w:rsidR="009F31BA"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 xml:space="preserve">'''''''''''' </w:t>
            </w:r>
          </w:p>
        </w:tc>
        <w:tc>
          <w:tcPr>
            <w:tcW w:w="584" w:type="pct"/>
            <w:tcBorders>
              <w:top w:val="single" w:sz="4" w:space="0" w:color="auto"/>
              <w:left w:val="nil"/>
              <w:bottom w:val="single" w:sz="4" w:space="0" w:color="auto"/>
              <w:right w:val="single" w:sz="4" w:space="0" w:color="auto"/>
            </w:tcBorders>
            <w:shd w:val="clear" w:color="000000" w:fill="FFFFFF"/>
            <w:vAlign w:val="bottom"/>
          </w:tcPr>
          <w:p w:rsidR="009F31BA"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 xml:space="preserve">'''''''''''' </w:t>
            </w:r>
          </w:p>
        </w:tc>
        <w:tc>
          <w:tcPr>
            <w:tcW w:w="583" w:type="pct"/>
            <w:tcBorders>
              <w:top w:val="single" w:sz="4" w:space="0" w:color="auto"/>
              <w:left w:val="nil"/>
              <w:bottom w:val="single" w:sz="4" w:space="0" w:color="auto"/>
              <w:right w:val="single" w:sz="4" w:space="0" w:color="auto"/>
            </w:tcBorders>
            <w:shd w:val="clear" w:color="000000" w:fill="FFFFFF"/>
            <w:vAlign w:val="bottom"/>
          </w:tcPr>
          <w:p w:rsidR="009F31BA"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 xml:space="preserve">'''''''''''' </w:t>
            </w:r>
          </w:p>
        </w:tc>
        <w:tc>
          <w:tcPr>
            <w:tcW w:w="584" w:type="pct"/>
            <w:tcBorders>
              <w:top w:val="single" w:sz="4" w:space="0" w:color="auto"/>
              <w:left w:val="nil"/>
              <w:bottom w:val="single" w:sz="4" w:space="0" w:color="auto"/>
              <w:right w:val="single" w:sz="4" w:space="0" w:color="auto"/>
            </w:tcBorders>
            <w:shd w:val="clear" w:color="000000" w:fill="FFFFFF"/>
            <w:vAlign w:val="bottom"/>
          </w:tcPr>
          <w:p w:rsidR="009F31BA"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 xml:space="preserve">''''''''''' </w:t>
            </w:r>
          </w:p>
        </w:tc>
        <w:tc>
          <w:tcPr>
            <w:tcW w:w="583" w:type="pct"/>
            <w:tcBorders>
              <w:top w:val="single" w:sz="4" w:space="0" w:color="auto"/>
              <w:left w:val="nil"/>
              <w:bottom w:val="single" w:sz="4" w:space="0" w:color="auto"/>
              <w:right w:val="single" w:sz="4" w:space="0" w:color="auto"/>
            </w:tcBorders>
            <w:shd w:val="clear" w:color="000000" w:fill="FFFFFF"/>
            <w:vAlign w:val="bottom"/>
          </w:tcPr>
          <w:p w:rsidR="009F31BA"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 xml:space="preserve">''''''''''' </w:t>
            </w:r>
          </w:p>
        </w:tc>
        <w:tc>
          <w:tcPr>
            <w:tcW w:w="584" w:type="pct"/>
            <w:tcBorders>
              <w:top w:val="single" w:sz="4" w:space="0" w:color="auto"/>
              <w:left w:val="nil"/>
              <w:bottom w:val="single" w:sz="4" w:space="0" w:color="auto"/>
              <w:right w:val="single" w:sz="4" w:space="0" w:color="auto"/>
            </w:tcBorders>
            <w:shd w:val="clear" w:color="000000" w:fill="FFFFFF"/>
            <w:vAlign w:val="bottom"/>
          </w:tcPr>
          <w:p w:rsidR="009F31BA"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 xml:space="preserve">''''''''''' </w:t>
            </w:r>
          </w:p>
        </w:tc>
      </w:tr>
      <w:tr w:rsidR="00451011" w:rsidRPr="00115B6A" w:rsidTr="00032303">
        <w:tc>
          <w:tcPr>
            <w:tcW w:w="1498" w:type="pct"/>
            <w:tcBorders>
              <w:left w:val="single" w:sz="4" w:space="0" w:color="auto"/>
            </w:tcBorders>
            <w:shd w:val="clear" w:color="auto" w:fill="auto"/>
            <w:vAlign w:val="center"/>
          </w:tcPr>
          <w:p w:rsidR="00451011" w:rsidRPr="00115B6A" w:rsidRDefault="00451011" w:rsidP="004555E4">
            <w:pPr>
              <w:keepNext/>
              <w:keepLines/>
              <w:rPr>
                <w:rFonts w:ascii="Arial Narrow" w:eastAsia="Calibri" w:hAnsi="Arial Narrow"/>
                <w:sz w:val="20"/>
                <w:szCs w:val="20"/>
              </w:rPr>
            </w:pPr>
            <w:r w:rsidRPr="00115B6A">
              <w:rPr>
                <w:rFonts w:ascii="Arial Narrow" w:eastAsia="Calibri" w:hAnsi="Arial Narrow"/>
                <w:sz w:val="20"/>
                <w:szCs w:val="20"/>
              </w:rPr>
              <w:t xml:space="preserve">Cost of </w:t>
            </w:r>
            <w:proofErr w:type="spellStart"/>
            <w:r w:rsidRPr="00115B6A">
              <w:rPr>
                <w:rFonts w:ascii="Arial Narrow" w:eastAsia="Calibri" w:hAnsi="Arial Narrow"/>
                <w:sz w:val="20"/>
                <w:szCs w:val="20"/>
              </w:rPr>
              <w:t>tocilizumab</w:t>
            </w:r>
            <w:proofErr w:type="spellEnd"/>
            <w:r w:rsidRPr="00115B6A">
              <w:rPr>
                <w:rFonts w:ascii="Arial Narrow" w:eastAsia="Calibri" w:hAnsi="Arial Narrow"/>
                <w:sz w:val="20"/>
                <w:szCs w:val="20"/>
              </w:rPr>
              <w:t xml:space="preserve"> scripts </w:t>
            </w:r>
          </w:p>
        </w:tc>
        <w:tc>
          <w:tcPr>
            <w:tcW w:w="583" w:type="pct"/>
            <w:tcBorders>
              <w:top w:val="single" w:sz="4" w:space="0" w:color="auto"/>
              <w:left w:val="nil"/>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451011" w:rsidRPr="00115B6A" w:rsidTr="00032303">
        <w:tc>
          <w:tcPr>
            <w:tcW w:w="1498" w:type="pct"/>
            <w:tcBorders>
              <w:left w:val="single" w:sz="4" w:space="0" w:color="auto"/>
            </w:tcBorders>
            <w:shd w:val="clear" w:color="auto" w:fill="auto"/>
            <w:vAlign w:val="center"/>
          </w:tcPr>
          <w:p w:rsidR="00451011" w:rsidRPr="00115B6A" w:rsidRDefault="00451011" w:rsidP="004555E4">
            <w:pPr>
              <w:keepNext/>
              <w:keepLines/>
              <w:rPr>
                <w:rFonts w:ascii="Arial Narrow" w:eastAsia="Calibri" w:hAnsi="Arial Narrow"/>
                <w:sz w:val="20"/>
                <w:szCs w:val="20"/>
              </w:rPr>
            </w:pPr>
            <w:r w:rsidRPr="00115B6A">
              <w:rPr>
                <w:rFonts w:ascii="Arial Narrow" w:eastAsia="Calibri" w:hAnsi="Arial Narrow"/>
                <w:sz w:val="20"/>
                <w:szCs w:val="20"/>
              </w:rPr>
              <w:t xml:space="preserve">Patient </w:t>
            </w:r>
            <w:proofErr w:type="spellStart"/>
            <w:r w:rsidRPr="00115B6A">
              <w:rPr>
                <w:rFonts w:ascii="Arial Narrow" w:eastAsia="Calibri" w:hAnsi="Arial Narrow"/>
                <w:sz w:val="20"/>
                <w:szCs w:val="20"/>
              </w:rPr>
              <w:t>copayments</w:t>
            </w:r>
            <w:proofErr w:type="spellEnd"/>
            <w:r w:rsidRPr="00115B6A">
              <w:rPr>
                <w:rFonts w:ascii="Arial Narrow" w:eastAsia="Calibri" w:hAnsi="Arial Narrow"/>
                <w:sz w:val="20"/>
                <w:szCs w:val="20"/>
              </w:rPr>
              <w:t xml:space="preserve"> ($20.56)</w:t>
            </w:r>
          </w:p>
        </w:tc>
        <w:tc>
          <w:tcPr>
            <w:tcW w:w="583" w:type="pct"/>
            <w:tcBorders>
              <w:top w:val="single" w:sz="4" w:space="0" w:color="auto"/>
              <w:left w:val="nil"/>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451011" w:rsidRPr="00115B6A" w:rsidTr="00032303">
        <w:tc>
          <w:tcPr>
            <w:tcW w:w="1498" w:type="pct"/>
            <w:tcBorders>
              <w:left w:val="single" w:sz="4" w:space="0" w:color="auto"/>
            </w:tcBorders>
            <w:shd w:val="clear" w:color="auto" w:fill="auto"/>
            <w:vAlign w:val="center"/>
          </w:tcPr>
          <w:p w:rsidR="00451011" w:rsidRPr="00115B6A" w:rsidRDefault="00451011" w:rsidP="00914DD5">
            <w:pPr>
              <w:keepNext/>
              <w:keepLines/>
              <w:rPr>
                <w:rFonts w:ascii="Arial Narrow" w:hAnsi="Arial Narrow"/>
                <w:b/>
                <w:sz w:val="20"/>
                <w:szCs w:val="20"/>
              </w:rPr>
            </w:pPr>
            <w:r w:rsidRPr="00115B6A">
              <w:rPr>
                <w:rFonts w:ascii="Arial Narrow" w:hAnsi="Arial Narrow"/>
                <w:b/>
                <w:sz w:val="20"/>
                <w:szCs w:val="20"/>
              </w:rPr>
              <w:t>Net cost to PBS/RPBS</w:t>
            </w:r>
          </w:p>
          <w:p w:rsidR="00914DD5" w:rsidRPr="00115B6A" w:rsidRDefault="00914DD5" w:rsidP="00914DD5">
            <w:pPr>
              <w:keepNext/>
              <w:keepLines/>
              <w:rPr>
                <w:rFonts w:ascii="Arial Narrow" w:eastAsia="Calibri" w:hAnsi="Arial Narrow"/>
                <w:b/>
                <w:sz w:val="20"/>
                <w:szCs w:val="20"/>
              </w:rPr>
            </w:pPr>
            <w:r w:rsidRPr="00115B6A">
              <w:rPr>
                <w:rFonts w:ascii="Arial Narrow" w:hAnsi="Arial Narrow"/>
                <w:b/>
                <w:sz w:val="20"/>
                <w:szCs w:val="20"/>
              </w:rPr>
              <w:t>(Proposed RSA cap)</w:t>
            </w:r>
          </w:p>
        </w:tc>
        <w:tc>
          <w:tcPr>
            <w:tcW w:w="583" w:type="pct"/>
            <w:tcBorders>
              <w:top w:val="single" w:sz="4" w:space="0" w:color="auto"/>
              <w:left w:val="nil"/>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451011" w:rsidRPr="00EA7660" w:rsidRDefault="00EA7660" w:rsidP="00914DD5">
            <w:pPr>
              <w:keepNext/>
              <w:keepLines/>
              <w:jc w:val="center"/>
              <w:rPr>
                <w:rFonts w:ascii="Arial Narrow" w:hAnsi="Arial Narrow"/>
                <w:b/>
                <w:sz w:val="20"/>
                <w:szCs w:val="20"/>
                <w:highlight w:val="black"/>
              </w:rPr>
            </w:pPr>
            <w:r>
              <w:rPr>
                <w:rFonts w:ascii="Arial Narrow" w:hAnsi="Arial Narrow" w:cs="Arial"/>
                <w:b/>
                <w:noProof/>
                <w:color w:val="000000"/>
                <w:sz w:val="20"/>
                <w:szCs w:val="20"/>
                <w:highlight w:val="black"/>
              </w:rPr>
              <w:t>'''''''''''''''''''</w:t>
            </w:r>
          </w:p>
        </w:tc>
      </w:tr>
      <w:tr w:rsidR="00086138" w:rsidRPr="00115B6A" w:rsidTr="00C42053">
        <w:trPr>
          <w:trHeight w:val="70"/>
        </w:trPr>
        <w:tc>
          <w:tcPr>
            <w:tcW w:w="1498" w:type="pct"/>
            <w:tcBorders>
              <w:left w:val="single" w:sz="4" w:space="0" w:color="auto"/>
            </w:tcBorders>
            <w:shd w:val="clear" w:color="auto" w:fill="auto"/>
            <w:vAlign w:val="bottom"/>
          </w:tcPr>
          <w:p w:rsidR="00086138" w:rsidRPr="00115B6A" w:rsidRDefault="004555E4" w:rsidP="00914DD5">
            <w:pPr>
              <w:keepNext/>
              <w:keepLines/>
              <w:rPr>
                <w:rFonts w:ascii="Arial Narrow" w:hAnsi="Arial Narrow"/>
                <w:sz w:val="20"/>
                <w:szCs w:val="20"/>
              </w:rPr>
            </w:pPr>
            <w:r w:rsidRPr="00115B6A">
              <w:rPr>
                <w:rFonts w:ascii="Arial Narrow" w:hAnsi="Arial Narrow"/>
                <w:sz w:val="20"/>
                <w:szCs w:val="20"/>
              </w:rPr>
              <w:t>MBS costs</w:t>
            </w:r>
            <w:r w:rsidR="00086138" w:rsidRPr="00115B6A">
              <w:rPr>
                <w:rFonts w:ascii="Arial Narrow" w:hAnsi="Arial Narrow"/>
                <w:sz w:val="20"/>
                <w:szCs w:val="20"/>
              </w:rPr>
              <w:t xml:space="preserve"> (6.5 tests per patient; $17.70 per test)</w:t>
            </w:r>
          </w:p>
        </w:tc>
        <w:tc>
          <w:tcPr>
            <w:tcW w:w="583" w:type="pct"/>
            <w:tcBorders>
              <w:top w:val="single" w:sz="4" w:space="0" w:color="auto"/>
            </w:tcBorders>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tcBorders>
              <w:top w:val="single" w:sz="4" w:space="0" w:color="auto"/>
            </w:tcBorders>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tcBorders>
              <w:top w:val="single" w:sz="4" w:space="0" w:color="auto"/>
            </w:tcBorders>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tcBorders>
              <w:top w:val="single" w:sz="4" w:space="0" w:color="auto"/>
            </w:tcBorders>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tcBorders>
              <w:top w:val="single" w:sz="4" w:space="0" w:color="auto"/>
              <w:right w:val="single" w:sz="4" w:space="0" w:color="auto"/>
            </w:tcBorders>
            <w:shd w:val="clear" w:color="auto" w:fill="auto"/>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tcBorders>
              <w:top w:val="single" w:sz="4" w:space="0" w:color="auto"/>
              <w:right w:val="single" w:sz="4" w:space="0" w:color="auto"/>
            </w:tcBorders>
            <w:vAlign w:val="center"/>
          </w:tcPr>
          <w:p w:rsidR="00086138" w:rsidRPr="00EA7660" w:rsidRDefault="00EA7660" w:rsidP="00914DD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035E4" w:rsidRPr="00115B6A" w:rsidTr="00032303">
        <w:tc>
          <w:tcPr>
            <w:tcW w:w="1498" w:type="pct"/>
            <w:tcBorders>
              <w:left w:val="single" w:sz="4" w:space="0" w:color="auto"/>
            </w:tcBorders>
            <w:shd w:val="clear" w:color="auto" w:fill="auto"/>
            <w:vAlign w:val="center"/>
          </w:tcPr>
          <w:p w:rsidR="00C035E4" w:rsidRPr="00115B6A" w:rsidRDefault="00C035E4" w:rsidP="004555E4">
            <w:pPr>
              <w:keepNext/>
              <w:keepLines/>
              <w:rPr>
                <w:rFonts w:ascii="Arial Narrow" w:hAnsi="Arial Narrow"/>
                <w:b/>
                <w:sz w:val="20"/>
                <w:szCs w:val="20"/>
              </w:rPr>
            </w:pPr>
            <w:r w:rsidRPr="00115B6A">
              <w:rPr>
                <w:rFonts w:ascii="Arial Narrow" w:hAnsi="Arial Narrow"/>
                <w:b/>
                <w:sz w:val="20"/>
                <w:szCs w:val="20"/>
              </w:rPr>
              <w:t xml:space="preserve">Net cost to </w:t>
            </w:r>
            <w:r w:rsidR="004555E4" w:rsidRPr="00115B6A">
              <w:rPr>
                <w:rFonts w:ascii="Arial Narrow" w:hAnsi="Arial Narrow"/>
                <w:b/>
                <w:sz w:val="20"/>
                <w:szCs w:val="20"/>
              </w:rPr>
              <w:t>PBS/RPBS/MBS</w:t>
            </w:r>
          </w:p>
        </w:tc>
        <w:tc>
          <w:tcPr>
            <w:tcW w:w="583" w:type="pct"/>
            <w:shd w:val="clear" w:color="auto" w:fill="auto"/>
          </w:tcPr>
          <w:p w:rsidR="00C035E4"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4" w:type="pct"/>
            <w:shd w:val="clear" w:color="auto" w:fill="auto"/>
          </w:tcPr>
          <w:p w:rsidR="00C035E4"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3" w:type="pct"/>
            <w:shd w:val="clear" w:color="auto" w:fill="auto"/>
          </w:tcPr>
          <w:p w:rsidR="00C035E4"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4" w:type="pct"/>
            <w:shd w:val="clear" w:color="auto" w:fill="auto"/>
          </w:tcPr>
          <w:p w:rsidR="00C035E4"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3" w:type="pct"/>
            <w:tcBorders>
              <w:right w:val="single" w:sz="4" w:space="0" w:color="auto"/>
            </w:tcBorders>
            <w:shd w:val="clear" w:color="auto" w:fill="auto"/>
          </w:tcPr>
          <w:p w:rsidR="00C035E4"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84" w:type="pct"/>
            <w:tcBorders>
              <w:right w:val="single" w:sz="4" w:space="0" w:color="auto"/>
            </w:tcBorders>
          </w:tcPr>
          <w:p w:rsidR="00C035E4" w:rsidRPr="00EA7660" w:rsidRDefault="00EA7660" w:rsidP="00914DD5">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9F31BA" w:rsidRPr="00115B6A" w:rsidTr="00914DD5">
        <w:tc>
          <w:tcPr>
            <w:tcW w:w="5000" w:type="pct"/>
            <w:gridSpan w:val="7"/>
            <w:tcBorders>
              <w:left w:val="single" w:sz="4" w:space="0" w:color="auto"/>
              <w:right w:val="single" w:sz="4" w:space="0" w:color="auto"/>
            </w:tcBorders>
            <w:shd w:val="clear" w:color="auto" w:fill="D9D9D9" w:themeFill="background1" w:themeFillShade="D9"/>
            <w:vAlign w:val="center"/>
          </w:tcPr>
          <w:p w:rsidR="009F31BA" w:rsidRPr="00115B6A" w:rsidRDefault="009F31BA" w:rsidP="00914DD5">
            <w:pPr>
              <w:keepNext/>
              <w:keepLines/>
              <w:jc w:val="both"/>
              <w:rPr>
                <w:rFonts w:ascii="Arial Narrow" w:hAnsi="Arial Narrow"/>
                <w:b/>
                <w:sz w:val="20"/>
                <w:szCs w:val="20"/>
              </w:rPr>
            </w:pPr>
            <w:r w:rsidRPr="00115B6A">
              <w:rPr>
                <w:rFonts w:ascii="Arial Narrow" w:hAnsi="Arial Narrow"/>
                <w:b/>
                <w:sz w:val="20"/>
                <w:szCs w:val="20"/>
              </w:rPr>
              <w:t>Previous submission (</w:t>
            </w:r>
            <w:r w:rsidR="004555E4" w:rsidRPr="00115B6A">
              <w:rPr>
                <w:rFonts w:ascii="Arial Narrow" w:hAnsi="Arial Narrow"/>
                <w:b/>
                <w:sz w:val="20"/>
                <w:szCs w:val="20"/>
              </w:rPr>
              <w:t xml:space="preserve">per </w:t>
            </w:r>
            <w:r w:rsidRPr="00115B6A">
              <w:rPr>
                <w:rFonts w:ascii="Arial Narrow" w:hAnsi="Arial Narrow"/>
                <w:b/>
                <w:sz w:val="20"/>
                <w:szCs w:val="20"/>
              </w:rPr>
              <w:t>November 2018</w:t>
            </w:r>
            <w:r w:rsidR="004555E4" w:rsidRPr="00115B6A">
              <w:rPr>
                <w:rFonts w:ascii="Arial Narrow" w:hAnsi="Arial Narrow"/>
                <w:b/>
                <w:sz w:val="20"/>
                <w:szCs w:val="20"/>
              </w:rPr>
              <w:t xml:space="preserve"> Minutes</w:t>
            </w:r>
            <w:r w:rsidRPr="00115B6A">
              <w:rPr>
                <w:rFonts w:ascii="Arial Narrow" w:hAnsi="Arial Narrow"/>
                <w:b/>
                <w:sz w:val="20"/>
                <w:szCs w:val="20"/>
              </w:rPr>
              <w:t>)</w:t>
            </w:r>
          </w:p>
        </w:tc>
      </w:tr>
      <w:tr w:rsidR="008942E3" w:rsidRPr="00115B6A" w:rsidTr="00032303">
        <w:tc>
          <w:tcPr>
            <w:tcW w:w="1498" w:type="pct"/>
            <w:tcBorders>
              <w:left w:val="single" w:sz="4" w:space="0" w:color="auto"/>
            </w:tcBorders>
            <w:shd w:val="clear" w:color="auto" w:fill="D9D9D9" w:themeFill="background1" w:themeFillShade="D9"/>
            <w:vAlign w:val="center"/>
          </w:tcPr>
          <w:p w:rsidR="008942E3" w:rsidRPr="00115B6A" w:rsidRDefault="008942E3" w:rsidP="00CF4FD3">
            <w:pPr>
              <w:keepNext/>
              <w:keepLines/>
              <w:rPr>
                <w:rFonts w:ascii="Arial Narrow" w:hAnsi="Arial Narrow"/>
                <w:b/>
                <w:sz w:val="20"/>
                <w:szCs w:val="20"/>
              </w:rPr>
            </w:pPr>
            <w:r w:rsidRPr="00115B6A">
              <w:rPr>
                <w:rFonts w:ascii="Arial Narrow" w:hAnsi="Arial Narrow"/>
                <w:b/>
                <w:sz w:val="20"/>
                <w:szCs w:val="20"/>
              </w:rPr>
              <w:t>Treated patients</w:t>
            </w:r>
          </w:p>
        </w:tc>
        <w:tc>
          <w:tcPr>
            <w:tcW w:w="583"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tcBorders>
              <w:right w:val="single" w:sz="4" w:space="0" w:color="auto"/>
            </w:tcBorders>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tcBorders>
              <w:right w:val="single" w:sz="4" w:space="0" w:color="auto"/>
            </w:tcBorders>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942E3" w:rsidRPr="00115B6A" w:rsidTr="00032303">
        <w:tc>
          <w:tcPr>
            <w:tcW w:w="1498" w:type="pct"/>
            <w:tcBorders>
              <w:left w:val="single" w:sz="4" w:space="0" w:color="auto"/>
            </w:tcBorders>
            <w:shd w:val="clear" w:color="auto" w:fill="D9D9D9" w:themeFill="background1" w:themeFillShade="D9"/>
            <w:vAlign w:val="center"/>
          </w:tcPr>
          <w:p w:rsidR="008942E3" w:rsidRPr="00115B6A" w:rsidRDefault="008942E3" w:rsidP="00CF4FD3">
            <w:pPr>
              <w:keepNext/>
              <w:keepLines/>
              <w:rPr>
                <w:rFonts w:ascii="Arial Narrow" w:hAnsi="Arial Narrow"/>
                <w:b/>
                <w:sz w:val="20"/>
                <w:szCs w:val="20"/>
              </w:rPr>
            </w:pPr>
            <w:proofErr w:type="spellStart"/>
            <w:r w:rsidRPr="00115B6A">
              <w:rPr>
                <w:rFonts w:ascii="Arial Narrow" w:hAnsi="Arial Narrow"/>
                <w:b/>
                <w:sz w:val="20"/>
                <w:szCs w:val="20"/>
              </w:rPr>
              <w:t>Tocilizumab</w:t>
            </w:r>
            <w:proofErr w:type="spellEnd"/>
            <w:r w:rsidRPr="00115B6A">
              <w:rPr>
                <w:rFonts w:ascii="Arial Narrow" w:hAnsi="Arial Narrow"/>
                <w:b/>
                <w:sz w:val="20"/>
                <w:szCs w:val="20"/>
              </w:rPr>
              <w:t xml:space="preserve"> scripts</w:t>
            </w:r>
          </w:p>
        </w:tc>
        <w:tc>
          <w:tcPr>
            <w:tcW w:w="583"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tcBorders>
              <w:right w:val="single" w:sz="4" w:space="0" w:color="auto"/>
            </w:tcBorders>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tcBorders>
              <w:right w:val="single" w:sz="4" w:space="0" w:color="auto"/>
            </w:tcBorders>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942E3" w:rsidRPr="00115B6A" w:rsidTr="00032303">
        <w:tc>
          <w:tcPr>
            <w:tcW w:w="1498" w:type="pct"/>
            <w:tcBorders>
              <w:left w:val="single" w:sz="4" w:space="0" w:color="auto"/>
              <w:bottom w:val="single" w:sz="4" w:space="0" w:color="auto"/>
            </w:tcBorders>
            <w:shd w:val="clear" w:color="auto" w:fill="D9D9D9" w:themeFill="background1" w:themeFillShade="D9"/>
            <w:vAlign w:val="center"/>
          </w:tcPr>
          <w:p w:rsidR="008942E3" w:rsidRPr="00115B6A" w:rsidRDefault="008942E3" w:rsidP="00CF4FD3">
            <w:pPr>
              <w:keepNext/>
              <w:keepLines/>
              <w:rPr>
                <w:rFonts w:ascii="Arial Narrow" w:hAnsi="Arial Narrow"/>
                <w:b/>
                <w:sz w:val="20"/>
                <w:szCs w:val="20"/>
              </w:rPr>
            </w:pPr>
            <w:r w:rsidRPr="00115B6A">
              <w:rPr>
                <w:rFonts w:ascii="Arial Narrow" w:hAnsi="Arial Narrow"/>
                <w:b/>
                <w:sz w:val="20"/>
                <w:szCs w:val="20"/>
              </w:rPr>
              <w:t>Net cost to PBS/RPBS</w:t>
            </w:r>
          </w:p>
        </w:tc>
        <w:tc>
          <w:tcPr>
            <w:tcW w:w="583"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3" w:type="pct"/>
            <w:tcBorders>
              <w:right w:val="single" w:sz="4" w:space="0" w:color="auto"/>
            </w:tcBorders>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4" w:type="pct"/>
            <w:tcBorders>
              <w:right w:val="single" w:sz="4" w:space="0" w:color="auto"/>
            </w:tcBorders>
            <w:shd w:val="clear" w:color="auto" w:fill="D9D9D9" w:themeFill="background1" w:themeFillShade="D9"/>
            <w:vAlign w:val="center"/>
          </w:tcPr>
          <w:p w:rsidR="008942E3" w:rsidRPr="00EA7660" w:rsidRDefault="00EA7660" w:rsidP="00CF4FD3">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086138" w:rsidRPr="00115B6A" w:rsidRDefault="00086138" w:rsidP="00914DD5">
      <w:pPr>
        <w:pStyle w:val="TableFooter"/>
        <w:keepNext/>
        <w:keepLines/>
      </w:pPr>
      <w:proofErr w:type="spellStart"/>
      <w:r w:rsidRPr="00115B6A">
        <w:t>Source</w:t>
      </w:r>
      <w:proofErr w:type="gramStart"/>
      <w:r w:rsidRPr="00115B6A">
        <w:t>:</w:t>
      </w:r>
      <w:r w:rsidR="00005A9F" w:rsidRPr="00115B6A">
        <w:t>Actemra</w:t>
      </w:r>
      <w:proofErr w:type="gramEnd"/>
      <w:r w:rsidR="00005A9F" w:rsidRPr="00115B6A">
        <w:t>_Section</w:t>
      </w:r>
      <w:proofErr w:type="spellEnd"/>
      <w:r w:rsidR="00005A9F" w:rsidRPr="00115B6A">
        <w:t xml:space="preserve"> 4_minor resubmission.xlsx</w:t>
      </w:r>
      <w:r w:rsidRPr="00115B6A">
        <w:t xml:space="preserve"> of the </w:t>
      </w:r>
      <w:r w:rsidR="00005A9F" w:rsidRPr="00115B6A">
        <w:t>re</w:t>
      </w:r>
      <w:r w:rsidRPr="00115B6A">
        <w:t>submission</w:t>
      </w:r>
      <w:r w:rsidR="003C7E2D" w:rsidRPr="00115B6A">
        <w:t>; Tables 3 and 4 of the minor resubmission</w:t>
      </w:r>
    </w:p>
    <w:p w:rsidR="00032303" w:rsidRPr="00115B6A" w:rsidRDefault="00032303" w:rsidP="00914DD5">
      <w:pPr>
        <w:pStyle w:val="TableFooter"/>
        <w:keepNext/>
        <w:keepLines/>
      </w:pPr>
      <w:r w:rsidRPr="00115B6A">
        <w:t>Abbreviations: GCA, giant cell arteritis; PBS, Pharmaceutical Benefits Scheme; RPBS, Repatriation Pharmaceutical Benefits Scheme</w:t>
      </w:r>
    </w:p>
    <w:p w:rsidR="00451011" w:rsidRPr="00115B6A" w:rsidRDefault="00451011" w:rsidP="00914DD5">
      <w:pPr>
        <w:pStyle w:val="TableFooter"/>
        <w:keepNext/>
        <w:keepLines/>
      </w:pPr>
      <w:proofErr w:type="gramStart"/>
      <w:r w:rsidRPr="00115B6A">
        <w:rPr>
          <w:vertAlign w:val="superscript"/>
        </w:rPr>
        <w:t xml:space="preserve">a </w:t>
      </w:r>
      <w:r w:rsidRPr="00115B6A">
        <w:t xml:space="preserve"> Relapsed</w:t>
      </w:r>
      <w:proofErr w:type="gramEnd"/>
      <w:r w:rsidRPr="00115B6A">
        <w:t xml:space="preserve"> incident </w:t>
      </w:r>
      <w:r w:rsidR="00914DD5" w:rsidRPr="00115B6A">
        <w:t>patients</w:t>
      </w:r>
      <w:r w:rsidRPr="00115B6A">
        <w:t xml:space="preserve"> </w:t>
      </w:r>
    </w:p>
    <w:p w:rsidR="00EB7CD0" w:rsidRPr="00EA5994" w:rsidRDefault="002C209E" w:rsidP="00C65565">
      <w:pPr>
        <w:pStyle w:val="ListParagraph"/>
        <w:widowControl/>
        <w:numPr>
          <w:ilvl w:val="1"/>
          <w:numId w:val="14"/>
        </w:numPr>
        <w:spacing w:before="120" w:after="120"/>
        <w:contextualSpacing w:val="0"/>
        <w:rPr>
          <w:rFonts w:asciiTheme="minorHAnsi" w:hAnsiTheme="minorHAnsi" w:cstheme="minorHAnsi"/>
          <w:bCs/>
          <w:sz w:val="24"/>
          <w:szCs w:val="24"/>
        </w:rPr>
      </w:pPr>
      <w:r w:rsidRPr="00EA5994">
        <w:rPr>
          <w:rFonts w:asciiTheme="minorHAnsi" w:hAnsiTheme="minorHAnsi" w:cstheme="minorHAnsi"/>
          <w:bCs/>
          <w:sz w:val="24"/>
          <w:szCs w:val="24"/>
        </w:rPr>
        <w:t xml:space="preserve">The minor resubmission estimated that the net cost to the PBS/RPBS </w:t>
      </w:r>
      <w:r w:rsidR="004555E4" w:rsidRPr="00EA5994">
        <w:rPr>
          <w:rFonts w:asciiTheme="minorHAnsi" w:hAnsiTheme="minorHAnsi" w:cstheme="minorHAnsi"/>
          <w:bCs/>
          <w:sz w:val="24"/>
          <w:szCs w:val="24"/>
        </w:rPr>
        <w:t xml:space="preserve">(which forms the basis for the proposed RSA cap) </w:t>
      </w:r>
      <w:r w:rsidRPr="00EA5994">
        <w:rPr>
          <w:rFonts w:asciiTheme="minorHAnsi" w:hAnsiTheme="minorHAnsi" w:cstheme="minorHAnsi"/>
          <w:bCs/>
          <w:sz w:val="24"/>
          <w:szCs w:val="24"/>
        </w:rPr>
        <w:t xml:space="preserve">would be </w:t>
      </w:r>
      <w:r w:rsidR="00C42053">
        <w:rPr>
          <w:rFonts w:asciiTheme="minorHAnsi" w:hAnsiTheme="minorHAnsi" w:cstheme="minorHAnsi"/>
          <w:bCs/>
          <w:sz w:val="24"/>
          <w:szCs w:val="24"/>
        </w:rPr>
        <w:t>less than $10 million</w:t>
      </w:r>
      <w:r w:rsidRPr="00EA5994">
        <w:rPr>
          <w:rFonts w:asciiTheme="minorHAnsi" w:hAnsiTheme="minorHAnsi" w:cstheme="minorHAnsi"/>
          <w:bCs/>
          <w:sz w:val="24"/>
          <w:szCs w:val="24"/>
        </w:rPr>
        <w:t xml:space="preserve"> in </w:t>
      </w:r>
      <w:r w:rsidR="004555E4" w:rsidRPr="00EA5994">
        <w:rPr>
          <w:rFonts w:asciiTheme="minorHAnsi" w:hAnsiTheme="minorHAnsi" w:cstheme="minorHAnsi"/>
          <w:bCs/>
          <w:sz w:val="24"/>
          <w:szCs w:val="24"/>
        </w:rPr>
        <w:t>Y</w:t>
      </w:r>
      <w:r w:rsidR="00C72A6F" w:rsidRPr="00EA5994">
        <w:rPr>
          <w:rFonts w:asciiTheme="minorHAnsi" w:hAnsiTheme="minorHAnsi" w:cstheme="minorHAnsi"/>
          <w:bCs/>
          <w:sz w:val="24"/>
          <w:szCs w:val="24"/>
        </w:rPr>
        <w:t>ear 1 decreasing to</w:t>
      </w:r>
      <w:r w:rsidRPr="00EA5994">
        <w:rPr>
          <w:rFonts w:asciiTheme="minorHAnsi" w:hAnsiTheme="minorHAnsi" w:cstheme="minorHAnsi"/>
          <w:bCs/>
          <w:sz w:val="24"/>
          <w:szCs w:val="24"/>
        </w:rPr>
        <w:t xml:space="preserve"> </w:t>
      </w:r>
      <w:r w:rsidR="00C42053">
        <w:rPr>
          <w:rFonts w:asciiTheme="minorHAnsi" w:hAnsiTheme="minorHAnsi" w:cstheme="minorHAnsi"/>
          <w:bCs/>
          <w:sz w:val="24"/>
          <w:szCs w:val="24"/>
        </w:rPr>
        <w:t xml:space="preserve">less than $10 million </w:t>
      </w:r>
      <w:r w:rsidRPr="00EA5994">
        <w:rPr>
          <w:rFonts w:asciiTheme="minorHAnsi" w:hAnsiTheme="minorHAnsi" w:cstheme="minorHAnsi"/>
          <w:bCs/>
          <w:sz w:val="24"/>
          <w:szCs w:val="24"/>
        </w:rPr>
        <w:t xml:space="preserve">in </w:t>
      </w:r>
      <w:r w:rsidR="004555E4" w:rsidRPr="00EA5994">
        <w:rPr>
          <w:rFonts w:asciiTheme="minorHAnsi" w:hAnsiTheme="minorHAnsi" w:cstheme="minorHAnsi"/>
          <w:bCs/>
          <w:sz w:val="24"/>
          <w:szCs w:val="24"/>
        </w:rPr>
        <w:t>Y</w:t>
      </w:r>
      <w:r w:rsidRPr="00EA5994">
        <w:rPr>
          <w:rFonts w:asciiTheme="minorHAnsi" w:hAnsiTheme="minorHAnsi" w:cstheme="minorHAnsi"/>
          <w:bCs/>
          <w:sz w:val="24"/>
          <w:szCs w:val="24"/>
        </w:rPr>
        <w:t xml:space="preserve">ear 6 with </w:t>
      </w:r>
      <w:r w:rsidR="00EB7CD0" w:rsidRPr="00EA5994">
        <w:rPr>
          <w:rFonts w:asciiTheme="minorHAnsi" w:hAnsiTheme="minorHAnsi" w:cstheme="minorHAnsi"/>
          <w:bCs/>
          <w:sz w:val="24"/>
          <w:szCs w:val="24"/>
        </w:rPr>
        <w:t xml:space="preserve">a </w:t>
      </w:r>
      <w:r w:rsidR="00C72A6F" w:rsidRPr="00EA5994">
        <w:rPr>
          <w:rFonts w:asciiTheme="minorHAnsi" w:hAnsiTheme="minorHAnsi" w:cstheme="minorHAnsi"/>
          <w:bCs/>
          <w:sz w:val="24"/>
          <w:szCs w:val="24"/>
        </w:rPr>
        <w:t>total of</w:t>
      </w:r>
      <w:r w:rsidRPr="00EA5994">
        <w:rPr>
          <w:rFonts w:asciiTheme="minorHAnsi" w:hAnsiTheme="minorHAnsi" w:cstheme="minorHAnsi"/>
          <w:bCs/>
          <w:sz w:val="24"/>
          <w:szCs w:val="24"/>
        </w:rPr>
        <w:t xml:space="preserve"> </w:t>
      </w:r>
      <w:r w:rsidR="00C42053">
        <w:rPr>
          <w:rFonts w:asciiTheme="minorHAnsi" w:hAnsiTheme="minorHAnsi" w:cstheme="minorHAnsi"/>
          <w:bCs/>
          <w:sz w:val="24"/>
          <w:szCs w:val="24"/>
        </w:rPr>
        <w:t xml:space="preserve">$30 - $60 </w:t>
      </w:r>
      <w:r w:rsidRPr="00EA5994">
        <w:rPr>
          <w:rFonts w:asciiTheme="minorHAnsi" w:hAnsiTheme="minorHAnsi" w:cstheme="minorHAnsi"/>
          <w:bCs/>
          <w:sz w:val="24"/>
          <w:szCs w:val="24"/>
        </w:rPr>
        <w:t xml:space="preserve">million </w:t>
      </w:r>
      <w:r w:rsidR="004555E4" w:rsidRPr="00EA5994">
        <w:rPr>
          <w:rFonts w:asciiTheme="minorHAnsi" w:hAnsiTheme="minorHAnsi" w:cstheme="minorHAnsi"/>
          <w:bCs/>
          <w:sz w:val="24"/>
          <w:szCs w:val="24"/>
        </w:rPr>
        <w:t>over</w:t>
      </w:r>
      <w:r w:rsidRPr="00EA5994">
        <w:rPr>
          <w:rFonts w:asciiTheme="minorHAnsi" w:hAnsiTheme="minorHAnsi" w:cstheme="minorHAnsi"/>
          <w:bCs/>
          <w:sz w:val="24"/>
          <w:szCs w:val="24"/>
        </w:rPr>
        <w:t xml:space="preserve"> the first six years of listing.</w:t>
      </w:r>
      <w:r w:rsidR="009C3E4C" w:rsidRPr="00EA5994">
        <w:rPr>
          <w:rFonts w:asciiTheme="minorHAnsi" w:hAnsiTheme="minorHAnsi" w:cstheme="minorHAnsi"/>
          <w:bCs/>
          <w:sz w:val="24"/>
          <w:szCs w:val="24"/>
        </w:rPr>
        <w:t xml:space="preserve"> </w:t>
      </w:r>
      <w:r w:rsidR="00EB7CD0" w:rsidRPr="00EA5994">
        <w:rPr>
          <w:rFonts w:asciiTheme="minorHAnsi" w:hAnsiTheme="minorHAnsi" w:cstheme="minorHAnsi"/>
          <w:bCs/>
          <w:sz w:val="24"/>
          <w:szCs w:val="24"/>
        </w:rPr>
        <w:t xml:space="preserve">This compares with an estimated cost of </w:t>
      </w:r>
      <w:r w:rsidR="00C42053">
        <w:rPr>
          <w:rFonts w:asciiTheme="minorHAnsi" w:hAnsiTheme="minorHAnsi" w:cstheme="minorHAnsi"/>
          <w:bCs/>
          <w:sz w:val="24"/>
          <w:szCs w:val="24"/>
        </w:rPr>
        <w:t>$60 - $100</w:t>
      </w:r>
      <w:r w:rsidR="00EB7CD0" w:rsidRPr="00EA5994">
        <w:rPr>
          <w:rFonts w:asciiTheme="minorHAnsi" w:hAnsiTheme="minorHAnsi" w:cstheme="minorHAnsi"/>
          <w:bCs/>
          <w:sz w:val="24"/>
          <w:szCs w:val="24"/>
        </w:rPr>
        <w:t xml:space="preserve"> million over six years in the previous submission, and </w:t>
      </w:r>
      <w:r w:rsidR="00C42053">
        <w:rPr>
          <w:rFonts w:asciiTheme="minorHAnsi" w:hAnsiTheme="minorHAnsi" w:cstheme="minorHAnsi"/>
          <w:bCs/>
          <w:sz w:val="24"/>
          <w:szCs w:val="24"/>
        </w:rPr>
        <w:t xml:space="preserve">$60 - $100 </w:t>
      </w:r>
      <w:r w:rsidR="00EB7CD0" w:rsidRPr="00EA5994">
        <w:rPr>
          <w:rFonts w:asciiTheme="minorHAnsi" w:hAnsiTheme="minorHAnsi" w:cstheme="minorHAnsi"/>
          <w:bCs/>
          <w:sz w:val="24"/>
          <w:szCs w:val="24"/>
        </w:rPr>
        <w:t xml:space="preserve">million over six years in the previous pre-PBAC response (Paragraph 6.64, </w:t>
      </w:r>
      <w:proofErr w:type="spellStart"/>
      <w:r w:rsidR="00EB7CD0" w:rsidRPr="00EA5994">
        <w:rPr>
          <w:rFonts w:asciiTheme="minorHAnsi" w:hAnsiTheme="minorHAnsi" w:cstheme="minorHAnsi"/>
          <w:bCs/>
          <w:sz w:val="24"/>
          <w:szCs w:val="24"/>
        </w:rPr>
        <w:t>Tocilizumab</w:t>
      </w:r>
      <w:proofErr w:type="spellEnd"/>
      <w:r w:rsidR="00EB7CD0" w:rsidRPr="00EA5994">
        <w:rPr>
          <w:rFonts w:asciiTheme="minorHAnsi" w:hAnsiTheme="minorHAnsi" w:cstheme="minorHAnsi"/>
          <w:bCs/>
          <w:sz w:val="24"/>
          <w:szCs w:val="24"/>
        </w:rPr>
        <w:t xml:space="preserve"> November 2018 PBAC </w:t>
      </w:r>
      <w:r w:rsidR="000553AB">
        <w:rPr>
          <w:rFonts w:asciiTheme="minorHAnsi" w:hAnsiTheme="minorHAnsi" w:cstheme="minorHAnsi"/>
          <w:bCs/>
          <w:sz w:val="24"/>
          <w:szCs w:val="24"/>
        </w:rPr>
        <w:t>PSD</w:t>
      </w:r>
      <w:r w:rsidR="00EB7CD0" w:rsidRPr="00EA5994">
        <w:rPr>
          <w:rFonts w:asciiTheme="minorHAnsi" w:hAnsiTheme="minorHAnsi" w:cstheme="minorHAnsi"/>
          <w:bCs/>
          <w:sz w:val="24"/>
          <w:szCs w:val="24"/>
        </w:rPr>
        <w:t>).</w:t>
      </w:r>
    </w:p>
    <w:p w:rsidR="003C168C" w:rsidRPr="00EA5994" w:rsidRDefault="003C168C" w:rsidP="00C65565">
      <w:pPr>
        <w:pStyle w:val="PBACHeading1"/>
        <w:keepNext/>
        <w:keepLines/>
        <w:numPr>
          <w:ilvl w:val="0"/>
          <w:numId w:val="0"/>
        </w:numPr>
        <w:spacing w:before="120" w:after="120"/>
        <w:outlineLvl w:val="9"/>
        <w:rPr>
          <w:b w:val="0"/>
          <w:sz w:val="24"/>
          <w:szCs w:val="24"/>
        </w:rPr>
      </w:pPr>
      <w:r w:rsidRPr="00115B6A">
        <w:rPr>
          <w:rFonts w:asciiTheme="minorHAnsi" w:hAnsiTheme="minorHAnsi"/>
          <w:b w:val="0"/>
          <w:i/>
          <w:sz w:val="24"/>
          <w:szCs w:val="24"/>
        </w:rPr>
        <w:t>For more detail on PBAC’s view, see section 7 PBAC outcome.</w:t>
      </w:r>
    </w:p>
    <w:p w:rsidR="00522A07" w:rsidRPr="00115B6A" w:rsidRDefault="00522A07" w:rsidP="00C65565">
      <w:pPr>
        <w:pStyle w:val="Heading2"/>
        <w:keepLines/>
        <w:spacing w:before="120" w:after="120"/>
        <w:jc w:val="both"/>
        <w:rPr>
          <w:rFonts w:ascii="Calibri" w:hAnsi="Calibri" w:cs="Arial"/>
          <w:snapToGrid w:val="0"/>
          <w:sz w:val="28"/>
          <w:szCs w:val="22"/>
          <w:lang w:eastAsia="en-US"/>
        </w:rPr>
      </w:pPr>
      <w:r w:rsidRPr="00115B6A">
        <w:rPr>
          <w:rFonts w:ascii="Calibri" w:hAnsi="Calibri" w:cs="Arial"/>
          <w:snapToGrid w:val="0"/>
          <w:sz w:val="28"/>
          <w:szCs w:val="22"/>
          <w:lang w:eastAsia="en-US"/>
        </w:rPr>
        <w:t>Quality Use of Medicines</w:t>
      </w:r>
    </w:p>
    <w:p w:rsidR="00EB4AB9" w:rsidRPr="00EA5994" w:rsidRDefault="00522A07" w:rsidP="00C65565">
      <w:pPr>
        <w:pStyle w:val="ListParagraph"/>
        <w:widowControl/>
        <w:numPr>
          <w:ilvl w:val="1"/>
          <w:numId w:val="14"/>
        </w:numPr>
        <w:spacing w:before="120" w:after="120"/>
        <w:contextualSpacing w:val="0"/>
        <w:rPr>
          <w:rFonts w:asciiTheme="minorHAnsi" w:hAnsiTheme="minorHAnsi" w:cstheme="minorHAnsi"/>
          <w:bCs/>
          <w:sz w:val="24"/>
          <w:szCs w:val="24"/>
        </w:rPr>
      </w:pPr>
      <w:r w:rsidRPr="00EA5994">
        <w:rPr>
          <w:rFonts w:asciiTheme="minorHAnsi" w:hAnsiTheme="minorHAnsi" w:cstheme="minorHAnsi"/>
          <w:bCs/>
          <w:sz w:val="24"/>
          <w:szCs w:val="24"/>
        </w:rPr>
        <w:t xml:space="preserve">The PBAC previously considered that, </w:t>
      </w:r>
      <w:r w:rsidR="00EB7CD0" w:rsidRPr="00EA5994">
        <w:rPr>
          <w:rFonts w:asciiTheme="minorHAnsi" w:hAnsiTheme="minorHAnsi" w:cstheme="minorHAnsi"/>
          <w:bCs/>
          <w:sz w:val="24"/>
          <w:szCs w:val="24"/>
        </w:rPr>
        <w:t>“</w:t>
      </w:r>
      <w:r w:rsidRPr="00EA5994">
        <w:rPr>
          <w:rFonts w:asciiTheme="minorHAnsi" w:hAnsiTheme="minorHAnsi" w:cstheme="minorHAnsi"/>
          <w:bCs/>
          <w:sz w:val="24"/>
          <w:szCs w:val="24"/>
        </w:rPr>
        <w:t xml:space="preserve">based on the limited longer-term data available, there were high rates of relapse in patients who initially responded to 12 months of </w:t>
      </w:r>
      <w:proofErr w:type="spellStart"/>
      <w:r w:rsidRPr="00EA5994">
        <w:rPr>
          <w:rFonts w:asciiTheme="minorHAnsi" w:hAnsiTheme="minorHAnsi" w:cstheme="minorHAnsi"/>
          <w:bCs/>
          <w:sz w:val="24"/>
          <w:szCs w:val="24"/>
        </w:rPr>
        <w:t>tocilizumab</w:t>
      </w:r>
      <w:proofErr w:type="spellEnd"/>
      <w:r w:rsidRPr="00EA5994">
        <w:rPr>
          <w:rFonts w:asciiTheme="minorHAnsi" w:hAnsiTheme="minorHAnsi" w:cstheme="minorHAnsi"/>
          <w:bCs/>
          <w:sz w:val="24"/>
          <w:szCs w:val="24"/>
        </w:rPr>
        <w:t xml:space="preserve"> treatment</w:t>
      </w:r>
      <w:r w:rsidR="00EB7CD0" w:rsidRPr="00EA5994">
        <w:rPr>
          <w:rFonts w:asciiTheme="minorHAnsi" w:hAnsiTheme="minorHAnsi" w:cstheme="minorHAnsi"/>
          <w:bCs/>
          <w:sz w:val="24"/>
          <w:szCs w:val="24"/>
        </w:rPr>
        <w:t>….</w:t>
      </w:r>
      <w:r w:rsidRPr="00EA5994">
        <w:rPr>
          <w:rFonts w:asciiTheme="minorHAnsi" w:hAnsiTheme="minorHAnsi" w:cstheme="minorHAnsi"/>
          <w:bCs/>
          <w:sz w:val="24"/>
          <w:szCs w:val="24"/>
        </w:rPr>
        <w:t xml:space="preserve"> </w:t>
      </w:r>
      <w:r w:rsidRPr="00115B6A">
        <w:rPr>
          <w:rFonts w:asciiTheme="minorHAnsi" w:eastAsiaTheme="minorHAnsi" w:hAnsiTheme="minorHAnsi" w:cstheme="minorHAnsi"/>
          <w:snapToGrid/>
          <w:sz w:val="24"/>
          <w:szCs w:val="24"/>
        </w:rPr>
        <w:t xml:space="preserve">The PBAC considered that the large number of flares in the post-treatment period suggests that </w:t>
      </w:r>
      <w:proofErr w:type="spellStart"/>
      <w:r w:rsidRPr="00115B6A">
        <w:rPr>
          <w:rFonts w:asciiTheme="minorHAnsi" w:eastAsiaTheme="minorHAnsi" w:hAnsiTheme="minorHAnsi" w:cstheme="minorHAnsi"/>
          <w:snapToGrid/>
          <w:sz w:val="24"/>
          <w:szCs w:val="24"/>
        </w:rPr>
        <w:t>tocilizumab</w:t>
      </w:r>
      <w:proofErr w:type="spellEnd"/>
      <w:r w:rsidRPr="00115B6A">
        <w:rPr>
          <w:rFonts w:asciiTheme="minorHAnsi" w:eastAsiaTheme="minorHAnsi" w:hAnsiTheme="minorHAnsi" w:cstheme="minorHAnsi"/>
          <w:snapToGrid/>
          <w:sz w:val="24"/>
          <w:szCs w:val="24"/>
        </w:rPr>
        <w:t xml:space="preserve"> may suppress rather than prevent relapse. The PBAC considered that it would be important for the sponsor to ensure there are Quality Use of Medicines initiatives to help manage the expectations of clinicians and patients.</w:t>
      </w:r>
      <w:r w:rsidR="00EB7CD0" w:rsidRPr="00115B6A">
        <w:rPr>
          <w:rFonts w:asciiTheme="minorHAnsi" w:eastAsiaTheme="minorHAnsi" w:hAnsiTheme="minorHAnsi" w:cstheme="minorHAnsi"/>
          <w:snapToGrid/>
          <w:sz w:val="24"/>
          <w:szCs w:val="24"/>
        </w:rPr>
        <w:t>” (</w:t>
      </w:r>
      <w:r w:rsidR="00EB7CD0" w:rsidRPr="00EA5994">
        <w:rPr>
          <w:rFonts w:asciiTheme="minorHAnsi" w:hAnsiTheme="minorHAnsi" w:cstheme="minorHAnsi"/>
          <w:bCs/>
          <w:sz w:val="24"/>
          <w:szCs w:val="24"/>
        </w:rPr>
        <w:t xml:space="preserve">Paragraph 7.10, </w:t>
      </w:r>
      <w:proofErr w:type="spellStart"/>
      <w:r w:rsidR="00EB7CD0" w:rsidRPr="00EA5994">
        <w:rPr>
          <w:rFonts w:asciiTheme="minorHAnsi" w:hAnsiTheme="minorHAnsi" w:cstheme="minorHAnsi"/>
          <w:bCs/>
          <w:sz w:val="24"/>
          <w:szCs w:val="24"/>
        </w:rPr>
        <w:t>Tocilizumab</w:t>
      </w:r>
      <w:proofErr w:type="spellEnd"/>
      <w:r w:rsidR="00EB7CD0" w:rsidRPr="00EA5994">
        <w:rPr>
          <w:rFonts w:asciiTheme="minorHAnsi" w:hAnsiTheme="minorHAnsi" w:cstheme="minorHAnsi"/>
          <w:bCs/>
          <w:sz w:val="24"/>
          <w:szCs w:val="24"/>
        </w:rPr>
        <w:t xml:space="preserve"> November 2018 PBAC </w:t>
      </w:r>
      <w:r w:rsidR="000553AB">
        <w:rPr>
          <w:rFonts w:asciiTheme="minorHAnsi" w:hAnsiTheme="minorHAnsi" w:cstheme="minorHAnsi"/>
          <w:bCs/>
          <w:sz w:val="24"/>
          <w:szCs w:val="24"/>
        </w:rPr>
        <w:t>PSD</w:t>
      </w:r>
      <w:r w:rsidR="00EB7CD0" w:rsidRPr="00EA5994">
        <w:rPr>
          <w:rFonts w:asciiTheme="minorHAnsi" w:hAnsiTheme="minorHAnsi" w:cstheme="minorHAnsi"/>
          <w:bCs/>
          <w:sz w:val="24"/>
          <w:szCs w:val="24"/>
        </w:rPr>
        <w:t xml:space="preserve">). No further information </w:t>
      </w:r>
      <w:proofErr w:type="gramStart"/>
      <w:r w:rsidR="00EB7CD0" w:rsidRPr="00EA5994">
        <w:rPr>
          <w:rFonts w:asciiTheme="minorHAnsi" w:hAnsiTheme="minorHAnsi" w:cstheme="minorHAnsi"/>
          <w:bCs/>
          <w:sz w:val="24"/>
          <w:szCs w:val="24"/>
        </w:rPr>
        <w:t>was provided</w:t>
      </w:r>
      <w:proofErr w:type="gramEnd"/>
      <w:r w:rsidR="00EB7CD0" w:rsidRPr="00EA5994">
        <w:rPr>
          <w:rFonts w:asciiTheme="minorHAnsi" w:hAnsiTheme="minorHAnsi" w:cstheme="minorHAnsi"/>
          <w:bCs/>
          <w:sz w:val="24"/>
          <w:szCs w:val="24"/>
        </w:rPr>
        <w:t xml:space="preserve"> in the minor resubmission to address the PBAC’s previous concerns regarding the high rates of relapse and the expectations of clinicians and patients.</w:t>
      </w:r>
    </w:p>
    <w:p w:rsidR="001E5F89" w:rsidRPr="00EA5994" w:rsidRDefault="001E5F89" w:rsidP="00C65565">
      <w:pPr>
        <w:widowControl w:val="0"/>
        <w:numPr>
          <w:ilvl w:val="1"/>
          <w:numId w:val="14"/>
        </w:numPr>
        <w:spacing w:before="120" w:after="120"/>
        <w:jc w:val="both"/>
        <w:rPr>
          <w:rFonts w:cs="Arial"/>
          <w:bCs/>
          <w:snapToGrid w:val="0"/>
        </w:rPr>
      </w:pPr>
      <w:r w:rsidRPr="00115B6A">
        <w:rPr>
          <w:rFonts w:asciiTheme="minorHAnsi" w:eastAsiaTheme="minorHAnsi" w:hAnsiTheme="minorHAnsi" w:cstheme="minorHAnsi"/>
          <w:lang w:eastAsia="en-US"/>
        </w:rPr>
        <w:t xml:space="preserve">The PBAC recalled that, based on data provided in the previous submission, the open-label extension of the </w:t>
      </w:r>
      <w:proofErr w:type="spellStart"/>
      <w:r w:rsidRPr="00115B6A">
        <w:rPr>
          <w:rFonts w:asciiTheme="minorHAnsi" w:eastAsiaTheme="minorHAnsi" w:hAnsiTheme="minorHAnsi" w:cstheme="minorHAnsi"/>
          <w:lang w:eastAsia="en-US"/>
        </w:rPr>
        <w:t>GiACTA</w:t>
      </w:r>
      <w:proofErr w:type="spellEnd"/>
      <w:r w:rsidRPr="00115B6A">
        <w:rPr>
          <w:rFonts w:asciiTheme="minorHAnsi" w:eastAsiaTheme="minorHAnsi" w:hAnsiTheme="minorHAnsi" w:cstheme="minorHAnsi"/>
          <w:lang w:eastAsia="en-US"/>
        </w:rPr>
        <w:t xml:space="preserve"> trial found that, of patients who were in remission after 12 months of treatment, flares were subsequently observed in 8/24 (33%) of the </w:t>
      </w:r>
      <w:proofErr w:type="spellStart"/>
      <w:r w:rsidRPr="00115B6A">
        <w:rPr>
          <w:rFonts w:asciiTheme="minorHAnsi" w:eastAsiaTheme="minorHAnsi" w:hAnsiTheme="minorHAnsi" w:cstheme="minorHAnsi"/>
          <w:lang w:eastAsia="en-US"/>
        </w:rPr>
        <w:t>tocilizumab</w:t>
      </w:r>
      <w:proofErr w:type="spellEnd"/>
      <w:r w:rsidRPr="00115B6A">
        <w:rPr>
          <w:rFonts w:asciiTheme="minorHAnsi" w:eastAsiaTheme="minorHAnsi" w:hAnsiTheme="minorHAnsi" w:cstheme="minorHAnsi"/>
          <w:lang w:eastAsia="en-US"/>
        </w:rPr>
        <w:t xml:space="preserve"> weekly group, and 8/11 (73%) of the </w:t>
      </w:r>
      <w:proofErr w:type="spellStart"/>
      <w:r w:rsidRPr="00115B6A">
        <w:rPr>
          <w:rFonts w:asciiTheme="minorHAnsi" w:eastAsiaTheme="minorHAnsi" w:hAnsiTheme="minorHAnsi" w:cstheme="minorHAnsi"/>
          <w:lang w:eastAsia="en-US"/>
        </w:rPr>
        <w:t>tocilizumab</w:t>
      </w:r>
      <w:proofErr w:type="spellEnd"/>
      <w:r w:rsidRPr="00115B6A">
        <w:rPr>
          <w:rFonts w:asciiTheme="minorHAnsi" w:eastAsiaTheme="minorHAnsi" w:hAnsiTheme="minorHAnsi" w:cstheme="minorHAnsi"/>
          <w:lang w:eastAsia="en-US"/>
        </w:rPr>
        <w:t xml:space="preserve"> fortnightly group. The PBAC further recalled that it had previously noted that </w:t>
      </w:r>
      <w:r w:rsidR="00095609" w:rsidRPr="00115B6A">
        <w:rPr>
          <w:rFonts w:asciiTheme="minorHAnsi" w:eastAsiaTheme="minorHAnsi" w:hAnsiTheme="minorHAnsi" w:cstheme="minorHAnsi"/>
          <w:lang w:eastAsia="en-US"/>
        </w:rPr>
        <w:t>“</w:t>
      </w:r>
      <w:r w:rsidRPr="00115B6A">
        <w:rPr>
          <w:rFonts w:asciiTheme="minorHAnsi" w:eastAsiaTheme="minorHAnsi" w:hAnsiTheme="minorHAnsi" w:cstheme="minorHAnsi"/>
          <w:lang w:eastAsia="en-US"/>
        </w:rPr>
        <w:t xml:space="preserve">similar rates of relapse (11/20 </w:t>
      </w:r>
      <w:r w:rsidRPr="00115B6A">
        <w:rPr>
          <w:rFonts w:asciiTheme="minorHAnsi" w:eastAsiaTheme="minorHAnsi" w:hAnsiTheme="minorHAnsi" w:cstheme="minorHAnsi"/>
          <w:lang w:eastAsia="en-US"/>
        </w:rPr>
        <w:lastRenderedPageBreak/>
        <w:t xml:space="preserve">(55%)) were observed in a Phase 2 study of </w:t>
      </w:r>
      <w:proofErr w:type="spellStart"/>
      <w:r w:rsidRPr="00115B6A">
        <w:rPr>
          <w:rFonts w:asciiTheme="minorHAnsi" w:eastAsiaTheme="minorHAnsi" w:hAnsiTheme="minorHAnsi" w:cstheme="minorHAnsi"/>
          <w:lang w:eastAsia="en-US"/>
        </w:rPr>
        <w:t>tocilizumab</w:t>
      </w:r>
      <w:proofErr w:type="spellEnd"/>
      <w:r w:rsidRPr="00115B6A">
        <w:rPr>
          <w:rFonts w:asciiTheme="minorHAnsi" w:eastAsiaTheme="minorHAnsi" w:hAnsiTheme="minorHAnsi" w:cstheme="minorHAnsi"/>
          <w:lang w:eastAsia="en-US"/>
        </w:rPr>
        <w:t xml:space="preserve"> in GCA (albeit a different dose of </w:t>
      </w:r>
      <w:proofErr w:type="spellStart"/>
      <w:r w:rsidRPr="00115B6A">
        <w:rPr>
          <w:rFonts w:asciiTheme="minorHAnsi" w:eastAsiaTheme="minorHAnsi" w:hAnsiTheme="minorHAnsi" w:cstheme="minorHAnsi"/>
          <w:lang w:eastAsia="en-US"/>
        </w:rPr>
        <w:t>tocilizumab</w:t>
      </w:r>
      <w:proofErr w:type="spellEnd"/>
      <w:r w:rsidRPr="00115B6A">
        <w:rPr>
          <w:rFonts w:asciiTheme="minorHAnsi" w:eastAsiaTheme="minorHAnsi" w:hAnsiTheme="minorHAnsi" w:cstheme="minorHAnsi"/>
          <w:lang w:eastAsia="en-US"/>
        </w:rPr>
        <w:t xml:space="preserve"> was used) (Adler 2016)</w:t>
      </w:r>
      <w:r w:rsidR="00095609" w:rsidRPr="00115B6A">
        <w:rPr>
          <w:rFonts w:asciiTheme="minorHAnsi" w:eastAsiaTheme="minorHAnsi" w:hAnsiTheme="minorHAnsi" w:cstheme="minorHAnsi"/>
          <w:lang w:eastAsia="en-US"/>
        </w:rPr>
        <w:t>”</w:t>
      </w:r>
      <w:r w:rsidRPr="00115B6A">
        <w:rPr>
          <w:rFonts w:asciiTheme="minorHAnsi" w:eastAsiaTheme="minorHAnsi" w:hAnsiTheme="minorHAnsi" w:cstheme="minorHAnsi"/>
          <w:lang w:eastAsia="en-US"/>
        </w:rPr>
        <w:t xml:space="preserve"> </w:t>
      </w:r>
      <w:r w:rsidR="00E65EE4" w:rsidRPr="00115B6A">
        <w:rPr>
          <w:rFonts w:asciiTheme="minorHAnsi" w:eastAsiaTheme="minorHAnsi" w:hAnsiTheme="minorHAnsi" w:cstheme="minorHAnsi"/>
        </w:rPr>
        <w:t>(</w:t>
      </w:r>
      <w:r w:rsidR="00E65EE4" w:rsidRPr="00EA5994">
        <w:rPr>
          <w:rFonts w:asciiTheme="minorHAnsi" w:hAnsiTheme="minorHAnsi" w:cstheme="minorHAnsi"/>
          <w:bCs/>
        </w:rPr>
        <w:t xml:space="preserve">Paragraph 7.10, </w:t>
      </w:r>
      <w:proofErr w:type="spellStart"/>
      <w:r w:rsidR="00E65EE4" w:rsidRPr="00EA5994">
        <w:rPr>
          <w:rFonts w:asciiTheme="minorHAnsi" w:hAnsiTheme="minorHAnsi" w:cstheme="minorHAnsi"/>
          <w:bCs/>
        </w:rPr>
        <w:t>Tocilizumab</w:t>
      </w:r>
      <w:proofErr w:type="spellEnd"/>
      <w:r w:rsidR="00E65EE4" w:rsidRPr="00EA5994">
        <w:rPr>
          <w:rFonts w:asciiTheme="minorHAnsi" w:hAnsiTheme="minorHAnsi" w:cstheme="minorHAnsi"/>
          <w:bCs/>
        </w:rPr>
        <w:t xml:space="preserve"> November 2018 PBAC </w:t>
      </w:r>
      <w:r w:rsidR="000553AB">
        <w:rPr>
          <w:rFonts w:asciiTheme="minorHAnsi" w:hAnsiTheme="minorHAnsi" w:cstheme="minorHAnsi"/>
          <w:bCs/>
        </w:rPr>
        <w:t>PSD</w:t>
      </w:r>
      <w:r w:rsidR="00E65EE4" w:rsidRPr="00EA5994">
        <w:rPr>
          <w:rFonts w:asciiTheme="minorHAnsi" w:hAnsiTheme="minorHAnsi" w:cstheme="minorHAnsi"/>
          <w:bCs/>
        </w:rPr>
        <w:t>).</w:t>
      </w:r>
    </w:p>
    <w:p w:rsidR="003C168C" w:rsidRPr="00EA5994" w:rsidRDefault="003C168C" w:rsidP="00C65565">
      <w:pPr>
        <w:pStyle w:val="PBACHeading1"/>
        <w:keepNext/>
        <w:keepLines/>
        <w:numPr>
          <w:ilvl w:val="0"/>
          <w:numId w:val="0"/>
        </w:numPr>
        <w:spacing w:before="120" w:after="120"/>
        <w:outlineLvl w:val="9"/>
        <w:rPr>
          <w:b w:val="0"/>
          <w:sz w:val="24"/>
          <w:szCs w:val="24"/>
        </w:rPr>
      </w:pPr>
      <w:r w:rsidRPr="00115B6A">
        <w:rPr>
          <w:rFonts w:asciiTheme="minorHAnsi" w:hAnsiTheme="minorHAnsi"/>
          <w:b w:val="0"/>
          <w:i/>
          <w:sz w:val="24"/>
          <w:szCs w:val="24"/>
        </w:rPr>
        <w:t>For more detail on PBAC’s view, see section 7 PBAC outcome.</w:t>
      </w:r>
    </w:p>
    <w:p w:rsidR="00B52179" w:rsidRPr="00115B6A" w:rsidRDefault="00B52179" w:rsidP="00C65565">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115B6A">
        <w:rPr>
          <w:rFonts w:asciiTheme="minorHAnsi" w:hAnsiTheme="minorHAnsi"/>
          <w:sz w:val="32"/>
          <w:szCs w:val="32"/>
        </w:rPr>
        <w:t>Financial Management – Risk Sharing Arrangements</w:t>
      </w:r>
    </w:p>
    <w:p w:rsidR="002D28A0" w:rsidRPr="00115B6A" w:rsidRDefault="002D28A0" w:rsidP="00C65565">
      <w:pPr>
        <w:pStyle w:val="ListParagraph"/>
        <w:widowControl/>
        <w:numPr>
          <w:ilvl w:val="1"/>
          <w:numId w:val="14"/>
        </w:numPr>
        <w:spacing w:before="120" w:after="120"/>
        <w:contextualSpacing w:val="0"/>
        <w:rPr>
          <w:rFonts w:asciiTheme="minorHAnsi" w:hAnsiTheme="minorHAnsi"/>
          <w:sz w:val="24"/>
          <w:szCs w:val="24"/>
        </w:rPr>
      </w:pPr>
      <w:r w:rsidRPr="00115B6A">
        <w:rPr>
          <w:rFonts w:asciiTheme="minorHAnsi" w:eastAsiaTheme="minorHAnsi" w:hAnsiTheme="minorHAnsi" w:cstheme="minorBidi"/>
          <w:snapToGrid/>
          <w:sz w:val="24"/>
          <w:szCs w:val="24"/>
        </w:rPr>
        <w:t xml:space="preserve">The PBAC previously considered that an RSA with a </w:t>
      </w:r>
      <w:r w:rsidR="00EA7660">
        <w:rPr>
          <w:rFonts w:asciiTheme="minorHAnsi" w:eastAsiaTheme="minorHAnsi" w:hAnsiTheme="minorHAnsi" w:cstheme="minorBidi"/>
          <w:noProof/>
          <w:snapToGrid/>
          <w:color w:val="000000"/>
          <w:sz w:val="24"/>
          <w:szCs w:val="24"/>
          <w:highlight w:val="black"/>
        </w:rPr>
        <w:t>'''''''</w:t>
      </w:r>
      <w:r w:rsidRPr="00115B6A">
        <w:rPr>
          <w:rFonts w:asciiTheme="minorHAnsi" w:eastAsiaTheme="minorHAnsi" w:hAnsiTheme="minorHAnsi" w:cstheme="minorBidi"/>
          <w:snapToGrid/>
          <w:sz w:val="24"/>
          <w:szCs w:val="24"/>
        </w:rPr>
        <w:t xml:space="preserve">% rebate above the caps would be required given the uncertain GCA incidence rate and the potential for use outside the </w:t>
      </w:r>
      <w:r w:rsidR="0053037E" w:rsidRPr="00115B6A">
        <w:rPr>
          <w:rFonts w:asciiTheme="minorHAnsi" w:eastAsiaTheme="minorHAnsi" w:hAnsiTheme="minorHAnsi" w:cstheme="minorBidi"/>
          <w:snapToGrid/>
          <w:sz w:val="24"/>
          <w:szCs w:val="24"/>
        </w:rPr>
        <w:t xml:space="preserve">proposed </w:t>
      </w:r>
      <w:r w:rsidRPr="00115B6A">
        <w:rPr>
          <w:rFonts w:asciiTheme="minorHAnsi" w:eastAsiaTheme="minorHAnsi" w:hAnsiTheme="minorHAnsi" w:cstheme="minorBidi"/>
          <w:snapToGrid/>
          <w:sz w:val="24"/>
          <w:szCs w:val="24"/>
        </w:rPr>
        <w:t xml:space="preserve">restriction (Paragraph 7.15, </w:t>
      </w:r>
      <w:proofErr w:type="spellStart"/>
      <w:r w:rsidRPr="00115B6A">
        <w:rPr>
          <w:rFonts w:asciiTheme="minorHAnsi" w:eastAsiaTheme="minorHAnsi" w:hAnsiTheme="minorHAnsi" w:cstheme="minorBidi"/>
          <w:snapToGrid/>
          <w:sz w:val="24"/>
          <w:szCs w:val="24"/>
        </w:rPr>
        <w:t>Tocilizumab</w:t>
      </w:r>
      <w:proofErr w:type="spellEnd"/>
      <w:r w:rsidRPr="00115B6A">
        <w:rPr>
          <w:rFonts w:asciiTheme="minorHAnsi" w:eastAsiaTheme="minorHAnsi" w:hAnsiTheme="minorHAnsi" w:cstheme="minorBidi"/>
          <w:snapToGrid/>
          <w:sz w:val="24"/>
          <w:szCs w:val="24"/>
        </w:rPr>
        <w:t xml:space="preserve"> November 2018 PBAC </w:t>
      </w:r>
      <w:r w:rsidR="000553AB">
        <w:rPr>
          <w:rFonts w:asciiTheme="minorHAnsi" w:eastAsiaTheme="minorHAnsi" w:hAnsiTheme="minorHAnsi" w:cstheme="minorBidi"/>
          <w:snapToGrid/>
          <w:sz w:val="24"/>
          <w:szCs w:val="24"/>
        </w:rPr>
        <w:t>PSD</w:t>
      </w:r>
      <w:r w:rsidRPr="00115B6A">
        <w:rPr>
          <w:rFonts w:asciiTheme="minorHAnsi" w:eastAsiaTheme="minorHAnsi" w:hAnsiTheme="minorHAnsi" w:cstheme="minorBidi"/>
          <w:snapToGrid/>
          <w:sz w:val="24"/>
          <w:szCs w:val="24"/>
        </w:rPr>
        <w:t>).</w:t>
      </w:r>
    </w:p>
    <w:p w:rsidR="00EF598D" w:rsidRPr="00115B6A" w:rsidRDefault="00EF598D" w:rsidP="00C65565">
      <w:pPr>
        <w:pStyle w:val="ListParagraph"/>
        <w:widowControl/>
        <w:numPr>
          <w:ilvl w:val="1"/>
          <w:numId w:val="5"/>
        </w:numPr>
        <w:spacing w:before="120" w:after="120"/>
        <w:contextualSpacing w:val="0"/>
        <w:rPr>
          <w:rFonts w:asciiTheme="minorHAnsi" w:hAnsiTheme="minorHAnsi"/>
          <w:i/>
          <w:sz w:val="24"/>
          <w:szCs w:val="24"/>
        </w:rPr>
      </w:pPr>
      <w:r w:rsidRPr="00115B6A">
        <w:rPr>
          <w:rFonts w:asciiTheme="minorHAnsi" w:hAnsiTheme="minorHAnsi"/>
          <w:sz w:val="24"/>
          <w:szCs w:val="24"/>
        </w:rPr>
        <w:t xml:space="preserve">The minor resubmission </w:t>
      </w:r>
      <w:r w:rsidR="00EB7CD0" w:rsidRPr="00115B6A">
        <w:rPr>
          <w:rFonts w:asciiTheme="minorHAnsi" w:hAnsiTheme="minorHAnsi"/>
          <w:sz w:val="24"/>
          <w:szCs w:val="24"/>
        </w:rPr>
        <w:t>acknowledged that there is</w:t>
      </w:r>
      <w:r w:rsidRPr="00115B6A">
        <w:rPr>
          <w:rFonts w:asciiTheme="minorHAnsi" w:hAnsiTheme="minorHAnsi"/>
          <w:sz w:val="24"/>
          <w:szCs w:val="24"/>
        </w:rPr>
        <w:t xml:space="preserve"> uncertainty regarding the incidence of GCA and potential for use </w:t>
      </w:r>
      <w:r w:rsidR="00EB7CD0" w:rsidRPr="00115B6A">
        <w:rPr>
          <w:rFonts w:asciiTheme="minorHAnsi" w:hAnsiTheme="minorHAnsi"/>
          <w:sz w:val="24"/>
          <w:szCs w:val="24"/>
        </w:rPr>
        <w:t>outside the restriction, and stated it was willing to agree to a</w:t>
      </w:r>
      <w:r w:rsidR="008F0C29" w:rsidRPr="00115B6A">
        <w:rPr>
          <w:rFonts w:asciiTheme="minorHAnsi" w:hAnsiTheme="minorHAnsi"/>
          <w:sz w:val="24"/>
          <w:szCs w:val="24"/>
        </w:rPr>
        <w:t>n</w:t>
      </w:r>
      <w:r w:rsidR="00EB7CD0" w:rsidRPr="00115B6A">
        <w:rPr>
          <w:rFonts w:asciiTheme="minorHAnsi" w:hAnsiTheme="minorHAnsi"/>
          <w:sz w:val="24"/>
          <w:szCs w:val="24"/>
        </w:rPr>
        <w:t xml:space="preserve"> RSA </w:t>
      </w:r>
      <w:r w:rsidRPr="00115B6A">
        <w:rPr>
          <w:rFonts w:asciiTheme="minorHAnsi" w:hAnsiTheme="minorHAnsi"/>
          <w:sz w:val="24"/>
          <w:szCs w:val="24"/>
        </w:rPr>
        <w:t xml:space="preserve">with a </w:t>
      </w:r>
      <w:r w:rsidR="00EA7660">
        <w:rPr>
          <w:rFonts w:asciiTheme="minorHAnsi" w:hAnsiTheme="minorHAnsi"/>
          <w:noProof/>
          <w:color w:val="000000"/>
          <w:sz w:val="24"/>
          <w:szCs w:val="24"/>
          <w:highlight w:val="black"/>
        </w:rPr>
        <w:t>''''''''</w:t>
      </w:r>
      <w:r w:rsidRPr="00115B6A">
        <w:rPr>
          <w:rFonts w:asciiTheme="minorHAnsi" w:hAnsiTheme="minorHAnsi"/>
          <w:sz w:val="24"/>
          <w:szCs w:val="24"/>
        </w:rPr>
        <w:t xml:space="preserve">% rebate for </w:t>
      </w:r>
      <w:r w:rsidR="00B52179" w:rsidRPr="00115B6A">
        <w:rPr>
          <w:rFonts w:asciiTheme="minorHAnsi" w:hAnsiTheme="minorHAnsi"/>
          <w:sz w:val="24"/>
          <w:szCs w:val="24"/>
        </w:rPr>
        <w:t>any PBS expenditure exceeding the cap</w:t>
      </w:r>
      <w:r w:rsidRPr="00115B6A">
        <w:rPr>
          <w:rFonts w:asciiTheme="minorHAnsi" w:hAnsiTheme="minorHAnsi"/>
          <w:sz w:val="24"/>
          <w:szCs w:val="24"/>
        </w:rPr>
        <w:t xml:space="preserve"> outlined in Table 2</w:t>
      </w:r>
      <w:r w:rsidR="00B52179" w:rsidRPr="00115B6A">
        <w:rPr>
          <w:rFonts w:asciiTheme="minorHAnsi" w:hAnsiTheme="minorHAnsi"/>
          <w:sz w:val="24"/>
          <w:szCs w:val="24"/>
        </w:rPr>
        <w:t xml:space="preserve">. </w:t>
      </w:r>
    </w:p>
    <w:p w:rsidR="00B52179" w:rsidRPr="00115B6A" w:rsidRDefault="00B52179" w:rsidP="00C65565">
      <w:pPr>
        <w:pStyle w:val="ListParagraph"/>
        <w:widowControl/>
        <w:numPr>
          <w:ilvl w:val="1"/>
          <w:numId w:val="5"/>
        </w:numPr>
        <w:spacing w:before="120" w:after="120"/>
        <w:contextualSpacing w:val="0"/>
        <w:rPr>
          <w:rFonts w:asciiTheme="minorHAnsi" w:hAnsiTheme="minorHAnsi"/>
          <w:sz w:val="24"/>
          <w:szCs w:val="24"/>
        </w:rPr>
      </w:pPr>
      <w:r w:rsidRPr="00115B6A">
        <w:rPr>
          <w:rFonts w:asciiTheme="minorHAnsi" w:hAnsiTheme="minorHAnsi"/>
          <w:sz w:val="24"/>
          <w:szCs w:val="24"/>
        </w:rPr>
        <w:t>The</w:t>
      </w:r>
      <w:r w:rsidR="00EF598D" w:rsidRPr="00115B6A">
        <w:rPr>
          <w:sz w:val="24"/>
          <w:szCs w:val="24"/>
        </w:rPr>
        <w:t xml:space="preserve"> </w:t>
      </w:r>
      <w:r w:rsidR="00EF598D" w:rsidRPr="00115B6A">
        <w:rPr>
          <w:rFonts w:asciiTheme="minorHAnsi" w:hAnsiTheme="minorHAnsi"/>
          <w:sz w:val="24"/>
          <w:szCs w:val="24"/>
        </w:rPr>
        <w:t xml:space="preserve">minor resubmission further </w:t>
      </w:r>
      <w:r w:rsidR="00E1105F" w:rsidRPr="00115B6A">
        <w:rPr>
          <w:rFonts w:asciiTheme="minorHAnsi" w:hAnsiTheme="minorHAnsi"/>
          <w:sz w:val="24"/>
          <w:szCs w:val="24"/>
        </w:rPr>
        <w:t>claimed</w:t>
      </w:r>
      <w:r w:rsidR="00EF598D" w:rsidRPr="00115B6A">
        <w:rPr>
          <w:rFonts w:asciiTheme="minorHAnsi" w:hAnsiTheme="minorHAnsi"/>
          <w:sz w:val="24"/>
          <w:szCs w:val="24"/>
        </w:rPr>
        <w:t xml:space="preserve"> that</w:t>
      </w:r>
      <w:r w:rsidRPr="00115B6A">
        <w:rPr>
          <w:rFonts w:asciiTheme="minorHAnsi" w:hAnsiTheme="minorHAnsi"/>
          <w:sz w:val="24"/>
          <w:szCs w:val="24"/>
        </w:rPr>
        <w:t xml:space="preserve"> </w:t>
      </w:r>
      <w:r w:rsidR="00EF598D" w:rsidRPr="00115B6A">
        <w:rPr>
          <w:rFonts w:asciiTheme="minorHAnsi" w:hAnsiTheme="minorHAnsi"/>
          <w:sz w:val="24"/>
          <w:szCs w:val="24"/>
        </w:rPr>
        <w:t xml:space="preserve">uncertainty exists </w:t>
      </w:r>
      <w:r w:rsidR="008F0C29" w:rsidRPr="00115B6A">
        <w:rPr>
          <w:rFonts w:asciiTheme="minorHAnsi" w:hAnsiTheme="minorHAnsi"/>
          <w:sz w:val="24"/>
          <w:szCs w:val="24"/>
        </w:rPr>
        <w:t>regarding</w:t>
      </w:r>
      <w:r w:rsidR="00EF598D" w:rsidRPr="00115B6A">
        <w:rPr>
          <w:rFonts w:asciiTheme="minorHAnsi" w:hAnsiTheme="minorHAnsi"/>
          <w:sz w:val="24"/>
          <w:szCs w:val="24"/>
        </w:rPr>
        <w:t xml:space="preserve"> the timing of when patients may initiate therapy and</w:t>
      </w:r>
      <w:r w:rsidRPr="00115B6A">
        <w:rPr>
          <w:rFonts w:asciiTheme="minorHAnsi" w:hAnsiTheme="minorHAnsi"/>
          <w:sz w:val="24"/>
          <w:szCs w:val="24"/>
        </w:rPr>
        <w:t xml:space="preserve"> requested</w:t>
      </w:r>
      <w:r w:rsidR="00E1105F" w:rsidRPr="00115B6A">
        <w:rPr>
          <w:rFonts w:asciiTheme="minorHAnsi" w:hAnsiTheme="minorHAnsi"/>
          <w:sz w:val="24"/>
          <w:szCs w:val="24"/>
        </w:rPr>
        <w:t xml:space="preserve"> the</w:t>
      </w:r>
      <w:r w:rsidRPr="00115B6A">
        <w:rPr>
          <w:rFonts w:asciiTheme="minorHAnsi" w:hAnsiTheme="minorHAnsi"/>
          <w:sz w:val="24"/>
          <w:szCs w:val="24"/>
        </w:rPr>
        <w:t xml:space="preserve"> RSA caps </w:t>
      </w:r>
      <w:r w:rsidR="00E1105F" w:rsidRPr="00115B6A">
        <w:rPr>
          <w:rFonts w:asciiTheme="minorHAnsi" w:hAnsiTheme="minorHAnsi"/>
          <w:sz w:val="24"/>
          <w:szCs w:val="24"/>
        </w:rPr>
        <w:t xml:space="preserve">be </w:t>
      </w:r>
      <w:r w:rsidRPr="00115B6A">
        <w:rPr>
          <w:rFonts w:asciiTheme="minorHAnsi" w:hAnsiTheme="minorHAnsi"/>
          <w:sz w:val="24"/>
          <w:szCs w:val="24"/>
        </w:rPr>
        <w:t>based on cumulative estimates, not yearly estimates</w:t>
      </w:r>
      <w:r w:rsidR="00EF598D" w:rsidRPr="00115B6A">
        <w:rPr>
          <w:rFonts w:asciiTheme="minorHAnsi" w:hAnsiTheme="minorHAnsi"/>
          <w:sz w:val="24"/>
          <w:szCs w:val="24"/>
        </w:rPr>
        <w:t xml:space="preserve"> (i.e.</w:t>
      </w:r>
      <w:r w:rsidR="00EF598D" w:rsidRPr="00115B6A">
        <w:rPr>
          <w:sz w:val="24"/>
          <w:szCs w:val="24"/>
        </w:rPr>
        <w:t xml:space="preserve"> </w:t>
      </w:r>
      <w:r w:rsidR="00EF598D" w:rsidRPr="00115B6A">
        <w:rPr>
          <w:rFonts w:asciiTheme="minorHAnsi" w:hAnsiTheme="minorHAnsi"/>
          <w:sz w:val="24"/>
          <w:szCs w:val="24"/>
        </w:rPr>
        <w:t>an expenditure cap rollover arrangement, where expenditure not exceeded in a particular year would be rolled over to the subsequent year to inform capped expenditure in that latter year)</w:t>
      </w:r>
      <w:r w:rsidRPr="00115B6A">
        <w:rPr>
          <w:rFonts w:asciiTheme="minorHAnsi" w:hAnsiTheme="minorHAnsi"/>
          <w:sz w:val="24"/>
          <w:szCs w:val="24"/>
        </w:rPr>
        <w:t xml:space="preserve">. </w:t>
      </w:r>
      <w:r w:rsidR="00D522A7">
        <w:rPr>
          <w:rFonts w:asciiTheme="minorHAnsi" w:hAnsiTheme="minorHAnsi"/>
          <w:sz w:val="24"/>
          <w:szCs w:val="24"/>
        </w:rPr>
        <w:t xml:space="preserve">It </w:t>
      </w:r>
      <w:proofErr w:type="gramStart"/>
      <w:r w:rsidR="00D522A7">
        <w:rPr>
          <w:rFonts w:asciiTheme="minorHAnsi" w:hAnsiTheme="minorHAnsi"/>
          <w:sz w:val="24"/>
          <w:szCs w:val="24"/>
        </w:rPr>
        <w:t>was not considered</w:t>
      </w:r>
      <w:proofErr w:type="gramEnd"/>
      <w:r w:rsidR="00881879" w:rsidRPr="00115B6A">
        <w:rPr>
          <w:rFonts w:asciiTheme="minorHAnsi" w:hAnsiTheme="minorHAnsi"/>
          <w:sz w:val="24"/>
          <w:szCs w:val="24"/>
        </w:rPr>
        <w:t xml:space="preserve"> that </w:t>
      </w:r>
      <w:r w:rsidR="008F0C29" w:rsidRPr="00115B6A">
        <w:rPr>
          <w:rFonts w:asciiTheme="minorHAnsi" w:hAnsiTheme="minorHAnsi"/>
          <w:sz w:val="24"/>
          <w:szCs w:val="24"/>
        </w:rPr>
        <w:t xml:space="preserve">it is not appropriate for </w:t>
      </w:r>
      <w:r w:rsidR="00881879" w:rsidRPr="00115B6A">
        <w:rPr>
          <w:rFonts w:asciiTheme="minorHAnsi" w:hAnsiTheme="minorHAnsi"/>
          <w:sz w:val="24"/>
          <w:szCs w:val="24"/>
        </w:rPr>
        <w:t xml:space="preserve">RSA </w:t>
      </w:r>
      <w:r w:rsidR="008F0C29" w:rsidRPr="00115B6A">
        <w:rPr>
          <w:rFonts w:asciiTheme="minorHAnsi" w:hAnsiTheme="minorHAnsi"/>
          <w:sz w:val="24"/>
          <w:szCs w:val="24"/>
        </w:rPr>
        <w:t xml:space="preserve">caps to </w:t>
      </w:r>
      <w:r w:rsidR="00881879" w:rsidRPr="00115B6A">
        <w:rPr>
          <w:rFonts w:asciiTheme="minorHAnsi" w:hAnsiTheme="minorHAnsi"/>
          <w:sz w:val="24"/>
          <w:szCs w:val="24"/>
        </w:rPr>
        <w:t>be cumulative.</w:t>
      </w:r>
    </w:p>
    <w:p w:rsidR="00CE10C4" w:rsidRPr="00E45AA8" w:rsidRDefault="003C168C" w:rsidP="00C65565">
      <w:pPr>
        <w:pStyle w:val="PBACHeading1"/>
        <w:keepNext/>
        <w:keepLines/>
        <w:numPr>
          <w:ilvl w:val="0"/>
          <w:numId w:val="0"/>
        </w:numPr>
        <w:spacing w:before="120" w:after="120"/>
        <w:outlineLvl w:val="9"/>
        <w:rPr>
          <w:b w:val="0"/>
          <w:sz w:val="24"/>
          <w:szCs w:val="24"/>
        </w:rPr>
      </w:pPr>
      <w:r w:rsidRPr="00115B6A">
        <w:rPr>
          <w:rFonts w:asciiTheme="minorHAnsi" w:hAnsiTheme="minorHAnsi"/>
          <w:b w:val="0"/>
          <w:i/>
          <w:sz w:val="24"/>
          <w:szCs w:val="24"/>
        </w:rPr>
        <w:t>For more detail on PBAC’s view, see section 7 PBAC outcome.</w:t>
      </w:r>
    </w:p>
    <w:p w:rsidR="004674C3" w:rsidRPr="000367DF" w:rsidRDefault="004674C3" w:rsidP="00C65565">
      <w:pPr>
        <w:widowControl w:val="0"/>
        <w:numPr>
          <w:ilvl w:val="0"/>
          <w:numId w:val="5"/>
        </w:numPr>
        <w:spacing w:before="120" w:after="120"/>
        <w:jc w:val="both"/>
        <w:outlineLvl w:val="0"/>
        <w:rPr>
          <w:rFonts w:asciiTheme="minorHAnsi" w:hAnsiTheme="minorHAnsi" w:cs="Arial"/>
          <w:b/>
          <w:bCs/>
          <w:snapToGrid w:val="0"/>
          <w:sz w:val="32"/>
        </w:rPr>
      </w:pPr>
      <w:r w:rsidRPr="000367DF">
        <w:rPr>
          <w:rFonts w:asciiTheme="minorHAnsi" w:hAnsiTheme="minorHAnsi" w:cs="Arial"/>
          <w:b/>
          <w:bCs/>
          <w:snapToGrid w:val="0"/>
          <w:sz w:val="32"/>
        </w:rPr>
        <w:t>PBAC Outcome</w:t>
      </w:r>
    </w:p>
    <w:p w:rsidR="00095609" w:rsidRPr="00EA5994" w:rsidRDefault="004674C3" w:rsidP="00C65565">
      <w:pPr>
        <w:widowControl w:val="0"/>
        <w:numPr>
          <w:ilvl w:val="1"/>
          <w:numId w:val="5"/>
        </w:numPr>
        <w:spacing w:before="120" w:after="120"/>
        <w:jc w:val="both"/>
        <w:rPr>
          <w:rFonts w:asciiTheme="minorHAnsi" w:hAnsiTheme="minorHAnsi" w:cs="Arial"/>
          <w:bCs/>
          <w:snapToGrid w:val="0"/>
        </w:rPr>
      </w:pPr>
      <w:r w:rsidRPr="00EA5994">
        <w:rPr>
          <w:rFonts w:asciiTheme="minorHAnsi" w:hAnsiTheme="minorHAnsi" w:cs="Arial"/>
          <w:bCs/>
          <w:snapToGrid w:val="0"/>
        </w:rPr>
        <w:t xml:space="preserve">The PBAC recommended the </w:t>
      </w:r>
      <w:r w:rsidR="0025684E" w:rsidRPr="00EA5994">
        <w:rPr>
          <w:rFonts w:asciiTheme="minorHAnsi" w:hAnsiTheme="minorHAnsi" w:cs="Arial"/>
          <w:bCs/>
          <w:snapToGrid w:val="0"/>
        </w:rPr>
        <w:t xml:space="preserve">Authority </w:t>
      </w:r>
      <w:proofErr w:type="gramStart"/>
      <w:r w:rsidR="0025684E" w:rsidRPr="00EA5994">
        <w:rPr>
          <w:rFonts w:asciiTheme="minorHAnsi" w:hAnsiTheme="minorHAnsi" w:cs="Arial"/>
          <w:bCs/>
          <w:snapToGrid w:val="0"/>
        </w:rPr>
        <w:t>Required</w:t>
      </w:r>
      <w:proofErr w:type="gramEnd"/>
      <w:r w:rsidR="0025684E" w:rsidRPr="00EA5994">
        <w:rPr>
          <w:rFonts w:asciiTheme="minorHAnsi" w:hAnsiTheme="minorHAnsi" w:cs="Arial"/>
          <w:bCs/>
          <w:snapToGrid w:val="0"/>
        </w:rPr>
        <w:t xml:space="preserve"> </w:t>
      </w:r>
      <w:r w:rsidRPr="00EA5994">
        <w:rPr>
          <w:rFonts w:asciiTheme="minorHAnsi" w:hAnsiTheme="minorHAnsi" w:cs="Arial"/>
          <w:bCs/>
          <w:snapToGrid w:val="0"/>
        </w:rPr>
        <w:t xml:space="preserve">listing of </w:t>
      </w:r>
      <w:proofErr w:type="spellStart"/>
      <w:r w:rsidR="001B75B7" w:rsidRPr="00EA5994">
        <w:rPr>
          <w:rFonts w:asciiTheme="minorHAnsi" w:hAnsiTheme="minorHAnsi" w:cs="Arial"/>
          <w:bCs/>
          <w:snapToGrid w:val="0"/>
        </w:rPr>
        <w:t>tocilizumab</w:t>
      </w:r>
      <w:proofErr w:type="spellEnd"/>
      <w:r w:rsidR="00BD735B" w:rsidRPr="00EA5994">
        <w:rPr>
          <w:rFonts w:asciiTheme="minorHAnsi" w:hAnsiTheme="minorHAnsi" w:cs="Arial"/>
          <w:bCs/>
          <w:snapToGrid w:val="0"/>
        </w:rPr>
        <w:t xml:space="preserve"> for the treatment of</w:t>
      </w:r>
      <w:r w:rsidR="00C6561E" w:rsidRPr="00115B6A">
        <w:rPr>
          <w:rFonts w:asciiTheme="minorHAnsi" w:eastAsiaTheme="minorHAnsi" w:hAnsiTheme="minorHAnsi" w:cstheme="minorBidi"/>
        </w:rPr>
        <w:t xml:space="preserve"> patients with giant cell arteritis (GCA</w:t>
      </w:r>
      <w:r w:rsidR="00C6561E" w:rsidRPr="00EA5994">
        <w:rPr>
          <w:rFonts w:asciiTheme="minorHAnsi" w:hAnsiTheme="minorHAnsi" w:cs="Arial"/>
          <w:bCs/>
          <w:snapToGrid w:val="0"/>
        </w:rPr>
        <w:t>).</w:t>
      </w:r>
      <w:r w:rsidR="00AE2FE7" w:rsidRPr="00EA5994">
        <w:rPr>
          <w:rFonts w:asciiTheme="minorHAnsi" w:hAnsiTheme="minorHAnsi" w:cs="Arial"/>
          <w:bCs/>
          <w:snapToGrid w:val="0"/>
        </w:rPr>
        <w:t xml:space="preserve"> </w:t>
      </w:r>
      <w:r w:rsidR="007A21DE" w:rsidRPr="00EA5994">
        <w:rPr>
          <w:rFonts w:asciiTheme="minorHAnsi" w:hAnsiTheme="minorHAnsi" w:cs="Arial"/>
          <w:bCs/>
          <w:snapToGrid w:val="0"/>
        </w:rPr>
        <w:t>The PBAC considered that the minor resubmission had adequately addressed its concerns from November 2018 (when the Committee had deferred making a recommendation) by revising the restriction and the financial estimates and including an RSA proposal</w:t>
      </w:r>
      <w:r w:rsidR="00115B6A">
        <w:rPr>
          <w:rFonts w:asciiTheme="minorHAnsi" w:hAnsiTheme="minorHAnsi" w:cs="Arial"/>
          <w:bCs/>
          <w:snapToGrid w:val="0"/>
        </w:rPr>
        <w:t xml:space="preserve">. </w:t>
      </w:r>
      <w:r w:rsidR="007A21DE" w:rsidRPr="00EA5994">
        <w:rPr>
          <w:rFonts w:asciiTheme="minorHAnsi" w:hAnsiTheme="minorHAnsi" w:cs="Arial"/>
          <w:bCs/>
          <w:snapToGrid w:val="0"/>
        </w:rPr>
        <w:t xml:space="preserve"> </w:t>
      </w:r>
    </w:p>
    <w:p w:rsidR="004674C3" w:rsidRPr="00EA5994" w:rsidRDefault="004674C3" w:rsidP="00C65565">
      <w:pPr>
        <w:widowControl w:val="0"/>
        <w:numPr>
          <w:ilvl w:val="1"/>
          <w:numId w:val="5"/>
        </w:numPr>
        <w:spacing w:before="120" w:after="120"/>
        <w:jc w:val="both"/>
        <w:rPr>
          <w:rFonts w:asciiTheme="minorHAnsi" w:hAnsiTheme="minorHAnsi" w:cs="Arial"/>
          <w:bCs/>
          <w:snapToGrid w:val="0"/>
        </w:rPr>
      </w:pPr>
      <w:r w:rsidRPr="00EA5994">
        <w:rPr>
          <w:rFonts w:asciiTheme="minorHAnsi" w:hAnsiTheme="minorHAnsi" w:cs="Arial"/>
          <w:bCs/>
          <w:snapToGrid w:val="0"/>
        </w:rPr>
        <w:t>The PBAC is satisfied that</w:t>
      </w:r>
      <w:r w:rsidR="001B75B7" w:rsidRPr="00EA5994">
        <w:rPr>
          <w:rFonts w:asciiTheme="minorHAnsi" w:hAnsiTheme="minorHAnsi" w:cs="Arial"/>
          <w:bCs/>
          <w:snapToGrid w:val="0"/>
        </w:rPr>
        <w:t xml:space="preserve"> </w:t>
      </w:r>
      <w:proofErr w:type="spellStart"/>
      <w:r w:rsidR="001B75B7" w:rsidRPr="00EA5994">
        <w:rPr>
          <w:rFonts w:asciiTheme="minorHAnsi" w:hAnsiTheme="minorHAnsi" w:cs="Arial"/>
          <w:bCs/>
          <w:snapToGrid w:val="0"/>
        </w:rPr>
        <w:t>tocilizumab</w:t>
      </w:r>
      <w:proofErr w:type="spellEnd"/>
      <w:r w:rsidRPr="00EA5994">
        <w:rPr>
          <w:rFonts w:asciiTheme="minorHAnsi" w:hAnsiTheme="minorHAnsi" w:cs="Arial"/>
          <w:bCs/>
          <w:snapToGrid w:val="0"/>
        </w:rPr>
        <w:t xml:space="preserve"> provides, for some patients, a significant improvement in efficacy over </w:t>
      </w:r>
      <w:r w:rsidR="00DB6B45" w:rsidRPr="00EA5994">
        <w:rPr>
          <w:rFonts w:asciiTheme="minorHAnsi" w:hAnsiTheme="minorHAnsi" w:cs="Arial"/>
          <w:bCs/>
          <w:snapToGrid w:val="0"/>
        </w:rPr>
        <w:t>standard of care</w:t>
      </w:r>
      <w:r w:rsidRPr="00EA5994">
        <w:rPr>
          <w:rFonts w:asciiTheme="minorHAnsi" w:hAnsiTheme="minorHAnsi" w:cs="Arial"/>
          <w:bCs/>
          <w:snapToGrid w:val="0"/>
        </w:rPr>
        <w:t>.</w:t>
      </w:r>
    </w:p>
    <w:p w:rsidR="00AD2A3B" w:rsidRPr="00EA5994" w:rsidRDefault="00AD2A3B" w:rsidP="00C65565">
      <w:pPr>
        <w:widowControl w:val="0"/>
        <w:numPr>
          <w:ilvl w:val="1"/>
          <w:numId w:val="5"/>
        </w:numPr>
        <w:spacing w:before="120" w:after="120"/>
        <w:jc w:val="both"/>
        <w:rPr>
          <w:rFonts w:asciiTheme="minorHAnsi" w:hAnsiTheme="minorHAnsi" w:cs="Arial"/>
          <w:bCs/>
          <w:snapToGrid w:val="0"/>
        </w:rPr>
      </w:pPr>
      <w:r w:rsidRPr="00EA5994">
        <w:rPr>
          <w:rFonts w:asciiTheme="minorHAnsi" w:hAnsiTheme="minorHAnsi" w:cs="Arial"/>
          <w:bCs/>
          <w:snapToGrid w:val="0"/>
        </w:rPr>
        <w:t xml:space="preserve">The PBAC </w:t>
      </w:r>
      <w:r w:rsidR="00C6561E" w:rsidRPr="00EA5994">
        <w:rPr>
          <w:rFonts w:asciiTheme="minorHAnsi" w:hAnsiTheme="minorHAnsi" w:cs="Arial"/>
          <w:bCs/>
          <w:snapToGrid w:val="0"/>
        </w:rPr>
        <w:t>reiterated its previous advice that</w:t>
      </w:r>
      <w:r w:rsidRPr="00EA5994">
        <w:rPr>
          <w:rFonts w:asciiTheme="minorHAnsi" w:hAnsiTheme="minorHAnsi" w:cs="Arial"/>
          <w:bCs/>
          <w:snapToGrid w:val="0"/>
        </w:rPr>
        <w:t xml:space="preserve"> </w:t>
      </w:r>
      <w:r w:rsidR="00095609" w:rsidRPr="00EA5994">
        <w:rPr>
          <w:rFonts w:asciiTheme="minorHAnsi" w:hAnsiTheme="minorHAnsi" w:cs="Arial"/>
          <w:bCs/>
          <w:snapToGrid w:val="0"/>
        </w:rPr>
        <w:t xml:space="preserve">there </w:t>
      </w:r>
      <w:r w:rsidR="00C6561E" w:rsidRPr="00EA5994">
        <w:rPr>
          <w:rFonts w:asciiTheme="minorHAnsi" w:hAnsiTheme="minorHAnsi" w:cs="Arial"/>
          <w:bCs/>
          <w:snapToGrid w:val="0"/>
        </w:rPr>
        <w:t>i</w:t>
      </w:r>
      <w:r w:rsidRPr="00EA5994">
        <w:rPr>
          <w:rFonts w:asciiTheme="minorHAnsi" w:hAnsiTheme="minorHAnsi" w:cs="Arial"/>
          <w:bCs/>
          <w:snapToGrid w:val="0"/>
        </w:rPr>
        <w:t xml:space="preserve">s a </w:t>
      </w:r>
      <w:proofErr w:type="gramStart"/>
      <w:r w:rsidRPr="00EA5994">
        <w:rPr>
          <w:rFonts w:asciiTheme="minorHAnsi" w:hAnsiTheme="minorHAnsi" w:cs="Arial"/>
          <w:bCs/>
          <w:snapToGrid w:val="0"/>
        </w:rPr>
        <w:t>high unmet</w:t>
      </w:r>
      <w:proofErr w:type="gramEnd"/>
      <w:r w:rsidRPr="00EA5994">
        <w:rPr>
          <w:rFonts w:asciiTheme="minorHAnsi" w:hAnsiTheme="minorHAnsi" w:cs="Arial"/>
          <w:bCs/>
          <w:snapToGrid w:val="0"/>
        </w:rPr>
        <w:t xml:space="preserve"> clinical need for effective treatments for GCA</w:t>
      </w:r>
      <w:r w:rsidR="00C6561E" w:rsidRPr="00115B6A">
        <w:t xml:space="preserve"> </w:t>
      </w:r>
      <w:r w:rsidR="00C6561E" w:rsidRPr="00EA5994">
        <w:rPr>
          <w:rFonts w:asciiTheme="minorHAnsi" w:hAnsiTheme="minorHAnsi" w:cs="Arial"/>
          <w:bCs/>
          <w:snapToGrid w:val="0"/>
        </w:rPr>
        <w:t>particularly given the adverse events associated with corticosteroids in this population who are often older patients with comorbidities, and the limited treatment options available.</w:t>
      </w:r>
    </w:p>
    <w:p w:rsidR="00117AE4" w:rsidRPr="00EA5994" w:rsidRDefault="00095609" w:rsidP="00C65565">
      <w:pPr>
        <w:pStyle w:val="ListParagraph"/>
        <w:numPr>
          <w:ilvl w:val="1"/>
          <w:numId w:val="5"/>
        </w:numPr>
        <w:spacing w:before="120" w:after="120"/>
        <w:contextualSpacing w:val="0"/>
        <w:rPr>
          <w:rFonts w:asciiTheme="minorHAnsi" w:hAnsiTheme="minorHAnsi"/>
          <w:bCs/>
          <w:sz w:val="24"/>
          <w:szCs w:val="24"/>
          <w:lang w:eastAsia="en-AU"/>
        </w:rPr>
      </w:pPr>
      <w:r w:rsidRPr="00EA5994">
        <w:rPr>
          <w:rFonts w:asciiTheme="minorHAnsi" w:hAnsiTheme="minorHAnsi"/>
          <w:bCs/>
          <w:sz w:val="24"/>
          <w:szCs w:val="24"/>
          <w:lang w:eastAsia="en-AU"/>
        </w:rPr>
        <w:t xml:space="preserve">The PBAC noted that the proposed restriction </w:t>
      </w:r>
      <w:proofErr w:type="gramStart"/>
      <w:r w:rsidRPr="00EA5994">
        <w:rPr>
          <w:rFonts w:asciiTheme="minorHAnsi" w:hAnsiTheme="minorHAnsi"/>
          <w:bCs/>
          <w:sz w:val="24"/>
          <w:szCs w:val="24"/>
          <w:lang w:eastAsia="en-AU"/>
        </w:rPr>
        <w:t>was updated</w:t>
      </w:r>
      <w:proofErr w:type="gramEnd"/>
      <w:r w:rsidRPr="00EA5994">
        <w:rPr>
          <w:rFonts w:asciiTheme="minorHAnsi" w:hAnsiTheme="minorHAnsi"/>
          <w:bCs/>
          <w:sz w:val="24"/>
          <w:szCs w:val="24"/>
          <w:lang w:eastAsia="en-AU"/>
        </w:rPr>
        <w:t xml:space="preserve"> to include</w:t>
      </w:r>
      <w:r w:rsidR="00117AE4" w:rsidRPr="00EA5994">
        <w:rPr>
          <w:rFonts w:asciiTheme="minorHAnsi" w:hAnsiTheme="minorHAnsi"/>
          <w:bCs/>
          <w:sz w:val="24"/>
          <w:szCs w:val="24"/>
          <w:lang w:eastAsia="en-AU"/>
        </w:rPr>
        <w:t xml:space="preserve"> the suggested wording around imaging of large-vessel vasculitis</w:t>
      </w:r>
      <w:r w:rsidR="004A7B04" w:rsidRPr="00EA5994">
        <w:rPr>
          <w:rFonts w:asciiTheme="minorHAnsi" w:hAnsiTheme="minorHAnsi"/>
          <w:bCs/>
          <w:sz w:val="24"/>
          <w:szCs w:val="24"/>
          <w:lang w:eastAsia="en-AU"/>
        </w:rPr>
        <w:t xml:space="preserve"> from the November 2018 PBAC </w:t>
      </w:r>
      <w:r w:rsidR="000553AB">
        <w:rPr>
          <w:rFonts w:asciiTheme="minorHAnsi" w:hAnsiTheme="minorHAnsi"/>
          <w:bCs/>
          <w:sz w:val="24"/>
          <w:szCs w:val="24"/>
          <w:lang w:eastAsia="en-AU"/>
        </w:rPr>
        <w:t>PSD</w:t>
      </w:r>
      <w:r w:rsidR="00117AE4" w:rsidRPr="00EA5994">
        <w:rPr>
          <w:rFonts w:asciiTheme="minorHAnsi" w:hAnsiTheme="minorHAnsi"/>
          <w:bCs/>
          <w:sz w:val="24"/>
          <w:szCs w:val="24"/>
          <w:lang w:eastAsia="en-AU"/>
        </w:rPr>
        <w:t>.</w:t>
      </w:r>
      <w:r w:rsidRPr="00EA5994">
        <w:rPr>
          <w:rFonts w:asciiTheme="minorHAnsi" w:hAnsiTheme="minorHAnsi"/>
          <w:bCs/>
          <w:sz w:val="24"/>
          <w:szCs w:val="24"/>
          <w:lang w:eastAsia="en-AU"/>
        </w:rPr>
        <w:t xml:space="preserve"> </w:t>
      </w:r>
      <w:r w:rsidR="00A642E0" w:rsidRPr="00EA5994">
        <w:rPr>
          <w:rFonts w:asciiTheme="minorHAnsi" w:hAnsiTheme="minorHAnsi"/>
          <w:bCs/>
          <w:sz w:val="24"/>
          <w:szCs w:val="24"/>
          <w:lang w:eastAsia="en-AU"/>
        </w:rPr>
        <w:t>The PBAC considered this was appropriate.</w:t>
      </w:r>
    </w:p>
    <w:p w:rsidR="0050069A" w:rsidRPr="00EA5994" w:rsidRDefault="00117AE4" w:rsidP="00C65565">
      <w:pPr>
        <w:pStyle w:val="ListParagraph"/>
        <w:numPr>
          <w:ilvl w:val="1"/>
          <w:numId w:val="5"/>
        </w:numPr>
        <w:spacing w:before="120" w:after="120"/>
        <w:contextualSpacing w:val="0"/>
        <w:rPr>
          <w:rFonts w:asciiTheme="minorHAnsi" w:hAnsiTheme="minorHAnsi"/>
          <w:bCs/>
          <w:sz w:val="24"/>
          <w:szCs w:val="24"/>
          <w:lang w:eastAsia="en-AU"/>
        </w:rPr>
      </w:pPr>
      <w:r w:rsidRPr="00EA5994">
        <w:rPr>
          <w:rFonts w:asciiTheme="minorHAnsi" w:hAnsiTheme="minorHAnsi"/>
          <w:bCs/>
          <w:sz w:val="24"/>
          <w:szCs w:val="24"/>
          <w:lang w:eastAsia="en-AU"/>
        </w:rPr>
        <w:t xml:space="preserve">The PBAC </w:t>
      </w:r>
      <w:r w:rsidR="0050069A" w:rsidRPr="00EA5994">
        <w:rPr>
          <w:rFonts w:asciiTheme="minorHAnsi" w:hAnsiTheme="minorHAnsi"/>
          <w:bCs/>
          <w:sz w:val="24"/>
          <w:szCs w:val="24"/>
          <w:lang w:eastAsia="en-AU"/>
        </w:rPr>
        <w:t xml:space="preserve">advised that ultrasound should not be included as part of the diagnostic criteria in the restriction as it was not used in the </w:t>
      </w:r>
      <w:proofErr w:type="spellStart"/>
      <w:r w:rsidR="0050069A" w:rsidRPr="00EA5994">
        <w:rPr>
          <w:rFonts w:asciiTheme="minorHAnsi" w:hAnsiTheme="minorHAnsi"/>
          <w:bCs/>
          <w:sz w:val="24"/>
          <w:szCs w:val="24"/>
          <w:lang w:eastAsia="en-AU"/>
        </w:rPr>
        <w:t>GiACTA</w:t>
      </w:r>
      <w:proofErr w:type="spellEnd"/>
      <w:r w:rsidR="0050069A" w:rsidRPr="00EA5994">
        <w:rPr>
          <w:rFonts w:asciiTheme="minorHAnsi" w:hAnsiTheme="minorHAnsi"/>
          <w:bCs/>
          <w:sz w:val="24"/>
          <w:szCs w:val="24"/>
          <w:lang w:eastAsia="en-AU"/>
        </w:rPr>
        <w:t xml:space="preserve"> trial inclusion criteria, and the PBAC considered that it is highly operator dependant and is not standard practice </w:t>
      </w:r>
      <w:r w:rsidR="0050069A" w:rsidRPr="00EA5994">
        <w:rPr>
          <w:rFonts w:asciiTheme="minorHAnsi" w:hAnsiTheme="minorHAnsi"/>
          <w:bCs/>
          <w:sz w:val="24"/>
          <w:szCs w:val="24"/>
          <w:lang w:eastAsia="en-AU"/>
        </w:rPr>
        <w:lastRenderedPageBreak/>
        <w:t>at most sites in Australia.</w:t>
      </w:r>
    </w:p>
    <w:p w:rsidR="00117AE4" w:rsidRPr="00EA5994" w:rsidRDefault="0043128F" w:rsidP="00C65565">
      <w:pPr>
        <w:pStyle w:val="ListParagraph"/>
        <w:numPr>
          <w:ilvl w:val="1"/>
          <w:numId w:val="5"/>
        </w:numPr>
        <w:spacing w:before="120" w:after="120"/>
        <w:contextualSpacing w:val="0"/>
        <w:rPr>
          <w:rFonts w:asciiTheme="minorHAnsi" w:hAnsiTheme="minorHAnsi"/>
          <w:bCs/>
          <w:sz w:val="24"/>
          <w:szCs w:val="24"/>
          <w:lang w:eastAsia="en-AU"/>
        </w:rPr>
      </w:pPr>
      <w:r w:rsidRPr="00EA5994">
        <w:rPr>
          <w:rFonts w:asciiTheme="minorHAnsi" w:hAnsiTheme="minorHAnsi"/>
          <w:bCs/>
          <w:sz w:val="24"/>
          <w:szCs w:val="24"/>
        </w:rPr>
        <w:t>The PBAC</w:t>
      </w:r>
      <w:r w:rsidR="004A7B04" w:rsidRPr="00EA5994">
        <w:rPr>
          <w:rFonts w:asciiTheme="minorHAnsi" w:hAnsiTheme="minorHAnsi"/>
          <w:bCs/>
          <w:sz w:val="24"/>
          <w:szCs w:val="24"/>
        </w:rPr>
        <w:t xml:space="preserve"> noted that the financial estimates were </w:t>
      </w:r>
      <w:r w:rsidR="007A21DE" w:rsidRPr="00EA5994">
        <w:rPr>
          <w:rFonts w:asciiTheme="minorHAnsi" w:hAnsiTheme="minorHAnsi"/>
          <w:bCs/>
          <w:sz w:val="24"/>
          <w:szCs w:val="24"/>
        </w:rPr>
        <w:t>revised</w:t>
      </w:r>
      <w:r w:rsidR="004A7B04" w:rsidRPr="00EA5994">
        <w:rPr>
          <w:rFonts w:asciiTheme="minorHAnsi" w:hAnsiTheme="minorHAnsi"/>
          <w:bCs/>
          <w:sz w:val="24"/>
          <w:szCs w:val="24"/>
        </w:rPr>
        <w:t xml:space="preserve"> to incorporate an </w:t>
      </w:r>
      <w:r w:rsidR="004A7B04" w:rsidRPr="00E45AA8">
        <w:rPr>
          <w:rFonts w:asciiTheme="minorHAnsi" w:hAnsiTheme="minorHAnsi"/>
          <w:bCs/>
          <w:sz w:val="24"/>
          <w:szCs w:val="24"/>
        </w:rPr>
        <w:t xml:space="preserve">assumption that </w:t>
      </w:r>
      <w:r w:rsidR="00EA7660">
        <w:rPr>
          <w:rFonts w:asciiTheme="minorHAnsi" w:hAnsiTheme="minorHAnsi"/>
          <w:bCs/>
          <w:noProof/>
          <w:color w:val="000000"/>
          <w:sz w:val="24"/>
          <w:szCs w:val="24"/>
          <w:highlight w:val="black"/>
        </w:rPr>
        <w:t>'''''</w:t>
      </w:r>
      <w:r w:rsidR="00717ADE" w:rsidRPr="00E45AA8">
        <w:rPr>
          <w:rFonts w:asciiTheme="minorHAnsi" w:hAnsiTheme="minorHAnsi"/>
          <w:bCs/>
          <w:sz w:val="24"/>
          <w:szCs w:val="24"/>
        </w:rPr>
        <w:t xml:space="preserve">% </w:t>
      </w:r>
      <w:r w:rsidR="004A7B04" w:rsidRPr="00E45AA8">
        <w:rPr>
          <w:rFonts w:asciiTheme="minorHAnsi" w:hAnsiTheme="minorHAnsi"/>
          <w:bCs/>
          <w:sz w:val="24"/>
          <w:szCs w:val="24"/>
        </w:rPr>
        <w:t>of patients would use</w:t>
      </w:r>
      <w:r w:rsidR="004A7B04" w:rsidRPr="00EA5994">
        <w:rPr>
          <w:rFonts w:asciiTheme="minorHAnsi" w:hAnsiTheme="minorHAnsi"/>
          <w:bCs/>
          <w:sz w:val="24"/>
          <w:szCs w:val="24"/>
        </w:rPr>
        <w:t xml:space="preserve"> fortnightly, rather than weekly dosing</w:t>
      </w:r>
      <w:r w:rsidR="00115B6A">
        <w:rPr>
          <w:rFonts w:asciiTheme="minorHAnsi" w:hAnsiTheme="minorHAnsi"/>
          <w:bCs/>
          <w:sz w:val="24"/>
          <w:szCs w:val="24"/>
        </w:rPr>
        <w:t xml:space="preserve">. </w:t>
      </w:r>
      <w:r w:rsidR="004A7B04" w:rsidRPr="00EA5994">
        <w:rPr>
          <w:rFonts w:asciiTheme="minorHAnsi" w:hAnsiTheme="minorHAnsi"/>
          <w:bCs/>
          <w:sz w:val="24"/>
          <w:szCs w:val="24"/>
        </w:rPr>
        <w:t>The PBAC considered this was appropriate in the context of</w:t>
      </w:r>
      <w:r w:rsidR="00D522A7">
        <w:rPr>
          <w:rFonts w:asciiTheme="minorHAnsi" w:hAnsiTheme="minorHAnsi"/>
          <w:bCs/>
          <w:sz w:val="24"/>
          <w:szCs w:val="24"/>
        </w:rPr>
        <w:t xml:space="preserve"> these estimates </w:t>
      </w:r>
      <w:proofErr w:type="gramStart"/>
      <w:r w:rsidR="00D522A7">
        <w:rPr>
          <w:rFonts w:asciiTheme="minorHAnsi" w:hAnsiTheme="minorHAnsi"/>
          <w:bCs/>
          <w:sz w:val="24"/>
          <w:szCs w:val="24"/>
        </w:rPr>
        <w:t>being used</w:t>
      </w:r>
      <w:proofErr w:type="gramEnd"/>
      <w:r w:rsidR="00D522A7">
        <w:rPr>
          <w:rFonts w:asciiTheme="minorHAnsi" w:hAnsiTheme="minorHAnsi"/>
          <w:bCs/>
          <w:sz w:val="24"/>
          <w:szCs w:val="24"/>
        </w:rPr>
        <w:t xml:space="preserve"> to implement</w:t>
      </w:r>
      <w:r w:rsidR="004A7B04" w:rsidRPr="00EA5994">
        <w:rPr>
          <w:rFonts w:asciiTheme="minorHAnsi" w:hAnsiTheme="minorHAnsi"/>
          <w:bCs/>
          <w:sz w:val="24"/>
          <w:szCs w:val="24"/>
        </w:rPr>
        <w:t xml:space="preserve"> an</w:t>
      </w:r>
      <w:r w:rsidR="004A7B04" w:rsidRPr="00115B6A">
        <w:t xml:space="preserve"> </w:t>
      </w:r>
      <w:r w:rsidR="004A7B04" w:rsidRPr="00EA5994">
        <w:rPr>
          <w:rFonts w:asciiTheme="minorHAnsi" w:hAnsiTheme="minorHAnsi"/>
          <w:bCs/>
          <w:sz w:val="24"/>
          <w:szCs w:val="24"/>
        </w:rPr>
        <w:t>RSA with a 100% rebate above the</w:t>
      </w:r>
      <w:r w:rsidR="00D522A7">
        <w:rPr>
          <w:rFonts w:asciiTheme="minorHAnsi" w:hAnsiTheme="minorHAnsi"/>
          <w:bCs/>
          <w:sz w:val="24"/>
          <w:szCs w:val="24"/>
        </w:rPr>
        <w:t xml:space="preserve"> subsidy</w:t>
      </w:r>
      <w:r w:rsidR="004A7B04" w:rsidRPr="00EA5994">
        <w:rPr>
          <w:rFonts w:asciiTheme="minorHAnsi" w:hAnsiTheme="minorHAnsi"/>
          <w:bCs/>
          <w:sz w:val="24"/>
          <w:szCs w:val="24"/>
        </w:rPr>
        <w:t xml:space="preserve"> caps</w:t>
      </w:r>
      <w:r w:rsidR="00C37FBB">
        <w:rPr>
          <w:rFonts w:asciiTheme="minorHAnsi" w:hAnsiTheme="minorHAnsi"/>
          <w:bCs/>
          <w:sz w:val="24"/>
          <w:szCs w:val="24"/>
        </w:rPr>
        <w:t>,</w:t>
      </w:r>
      <w:r w:rsidR="004A7B04" w:rsidRPr="00EA5994">
        <w:rPr>
          <w:rFonts w:asciiTheme="minorHAnsi" w:hAnsiTheme="minorHAnsi"/>
          <w:bCs/>
          <w:sz w:val="24"/>
          <w:szCs w:val="24"/>
        </w:rPr>
        <w:t xml:space="preserve"> and given there is a lack of evidence that weekly administration provides superior efficacy versus fortnightly administration. </w:t>
      </w:r>
    </w:p>
    <w:p w:rsidR="004A7B04" w:rsidRPr="00115B6A" w:rsidRDefault="004A7B04" w:rsidP="00C65565">
      <w:pPr>
        <w:pStyle w:val="ListParagraph"/>
        <w:numPr>
          <w:ilvl w:val="1"/>
          <w:numId w:val="5"/>
        </w:numPr>
        <w:spacing w:before="120" w:after="120"/>
        <w:contextualSpacing w:val="0"/>
        <w:rPr>
          <w:rFonts w:asciiTheme="minorHAnsi" w:hAnsiTheme="minorHAnsi"/>
          <w:sz w:val="24"/>
          <w:szCs w:val="24"/>
        </w:rPr>
      </w:pPr>
      <w:r w:rsidRPr="00EA5994">
        <w:rPr>
          <w:rFonts w:asciiTheme="minorHAnsi" w:hAnsiTheme="minorHAnsi"/>
          <w:bCs/>
          <w:sz w:val="24"/>
          <w:szCs w:val="24"/>
        </w:rPr>
        <w:t xml:space="preserve">The PBAC noted that that the financial estimates were also </w:t>
      </w:r>
      <w:r w:rsidR="007A21DE" w:rsidRPr="00EA5994">
        <w:rPr>
          <w:rFonts w:asciiTheme="minorHAnsi" w:hAnsiTheme="minorHAnsi"/>
          <w:bCs/>
          <w:sz w:val="24"/>
          <w:szCs w:val="24"/>
        </w:rPr>
        <w:t>revis</w:t>
      </w:r>
      <w:r w:rsidRPr="00EA5994">
        <w:rPr>
          <w:rFonts w:asciiTheme="minorHAnsi" w:hAnsiTheme="minorHAnsi"/>
          <w:bCs/>
          <w:sz w:val="24"/>
          <w:szCs w:val="24"/>
        </w:rPr>
        <w:t>ed</w:t>
      </w:r>
      <w:r w:rsidR="00453DAC" w:rsidRPr="00EA5994">
        <w:rPr>
          <w:rFonts w:asciiTheme="minorHAnsi" w:hAnsiTheme="minorHAnsi"/>
          <w:bCs/>
          <w:sz w:val="24"/>
          <w:szCs w:val="24"/>
        </w:rPr>
        <w:t>:</w:t>
      </w:r>
      <w:r w:rsidRPr="00EA5994">
        <w:rPr>
          <w:rFonts w:asciiTheme="minorHAnsi" w:hAnsiTheme="minorHAnsi"/>
          <w:bCs/>
          <w:sz w:val="24"/>
          <w:szCs w:val="24"/>
        </w:rPr>
        <w:t xml:space="preserve"> to reduce the incidence </w:t>
      </w:r>
      <w:r w:rsidR="0025684E" w:rsidRPr="00EA5994">
        <w:rPr>
          <w:rFonts w:asciiTheme="minorHAnsi" w:hAnsiTheme="minorHAnsi"/>
          <w:bCs/>
          <w:sz w:val="24"/>
          <w:szCs w:val="24"/>
        </w:rPr>
        <w:t xml:space="preserve">rate </w:t>
      </w:r>
      <w:r w:rsidRPr="00115B6A">
        <w:rPr>
          <w:rFonts w:asciiTheme="minorHAnsi" w:hAnsiTheme="minorHAnsi"/>
          <w:sz w:val="24"/>
          <w:szCs w:val="24"/>
        </w:rPr>
        <w:t>from 12.</w:t>
      </w:r>
      <w:r w:rsidRPr="00E45AA8">
        <w:rPr>
          <w:rFonts w:asciiTheme="minorHAnsi" w:hAnsiTheme="minorHAnsi"/>
          <w:sz w:val="24"/>
          <w:szCs w:val="24"/>
        </w:rPr>
        <w:t xml:space="preserve">73 to </w:t>
      </w:r>
      <w:r w:rsidR="00EA7660">
        <w:rPr>
          <w:rFonts w:asciiTheme="minorHAnsi" w:hAnsiTheme="minorHAnsi"/>
          <w:noProof/>
          <w:color w:val="000000"/>
          <w:sz w:val="24"/>
          <w:szCs w:val="24"/>
          <w:highlight w:val="black"/>
        </w:rPr>
        <w:t>'''''''</w:t>
      </w:r>
      <w:r w:rsidR="0019458E" w:rsidRPr="00E45AA8">
        <w:rPr>
          <w:rFonts w:asciiTheme="minorHAnsi" w:hAnsiTheme="minorHAnsi"/>
          <w:sz w:val="24"/>
          <w:szCs w:val="24"/>
        </w:rPr>
        <w:t xml:space="preserve"> </w:t>
      </w:r>
      <w:r w:rsidRPr="00E45AA8">
        <w:rPr>
          <w:rFonts w:asciiTheme="minorHAnsi" w:hAnsiTheme="minorHAnsi"/>
          <w:sz w:val="24"/>
          <w:szCs w:val="24"/>
        </w:rPr>
        <w:t>per 100,000</w:t>
      </w:r>
      <w:r w:rsidRPr="00115B6A">
        <w:rPr>
          <w:rFonts w:asciiTheme="minorHAnsi" w:hAnsiTheme="minorHAnsi"/>
          <w:sz w:val="24"/>
          <w:szCs w:val="24"/>
        </w:rPr>
        <w:t xml:space="preserve"> persons aged &gt; </w:t>
      </w:r>
      <w:r w:rsidR="00453DAC" w:rsidRPr="00115B6A">
        <w:rPr>
          <w:rFonts w:asciiTheme="minorHAnsi" w:hAnsiTheme="minorHAnsi"/>
          <w:sz w:val="24"/>
          <w:szCs w:val="24"/>
        </w:rPr>
        <w:t>50 years</w:t>
      </w:r>
      <w:r w:rsidR="0025684E" w:rsidRPr="00115B6A">
        <w:rPr>
          <w:rFonts w:asciiTheme="minorHAnsi" w:hAnsiTheme="minorHAnsi"/>
          <w:sz w:val="24"/>
          <w:szCs w:val="24"/>
        </w:rPr>
        <w:t>;</w:t>
      </w:r>
      <w:r w:rsidRPr="00115B6A">
        <w:rPr>
          <w:rFonts w:asciiTheme="minorHAnsi" w:hAnsiTheme="minorHAnsi"/>
          <w:sz w:val="24"/>
          <w:szCs w:val="24"/>
        </w:rPr>
        <w:t xml:space="preserve"> to reduce the compliance and uptake rates</w:t>
      </w:r>
      <w:r w:rsidR="00453DAC" w:rsidRPr="00115B6A">
        <w:rPr>
          <w:rFonts w:asciiTheme="minorHAnsi" w:hAnsiTheme="minorHAnsi"/>
          <w:sz w:val="24"/>
          <w:szCs w:val="24"/>
        </w:rPr>
        <w:t>;</w:t>
      </w:r>
      <w:r w:rsidRPr="00115B6A">
        <w:rPr>
          <w:rFonts w:asciiTheme="minorHAnsi" w:hAnsiTheme="minorHAnsi"/>
          <w:sz w:val="24"/>
          <w:szCs w:val="24"/>
        </w:rPr>
        <w:t xml:space="preserve"> and to reduce the price of </w:t>
      </w:r>
      <w:proofErr w:type="spellStart"/>
      <w:r w:rsidRPr="00115B6A">
        <w:rPr>
          <w:rFonts w:asciiTheme="minorHAnsi" w:hAnsiTheme="minorHAnsi"/>
          <w:sz w:val="24"/>
          <w:szCs w:val="24"/>
        </w:rPr>
        <w:t>tocilizumab</w:t>
      </w:r>
      <w:proofErr w:type="spellEnd"/>
      <w:r w:rsidRPr="00115B6A">
        <w:rPr>
          <w:rFonts w:asciiTheme="minorHAnsi" w:hAnsiTheme="minorHAnsi"/>
          <w:sz w:val="24"/>
          <w:szCs w:val="24"/>
        </w:rPr>
        <w:t xml:space="preserve"> consistent with the current price of </w:t>
      </w:r>
      <w:proofErr w:type="spellStart"/>
      <w:r w:rsidRPr="00115B6A">
        <w:rPr>
          <w:rFonts w:asciiTheme="minorHAnsi" w:hAnsiTheme="minorHAnsi"/>
          <w:sz w:val="24"/>
          <w:szCs w:val="24"/>
        </w:rPr>
        <w:t>tocilizumab</w:t>
      </w:r>
      <w:proofErr w:type="spellEnd"/>
      <w:r w:rsidRPr="00115B6A">
        <w:rPr>
          <w:rFonts w:asciiTheme="minorHAnsi" w:hAnsiTheme="minorHAnsi"/>
          <w:sz w:val="24"/>
          <w:szCs w:val="24"/>
        </w:rPr>
        <w:t xml:space="preserve"> in rheumatoid arthritis.</w:t>
      </w:r>
      <w:r w:rsidR="00453DAC" w:rsidRPr="00115B6A">
        <w:rPr>
          <w:rFonts w:asciiTheme="minorHAnsi" w:hAnsiTheme="minorHAnsi"/>
          <w:sz w:val="24"/>
          <w:szCs w:val="24"/>
        </w:rPr>
        <w:t xml:space="preserve"> The PBAC considered that these changes were appropriate. </w:t>
      </w:r>
    </w:p>
    <w:p w:rsidR="004674C3" w:rsidRPr="00EA5994" w:rsidRDefault="000C30A8" w:rsidP="00C65565">
      <w:pPr>
        <w:widowControl w:val="0"/>
        <w:numPr>
          <w:ilvl w:val="1"/>
          <w:numId w:val="5"/>
        </w:numPr>
        <w:spacing w:before="120" w:after="120"/>
        <w:jc w:val="both"/>
        <w:rPr>
          <w:rFonts w:asciiTheme="minorHAnsi" w:hAnsiTheme="minorHAnsi" w:cs="Arial"/>
          <w:bCs/>
          <w:snapToGrid w:val="0"/>
        </w:rPr>
      </w:pPr>
      <w:r w:rsidRPr="00115B6A">
        <w:rPr>
          <w:rFonts w:asciiTheme="minorHAnsi" w:eastAsiaTheme="minorHAnsi" w:hAnsiTheme="minorHAnsi" w:cstheme="minorBidi"/>
          <w:szCs w:val="22"/>
        </w:rPr>
        <w:t xml:space="preserve">The PBAC </w:t>
      </w:r>
      <w:r w:rsidR="00453DAC" w:rsidRPr="00115B6A">
        <w:rPr>
          <w:rFonts w:asciiTheme="minorHAnsi" w:eastAsiaTheme="minorHAnsi" w:hAnsiTheme="minorHAnsi" w:cstheme="minorBidi"/>
          <w:szCs w:val="22"/>
        </w:rPr>
        <w:t xml:space="preserve">noted that the resubmission proposed an </w:t>
      </w:r>
      <w:r w:rsidRPr="00115B6A">
        <w:rPr>
          <w:rFonts w:asciiTheme="minorHAnsi" w:eastAsiaTheme="minorHAnsi" w:hAnsiTheme="minorHAnsi" w:cstheme="minorBidi"/>
          <w:szCs w:val="22"/>
        </w:rPr>
        <w:t xml:space="preserve">RSA with a </w:t>
      </w:r>
      <w:proofErr w:type="gramStart"/>
      <w:r w:rsidR="00EA7660">
        <w:rPr>
          <w:rFonts w:asciiTheme="minorHAnsi" w:eastAsiaTheme="minorHAnsi" w:hAnsiTheme="minorHAnsi" w:cstheme="minorBidi"/>
          <w:noProof/>
          <w:color w:val="000000"/>
          <w:szCs w:val="22"/>
          <w:highlight w:val="black"/>
        </w:rPr>
        <w:t>''''''''</w:t>
      </w:r>
      <w:r w:rsidRPr="00115B6A">
        <w:rPr>
          <w:rFonts w:asciiTheme="minorHAnsi" w:eastAsiaTheme="minorHAnsi" w:hAnsiTheme="minorHAnsi" w:cstheme="minorBidi"/>
          <w:szCs w:val="22"/>
        </w:rPr>
        <w:t>%</w:t>
      </w:r>
      <w:proofErr w:type="gramEnd"/>
      <w:r w:rsidRPr="00115B6A">
        <w:rPr>
          <w:rFonts w:asciiTheme="minorHAnsi" w:eastAsiaTheme="minorHAnsi" w:hAnsiTheme="minorHAnsi" w:cstheme="minorBidi"/>
          <w:szCs w:val="22"/>
        </w:rPr>
        <w:t xml:space="preserve"> rebate above the caps</w:t>
      </w:r>
      <w:r w:rsidR="00453DAC" w:rsidRPr="00115B6A">
        <w:rPr>
          <w:rFonts w:asciiTheme="minorHAnsi" w:eastAsiaTheme="minorHAnsi" w:hAnsiTheme="minorHAnsi" w:cstheme="minorBidi"/>
          <w:szCs w:val="22"/>
        </w:rPr>
        <w:t xml:space="preserve"> and considered this was appropriate</w:t>
      </w:r>
      <w:r w:rsidRPr="00115B6A">
        <w:rPr>
          <w:rFonts w:asciiTheme="minorHAnsi" w:eastAsiaTheme="minorHAnsi" w:hAnsiTheme="minorHAnsi" w:cstheme="minorBidi"/>
          <w:szCs w:val="22"/>
        </w:rPr>
        <w:t xml:space="preserve"> given the uncertain GCA incidence rate and the potential for use outside the proposed restriction.</w:t>
      </w:r>
      <w:r w:rsidR="00D522A7">
        <w:rPr>
          <w:rFonts w:asciiTheme="minorHAnsi" w:eastAsiaTheme="minorHAnsi" w:hAnsiTheme="minorHAnsi" w:cstheme="minorBidi"/>
          <w:szCs w:val="22"/>
        </w:rPr>
        <w:t xml:space="preserve"> The PBAC did not consider that </w:t>
      </w:r>
      <w:proofErr w:type="gramStart"/>
      <w:r w:rsidR="00D522A7">
        <w:rPr>
          <w:rFonts w:asciiTheme="minorHAnsi" w:eastAsiaTheme="minorHAnsi" w:hAnsiTheme="minorHAnsi" w:cstheme="minorBidi"/>
          <w:szCs w:val="22"/>
        </w:rPr>
        <w:t>roll-over</w:t>
      </w:r>
      <w:proofErr w:type="gramEnd"/>
      <w:r w:rsidR="00D522A7">
        <w:rPr>
          <w:rFonts w:asciiTheme="minorHAnsi" w:eastAsiaTheme="minorHAnsi" w:hAnsiTheme="minorHAnsi" w:cstheme="minorBidi"/>
          <w:szCs w:val="22"/>
        </w:rPr>
        <w:t xml:space="preserve"> of financial caps to future years is appropriate, given that estimates are prepared on a yearly basis, and that such rollover would reintroduce a high level of uncertainty.</w:t>
      </w:r>
    </w:p>
    <w:p w:rsidR="00AE2075" w:rsidRPr="00EA5994" w:rsidRDefault="00372B3C" w:rsidP="00C65565">
      <w:pPr>
        <w:widowControl w:val="0"/>
        <w:numPr>
          <w:ilvl w:val="1"/>
          <w:numId w:val="5"/>
        </w:numPr>
        <w:spacing w:before="120" w:after="120"/>
        <w:jc w:val="both"/>
        <w:rPr>
          <w:rFonts w:asciiTheme="minorHAnsi" w:hAnsiTheme="minorHAnsi" w:cs="Arial"/>
          <w:bCs/>
          <w:snapToGrid w:val="0"/>
        </w:rPr>
      </w:pPr>
      <w:r w:rsidRPr="00EA5994">
        <w:rPr>
          <w:rFonts w:asciiTheme="minorHAnsi" w:hAnsiTheme="minorHAnsi" w:cs="Arial"/>
          <w:bCs/>
          <w:snapToGrid w:val="0"/>
        </w:rPr>
        <w:t>T</w:t>
      </w:r>
      <w:r w:rsidR="00AE2075" w:rsidRPr="00EA5994">
        <w:rPr>
          <w:rFonts w:asciiTheme="minorHAnsi" w:hAnsiTheme="minorHAnsi" w:cs="Arial"/>
          <w:bCs/>
          <w:snapToGrid w:val="0"/>
        </w:rPr>
        <w:t xml:space="preserve">he PBAC requested </w:t>
      </w:r>
      <w:r w:rsidR="008057AA" w:rsidRPr="00EA5994">
        <w:rPr>
          <w:rFonts w:asciiTheme="minorHAnsi" w:hAnsiTheme="minorHAnsi" w:cs="Arial"/>
          <w:bCs/>
          <w:snapToGrid w:val="0"/>
        </w:rPr>
        <w:t xml:space="preserve">that DUSC undertake a 24 month </w:t>
      </w:r>
      <w:r w:rsidR="00AE2075" w:rsidRPr="00EA5994">
        <w:rPr>
          <w:rFonts w:asciiTheme="minorHAnsi" w:hAnsiTheme="minorHAnsi" w:cs="Arial"/>
          <w:bCs/>
          <w:snapToGrid w:val="0"/>
        </w:rPr>
        <w:t xml:space="preserve">predicted versus actual review of the utilisation of </w:t>
      </w:r>
      <w:proofErr w:type="spellStart"/>
      <w:r w:rsidR="00AE2075" w:rsidRPr="00EA5994">
        <w:rPr>
          <w:rFonts w:asciiTheme="minorHAnsi" w:hAnsiTheme="minorHAnsi" w:cs="Arial"/>
          <w:bCs/>
          <w:snapToGrid w:val="0"/>
        </w:rPr>
        <w:t>tocilizumab</w:t>
      </w:r>
      <w:proofErr w:type="spellEnd"/>
      <w:r w:rsidR="00AE2075" w:rsidRPr="00EA5994">
        <w:rPr>
          <w:rFonts w:asciiTheme="minorHAnsi" w:hAnsiTheme="minorHAnsi" w:cs="Arial"/>
          <w:bCs/>
          <w:snapToGrid w:val="0"/>
        </w:rPr>
        <w:t xml:space="preserve"> in this indication. </w:t>
      </w:r>
    </w:p>
    <w:p w:rsidR="00453DAC" w:rsidRPr="00EA5994" w:rsidRDefault="00453DAC" w:rsidP="00C65565">
      <w:pPr>
        <w:widowControl w:val="0"/>
        <w:numPr>
          <w:ilvl w:val="1"/>
          <w:numId w:val="5"/>
        </w:numPr>
        <w:spacing w:before="120" w:after="120"/>
        <w:jc w:val="both"/>
        <w:rPr>
          <w:rFonts w:asciiTheme="minorHAnsi" w:hAnsiTheme="minorHAnsi" w:cs="Arial"/>
          <w:bCs/>
          <w:snapToGrid w:val="0"/>
        </w:rPr>
      </w:pPr>
      <w:r w:rsidRPr="00115B6A">
        <w:rPr>
          <w:rFonts w:asciiTheme="minorHAnsi" w:eastAsiaTheme="minorHAnsi" w:hAnsiTheme="minorHAnsi" w:cstheme="minorBidi"/>
          <w:szCs w:val="22"/>
        </w:rPr>
        <w:t>The</w:t>
      </w:r>
      <w:r w:rsidRPr="00EA5994">
        <w:rPr>
          <w:rFonts w:asciiTheme="minorHAnsi" w:hAnsiTheme="minorHAnsi" w:cs="Arial"/>
          <w:bCs/>
          <w:snapToGrid w:val="0"/>
        </w:rPr>
        <w:t xml:space="preserve"> PBAC remained concerned about the high rates of relapse in patients who initially responded to 12 months of </w:t>
      </w:r>
      <w:proofErr w:type="spellStart"/>
      <w:r w:rsidRPr="00EA5994">
        <w:rPr>
          <w:rFonts w:asciiTheme="minorHAnsi" w:hAnsiTheme="minorHAnsi" w:cs="Arial"/>
          <w:bCs/>
          <w:snapToGrid w:val="0"/>
        </w:rPr>
        <w:t>tocilizumab</w:t>
      </w:r>
      <w:proofErr w:type="spellEnd"/>
      <w:r w:rsidRPr="00EA5994">
        <w:rPr>
          <w:rFonts w:asciiTheme="minorHAnsi" w:hAnsiTheme="minorHAnsi" w:cs="Arial"/>
          <w:bCs/>
          <w:snapToGrid w:val="0"/>
        </w:rPr>
        <w:t xml:space="preserve"> treatment (as outlined in Paragraph 5.9), and considered that the sponsor should provide longer-term follow up data from </w:t>
      </w:r>
      <w:proofErr w:type="spellStart"/>
      <w:r w:rsidRPr="00EA5994">
        <w:rPr>
          <w:rFonts w:asciiTheme="minorHAnsi" w:hAnsiTheme="minorHAnsi" w:cs="Arial"/>
          <w:bCs/>
          <w:snapToGrid w:val="0"/>
        </w:rPr>
        <w:t>GiACTA</w:t>
      </w:r>
      <w:proofErr w:type="spellEnd"/>
      <w:r w:rsidRPr="00EA5994">
        <w:rPr>
          <w:rFonts w:asciiTheme="minorHAnsi" w:hAnsiTheme="minorHAnsi" w:cs="Arial"/>
          <w:bCs/>
          <w:snapToGrid w:val="0"/>
        </w:rPr>
        <w:t xml:space="preserve"> (and its extension studies) </w:t>
      </w:r>
      <w:r w:rsidR="0025684E" w:rsidRPr="00EA5994">
        <w:rPr>
          <w:rFonts w:asciiTheme="minorHAnsi" w:hAnsiTheme="minorHAnsi" w:cs="Arial"/>
          <w:bCs/>
          <w:snapToGrid w:val="0"/>
        </w:rPr>
        <w:t>regarding</w:t>
      </w:r>
      <w:r w:rsidRPr="00EA5994">
        <w:rPr>
          <w:rFonts w:asciiTheme="minorHAnsi" w:hAnsiTheme="minorHAnsi" w:cs="Arial"/>
          <w:bCs/>
          <w:snapToGrid w:val="0"/>
        </w:rPr>
        <w:t xml:space="preserve"> the risk of relapse following </w:t>
      </w:r>
      <w:proofErr w:type="spellStart"/>
      <w:r w:rsidRPr="00EA5994">
        <w:rPr>
          <w:rFonts w:asciiTheme="minorHAnsi" w:hAnsiTheme="minorHAnsi" w:cs="Arial"/>
          <w:bCs/>
          <w:snapToGrid w:val="0"/>
        </w:rPr>
        <w:t>tocilizumab</w:t>
      </w:r>
      <w:proofErr w:type="spellEnd"/>
      <w:r w:rsidRPr="00EA5994">
        <w:rPr>
          <w:rFonts w:asciiTheme="minorHAnsi" w:hAnsiTheme="minorHAnsi" w:cs="Arial"/>
          <w:bCs/>
          <w:snapToGrid w:val="0"/>
        </w:rPr>
        <w:t xml:space="preserve"> treatment. </w:t>
      </w:r>
      <w:r w:rsidR="00AE2075" w:rsidRPr="00EA5994">
        <w:rPr>
          <w:rFonts w:asciiTheme="minorHAnsi" w:hAnsiTheme="minorHAnsi" w:cs="Arial"/>
          <w:bCs/>
          <w:snapToGrid w:val="0"/>
        </w:rPr>
        <w:t>The PBAC requested that this be provided as part of the predicted versus actual review.</w:t>
      </w:r>
    </w:p>
    <w:p w:rsidR="004674C3" w:rsidRPr="00EA5994" w:rsidRDefault="004674C3" w:rsidP="00C65565">
      <w:pPr>
        <w:widowControl w:val="0"/>
        <w:numPr>
          <w:ilvl w:val="1"/>
          <w:numId w:val="5"/>
        </w:numPr>
        <w:spacing w:before="120" w:after="120"/>
        <w:jc w:val="both"/>
        <w:rPr>
          <w:rFonts w:asciiTheme="minorHAnsi" w:hAnsiTheme="minorHAnsi" w:cs="Arial"/>
          <w:bCs/>
          <w:snapToGrid w:val="0"/>
        </w:rPr>
      </w:pPr>
      <w:r w:rsidRPr="00EA5994">
        <w:rPr>
          <w:rFonts w:asciiTheme="minorHAnsi" w:hAnsiTheme="minorHAnsi" w:cs="Arial"/>
          <w:bCs/>
          <w:snapToGrid w:val="0"/>
        </w:rPr>
        <w:t xml:space="preserve">The PBAC recommended that </w:t>
      </w:r>
      <w:proofErr w:type="spellStart"/>
      <w:r w:rsidR="00865B83" w:rsidRPr="00EA5994">
        <w:rPr>
          <w:rFonts w:asciiTheme="minorHAnsi" w:hAnsiTheme="minorHAnsi" w:cs="Arial"/>
          <w:bCs/>
          <w:snapToGrid w:val="0"/>
        </w:rPr>
        <w:t>tocilizumab</w:t>
      </w:r>
      <w:proofErr w:type="spellEnd"/>
      <w:r w:rsidR="00462E84" w:rsidRPr="00EA5994">
        <w:rPr>
          <w:rFonts w:asciiTheme="minorHAnsi" w:hAnsiTheme="minorHAnsi" w:cs="Arial"/>
          <w:bCs/>
          <w:snapToGrid w:val="0"/>
        </w:rPr>
        <w:t>, in this indication,</w:t>
      </w:r>
      <w:r w:rsidR="00865B83" w:rsidRPr="00EA5994">
        <w:rPr>
          <w:rFonts w:asciiTheme="minorHAnsi" w:hAnsiTheme="minorHAnsi" w:cs="Arial"/>
          <w:bCs/>
          <w:snapToGrid w:val="0"/>
        </w:rPr>
        <w:t xml:space="preserve"> </w:t>
      </w:r>
      <w:proofErr w:type="gramStart"/>
      <w:r w:rsidRPr="00EA5994">
        <w:rPr>
          <w:rFonts w:asciiTheme="minorHAnsi" w:hAnsiTheme="minorHAnsi" w:cs="Arial"/>
          <w:bCs/>
          <w:snapToGrid w:val="0"/>
        </w:rPr>
        <w:t>should not be treated</w:t>
      </w:r>
      <w:proofErr w:type="gramEnd"/>
      <w:r w:rsidRPr="00EA5994">
        <w:rPr>
          <w:rFonts w:asciiTheme="minorHAnsi" w:hAnsiTheme="minorHAnsi" w:cs="Arial"/>
          <w:bCs/>
          <w:snapToGrid w:val="0"/>
        </w:rPr>
        <w:t xml:space="preserve"> as interchangeable </w:t>
      </w:r>
      <w:r w:rsidR="00462E84" w:rsidRPr="00EA5994">
        <w:rPr>
          <w:rFonts w:asciiTheme="minorHAnsi" w:hAnsiTheme="minorHAnsi" w:cs="Arial"/>
          <w:bCs/>
          <w:snapToGrid w:val="0"/>
        </w:rPr>
        <w:t xml:space="preserve">on an individual patient basis </w:t>
      </w:r>
      <w:r w:rsidRPr="00EA5994">
        <w:rPr>
          <w:rFonts w:asciiTheme="minorHAnsi" w:hAnsiTheme="minorHAnsi" w:cs="Arial"/>
          <w:bCs/>
          <w:snapToGrid w:val="0"/>
        </w:rPr>
        <w:t>with any other drugs.</w:t>
      </w:r>
    </w:p>
    <w:p w:rsidR="007C3BCE" w:rsidRPr="00115B6A" w:rsidRDefault="007C3BCE" w:rsidP="00C65565">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115B6A">
        <w:rPr>
          <w:rFonts w:asciiTheme="minorHAnsi" w:eastAsiaTheme="minorHAnsi" w:hAnsiTheme="minorHAnsi" w:cstheme="minorBidi"/>
          <w:snapToGrid/>
          <w:sz w:val="24"/>
          <w:szCs w:val="22"/>
        </w:rPr>
        <w:t xml:space="preserve">The PBAC advised that </w:t>
      </w:r>
      <w:proofErr w:type="spellStart"/>
      <w:r w:rsidRPr="00115B6A">
        <w:rPr>
          <w:rFonts w:asciiTheme="minorHAnsi" w:eastAsiaTheme="minorHAnsi" w:hAnsiTheme="minorHAnsi" w:cstheme="minorBidi"/>
          <w:snapToGrid/>
          <w:sz w:val="24"/>
          <w:szCs w:val="22"/>
        </w:rPr>
        <w:t>tocilizumab</w:t>
      </w:r>
      <w:proofErr w:type="spellEnd"/>
      <w:r w:rsidRPr="00115B6A">
        <w:rPr>
          <w:rFonts w:asciiTheme="minorHAnsi" w:eastAsiaTheme="minorHAnsi" w:hAnsiTheme="minorHAnsi" w:cstheme="minorBidi"/>
          <w:snapToGrid/>
          <w:sz w:val="24"/>
          <w:szCs w:val="22"/>
        </w:rPr>
        <w:t xml:space="preserve"> is not suitable for prescribing by nurse practitioners. </w:t>
      </w:r>
    </w:p>
    <w:p w:rsidR="006165F7" w:rsidRPr="00115B6A" w:rsidRDefault="004674C3" w:rsidP="00C65565">
      <w:pPr>
        <w:numPr>
          <w:ilvl w:val="1"/>
          <w:numId w:val="5"/>
        </w:numPr>
        <w:spacing w:before="120" w:after="120"/>
        <w:jc w:val="both"/>
        <w:rPr>
          <w:rFonts w:asciiTheme="minorHAnsi" w:eastAsiaTheme="minorHAnsi" w:hAnsiTheme="minorHAnsi" w:cstheme="minorBidi"/>
          <w:szCs w:val="22"/>
        </w:rPr>
      </w:pPr>
      <w:r w:rsidRPr="00EA5994">
        <w:rPr>
          <w:rFonts w:asciiTheme="minorHAnsi" w:hAnsiTheme="minorHAnsi" w:cs="Arial"/>
          <w:bCs/>
          <w:snapToGrid w:val="0"/>
        </w:rPr>
        <w:t>The PBAC recommended that the Early Supply Rule should apply</w:t>
      </w:r>
      <w:r w:rsidR="006165F7" w:rsidRPr="00115B6A">
        <w:rPr>
          <w:rFonts w:asciiTheme="minorHAnsi" w:eastAsiaTheme="minorHAnsi" w:hAnsiTheme="minorHAnsi" w:cstheme="minorBidi"/>
          <w:szCs w:val="22"/>
        </w:rPr>
        <w:t>.</w:t>
      </w:r>
    </w:p>
    <w:p w:rsidR="008057AA" w:rsidRPr="00EA5994" w:rsidRDefault="004674C3" w:rsidP="00C65565">
      <w:pPr>
        <w:widowControl w:val="0"/>
        <w:numPr>
          <w:ilvl w:val="1"/>
          <w:numId w:val="5"/>
        </w:numPr>
        <w:spacing w:before="120" w:after="120"/>
        <w:jc w:val="both"/>
        <w:rPr>
          <w:rFonts w:asciiTheme="minorHAnsi" w:hAnsiTheme="minorHAnsi" w:cs="Arial"/>
          <w:b/>
          <w:bCs/>
          <w:snapToGrid w:val="0"/>
        </w:rPr>
      </w:pPr>
      <w:r w:rsidRPr="00EA5994">
        <w:rPr>
          <w:rFonts w:asciiTheme="minorHAnsi" w:hAnsiTheme="minorHAnsi" w:cs="Arial"/>
          <w:bCs/>
          <w:snapToGrid w:val="0"/>
        </w:rPr>
        <w:t>The PBAC noted that this submission is</w:t>
      </w:r>
      <w:r w:rsidR="006165F7" w:rsidRPr="00EA5994">
        <w:rPr>
          <w:rFonts w:asciiTheme="minorHAnsi" w:hAnsiTheme="minorHAnsi" w:cs="Arial"/>
          <w:bCs/>
          <w:snapToGrid w:val="0"/>
        </w:rPr>
        <w:t xml:space="preserve"> not</w:t>
      </w:r>
      <w:r w:rsidRPr="00EA5994">
        <w:rPr>
          <w:rFonts w:asciiTheme="minorHAnsi" w:hAnsiTheme="minorHAnsi" w:cs="Arial"/>
          <w:bCs/>
          <w:snapToGrid w:val="0"/>
        </w:rPr>
        <w:t xml:space="preserve"> eligible for an Independent Review</w:t>
      </w:r>
      <w:r w:rsidR="00462E84" w:rsidRPr="00EA5994">
        <w:rPr>
          <w:rFonts w:asciiTheme="minorHAnsi" w:hAnsiTheme="minorHAnsi" w:cs="Arial"/>
          <w:bCs/>
          <w:snapToGrid w:val="0"/>
        </w:rPr>
        <w:t xml:space="preserve"> as it received a positive recommendation</w:t>
      </w:r>
      <w:r w:rsidRPr="00EA5994">
        <w:rPr>
          <w:rFonts w:asciiTheme="minorHAnsi" w:hAnsiTheme="minorHAnsi" w:cs="Arial"/>
          <w:bCs/>
          <w:snapToGrid w:val="0"/>
        </w:rPr>
        <w:t xml:space="preserve">. </w:t>
      </w:r>
    </w:p>
    <w:p w:rsidR="004674C3" w:rsidRPr="00EA5994" w:rsidRDefault="004674C3" w:rsidP="00C65565">
      <w:pPr>
        <w:widowControl w:val="0"/>
        <w:spacing w:before="120" w:after="120"/>
        <w:jc w:val="both"/>
        <w:rPr>
          <w:rFonts w:asciiTheme="minorHAnsi" w:hAnsiTheme="minorHAnsi" w:cs="Arial"/>
          <w:b/>
          <w:bCs/>
          <w:snapToGrid w:val="0"/>
        </w:rPr>
      </w:pPr>
      <w:r w:rsidRPr="00EA5994">
        <w:rPr>
          <w:rFonts w:asciiTheme="minorHAnsi" w:hAnsiTheme="minorHAnsi" w:cs="Arial"/>
          <w:b/>
          <w:bCs/>
          <w:snapToGrid w:val="0"/>
        </w:rPr>
        <w:t>Outcome:</w:t>
      </w:r>
    </w:p>
    <w:p w:rsidR="004674C3" w:rsidRPr="00EA5994" w:rsidRDefault="004674C3" w:rsidP="00C65565">
      <w:pPr>
        <w:spacing w:before="120" w:after="120"/>
        <w:jc w:val="both"/>
        <w:rPr>
          <w:rFonts w:asciiTheme="minorHAnsi" w:hAnsiTheme="minorHAnsi" w:cs="Arial"/>
          <w:bCs/>
          <w:snapToGrid w:val="0"/>
        </w:rPr>
      </w:pPr>
      <w:r w:rsidRPr="00EA5994">
        <w:rPr>
          <w:rFonts w:asciiTheme="minorHAnsi" w:hAnsiTheme="minorHAnsi" w:cs="Arial"/>
          <w:bCs/>
          <w:snapToGrid w:val="0"/>
        </w:rPr>
        <w:t>Recommended</w:t>
      </w:r>
    </w:p>
    <w:p w:rsidR="004674C3" w:rsidRPr="000367DF" w:rsidRDefault="004674C3" w:rsidP="004674C3">
      <w:pPr>
        <w:widowControl w:val="0"/>
        <w:numPr>
          <w:ilvl w:val="0"/>
          <w:numId w:val="5"/>
        </w:numPr>
        <w:spacing w:before="240" w:after="120"/>
        <w:jc w:val="both"/>
        <w:rPr>
          <w:rFonts w:asciiTheme="minorHAnsi" w:hAnsiTheme="minorHAnsi" w:cs="Arial"/>
          <w:b/>
          <w:bCs/>
          <w:snapToGrid w:val="0"/>
          <w:sz w:val="32"/>
        </w:rPr>
      </w:pPr>
      <w:r w:rsidRPr="000367DF">
        <w:rPr>
          <w:rFonts w:asciiTheme="minorHAnsi" w:hAnsiTheme="minorHAnsi" w:cs="Arial"/>
          <w:b/>
          <w:bCs/>
          <w:snapToGrid w:val="0"/>
          <w:sz w:val="32"/>
        </w:rPr>
        <w:t>Recommended listing</w:t>
      </w:r>
    </w:p>
    <w:p w:rsidR="004674C3" w:rsidRPr="00115B6A" w:rsidRDefault="004674C3" w:rsidP="004674C3">
      <w:pPr>
        <w:widowControl w:val="0"/>
        <w:ind w:firstLine="720"/>
        <w:jc w:val="both"/>
        <w:rPr>
          <w:rFonts w:asciiTheme="minorHAnsi" w:hAnsiTheme="minorHAnsi" w:cs="Arial"/>
          <w:bCs/>
          <w:snapToGrid w:val="0"/>
        </w:rPr>
      </w:pPr>
      <w:r w:rsidRPr="00115B6A">
        <w:rPr>
          <w:rFonts w:asciiTheme="minorHAnsi" w:hAnsiTheme="minorHAnsi" w:cs="Arial"/>
          <w:bCs/>
          <w:snapToGrid w:val="0"/>
        </w:rPr>
        <w:lastRenderedPageBreak/>
        <w:t xml:space="preserve">Add new </w:t>
      </w:r>
      <w:r w:rsidR="001D3982" w:rsidRPr="00115B6A">
        <w:rPr>
          <w:rFonts w:asciiTheme="minorHAnsi" w:hAnsiTheme="minorHAnsi" w:cs="Arial"/>
          <w:bCs/>
          <w:snapToGrid w:val="0"/>
        </w:rPr>
        <w:t>listing</w:t>
      </w:r>
      <w:r w:rsidRPr="00115B6A">
        <w:rPr>
          <w:rFonts w:asciiTheme="minorHAnsi" w:hAnsiTheme="minorHAnsi" w:cs="Arial"/>
          <w:bCs/>
          <w:snapToGrid w:val="0"/>
        </w:rPr>
        <w:t>:</w:t>
      </w:r>
    </w:p>
    <w:tbl>
      <w:tblPr>
        <w:tblW w:w="4966" w:type="pct"/>
        <w:tblLook w:val="0000" w:firstRow="0" w:lastRow="0" w:firstColumn="0" w:lastColumn="0" w:noHBand="0" w:noVBand="0"/>
      </w:tblPr>
      <w:tblGrid>
        <w:gridCol w:w="802"/>
        <w:gridCol w:w="1373"/>
        <w:gridCol w:w="776"/>
        <w:gridCol w:w="1205"/>
        <w:gridCol w:w="1205"/>
        <w:gridCol w:w="1205"/>
        <w:gridCol w:w="1017"/>
        <w:gridCol w:w="1382"/>
      </w:tblGrid>
      <w:tr w:rsidR="001D3982" w:rsidRPr="00115B6A" w:rsidTr="000367DF">
        <w:trPr>
          <w:cantSplit/>
          <w:trHeight w:val="465"/>
        </w:trPr>
        <w:tc>
          <w:tcPr>
            <w:tcW w:w="1646" w:type="pct"/>
            <w:gridSpan w:val="3"/>
            <w:tcBorders>
              <w:bottom w:val="single" w:sz="4" w:space="0" w:color="auto"/>
            </w:tcBorders>
          </w:tcPr>
          <w:p w:rsidR="001D3982" w:rsidRPr="00115B6A" w:rsidRDefault="001D3982" w:rsidP="00E01816">
            <w:pPr>
              <w:keepNext/>
              <w:spacing w:before="40" w:after="40"/>
              <w:jc w:val="both"/>
              <w:rPr>
                <w:rFonts w:ascii="Arial Narrow" w:hAnsi="Arial Narrow" w:cs="Arial"/>
                <w:b/>
                <w:sz w:val="20"/>
                <w:szCs w:val="20"/>
              </w:rPr>
            </w:pPr>
            <w:r w:rsidRPr="00115B6A">
              <w:rPr>
                <w:rFonts w:ascii="Arial Narrow" w:hAnsi="Arial Narrow" w:cs="Arial"/>
                <w:b/>
                <w:sz w:val="20"/>
                <w:szCs w:val="20"/>
              </w:rPr>
              <w:t>Name, Restriction,</w:t>
            </w:r>
          </w:p>
          <w:p w:rsidR="001D3982" w:rsidRPr="00115B6A" w:rsidRDefault="001D3982" w:rsidP="00E01816">
            <w:pPr>
              <w:keepNext/>
              <w:spacing w:before="40" w:after="40"/>
              <w:jc w:val="both"/>
              <w:rPr>
                <w:rFonts w:ascii="Arial Narrow" w:hAnsi="Arial Narrow" w:cs="Arial"/>
                <w:b/>
                <w:sz w:val="20"/>
                <w:szCs w:val="20"/>
              </w:rPr>
            </w:pPr>
            <w:r w:rsidRPr="00115B6A">
              <w:rPr>
                <w:rFonts w:ascii="Arial Narrow" w:hAnsi="Arial Narrow" w:cs="Arial"/>
                <w:b/>
                <w:sz w:val="20"/>
                <w:szCs w:val="20"/>
              </w:rPr>
              <w:t>Manner of administration and form</w:t>
            </w:r>
          </w:p>
        </w:tc>
        <w:tc>
          <w:tcPr>
            <w:tcW w:w="672" w:type="pct"/>
            <w:tcBorders>
              <w:bottom w:val="single" w:sz="4" w:space="0" w:color="auto"/>
            </w:tcBorders>
            <w:vAlign w:val="center"/>
          </w:tcPr>
          <w:p w:rsidR="001D3982" w:rsidRPr="00115B6A" w:rsidRDefault="001D3982" w:rsidP="000367DF">
            <w:pPr>
              <w:keepNext/>
              <w:spacing w:before="40" w:after="40"/>
              <w:jc w:val="center"/>
              <w:rPr>
                <w:rFonts w:ascii="Arial Narrow" w:hAnsi="Arial Narrow" w:cs="Arial"/>
                <w:b/>
                <w:sz w:val="20"/>
                <w:szCs w:val="20"/>
              </w:rPr>
            </w:pPr>
            <w:r w:rsidRPr="00115B6A">
              <w:rPr>
                <w:rFonts w:ascii="Arial Narrow" w:hAnsi="Arial Narrow" w:cs="Arial"/>
                <w:b/>
                <w:sz w:val="20"/>
                <w:szCs w:val="20"/>
              </w:rPr>
              <w:t>Max.</w:t>
            </w:r>
          </w:p>
          <w:p w:rsidR="001D3982" w:rsidRPr="00115B6A" w:rsidRDefault="001D3982" w:rsidP="000367DF">
            <w:pPr>
              <w:keepNext/>
              <w:spacing w:before="40" w:after="40"/>
              <w:jc w:val="center"/>
              <w:rPr>
                <w:rFonts w:ascii="Arial Narrow" w:hAnsi="Arial Narrow" w:cs="Arial"/>
                <w:b/>
                <w:sz w:val="20"/>
                <w:szCs w:val="20"/>
              </w:rPr>
            </w:pPr>
            <w:proofErr w:type="spellStart"/>
            <w:r w:rsidRPr="00115B6A">
              <w:rPr>
                <w:rFonts w:ascii="Arial Narrow" w:hAnsi="Arial Narrow" w:cs="Arial"/>
                <w:b/>
                <w:sz w:val="20"/>
                <w:szCs w:val="20"/>
              </w:rPr>
              <w:t>Qty</w:t>
            </w:r>
            <w:proofErr w:type="spellEnd"/>
          </w:p>
          <w:p w:rsidR="001D3982" w:rsidRPr="00115B6A" w:rsidRDefault="001D3982" w:rsidP="000367DF">
            <w:pPr>
              <w:keepNext/>
              <w:spacing w:before="40" w:after="40"/>
              <w:jc w:val="center"/>
              <w:rPr>
                <w:rFonts w:ascii="Arial Narrow" w:hAnsi="Arial Narrow" w:cs="Arial"/>
                <w:b/>
                <w:sz w:val="20"/>
                <w:szCs w:val="20"/>
              </w:rPr>
            </w:pPr>
            <w:r w:rsidRPr="00115B6A">
              <w:rPr>
                <w:rFonts w:ascii="Arial Narrow" w:hAnsi="Arial Narrow" w:cs="Arial"/>
                <w:b/>
                <w:sz w:val="20"/>
                <w:szCs w:val="20"/>
              </w:rPr>
              <w:t>Packs</w:t>
            </w:r>
          </w:p>
        </w:tc>
        <w:tc>
          <w:tcPr>
            <w:tcW w:w="672" w:type="pct"/>
            <w:tcBorders>
              <w:bottom w:val="single" w:sz="4" w:space="0" w:color="auto"/>
            </w:tcBorders>
            <w:vAlign w:val="center"/>
          </w:tcPr>
          <w:p w:rsidR="001D3982" w:rsidRPr="00115B6A" w:rsidRDefault="000367DF" w:rsidP="000367DF">
            <w:pPr>
              <w:keepNext/>
              <w:spacing w:before="40" w:after="40"/>
              <w:jc w:val="center"/>
              <w:rPr>
                <w:rFonts w:ascii="Arial Narrow" w:hAnsi="Arial Narrow" w:cs="Arial"/>
                <w:b/>
                <w:sz w:val="20"/>
                <w:szCs w:val="20"/>
              </w:rPr>
            </w:pPr>
            <w:r>
              <w:rPr>
                <w:rFonts w:ascii="Arial Narrow" w:hAnsi="Arial Narrow" w:cs="Arial"/>
                <w:b/>
                <w:sz w:val="20"/>
                <w:szCs w:val="20"/>
              </w:rPr>
              <w:t xml:space="preserve">Max. </w:t>
            </w:r>
            <w:proofErr w:type="spellStart"/>
            <w:r>
              <w:rPr>
                <w:rFonts w:ascii="Arial Narrow" w:hAnsi="Arial Narrow" w:cs="Arial"/>
                <w:b/>
                <w:sz w:val="20"/>
                <w:szCs w:val="20"/>
              </w:rPr>
              <w:t>Qty</w:t>
            </w:r>
            <w:proofErr w:type="spellEnd"/>
          </w:p>
          <w:p w:rsidR="001D3982" w:rsidRPr="00115B6A" w:rsidRDefault="001D3982" w:rsidP="000367DF">
            <w:pPr>
              <w:keepNext/>
              <w:spacing w:before="40" w:after="40"/>
              <w:jc w:val="center"/>
              <w:rPr>
                <w:rFonts w:ascii="Arial Narrow" w:hAnsi="Arial Narrow" w:cs="Arial"/>
                <w:b/>
                <w:sz w:val="20"/>
                <w:szCs w:val="20"/>
              </w:rPr>
            </w:pPr>
            <w:r w:rsidRPr="00115B6A">
              <w:rPr>
                <w:rFonts w:ascii="Arial Narrow" w:hAnsi="Arial Narrow" w:cs="Arial"/>
                <w:b/>
                <w:sz w:val="20"/>
                <w:szCs w:val="20"/>
              </w:rPr>
              <w:t>Units</w:t>
            </w:r>
          </w:p>
        </w:tc>
        <w:tc>
          <w:tcPr>
            <w:tcW w:w="672" w:type="pct"/>
            <w:tcBorders>
              <w:bottom w:val="single" w:sz="4" w:space="0" w:color="auto"/>
            </w:tcBorders>
            <w:vAlign w:val="center"/>
          </w:tcPr>
          <w:p w:rsidR="001D3982" w:rsidRPr="00115B6A" w:rsidRDefault="001D3982" w:rsidP="000367DF">
            <w:pPr>
              <w:keepNext/>
              <w:spacing w:before="40" w:after="40"/>
              <w:jc w:val="center"/>
              <w:rPr>
                <w:rFonts w:ascii="Arial Narrow" w:hAnsi="Arial Narrow" w:cs="Arial"/>
                <w:b/>
                <w:sz w:val="20"/>
                <w:szCs w:val="20"/>
              </w:rPr>
            </w:pPr>
            <w:r w:rsidRPr="00115B6A">
              <w:rPr>
                <w:rFonts w:ascii="Arial Narrow" w:hAnsi="Arial Narrow" w:cs="Arial"/>
                <w:b/>
                <w:sz w:val="20"/>
                <w:szCs w:val="20"/>
              </w:rPr>
              <w:t>№.of</w:t>
            </w:r>
          </w:p>
          <w:p w:rsidR="001D3982" w:rsidRPr="00115B6A" w:rsidRDefault="001D3982" w:rsidP="000367DF">
            <w:pPr>
              <w:keepNext/>
              <w:spacing w:before="40" w:after="40"/>
              <w:jc w:val="center"/>
              <w:rPr>
                <w:rFonts w:ascii="Arial Narrow" w:hAnsi="Arial Narrow" w:cs="Arial"/>
                <w:b/>
                <w:sz w:val="20"/>
                <w:szCs w:val="20"/>
              </w:rPr>
            </w:pPr>
            <w:proofErr w:type="spellStart"/>
            <w:r w:rsidRPr="00115B6A">
              <w:rPr>
                <w:rFonts w:ascii="Arial Narrow" w:hAnsi="Arial Narrow" w:cs="Arial"/>
                <w:b/>
                <w:sz w:val="20"/>
                <w:szCs w:val="20"/>
              </w:rPr>
              <w:t>Rpts</w:t>
            </w:r>
            <w:proofErr w:type="spellEnd"/>
          </w:p>
        </w:tc>
        <w:tc>
          <w:tcPr>
            <w:tcW w:w="1338" w:type="pct"/>
            <w:gridSpan w:val="2"/>
            <w:tcBorders>
              <w:bottom w:val="single" w:sz="4" w:space="0" w:color="auto"/>
            </w:tcBorders>
          </w:tcPr>
          <w:p w:rsidR="001D3982" w:rsidRPr="00EA5994" w:rsidRDefault="001D3982" w:rsidP="00E01816">
            <w:pPr>
              <w:keepNext/>
              <w:spacing w:before="40" w:after="40"/>
              <w:jc w:val="both"/>
              <w:rPr>
                <w:rFonts w:ascii="Arial Narrow" w:hAnsi="Arial Narrow" w:cs="Arial"/>
                <w:b/>
                <w:sz w:val="20"/>
                <w:szCs w:val="20"/>
              </w:rPr>
            </w:pPr>
            <w:r w:rsidRPr="00115B6A">
              <w:rPr>
                <w:rFonts w:ascii="Arial Narrow" w:hAnsi="Arial Narrow" w:cs="Arial"/>
                <w:b/>
                <w:sz w:val="20"/>
                <w:szCs w:val="20"/>
              </w:rPr>
              <w:t>Proprietary Name and Manufacturer</w:t>
            </w:r>
          </w:p>
        </w:tc>
      </w:tr>
      <w:tr w:rsidR="001D3982" w:rsidRPr="00115B6A" w:rsidTr="000367DF">
        <w:trPr>
          <w:cantSplit/>
          <w:trHeight w:val="567"/>
        </w:trPr>
        <w:tc>
          <w:tcPr>
            <w:tcW w:w="1646" w:type="pct"/>
            <w:gridSpan w:val="3"/>
          </w:tcPr>
          <w:p w:rsidR="001D3982" w:rsidRPr="00115B6A" w:rsidRDefault="001D3982" w:rsidP="00E01816">
            <w:pPr>
              <w:keepNext/>
              <w:ind w:left="-108"/>
              <w:jc w:val="both"/>
              <w:rPr>
                <w:rFonts w:ascii="Arial Narrow" w:hAnsi="Arial Narrow" w:cs="Arial"/>
                <w:smallCaps/>
                <w:sz w:val="20"/>
                <w:szCs w:val="20"/>
              </w:rPr>
            </w:pPr>
            <w:r w:rsidRPr="00115B6A">
              <w:rPr>
                <w:rFonts w:ascii="Arial Narrow" w:hAnsi="Arial Narrow" w:cs="Arial"/>
                <w:smallCaps/>
                <w:sz w:val="20"/>
                <w:szCs w:val="20"/>
              </w:rPr>
              <w:t>TOCILIZUMAB</w:t>
            </w:r>
          </w:p>
          <w:p w:rsidR="001D3982" w:rsidRPr="00115B6A" w:rsidRDefault="001D3982" w:rsidP="00E01816">
            <w:pPr>
              <w:keepNext/>
              <w:ind w:left="-108"/>
              <w:jc w:val="both"/>
              <w:rPr>
                <w:rFonts w:ascii="Arial Narrow" w:hAnsi="Arial Narrow" w:cs="Arial"/>
                <w:sz w:val="20"/>
                <w:szCs w:val="20"/>
              </w:rPr>
            </w:pPr>
            <w:r w:rsidRPr="00115B6A">
              <w:rPr>
                <w:rFonts w:ascii="Arial Narrow" w:hAnsi="Arial Narrow" w:cs="Arial"/>
                <w:smallCaps/>
                <w:sz w:val="20"/>
                <w:szCs w:val="20"/>
              </w:rPr>
              <w:t xml:space="preserve"> </w:t>
            </w:r>
            <w:r w:rsidRPr="00115B6A">
              <w:rPr>
                <w:rFonts w:ascii="Arial Narrow" w:hAnsi="Arial Narrow" w:cs="Arial"/>
                <w:sz w:val="20"/>
                <w:szCs w:val="20"/>
              </w:rPr>
              <w:t>162 mg/0.9 mL injection, 4 x 0.9 mL pre-filled syringe</w:t>
            </w:r>
          </w:p>
          <w:p w:rsidR="001D3982" w:rsidRPr="00115B6A" w:rsidRDefault="001D3982" w:rsidP="00E01816">
            <w:pPr>
              <w:keepNext/>
              <w:ind w:left="-108"/>
              <w:jc w:val="both"/>
              <w:rPr>
                <w:rFonts w:ascii="Arial Narrow" w:hAnsi="Arial Narrow" w:cs="Arial"/>
                <w:sz w:val="20"/>
                <w:szCs w:val="20"/>
              </w:rPr>
            </w:pPr>
            <w:r w:rsidRPr="00115B6A">
              <w:rPr>
                <w:rFonts w:ascii="Arial Narrow" w:hAnsi="Arial Narrow" w:cs="Arial"/>
                <w:sz w:val="20"/>
                <w:szCs w:val="20"/>
              </w:rPr>
              <w:t xml:space="preserve"> 162 mg/0.9 mL injection, 4 x 0.9 mL pre-filled pen</w:t>
            </w:r>
          </w:p>
        </w:tc>
        <w:tc>
          <w:tcPr>
            <w:tcW w:w="672" w:type="pct"/>
          </w:tcPr>
          <w:p w:rsidR="001D3982" w:rsidRPr="00115B6A" w:rsidRDefault="001D3982" w:rsidP="00E01816">
            <w:pPr>
              <w:keepNext/>
              <w:ind w:left="-108"/>
              <w:jc w:val="center"/>
              <w:rPr>
                <w:rFonts w:ascii="Arial Narrow" w:hAnsi="Arial Narrow" w:cs="Arial"/>
                <w:sz w:val="20"/>
                <w:szCs w:val="20"/>
              </w:rPr>
            </w:pPr>
          </w:p>
          <w:p w:rsidR="001D3982" w:rsidRPr="00115B6A" w:rsidRDefault="001D3982" w:rsidP="00E01816">
            <w:pPr>
              <w:keepNext/>
              <w:ind w:left="-108"/>
              <w:jc w:val="center"/>
              <w:rPr>
                <w:rFonts w:ascii="Arial Narrow" w:hAnsi="Arial Narrow" w:cs="Arial"/>
                <w:sz w:val="20"/>
                <w:szCs w:val="20"/>
              </w:rPr>
            </w:pPr>
            <w:r w:rsidRPr="00115B6A">
              <w:rPr>
                <w:rFonts w:ascii="Arial Narrow" w:hAnsi="Arial Narrow" w:cs="Arial"/>
                <w:sz w:val="20"/>
                <w:szCs w:val="20"/>
              </w:rPr>
              <w:t>1</w:t>
            </w:r>
          </w:p>
          <w:p w:rsidR="001D3982" w:rsidRPr="00115B6A" w:rsidRDefault="001D3982" w:rsidP="00E01816">
            <w:pPr>
              <w:keepNext/>
              <w:ind w:left="-108"/>
              <w:jc w:val="center"/>
              <w:rPr>
                <w:rFonts w:ascii="Arial Narrow" w:hAnsi="Arial Narrow" w:cs="Arial"/>
                <w:sz w:val="20"/>
                <w:szCs w:val="20"/>
              </w:rPr>
            </w:pPr>
          </w:p>
          <w:p w:rsidR="001D3982" w:rsidRPr="00115B6A" w:rsidRDefault="001D3982" w:rsidP="00E01816">
            <w:pPr>
              <w:keepNext/>
              <w:ind w:left="-108"/>
              <w:jc w:val="center"/>
              <w:rPr>
                <w:rFonts w:ascii="Arial Narrow" w:hAnsi="Arial Narrow" w:cs="Arial"/>
                <w:sz w:val="20"/>
                <w:szCs w:val="20"/>
              </w:rPr>
            </w:pPr>
            <w:r w:rsidRPr="00115B6A">
              <w:rPr>
                <w:rFonts w:ascii="Arial Narrow" w:hAnsi="Arial Narrow" w:cs="Arial"/>
                <w:sz w:val="20"/>
                <w:szCs w:val="20"/>
              </w:rPr>
              <w:t>1</w:t>
            </w:r>
          </w:p>
        </w:tc>
        <w:tc>
          <w:tcPr>
            <w:tcW w:w="672" w:type="pct"/>
          </w:tcPr>
          <w:p w:rsidR="001D3982" w:rsidRPr="00115B6A" w:rsidRDefault="001D3982" w:rsidP="00E01816">
            <w:pPr>
              <w:jc w:val="center"/>
              <w:rPr>
                <w:rFonts w:ascii="Arial Narrow" w:hAnsi="Arial Narrow" w:cs="Arial"/>
                <w:sz w:val="20"/>
                <w:szCs w:val="20"/>
              </w:rPr>
            </w:pPr>
          </w:p>
          <w:p w:rsidR="001D3982" w:rsidRPr="00115B6A" w:rsidRDefault="001D3982" w:rsidP="00E01816">
            <w:pPr>
              <w:keepNext/>
              <w:jc w:val="center"/>
              <w:rPr>
                <w:rFonts w:ascii="Arial Narrow" w:hAnsi="Arial Narrow" w:cs="Arial"/>
                <w:sz w:val="20"/>
                <w:szCs w:val="20"/>
              </w:rPr>
            </w:pPr>
            <w:r w:rsidRPr="00115B6A">
              <w:rPr>
                <w:rFonts w:ascii="Arial Narrow" w:hAnsi="Arial Narrow" w:cs="Arial"/>
                <w:sz w:val="20"/>
                <w:szCs w:val="20"/>
              </w:rPr>
              <w:t>4</w:t>
            </w:r>
          </w:p>
          <w:p w:rsidR="001D3982" w:rsidRPr="00115B6A" w:rsidRDefault="001D3982" w:rsidP="00E01816">
            <w:pPr>
              <w:keepNext/>
              <w:jc w:val="center"/>
              <w:rPr>
                <w:rFonts w:ascii="Arial Narrow" w:hAnsi="Arial Narrow" w:cs="Arial"/>
                <w:sz w:val="20"/>
                <w:szCs w:val="20"/>
              </w:rPr>
            </w:pPr>
          </w:p>
          <w:p w:rsidR="001D3982" w:rsidRPr="00115B6A" w:rsidRDefault="001D3982" w:rsidP="00E01816">
            <w:pPr>
              <w:keepNext/>
              <w:jc w:val="center"/>
              <w:rPr>
                <w:rFonts w:ascii="Arial Narrow" w:hAnsi="Arial Narrow" w:cs="Arial"/>
                <w:sz w:val="20"/>
                <w:szCs w:val="20"/>
              </w:rPr>
            </w:pPr>
            <w:r w:rsidRPr="00115B6A">
              <w:rPr>
                <w:rFonts w:ascii="Arial Narrow" w:hAnsi="Arial Narrow" w:cs="Arial"/>
                <w:sz w:val="20"/>
                <w:szCs w:val="20"/>
              </w:rPr>
              <w:t>4</w:t>
            </w:r>
          </w:p>
        </w:tc>
        <w:tc>
          <w:tcPr>
            <w:tcW w:w="672" w:type="pct"/>
          </w:tcPr>
          <w:p w:rsidR="001D3982" w:rsidRPr="00115B6A" w:rsidRDefault="001D3982" w:rsidP="00E01816">
            <w:pPr>
              <w:keepNext/>
              <w:ind w:left="-108"/>
              <w:jc w:val="center"/>
              <w:rPr>
                <w:rFonts w:ascii="Arial Narrow" w:hAnsi="Arial Narrow" w:cs="Arial"/>
                <w:sz w:val="20"/>
                <w:szCs w:val="20"/>
              </w:rPr>
            </w:pPr>
          </w:p>
          <w:p w:rsidR="001D3982" w:rsidRPr="00115B6A" w:rsidRDefault="00E9149A" w:rsidP="00E01816">
            <w:pPr>
              <w:keepNext/>
              <w:ind w:left="-108"/>
              <w:jc w:val="center"/>
              <w:rPr>
                <w:rFonts w:ascii="Arial Narrow" w:hAnsi="Arial Narrow" w:cs="Arial"/>
                <w:sz w:val="20"/>
                <w:szCs w:val="20"/>
              </w:rPr>
            </w:pPr>
            <w:r>
              <w:rPr>
                <w:rFonts w:ascii="Arial Narrow" w:hAnsi="Arial Narrow" w:cs="Arial"/>
                <w:sz w:val="20"/>
                <w:szCs w:val="20"/>
              </w:rPr>
              <w:t>5</w:t>
            </w:r>
          </w:p>
          <w:p w:rsidR="001D3982" w:rsidRPr="00115B6A" w:rsidRDefault="001D3982" w:rsidP="00E01816">
            <w:pPr>
              <w:keepNext/>
              <w:ind w:left="-108"/>
              <w:jc w:val="center"/>
              <w:rPr>
                <w:rFonts w:ascii="Arial Narrow" w:hAnsi="Arial Narrow" w:cs="Arial"/>
                <w:sz w:val="20"/>
                <w:szCs w:val="20"/>
              </w:rPr>
            </w:pPr>
          </w:p>
          <w:p w:rsidR="001D3982" w:rsidRPr="00115B6A" w:rsidRDefault="00E9149A" w:rsidP="00E01816">
            <w:pPr>
              <w:keepNext/>
              <w:ind w:left="-108"/>
              <w:jc w:val="center"/>
              <w:rPr>
                <w:rFonts w:ascii="Arial Narrow" w:hAnsi="Arial Narrow" w:cs="Arial"/>
                <w:sz w:val="20"/>
                <w:szCs w:val="20"/>
              </w:rPr>
            </w:pPr>
            <w:r>
              <w:rPr>
                <w:rFonts w:ascii="Arial Narrow" w:hAnsi="Arial Narrow" w:cs="Arial"/>
                <w:sz w:val="20"/>
                <w:szCs w:val="20"/>
              </w:rPr>
              <w:t>5</w:t>
            </w:r>
          </w:p>
        </w:tc>
        <w:tc>
          <w:tcPr>
            <w:tcW w:w="567" w:type="pct"/>
          </w:tcPr>
          <w:p w:rsidR="001D3982" w:rsidRPr="00115B6A" w:rsidRDefault="001D3982" w:rsidP="00E01816">
            <w:pPr>
              <w:keepNext/>
              <w:ind w:left="-108"/>
              <w:jc w:val="center"/>
              <w:rPr>
                <w:rFonts w:ascii="Arial Narrow" w:hAnsi="Arial Narrow" w:cs="Arial"/>
                <w:sz w:val="20"/>
                <w:szCs w:val="20"/>
              </w:rPr>
            </w:pPr>
          </w:p>
          <w:p w:rsidR="001D3982" w:rsidRPr="00115B6A" w:rsidRDefault="001D3982" w:rsidP="001D3982">
            <w:pPr>
              <w:keepNext/>
              <w:ind w:left="584"/>
              <w:jc w:val="both"/>
              <w:rPr>
                <w:rFonts w:ascii="Arial Narrow" w:hAnsi="Arial Narrow" w:cs="Arial"/>
                <w:sz w:val="20"/>
                <w:szCs w:val="20"/>
              </w:rPr>
            </w:pPr>
          </w:p>
          <w:p w:rsidR="001D3982" w:rsidRPr="00115B6A" w:rsidRDefault="001D3982" w:rsidP="00E01816">
            <w:pPr>
              <w:keepNext/>
              <w:jc w:val="both"/>
              <w:rPr>
                <w:rFonts w:ascii="Arial Narrow" w:hAnsi="Arial Narrow" w:cs="Arial"/>
                <w:sz w:val="20"/>
                <w:szCs w:val="20"/>
              </w:rPr>
            </w:pPr>
            <w:proofErr w:type="spellStart"/>
            <w:r w:rsidRPr="00115B6A">
              <w:rPr>
                <w:rFonts w:ascii="Arial Narrow" w:hAnsi="Arial Narrow" w:cs="Arial"/>
                <w:sz w:val="20"/>
                <w:szCs w:val="20"/>
              </w:rPr>
              <w:t>Actemra</w:t>
            </w:r>
            <w:proofErr w:type="spellEnd"/>
            <w:r w:rsidRPr="00115B6A">
              <w:rPr>
                <w:rFonts w:ascii="Arial Narrow" w:hAnsi="Arial Narrow" w:cs="Arial"/>
                <w:sz w:val="20"/>
                <w:szCs w:val="20"/>
                <w:vertAlign w:val="superscript"/>
              </w:rPr>
              <w:t>®</w:t>
            </w:r>
          </w:p>
        </w:tc>
        <w:tc>
          <w:tcPr>
            <w:tcW w:w="771" w:type="pct"/>
          </w:tcPr>
          <w:p w:rsidR="001D3982" w:rsidRPr="00115B6A" w:rsidRDefault="001D3982" w:rsidP="00E01816">
            <w:pPr>
              <w:keepNext/>
              <w:jc w:val="both"/>
              <w:rPr>
                <w:rFonts w:ascii="Arial Narrow" w:hAnsi="Arial Narrow" w:cs="Arial"/>
                <w:sz w:val="20"/>
                <w:szCs w:val="20"/>
              </w:rPr>
            </w:pPr>
          </w:p>
          <w:p w:rsidR="001D3982" w:rsidRPr="00115B6A" w:rsidRDefault="001D3982" w:rsidP="00E01816">
            <w:pPr>
              <w:keepNext/>
              <w:jc w:val="both"/>
              <w:rPr>
                <w:rFonts w:ascii="Arial Narrow" w:hAnsi="Arial Narrow" w:cs="Arial"/>
                <w:sz w:val="20"/>
                <w:szCs w:val="20"/>
              </w:rPr>
            </w:pPr>
            <w:r w:rsidRPr="00115B6A">
              <w:rPr>
                <w:rFonts w:ascii="Arial Narrow" w:hAnsi="Arial Narrow" w:cs="Arial"/>
                <w:sz w:val="20"/>
                <w:szCs w:val="20"/>
              </w:rPr>
              <w:t>Roche</w:t>
            </w:r>
          </w:p>
        </w:tc>
      </w:tr>
      <w:tr w:rsidR="00867E38" w:rsidRPr="00115B6A" w:rsidTr="000367DF">
        <w:trPr>
          <w:cantSplit/>
          <w:trHeight w:val="360"/>
        </w:trPr>
        <w:tc>
          <w:tcPr>
            <w:tcW w:w="447" w:type="pct"/>
            <w:tcBorders>
              <w:bottom w:val="single" w:sz="4" w:space="0" w:color="auto"/>
            </w:tcBorders>
          </w:tcPr>
          <w:p w:rsidR="00867E38" w:rsidRPr="00115B6A" w:rsidRDefault="00867E38" w:rsidP="00E01816">
            <w:pPr>
              <w:spacing w:before="40" w:after="40"/>
              <w:jc w:val="both"/>
              <w:rPr>
                <w:rFonts w:ascii="Arial Narrow" w:hAnsi="Arial Narrow" w:cs="Arial"/>
                <w:sz w:val="20"/>
                <w:szCs w:val="20"/>
              </w:rPr>
            </w:pPr>
          </w:p>
        </w:tc>
        <w:tc>
          <w:tcPr>
            <w:tcW w:w="4553" w:type="pct"/>
            <w:gridSpan w:val="7"/>
            <w:tcBorders>
              <w:bottom w:val="single" w:sz="4" w:space="0" w:color="auto"/>
            </w:tcBorders>
          </w:tcPr>
          <w:p w:rsidR="00867E38" w:rsidRPr="00115B6A" w:rsidRDefault="00867E38" w:rsidP="00E01816">
            <w:pPr>
              <w:spacing w:before="40" w:after="40"/>
              <w:jc w:val="both"/>
              <w:rPr>
                <w:rFonts w:ascii="Arial Narrow" w:hAnsi="Arial Narrow" w:cs="Arial"/>
                <w:sz w:val="20"/>
                <w:szCs w:val="20"/>
              </w:rPr>
            </w:pP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jc w:val="both"/>
              <w:rPr>
                <w:rFonts w:ascii="Arial Narrow" w:hAnsi="Arial Narrow" w:cs="Arial"/>
                <w:b/>
                <w:sz w:val="20"/>
                <w:szCs w:val="20"/>
              </w:rPr>
            </w:pPr>
            <w:r w:rsidRPr="00115B6A">
              <w:rPr>
                <w:rFonts w:ascii="Arial Narrow" w:hAnsi="Arial Narrow" w:cs="Arial"/>
                <w:b/>
                <w:sz w:val="20"/>
                <w:szCs w:val="20"/>
              </w:rPr>
              <w:t>Category / Program</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sz w:val="20"/>
                <w:szCs w:val="20"/>
              </w:rPr>
            </w:pPr>
            <w:r w:rsidRPr="00115B6A">
              <w:rPr>
                <w:rFonts w:ascii="Arial Narrow" w:hAnsi="Arial Narrow" w:cs="Arial"/>
                <w:sz w:val="20"/>
                <w:szCs w:val="20"/>
              </w:rPr>
              <w:t>GENERAL – General Schedule (Code GE)</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jc w:val="both"/>
              <w:rPr>
                <w:rFonts w:ascii="Arial Narrow" w:hAnsi="Arial Narrow" w:cs="Arial"/>
                <w:b/>
                <w:sz w:val="20"/>
                <w:szCs w:val="20"/>
              </w:rPr>
            </w:pPr>
            <w:r w:rsidRPr="00115B6A">
              <w:rPr>
                <w:rFonts w:ascii="Arial Narrow" w:hAnsi="Arial Narrow" w:cs="Arial"/>
                <w:b/>
                <w:sz w:val="20"/>
                <w:szCs w:val="20"/>
              </w:rPr>
              <w:t>Prescriber type:</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sz w:val="20"/>
                <w:szCs w:val="20"/>
              </w:rPr>
            </w:pPr>
            <w:r w:rsidRPr="00EA5994">
              <w:rPr>
                <w:rFonts w:ascii="Arial Narrow" w:hAnsi="Arial Narrow" w:cs="Arial"/>
                <w:sz w:val="20"/>
                <w:szCs w:val="20"/>
              </w:rPr>
              <w:fldChar w:fldCharType="begin">
                <w:ffData>
                  <w:name w:val="Check1"/>
                  <w:enabled/>
                  <w:calcOnExit w:val="0"/>
                  <w:checkBox>
                    <w:sizeAuto/>
                    <w:default w:val="0"/>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 xml:space="preserve">Dental  </w:t>
            </w:r>
            <w:r w:rsidRPr="00EA5994">
              <w:rPr>
                <w:rFonts w:ascii="Arial Narrow" w:hAnsi="Arial Narrow" w:cs="Arial"/>
                <w:sz w:val="20"/>
                <w:szCs w:val="20"/>
              </w:rPr>
              <w:fldChar w:fldCharType="begin">
                <w:ffData>
                  <w:name w:val=""/>
                  <w:enabled/>
                  <w:calcOnExit w:val="0"/>
                  <w:checkBox>
                    <w:sizeAuto/>
                    <w:default w:val="1"/>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 xml:space="preserve">Medical Practitioners  </w:t>
            </w:r>
            <w:r w:rsidRPr="00EA5994">
              <w:rPr>
                <w:rFonts w:ascii="Arial Narrow" w:hAnsi="Arial Narrow" w:cs="Arial"/>
                <w:sz w:val="20"/>
                <w:szCs w:val="20"/>
              </w:rPr>
              <w:fldChar w:fldCharType="begin">
                <w:ffData>
                  <w:name w:val="Check3"/>
                  <w:enabled/>
                  <w:calcOnExit w:val="0"/>
                  <w:checkBox>
                    <w:sizeAuto/>
                    <w:default w:val="0"/>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 xml:space="preserve">Nurse practitioners  </w:t>
            </w:r>
            <w:r w:rsidRPr="00EA5994">
              <w:rPr>
                <w:rFonts w:ascii="Arial Narrow" w:hAnsi="Arial Narrow" w:cs="Arial"/>
                <w:sz w:val="20"/>
                <w:szCs w:val="20"/>
              </w:rPr>
              <w:fldChar w:fldCharType="begin">
                <w:ffData>
                  <w:name w:val=""/>
                  <w:enabled/>
                  <w:calcOnExit w:val="0"/>
                  <w:checkBox>
                    <w:sizeAuto/>
                    <w:default w:val="0"/>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Optometrists</w:t>
            </w:r>
          </w:p>
          <w:p w:rsidR="00867E38" w:rsidRPr="00115B6A" w:rsidRDefault="00867E38" w:rsidP="00E01816">
            <w:pPr>
              <w:spacing w:before="40" w:after="40"/>
              <w:rPr>
                <w:rFonts w:ascii="Arial Narrow" w:hAnsi="Arial Narrow" w:cs="Arial"/>
                <w:sz w:val="20"/>
                <w:szCs w:val="20"/>
              </w:rPr>
            </w:pPr>
            <w:r w:rsidRPr="00EA5994">
              <w:rPr>
                <w:rFonts w:ascii="Arial Narrow" w:hAnsi="Arial Narrow" w:cs="Arial"/>
                <w:sz w:val="20"/>
                <w:szCs w:val="20"/>
              </w:rPr>
              <w:fldChar w:fldCharType="begin">
                <w:ffData>
                  <w:name w:val="Check5"/>
                  <w:enabled/>
                  <w:calcOnExit w:val="0"/>
                  <w:checkBox>
                    <w:sizeAuto/>
                    <w:default w:val="0"/>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Midwives</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jc w:val="both"/>
              <w:rPr>
                <w:rFonts w:ascii="Arial Narrow" w:hAnsi="Arial Narrow" w:cs="Arial"/>
                <w:b/>
                <w:sz w:val="20"/>
                <w:szCs w:val="20"/>
              </w:rPr>
            </w:pPr>
            <w:r w:rsidRPr="00115B6A">
              <w:rPr>
                <w:rFonts w:ascii="Arial Narrow" w:hAnsi="Arial Narrow" w:cs="Arial"/>
                <w:b/>
                <w:sz w:val="20"/>
                <w:szCs w:val="20"/>
              </w:rPr>
              <w:t>Severity:</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sz w:val="20"/>
                <w:szCs w:val="20"/>
              </w:rPr>
            </w:pPr>
            <w:r w:rsidRPr="00115B6A">
              <w:rPr>
                <w:rFonts w:ascii="Arial Narrow" w:hAnsi="Arial Narrow" w:cs="Arial"/>
                <w:sz w:val="20"/>
                <w:szCs w:val="20"/>
              </w:rPr>
              <w:t>Active</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jc w:val="both"/>
              <w:rPr>
                <w:rFonts w:ascii="Arial Narrow" w:hAnsi="Arial Narrow" w:cs="Arial"/>
                <w:b/>
                <w:sz w:val="20"/>
                <w:szCs w:val="20"/>
              </w:rPr>
            </w:pPr>
            <w:r w:rsidRPr="00115B6A">
              <w:rPr>
                <w:rFonts w:ascii="Arial Narrow" w:hAnsi="Arial Narrow" w:cs="Arial"/>
                <w:b/>
                <w:sz w:val="20"/>
                <w:szCs w:val="20"/>
              </w:rPr>
              <w:t>Condition:</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sz w:val="20"/>
                <w:szCs w:val="20"/>
              </w:rPr>
            </w:pPr>
            <w:r w:rsidRPr="00115B6A">
              <w:rPr>
                <w:rFonts w:ascii="Arial Narrow" w:hAnsi="Arial Narrow" w:cs="Arial"/>
                <w:sz w:val="20"/>
                <w:szCs w:val="20"/>
              </w:rPr>
              <w:t>Giant cell arteritis</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jc w:val="both"/>
              <w:rPr>
                <w:rFonts w:ascii="Arial Narrow" w:hAnsi="Arial Narrow" w:cs="Arial"/>
                <w:b/>
                <w:sz w:val="20"/>
                <w:szCs w:val="20"/>
              </w:rPr>
            </w:pPr>
            <w:r w:rsidRPr="00115B6A">
              <w:rPr>
                <w:rFonts w:ascii="Arial Narrow" w:hAnsi="Arial Narrow" w:cs="Arial"/>
                <w:b/>
                <w:sz w:val="20"/>
                <w:szCs w:val="20"/>
              </w:rPr>
              <w:t>PBS Indication:</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sz w:val="20"/>
                <w:szCs w:val="20"/>
              </w:rPr>
            </w:pPr>
            <w:r w:rsidRPr="00115B6A">
              <w:rPr>
                <w:rFonts w:ascii="Arial Narrow" w:hAnsi="Arial Narrow" w:cs="Arial"/>
                <w:sz w:val="20"/>
                <w:szCs w:val="20"/>
              </w:rPr>
              <w:t>Active giant cell arteritis</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jc w:val="both"/>
              <w:rPr>
                <w:rFonts w:ascii="Arial Narrow" w:hAnsi="Arial Narrow" w:cs="Arial"/>
                <w:b/>
                <w:sz w:val="20"/>
                <w:szCs w:val="20"/>
              </w:rPr>
            </w:pPr>
            <w:r w:rsidRPr="00115B6A">
              <w:rPr>
                <w:rFonts w:ascii="Arial Narrow" w:hAnsi="Arial Narrow" w:cs="Arial"/>
                <w:b/>
                <w:sz w:val="20"/>
                <w:szCs w:val="20"/>
              </w:rPr>
              <w:t>Treatment phase:</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sz w:val="20"/>
                <w:szCs w:val="20"/>
              </w:rPr>
            </w:pPr>
            <w:r w:rsidRPr="00115B6A">
              <w:rPr>
                <w:rFonts w:ascii="Arial Narrow" w:hAnsi="Arial Narrow" w:cs="Arial"/>
                <w:sz w:val="20"/>
                <w:szCs w:val="20"/>
              </w:rPr>
              <w:t>Initial</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jc w:val="both"/>
              <w:rPr>
                <w:rFonts w:ascii="Arial Narrow" w:hAnsi="Arial Narrow" w:cs="Arial"/>
                <w:b/>
                <w:sz w:val="20"/>
                <w:szCs w:val="20"/>
              </w:rPr>
            </w:pPr>
            <w:r w:rsidRPr="00115B6A">
              <w:rPr>
                <w:rFonts w:ascii="Arial Narrow" w:hAnsi="Arial Narrow" w:cs="Arial"/>
                <w:b/>
                <w:sz w:val="20"/>
                <w:szCs w:val="20"/>
              </w:rPr>
              <w:t>Restriction Level / Method:</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sz w:val="20"/>
                <w:szCs w:val="20"/>
              </w:rPr>
            </w:pPr>
            <w:r w:rsidRPr="00EA5994">
              <w:rPr>
                <w:rFonts w:ascii="Arial Narrow" w:hAnsi="Arial Narrow" w:cs="Arial"/>
                <w:sz w:val="20"/>
                <w:szCs w:val="20"/>
              </w:rPr>
              <w:fldChar w:fldCharType="begin">
                <w:ffData>
                  <w:name w:val=""/>
                  <w:enabled/>
                  <w:calcOnExit w:val="0"/>
                  <w:checkBox>
                    <w:sizeAuto/>
                    <w:default w:val="1"/>
                  </w:checkBox>
                </w:ffData>
              </w:fldChar>
            </w:r>
            <w:r w:rsidRPr="00115B6A">
              <w:rPr>
                <w:rFonts w:ascii="Arial Narrow" w:hAnsi="Arial Narrow" w:cs="Arial"/>
                <w:sz w:val="20"/>
                <w:szCs w:val="20"/>
              </w:rPr>
              <w:instrText xml:space="preserve"> FORMCHECKBOX </w:instrText>
            </w:r>
            <w:r w:rsidR="001D4D95">
              <w:rPr>
                <w:rFonts w:ascii="Arial Narrow" w:hAnsi="Arial Narrow" w:cs="Arial"/>
                <w:sz w:val="20"/>
                <w:szCs w:val="20"/>
              </w:rPr>
            </w:r>
            <w:r w:rsidR="001D4D95">
              <w:rPr>
                <w:rFonts w:ascii="Arial Narrow" w:hAnsi="Arial Narrow" w:cs="Arial"/>
                <w:sz w:val="20"/>
                <w:szCs w:val="20"/>
              </w:rPr>
              <w:fldChar w:fldCharType="separate"/>
            </w:r>
            <w:r w:rsidRPr="00EA5994">
              <w:rPr>
                <w:rFonts w:ascii="Arial Narrow" w:hAnsi="Arial Narrow" w:cs="Arial"/>
                <w:sz w:val="20"/>
                <w:szCs w:val="20"/>
              </w:rPr>
              <w:fldChar w:fldCharType="end"/>
            </w:r>
            <w:r w:rsidRPr="00115B6A">
              <w:rPr>
                <w:rFonts w:ascii="Arial Narrow" w:hAnsi="Arial Narrow" w:cs="Arial"/>
                <w:sz w:val="20"/>
                <w:szCs w:val="20"/>
              </w:rPr>
              <w:t>Authority Required - In Writing</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b/>
                <w:sz w:val="20"/>
                <w:szCs w:val="20"/>
              </w:rPr>
            </w:pPr>
            <w:r w:rsidRPr="00115B6A">
              <w:rPr>
                <w:rFonts w:ascii="Arial Narrow" w:hAnsi="Arial Narrow" w:cs="Arial"/>
                <w:b/>
                <w:sz w:val="20"/>
                <w:szCs w:val="20"/>
              </w:rPr>
              <w:t>Treatment criteria:</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rPr>
                <w:rFonts w:ascii="Arial Narrow" w:hAnsi="Arial Narrow" w:cs="Arial"/>
                <w:sz w:val="20"/>
                <w:szCs w:val="20"/>
              </w:rPr>
            </w:pPr>
            <w:r w:rsidRPr="00115B6A">
              <w:rPr>
                <w:rFonts w:ascii="Arial Narrow" w:hAnsi="Arial Narrow" w:cstheme="minorHAnsi"/>
                <w:sz w:val="20"/>
                <w:szCs w:val="20"/>
              </w:rPr>
              <w:t>Patient must be treated by a rheumatologist, clinical immunologist or neurologist experienced in the management of giant cell arteritis</w:t>
            </w:r>
            <w:r w:rsidRPr="00115B6A">
              <w:rPr>
                <w:rFonts w:ascii="Arial Narrow" w:hAnsi="Arial Narrow" w:cstheme="minorHAnsi"/>
                <w:i/>
                <w:sz w:val="20"/>
                <w:szCs w:val="20"/>
              </w:rPr>
              <w:t xml:space="preserve"> </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867E38" w:rsidP="00E01816">
            <w:pPr>
              <w:spacing w:before="40" w:after="40"/>
              <w:jc w:val="both"/>
              <w:rPr>
                <w:rFonts w:ascii="Arial Narrow" w:hAnsi="Arial Narrow" w:cs="Arial"/>
                <w:b/>
                <w:sz w:val="20"/>
                <w:szCs w:val="20"/>
              </w:rPr>
            </w:pPr>
            <w:r w:rsidRPr="00115B6A">
              <w:rPr>
                <w:rFonts w:ascii="Arial Narrow" w:hAnsi="Arial Narrow" w:cs="Arial"/>
                <w:b/>
                <w:sz w:val="20"/>
                <w:szCs w:val="20"/>
              </w:rPr>
              <w:t>Clinical criteria:</w:t>
            </w:r>
          </w:p>
        </w:tc>
        <w:tc>
          <w:tcPr>
            <w:tcW w:w="3787" w:type="pct"/>
            <w:gridSpan w:val="6"/>
            <w:tcBorders>
              <w:top w:val="single" w:sz="4" w:space="0" w:color="auto"/>
              <w:left w:val="single" w:sz="4" w:space="0" w:color="auto"/>
              <w:bottom w:val="single" w:sz="4" w:space="0" w:color="auto"/>
              <w:right w:val="single" w:sz="4" w:space="0" w:color="auto"/>
            </w:tcBorders>
          </w:tcPr>
          <w:p w:rsidR="00126B9E" w:rsidRPr="00115B6A" w:rsidRDefault="00867E38" w:rsidP="00E01816">
            <w:pPr>
              <w:rPr>
                <w:rFonts w:ascii="Arial Narrow" w:hAnsi="Arial Narrow" w:cstheme="minorHAnsi"/>
                <w:sz w:val="20"/>
                <w:szCs w:val="20"/>
              </w:rPr>
            </w:pPr>
            <w:r w:rsidRPr="00115B6A">
              <w:rPr>
                <w:rFonts w:ascii="Arial Narrow" w:hAnsi="Arial Narrow" w:cstheme="minorHAnsi"/>
                <w:sz w:val="20"/>
                <w:szCs w:val="20"/>
              </w:rPr>
              <w:t xml:space="preserve">Patient must have </w:t>
            </w:r>
            <w:r w:rsidR="00126B9E" w:rsidRPr="00115B6A">
              <w:rPr>
                <w:rFonts w:ascii="Arial Narrow" w:hAnsi="Arial Narrow" w:cstheme="minorHAnsi"/>
                <w:sz w:val="20"/>
                <w:szCs w:val="20"/>
              </w:rPr>
              <w:t xml:space="preserve">clinical symptoms of active giant cell arteritis in the absence of any other identifiable cause; </w:t>
            </w:r>
          </w:p>
          <w:p w:rsidR="00126B9E" w:rsidRPr="00115B6A" w:rsidRDefault="00126B9E" w:rsidP="00E01816">
            <w:pPr>
              <w:rPr>
                <w:rFonts w:ascii="Arial Narrow" w:hAnsi="Arial Narrow" w:cstheme="minorHAnsi"/>
                <w:sz w:val="20"/>
                <w:szCs w:val="20"/>
              </w:rPr>
            </w:pPr>
            <w:r w:rsidRPr="00115B6A">
              <w:rPr>
                <w:rFonts w:ascii="Arial Narrow" w:hAnsi="Arial Narrow" w:cstheme="minorHAnsi"/>
                <w:sz w:val="20"/>
                <w:szCs w:val="20"/>
              </w:rPr>
              <w:t xml:space="preserve">AND </w:t>
            </w:r>
          </w:p>
          <w:p w:rsidR="00126B9E" w:rsidRPr="00115B6A" w:rsidRDefault="00126B9E" w:rsidP="00DD62AA">
            <w:pPr>
              <w:rPr>
                <w:rFonts w:ascii="Arial Narrow" w:hAnsi="Arial Narrow" w:cstheme="minorHAnsi"/>
                <w:sz w:val="20"/>
                <w:szCs w:val="20"/>
              </w:rPr>
            </w:pPr>
            <w:r w:rsidRPr="00115B6A">
              <w:rPr>
                <w:rFonts w:ascii="Arial Narrow" w:hAnsi="Arial Narrow" w:cstheme="minorHAnsi"/>
                <w:sz w:val="20"/>
                <w:szCs w:val="20"/>
              </w:rPr>
              <w:t xml:space="preserve">Patient must have </w:t>
            </w:r>
            <w:r w:rsidR="00867E38" w:rsidRPr="00115B6A">
              <w:rPr>
                <w:rFonts w:ascii="Arial Narrow" w:hAnsi="Arial Narrow" w:cstheme="minorHAnsi"/>
                <w:sz w:val="20"/>
                <w:szCs w:val="20"/>
              </w:rPr>
              <w:t xml:space="preserve">ESR ≥ 30 mm/hour </w:t>
            </w:r>
            <w:r w:rsidRPr="00115B6A">
              <w:rPr>
                <w:rFonts w:ascii="Arial Narrow" w:hAnsi="Arial Narrow" w:cstheme="minorHAnsi"/>
                <w:sz w:val="20"/>
                <w:szCs w:val="20"/>
              </w:rPr>
              <w:t xml:space="preserve">within the past 6 weeks; OR </w:t>
            </w:r>
          </w:p>
          <w:p w:rsidR="00867E38" w:rsidRPr="00115B6A" w:rsidRDefault="00126B9E" w:rsidP="00DD62AA">
            <w:pPr>
              <w:rPr>
                <w:rFonts w:ascii="Arial Narrow" w:hAnsi="Arial Narrow" w:cstheme="minorHAnsi"/>
                <w:sz w:val="20"/>
                <w:szCs w:val="20"/>
              </w:rPr>
            </w:pPr>
            <w:r w:rsidRPr="00115B6A">
              <w:rPr>
                <w:rFonts w:ascii="Arial Narrow" w:hAnsi="Arial Narrow" w:cstheme="minorHAnsi"/>
                <w:sz w:val="20"/>
                <w:szCs w:val="20"/>
              </w:rPr>
              <w:t xml:space="preserve">Patient must have </w:t>
            </w:r>
            <w:r w:rsidR="00867E38" w:rsidRPr="00115B6A">
              <w:rPr>
                <w:rFonts w:ascii="Arial Narrow" w:hAnsi="Arial Narrow" w:cstheme="minorHAnsi"/>
                <w:sz w:val="20"/>
                <w:szCs w:val="20"/>
              </w:rPr>
              <w:t>CRP ≥ 10 mg/L within the past 6 weeks;</w:t>
            </w:r>
            <w:r w:rsidRPr="00115B6A">
              <w:rPr>
                <w:rFonts w:ascii="Arial Narrow" w:hAnsi="Arial Narrow" w:cstheme="minorHAnsi"/>
                <w:sz w:val="20"/>
                <w:szCs w:val="20"/>
              </w:rPr>
              <w:t xml:space="preserve"> </w:t>
            </w:r>
            <w:r w:rsidR="00867E38" w:rsidRPr="00115B6A">
              <w:rPr>
                <w:rFonts w:ascii="Arial Narrow" w:hAnsi="Arial Narrow" w:cstheme="minorHAnsi"/>
                <w:sz w:val="20"/>
                <w:szCs w:val="20"/>
              </w:rPr>
              <w:t>OR</w:t>
            </w:r>
          </w:p>
          <w:p w:rsidR="00867E38" w:rsidRPr="00115B6A" w:rsidRDefault="00126B9E" w:rsidP="00DD62AA">
            <w:pPr>
              <w:rPr>
                <w:rFonts w:ascii="Arial Narrow" w:hAnsi="Arial Narrow" w:cstheme="minorHAnsi"/>
                <w:sz w:val="20"/>
                <w:szCs w:val="20"/>
              </w:rPr>
            </w:pPr>
            <w:r w:rsidRPr="00115B6A">
              <w:rPr>
                <w:rFonts w:ascii="Arial Narrow" w:hAnsi="Arial Narrow" w:cstheme="minorHAnsi"/>
                <w:sz w:val="20"/>
                <w:szCs w:val="20"/>
              </w:rPr>
              <w:t xml:space="preserve">Patient must have </w:t>
            </w:r>
            <w:r w:rsidR="00867E38" w:rsidRPr="00115B6A">
              <w:rPr>
                <w:rFonts w:ascii="Arial Narrow" w:hAnsi="Arial Narrow" w:cstheme="minorHAnsi"/>
                <w:sz w:val="20"/>
                <w:szCs w:val="20"/>
              </w:rPr>
              <w:t>active giant cell arteritis confirmed by positive temporal artery biopsy or imaging</w:t>
            </w:r>
          </w:p>
          <w:p w:rsidR="00867E38" w:rsidRPr="00115B6A" w:rsidRDefault="00867E38" w:rsidP="00E01816">
            <w:pPr>
              <w:rPr>
                <w:rFonts w:ascii="Arial Narrow" w:hAnsi="Arial Narrow" w:cstheme="minorHAnsi"/>
                <w:sz w:val="20"/>
                <w:szCs w:val="20"/>
              </w:rPr>
            </w:pPr>
            <w:r w:rsidRPr="00115B6A">
              <w:rPr>
                <w:rFonts w:ascii="Arial Narrow" w:hAnsi="Arial Narrow" w:cstheme="minorHAnsi"/>
                <w:sz w:val="20"/>
                <w:szCs w:val="20"/>
              </w:rPr>
              <w:t>AND</w:t>
            </w:r>
          </w:p>
          <w:p w:rsidR="00126B9E" w:rsidRDefault="00126B9E" w:rsidP="00E01816">
            <w:pPr>
              <w:rPr>
                <w:rFonts w:ascii="Arial Narrow" w:hAnsi="Arial Narrow" w:cstheme="minorHAnsi"/>
                <w:sz w:val="20"/>
              </w:rPr>
            </w:pPr>
            <w:r w:rsidRPr="00115B6A">
              <w:rPr>
                <w:rFonts w:ascii="Arial Narrow" w:hAnsi="Arial Narrow" w:cstheme="minorHAnsi"/>
                <w:sz w:val="20"/>
                <w:szCs w:val="20"/>
              </w:rPr>
              <w:t>Patient must have had a history of E</w:t>
            </w:r>
            <w:r w:rsidR="006C5012">
              <w:rPr>
                <w:rFonts w:ascii="Arial Narrow" w:hAnsi="Arial Narrow" w:cstheme="minorHAnsi"/>
                <w:sz w:val="20"/>
                <w:szCs w:val="20"/>
              </w:rPr>
              <w:t>S</w:t>
            </w:r>
            <w:r w:rsidRPr="00115B6A">
              <w:rPr>
                <w:rFonts w:ascii="Arial Narrow" w:hAnsi="Arial Narrow" w:cstheme="minorHAnsi"/>
                <w:sz w:val="20"/>
                <w:szCs w:val="20"/>
              </w:rPr>
              <w:t>R</w:t>
            </w:r>
            <w:r w:rsidRPr="00115B6A">
              <w:rPr>
                <w:rFonts w:ascii="Arial Narrow" w:hAnsi="Arial Narrow" w:cstheme="minorHAnsi"/>
                <w:sz w:val="20"/>
              </w:rPr>
              <w:t xml:space="preserve">≥ 50 mm/hour or CRP ≥ 24.5 mg/L </w:t>
            </w:r>
            <w:r w:rsidR="00E9149A">
              <w:rPr>
                <w:rFonts w:ascii="Arial Narrow" w:hAnsi="Arial Narrow" w:cstheme="minorHAnsi"/>
                <w:sz w:val="20"/>
              </w:rPr>
              <w:t>at diagnosis</w:t>
            </w:r>
            <w:r w:rsidR="00E9149A" w:rsidRPr="00115B6A">
              <w:rPr>
                <w:rFonts w:ascii="Arial Narrow" w:hAnsi="Arial Narrow" w:cstheme="minorHAnsi"/>
                <w:sz w:val="20"/>
              </w:rPr>
              <w:t xml:space="preserve"> </w:t>
            </w:r>
          </w:p>
          <w:p w:rsidR="00341FBF" w:rsidRPr="00115B6A" w:rsidRDefault="00341FBF" w:rsidP="00E01816">
            <w:pPr>
              <w:rPr>
                <w:rFonts w:ascii="Arial Narrow" w:hAnsi="Arial Narrow" w:cstheme="minorHAnsi"/>
                <w:sz w:val="20"/>
              </w:rPr>
            </w:pPr>
            <w:r>
              <w:rPr>
                <w:rFonts w:ascii="Arial Narrow" w:hAnsi="Arial Narrow" w:cstheme="minorHAnsi"/>
                <w:sz w:val="20"/>
              </w:rPr>
              <w:t>AND</w:t>
            </w:r>
          </w:p>
          <w:p w:rsidR="00341FBF" w:rsidRPr="00341FBF" w:rsidRDefault="00341FBF" w:rsidP="00341FBF">
            <w:pPr>
              <w:rPr>
                <w:rFonts w:ascii="Arial Narrow" w:hAnsi="Arial Narrow" w:cstheme="minorHAnsi"/>
                <w:sz w:val="20"/>
              </w:rPr>
            </w:pPr>
            <w:r>
              <w:rPr>
                <w:rFonts w:ascii="Arial Narrow" w:hAnsi="Arial Narrow" w:cstheme="minorHAnsi"/>
                <w:sz w:val="20"/>
              </w:rPr>
              <w:t>Patient must have had t</w:t>
            </w:r>
            <w:r w:rsidRPr="00341FBF">
              <w:rPr>
                <w:rFonts w:ascii="Arial Narrow" w:hAnsi="Arial Narrow" w:cstheme="minorHAnsi"/>
                <w:sz w:val="20"/>
              </w:rPr>
              <w:t>emporal artery biopsy revealing features of giant cell arteritis</w:t>
            </w:r>
            <w:r>
              <w:rPr>
                <w:rFonts w:ascii="Arial Narrow" w:hAnsi="Arial Narrow" w:cstheme="minorHAnsi"/>
                <w:sz w:val="20"/>
              </w:rPr>
              <w:t xml:space="preserve"> at diagnosis</w:t>
            </w:r>
            <w:r w:rsidRPr="00341FBF">
              <w:rPr>
                <w:rFonts w:ascii="Arial Narrow" w:hAnsi="Arial Narrow" w:cstheme="minorHAnsi"/>
                <w:sz w:val="20"/>
              </w:rPr>
              <w:t>; OR</w:t>
            </w:r>
          </w:p>
          <w:p w:rsidR="00126B9E" w:rsidRDefault="00341FBF" w:rsidP="00341FBF">
            <w:pPr>
              <w:rPr>
                <w:rFonts w:ascii="Arial Narrow" w:hAnsi="Arial Narrow" w:cstheme="minorHAnsi"/>
                <w:sz w:val="20"/>
              </w:rPr>
            </w:pPr>
            <w:r w:rsidRPr="00341FBF">
              <w:rPr>
                <w:rFonts w:ascii="Arial Narrow" w:hAnsi="Arial Narrow" w:cstheme="minorHAnsi"/>
                <w:sz w:val="20"/>
              </w:rPr>
              <w:t xml:space="preserve">Patient must have had </w:t>
            </w:r>
            <w:r>
              <w:rPr>
                <w:rFonts w:ascii="Arial Narrow" w:hAnsi="Arial Narrow" w:cstheme="minorHAnsi"/>
                <w:sz w:val="20"/>
              </w:rPr>
              <w:t>e</w:t>
            </w:r>
            <w:r w:rsidRPr="00341FBF">
              <w:rPr>
                <w:rFonts w:ascii="Arial Narrow" w:hAnsi="Arial Narrow" w:cstheme="minorHAnsi"/>
                <w:sz w:val="20"/>
              </w:rPr>
              <w:t xml:space="preserve">vidence of large-vessel vasculitis by </w:t>
            </w:r>
            <w:r w:rsidR="00DC11C3">
              <w:rPr>
                <w:rFonts w:ascii="Arial Narrow" w:hAnsi="Arial Narrow" w:cstheme="minorHAnsi"/>
                <w:sz w:val="20"/>
              </w:rPr>
              <w:t>magnetic resonance (MR)</w:t>
            </w:r>
            <w:r w:rsidRPr="00341FBF">
              <w:rPr>
                <w:rFonts w:ascii="Arial Narrow" w:hAnsi="Arial Narrow" w:cstheme="minorHAnsi"/>
                <w:sz w:val="20"/>
              </w:rPr>
              <w:t xml:space="preserve"> or </w:t>
            </w:r>
            <w:r w:rsidR="00DC11C3">
              <w:rPr>
                <w:rFonts w:ascii="Arial Narrow" w:hAnsi="Arial Narrow" w:cstheme="minorHAnsi"/>
                <w:sz w:val="20"/>
              </w:rPr>
              <w:t>computed tomography (</w:t>
            </w:r>
            <w:r w:rsidRPr="00341FBF">
              <w:rPr>
                <w:rFonts w:ascii="Arial Narrow" w:hAnsi="Arial Narrow" w:cstheme="minorHAnsi"/>
                <w:sz w:val="20"/>
              </w:rPr>
              <w:t>CT</w:t>
            </w:r>
            <w:r w:rsidR="00DC11C3">
              <w:rPr>
                <w:rFonts w:ascii="Arial Narrow" w:hAnsi="Arial Narrow" w:cstheme="minorHAnsi"/>
                <w:sz w:val="20"/>
              </w:rPr>
              <w:t>)</w:t>
            </w:r>
            <w:r w:rsidRPr="00341FBF">
              <w:rPr>
                <w:rFonts w:ascii="Arial Narrow" w:hAnsi="Arial Narrow" w:cstheme="minorHAnsi"/>
                <w:sz w:val="20"/>
              </w:rPr>
              <w:t xml:space="preserve"> angiography or PET/CT</w:t>
            </w:r>
            <w:r>
              <w:rPr>
                <w:rFonts w:ascii="Arial Narrow" w:hAnsi="Arial Narrow" w:cstheme="minorHAnsi"/>
                <w:sz w:val="20"/>
              </w:rPr>
              <w:t xml:space="preserve"> at diagnosis</w:t>
            </w:r>
          </w:p>
          <w:p w:rsidR="00126B9E" w:rsidRPr="00115B6A" w:rsidRDefault="00126B9E" w:rsidP="00E01816">
            <w:pPr>
              <w:rPr>
                <w:rFonts w:ascii="Arial Narrow" w:hAnsi="Arial Narrow" w:cstheme="minorHAnsi"/>
                <w:sz w:val="20"/>
              </w:rPr>
            </w:pPr>
            <w:r w:rsidRPr="00115B6A">
              <w:rPr>
                <w:rFonts w:ascii="Arial Narrow" w:hAnsi="Arial Narrow" w:cstheme="minorHAnsi"/>
                <w:sz w:val="20"/>
              </w:rPr>
              <w:t>AND</w:t>
            </w:r>
          </w:p>
          <w:p w:rsidR="00867E38" w:rsidRPr="00115B6A" w:rsidRDefault="00867E38" w:rsidP="00E01816">
            <w:pPr>
              <w:rPr>
                <w:rFonts w:ascii="Arial Narrow" w:hAnsi="Arial Narrow" w:cstheme="minorHAnsi"/>
                <w:sz w:val="20"/>
                <w:szCs w:val="20"/>
              </w:rPr>
            </w:pPr>
            <w:r w:rsidRPr="00115B6A">
              <w:rPr>
                <w:rFonts w:ascii="Arial Narrow" w:hAnsi="Arial Narrow" w:cstheme="minorHAnsi"/>
                <w:sz w:val="20"/>
                <w:szCs w:val="20"/>
              </w:rPr>
              <w:t>The treatment must in combination with a tapering course of corticosteroids</w:t>
            </w:r>
            <w:r w:rsidR="00126B9E" w:rsidRPr="00115B6A">
              <w:rPr>
                <w:rFonts w:ascii="Arial Narrow" w:hAnsi="Arial Narrow" w:cstheme="minorHAnsi"/>
                <w:sz w:val="20"/>
                <w:szCs w:val="20"/>
              </w:rPr>
              <w:t xml:space="preserve">; </w:t>
            </w:r>
          </w:p>
          <w:p w:rsidR="00867E38" w:rsidRPr="00115B6A" w:rsidRDefault="00867E38" w:rsidP="00E01816">
            <w:pPr>
              <w:rPr>
                <w:rFonts w:ascii="Arial Narrow" w:hAnsi="Arial Narrow" w:cstheme="minorHAnsi"/>
                <w:sz w:val="20"/>
                <w:szCs w:val="20"/>
              </w:rPr>
            </w:pPr>
            <w:r w:rsidRPr="00115B6A">
              <w:rPr>
                <w:rFonts w:ascii="Arial Narrow" w:hAnsi="Arial Narrow" w:cstheme="minorHAnsi"/>
                <w:sz w:val="20"/>
                <w:szCs w:val="20"/>
              </w:rPr>
              <w:t>AND</w:t>
            </w:r>
          </w:p>
          <w:p w:rsidR="00867E38" w:rsidRPr="003D454B" w:rsidRDefault="00867E38" w:rsidP="00126B9E">
            <w:pPr>
              <w:spacing w:before="40" w:after="40"/>
              <w:jc w:val="both"/>
              <w:rPr>
                <w:rFonts w:ascii="Arial Narrow" w:hAnsi="Arial Narrow" w:cstheme="minorHAnsi"/>
                <w:sz w:val="20"/>
                <w:szCs w:val="20"/>
              </w:rPr>
            </w:pPr>
            <w:r w:rsidRPr="00115B6A">
              <w:rPr>
                <w:rFonts w:ascii="Arial Narrow" w:hAnsi="Arial Narrow" w:cstheme="minorHAnsi"/>
                <w:sz w:val="20"/>
                <w:szCs w:val="20"/>
              </w:rPr>
              <w:t>The treatment with this drug for this condition must not exceed a total of 12 months therapy</w:t>
            </w:r>
          </w:p>
        </w:tc>
      </w:tr>
      <w:tr w:rsidR="00126B9E"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126B9E" w:rsidRPr="00115B6A" w:rsidRDefault="00126B9E" w:rsidP="00E01816">
            <w:pPr>
              <w:spacing w:before="40" w:after="40"/>
              <w:jc w:val="both"/>
              <w:rPr>
                <w:rFonts w:ascii="Arial Narrow" w:hAnsi="Arial Narrow" w:cs="Arial"/>
                <w:b/>
                <w:sz w:val="20"/>
                <w:szCs w:val="20"/>
              </w:rPr>
            </w:pPr>
            <w:r w:rsidRPr="00115B6A">
              <w:rPr>
                <w:rFonts w:ascii="Arial Narrow" w:hAnsi="Arial Narrow" w:cs="Arial"/>
                <w:b/>
                <w:sz w:val="20"/>
                <w:szCs w:val="20"/>
              </w:rPr>
              <w:t>Population criteria</w:t>
            </w:r>
          </w:p>
        </w:tc>
        <w:tc>
          <w:tcPr>
            <w:tcW w:w="3787" w:type="pct"/>
            <w:gridSpan w:val="6"/>
            <w:tcBorders>
              <w:top w:val="single" w:sz="4" w:space="0" w:color="auto"/>
              <w:left w:val="single" w:sz="4" w:space="0" w:color="auto"/>
              <w:bottom w:val="single" w:sz="4" w:space="0" w:color="auto"/>
              <w:right w:val="single" w:sz="4" w:space="0" w:color="auto"/>
            </w:tcBorders>
          </w:tcPr>
          <w:p w:rsidR="00126B9E" w:rsidRPr="00115B6A" w:rsidRDefault="00126B9E" w:rsidP="00E01816">
            <w:pPr>
              <w:rPr>
                <w:rFonts w:ascii="Arial Narrow" w:hAnsi="Arial Narrow" w:cstheme="minorHAnsi"/>
                <w:sz w:val="20"/>
                <w:szCs w:val="20"/>
              </w:rPr>
            </w:pPr>
            <w:r w:rsidRPr="00115B6A">
              <w:rPr>
                <w:rFonts w:ascii="Arial Narrow" w:hAnsi="Arial Narrow" w:cstheme="minorHAnsi"/>
                <w:sz w:val="20"/>
                <w:szCs w:val="20"/>
              </w:rPr>
              <w:t xml:space="preserve">Patient must be aged 50 years or older </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126B9E" w:rsidP="00E01816">
            <w:pPr>
              <w:spacing w:before="40" w:after="40"/>
              <w:jc w:val="both"/>
              <w:rPr>
                <w:rFonts w:ascii="Arial Narrow" w:hAnsi="Arial Narrow" w:cs="Arial"/>
                <w:b/>
                <w:sz w:val="20"/>
                <w:szCs w:val="20"/>
              </w:rPr>
            </w:pPr>
            <w:r w:rsidRPr="00115B6A">
              <w:rPr>
                <w:rFonts w:ascii="Arial Narrow" w:hAnsi="Arial Narrow" w:cs="Arial"/>
                <w:b/>
                <w:sz w:val="20"/>
                <w:szCs w:val="20"/>
              </w:rPr>
              <w:t>Prescriber instruction</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126B9E" w:rsidP="0043499E">
            <w:pPr>
              <w:rPr>
                <w:rFonts w:ascii="Arial Narrow" w:hAnsi="Arial Narrow" w:cs="Arial"/>
                <w:sz w:val="20"/>
                <w:szCs w:val="20"/>
              </w:rPr>
            </w:pPr>
            <w:r w:rsidRPr="00115B6A">
              <w:rPr>
                <w:rFonts w:ascii="Arial Narrow" w:hAnsi="Arial Narrow" w:cstheme="minorHAnsi"/>
                <w:sz w:val="20"/>
                <w:szCs w:val="20"/>
              </w:rPr>
              <w:t xml:space="preserve">Clinical symptoms of giant cell arteritis </w:t>
            </w:r>
            <w:r w:rsidR="00DC11C3">
              <w:rPr>
                <w:rFonts w:ascii="Arial Narrow" w:hAnsi="Arial Narrow" w:cstheme="minorHAnsi"/>
                <w:sz w:val="20"/>
                <w:szCs w:val="20"/>
              </w:rPr>
              <w:t xml:space="preserve">at diagnosis </w:t>
            </w:r>
            <w:r w:rsidRPr="00115B6A">
              <w:rPr>
                <w:rFonts w:ascii="Arial Narrow" w:hAnsi="Arial Narrow" w:cstheme="minorHAnsi"/>
                <w:sz w:val="20"/>
                <w:szCs w:val="20"/>
              </w:rPr>
              <w:t>include u</w:t>
            </w:r>
            <w:r w:rsidR="00867E38" w:rsidRPr="00115B6A">
              <w:rPr>
                <w:rFonts w:ascii="Arial Narrow" w:hAnsi="Arial Narrow" w:cstheme="minorHAnsi"/>
                <w:sz w:val="20"/>
                <w:szCs w:val="20"/>
              </w:rPr>
              <w:t>nequivocal cranial symptoms of giant cell arteritis (new</w:t>
            </w:r>
            <w:r w:rsidR="00867E38" w:rsidRPr="00115B6A">
              <w:rPr>
                <w:rFonts w:ascii="Arial Narrow" w:hAnsi="Arial Narrow" w:cstheme="minorHAnsi"/>
                <w:sz w:val="20"/>
                <w:szCs w:val="20"/>
              </w:rPr>
              <w:noBreakHyphen/>
              <w:t xml:space="preserve">onset localized headache, scalp tenderness, temporal artery tenderness or decreased pulsation, ischemia-related vision loss, or otherwise unexplained mouth or jaw pain upon mastication); </w:t>
            </w:r>
            <w:r w:rsidRPr="00115B6A">
              <w:rPr>
                <w:rFonts w:ascii="Arial Narrow" w:hAnsi="Arial Narrow" w:cstheme="minorHAnsi"/>
                <w:sz w:val="20"/>
                <w:szCs w:val="20"/>
              </w:rPr>
              <w:t>or s</w:t>
            </w:r>
            <w:r w:rsidR="00867E38" w:rsidRPr="00115B6A">
              <w:rPr>
                <w:rFonts w:ascii="Arial Narrow" w:hAnsi="Arial Narrow" w:cstheme="minorHAnsi"/>
                <w:sz w:val="20"/>
                <w:szCs w:val="20"/>
              </w:rPr>
              <w:t xml:space="preserve">ymptoms of polymyalgia </w:t>
            </w:r>
            <w:proofErr w:type="spellStart"/>
            <w:r w:rsidR="00867E38" w:rsidRPr="00115B6A">
              <w:rPr>
                <w:rFonts w:ascii="Arial Narrow" w:hAnsi="Arial Narrow" w:cstheme="minorHAnsi"/>
                <w:sz w:val="20"/>
                <w:szCs w:val="20"/>
              </w:rPr>
              <w:t>rheumatica</w:t>
            </w:r>
            <w:proofErr w:type="spellEnd"/>
            <w:r w:rsidR="00867E38" w:rsidRPr="00115B6A">
              <w:rPr>
                <w:rFonts w:ascii="Arial Narrow" w:hAnsi="Arial Narrow" w:cstheme="minorHAnsi"/>
                <w:sz w:val="20"/>
                <w:szCs w:val="20"/>
              </w:rPr>
              <w:t>, defined as shoulder and/or hip girdle pain associated with inflammatory morning stiffness</w:t>
            </w:r>
            <w:r w:rsidRPr="00115B6A">
              <w:rPr>
                <w:rFonts w:ascii="Arial Narrow" w:hAnsi="Arial Narrow" w:cstheme="minorHAnsi"/>
                <w:sz w:val="20"/>
                <w:szCs w:val="20"/>
              </w:rPr>
              <w:t>.</w:t>
            </w:r>
          </w:p>
        </w:tc>
      </w:tr>
      <w:tr w:rsidR="00867E38"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867E38" w:rsidRPr="00115B6A" w:rsidRDefault="00126B9E" w:rsidP="00E01816">
            <w:pPr>
              <w:spacing w:before="40" w:after="40"/>
              <w:jc w:val="both"/>
              <w:rPr>
                <w:rFonts w:ascii="Arial Narrow" w:hAnsi="Arial Narrow" w:cs="Arial"/>
                <w:b/>
                <w:sz w:val="20"/>
                <w:szCs w:val="20"/>
              </w:rPr>
            </w:pPr>
            <w:r w:rsidRPr="00115B6A">
              <w:rPr>
                <w:rFonts w:ascii="Arial Narrow" w:hAnsi="Arial Narrow" w:cs="Arial"/>
                <w:b/>
                <w:sz w:val="20"/>
                <w:szCs w:val="20"/>
              </w:rPr>
              <w:lastRenderedPageBreak/>
              <w:t>Prescriber instructions</w:t>
            </w:r>
          </w:p>
        </w:tc>
        <w:tc>
          <w:tcPr>
            <w:tcW w:w="3787"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E01816">
            <w:pPr>
              <w:rPr>
                <w:rFonts w:ascii="Arial Narrow" w:hAnsi="Arial Narrow" w:cstheme="minorHAnsi"/>
                <w:sz w:val="20"/>
                <w:szCs w:val="20"/>
              </w:rPr>
            </w:pPr>
            <w:r w:rsidRPr="00115B6A">
              <w:rPr>
                <w:rFonts w:ascii="Arial Narrow" w:hAnsi="Arial Narrow" w:cstheme="minorHAnsi"/>
                <w:sz w:val="20"/>
                <w:szCs w:val="20"/>
              </w:rPr>
              <w:t>The authority application must be made in writing and must include:</w:t>
            </w:r>
          </w:p>
          <w:p w:rsidR="00867E38" w:rsidRPr="00115B6A" w:rsidRDefault="00867E38" w:rsidP="00E01816">
            <w:pPr>
              <w:rPr>
                <w:rFonts w:ascii="Arial Narrow" w:hAnsi="Arial Narrow" w:cstheme="minorHAnsi"/>
                <w:sz w:val="20"/>
                <w:szCs w:val="20"/>
              </w:rPr>
            </w:pPr>
            <w:r w:rsidRPr="00115B6A">
              <w:rPr>
                <w:rFonts w:ascii="Arial Narrow" w:hAnsi="Arial Narrow" w:cstheme="minorHAnsi"/>
                <w:sz w:val="20"/>
                <w:szCs w:val="20"/>
              </w:rPr>
              <w:t>(1) a completed authority prescription form;</w:t>
            </w:r>
          </w:p>
          <w:p w:rsidR="00867E38" w:rsidRPr="00115B6A" w:rsidRDefault="00867E38" w:rsidP="00E01816">
            <w:pPr>
              <w:rPr>
                <w:rFonts w:ascii="Arial Narrow" w:hAnsi="Arial Narrow" w:cstheme="minorHAnsi"/>
                <w:sz w:val="20"/>
                <w:szCs w:val="20"/>
              </w:rPr>
            </w:pPr>
            <w:r w:rsidRPr="00115B6A">
              <w:rPr>
                <w:rFonts w:ascii="Arial Narrow" w:hAnsi="Arial Narrow" w:cstheme="minorHAnsi"/>
                <w:sz w:val="20"/>
                <w:szCs w:val="20"/>
              </w:rPr>
              <w:t>(2) a completed Giant Cell Arteritis - Supporting Information Form; and</w:t>
            </w:r>
          </w:p>
          <w:p w:rsidR="00867E38" w:rsidRPr="00115B6A" w:rsidRDefault="00867E38" w:rsidP="00E01816">
            <w:pPr>
              <w:rPr>
                <w:rFonts w:ascii="Arial Narrow" w:hAnsi="Arial Narrow" w:cstheme="minorHAnsi"/>
                <w:sz w:val="20"/>
                <w:szCs w:val="20"/>
              </w:rPr>
            </w:pPr>
            <w:r w:rsidRPr="00115B6A">
              <w:rPr>
                <w:rFonts w:ascii="Arial Narrow" w:hAnsi="Arial Narrow" w:cstheme="minorHAnsi"/>
                <w:sz w:val="20"/>
                <w:szCs w:val="20"/>
              </w:rPr>
              <w:t>(3) documentation that the patient has active giant cell arteritis including pathology reports outlining the patient’s ESR and CRP levels within the last 6 weeks, or positive temporal artery biopsy or imaging;</w:t>
            </w:r>
          </w:p>
          <w:p w:rsidR="00867E38" w:rsidRPr="006363B0" w:rsidRDefault="00867E38" w:rsidP="006363B0">
            <w:pPr>
              <w:rPr>
                <w:rFonts w:ascii="Arial Narrow" w:hAnsi="Arial Narrow" w:cstheme="minorHAnsi"/>
                <w:sz w:val="20"/>
                <w:szCs w:val="20"/>
              </w:rPr>
            </w:pPr>
            <w:r w:rsidRPr="00115B6A">
              <w:rPr>
                <w:rFonts w:ascii="Arial Narrow" w:hAnsi="Arial Narrow" w:cstheme="minorHAnsi"/>
                <w:sz w:val="20"/>
                <w:szCs w:val="20"/>
              </w:rPr>
              <w:t xml:space="preserve">(4) documentation that the patient has been diagnosed with giant cell arteritis </w:t>
            </w:r>
          </w:p>
        </w:tc>
      </w:tr>
      <w:tr w:rsidR="00DD62AA" w:rsidRPr="00115B6A" w:rsidTr="000367DF">
        <w:trPr>
          <w:cantSplit/>
          <w:trHeight w:val="360"/>
        </w:trPr>
        <w:tc>
          <w:tcPr>
            <w:tcW w:w="1213" w:type="pct"/>
            <w:gridSpan w:val="2"/>
            <w:tcBorders>
              <w:top w:val="single" w:sz="4" w:space="0" w:color="auto"/>
              <w:left w:val="single" w:sz="4" w:space="0" w:color="auto"/>
              <w:bottom w:val="single" w:sz="4" w:space="0" w:color="auto"/>
              <w:right w:val="single" w:sz="4" w:space="0" w:color="auto"/>
            </w:tcBorders>
          </w:tcPr>
          <w:p w:rsidR="00DD62AA" w:rsidRPr="00115B6A" w:rsidDel="00126B9E" w:rsidRDefault="00DD62AA" w:rsidP="00E01816">
            <w:pPr>
              <w:spacing w:before="40" w:after="40"/>
              <w:jc w:val="both"/>
              <w:rPr>
                <w:rFonts w:ascii="Arial Narrow" w:hAnsi="Arial Narrow" w:cs="Arial"/>
                <w:b/>
                <w:sz w:val="20"/>
                <w:szCs w:val="20"/>
              </w:rPr>
            </w:pPr>
            <w:r w:rsidRPr="00115B6A">
              <w:rPr>
                <w:rFonts w:ascii="Arial Narrow" w:hAnsi="Arial Narrow" w:cs="Arial"/>
                <w:b/>
                <w:sz w:val="20"/>
                <w:szCs w:val="20"/>
              </w:rPr>
              <w:t>Administrative advice</w:t>
            </w:r>
          </w:p>
        </w:tc>
        <w:tc>
          <w:tcPr>
            <w:tcW w:w="3787" w:type="pct"/>
            <w:gridSpan w:val="6"/>
            <w:tcBorders>
              <w:top w:val="single" w:sz="4" w:space="0" w:color="auto"/>
              <w:left w:val="single" w:sz="4" w:space="0" w:color="auto"/>
              <w:bottom w:val="single" w:sz="4" w:space="0" w:color="auto"/>
              <w:right w:val="single" w:sz="4" w:space="0" w:color="auto"/>
            </w:tcBorders>
          </w:tcPr>
          <w:p w:rsidR="00DD62AA" w:rsidRPr="00115B6A" w:rsidRDefault="00DD62AA" w:rsidP="00DD62AA">
            <w:pPr>
              <w:rPr>
                <w:rFonts w:ascii="Arial Narrow" w:eastAsia="Calibri" w:hAnsi="Arial Narrow"/>
                <w:sz w:val="20"/>
              </w:rPr>
            </w:pPr>
            <w:r w:rsidRPr="00115B6A">
              <w:rPr>
                <w:rFonts w:ascii="Arial Narrow" w:eastAsia="Calibri" w:hAnsi="Arial Narrow"/>
                <w:sz w:val="20"/>
              </w:rPr>
              <w:t>A patient may only qualify for PBS-subsidised treatment under this restriction once in a lifetime.</w:t>
            </w:r>
          </w:p>
          <w:p w:rsidR="00DD62AA" w:rsidRPr="00115B6A" w:rsidRDefault="00DD62AA" w:rsidP="00DD62AA">
            <w:pPr>
              <w:rPr>
                <w:rFonts w:ascii="Arial Narrow" w:hAnsi="Arial Narrow" w:cstheme="minorHAnsi"/>
                <w:sz w:val="20"/>
                <w:szCs w:val="20"/>
              </w:rPr>
            </w:pPr>
          </w:p>
          <w:p w:rsidR="00DD62AA" w:rsidRPr="00115B6A" w:rsidRDefault="00DD62AA" w:rsidP="00DD62AA">
            <w:pPr>
              <w:rPr>
                <w:rFonts w:ascii="Arial Narrow" w:hAnsi="Arial Narrow" w:cstheme="minorHAnsi"/>
                <w:sz w:val="20"/>
                <w:szCs w:val="20"/>
              </w:rPr>
            </w:pPr>
            <w:r w:rsidRPr="00115B6A">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p>
          <w:p w:rsidR="00DD62AA" w:rsidRPr="00115B6A" w:rsidRDefault="00DD62AA" w:rsidP="00DD62AA">
            <w:pPr>
              <w:rPr>
                <w:rFonts w:ascii="Arial Narrow" w:hAnsi="Arial Narrow" w:cstheme="minorHAnsi"/>
                <w:sz w:val="20"/>
                <w:szCs w:val="20"/>
              </w:rPr>
            </w:pPr>
          </w:p>
          <w:p w:rsidR="00DD62AA" w:rsidRPr="00115B6A" w:rsidRDefault="00DD62AA" w:rsidP="00DD62AA">
            <w:pPr>
              <w:rPr>
                <w:rFonts w:ascii="Arial Narrow" w:hAnsi="Arial Narrow" w:cstheme="minorHAnsi"/>
                <w:sz w:val="20"/>
                <w:szCs w:val="20"/>
              </w:rPr>
            </w:pPr>
            <w:r w:rsidRPr="00115B6A">
              <w:rPr>
                <w:rFonts w:ascii="Arial Narrow" w:hAnsi="Arial Narrow" w:cstheme="minorHAnsi"/>
                <w:sz w:val="20"/>
                <w:szCs w:val="20"/>
              </w:rPr>
              <w:t xml:space="preserve">Prescribing information (including Authority Application forms and other relevant documentation as applicable) is available on the Department of Human Services website at </w:t>
            </w:r>
            <w:r w:rsidRPr="00EA7660">
              <w:rPr>
                <w:rFonts w:ascii="Arial Narrow" w:hAnsi="Arial Narrow" w:cstheme="minorHAnsi"/>
                <w:sz w:val="20"/>
                <w:szCs w:val="20"/>
              </w:rPr>
              <w:t>www.humanservices.gov.au</w:t>
            </w:r>
          </w:p>
          <w:p w:rsidR="00DD62AA" w:rsidRPr="00115B6A" w:rsidRDefault="00DD62AA" w:rsidP="00DD62AA">
            <w:pPr>
              <w:rPr>
                <w:rFonts w:ascii="Arial Narrow" w:hAnsi="Arial Narrow" w:cstheme="minorHAnsi"/>
                <w:sz w:val="20"/>
                <w:szCs w:val="20"/>
              </w:rPr>
            </w:pPr>
          </w:p>
          <w:p w:rsidR="00DD62AA" w:rsidRPr="00115B6A" w:rsidRDefault="00DD62AA" w:rsidP="00DD62AA">
            <w:pPr>
              <w:rPr>
                <w:rFonts w:ascii="Arial Narrow" w:hAnsi="Arial Narrow" w:cstheme="minorHAnsi"/>
                <w:sz w:val="20"/>
                <w:szCs w:val="20"/>
              </w:rPr>
            </w:pPr>
            <w:r w:rsidRPr="00115B6A">
              <w:rPr>
                <w:rFonts w:ascii="Arial Narrow" w:hAnsi="Arial Narrow" w:cstheme="minorHAnsi"/>
                <w:sz w:val="20"/>
                <w:szCs w:val="20"/>
              </w:rPr>
              <w:t xml:space="preserve">Applications for authority to prescribe should be forwarded to: </w:t>
            </w:r>
          </w:p>
          <w:p w:rsidR="00DD62AA" w:rsidRPr="00115B6A" w:rsidRDefault="00DD62AA" w:rsidP="00DD62AA">
            <w:pPr>
              <w:rPr>
                <w:rFonts w:ascii="Arial Narrow" w:hAnsi="Arial Narrow" w:cstheme="minorHAnsi"/>
                <w:sz w:val="20"/>
                <w:szCs w:val="20"/>
              </w:rPr>
            </w:pPr>
            <w:r w:rsidRPr="00115B6A">
              <w:rPr>
                <w:rFonts w:ascii="Arial Narrow" w:hAnsi="Arial Narrow" w:cstheme="minorHAnsi"/>
                <w:sz w:val="20"/>
                <w:szCs w:val="20"/>
              </w:rPr>
              <w:t>Department of Human Services</w:t>
            </w:r>
          </w:p>
          <w:p w:rsidR="00DD62AA" w:rsidRPr="00115B6A" w:rsidRDefault="00DD62AA" w:rsidP="00DD62AA">
            <w:pPr>
              <w:rPr>
                <w:rFonts w:ascii="Arial Narrow" w:hAnsi="Arial Narrow" w:cstheme="minorHAnsi"/>
                <w:sz w:val="20"/>
                <w:szCs w:val="20"/>
              </w:rPr>
            </w:pPr>
            <w:r w:rsidRPr="00115B6A">
              <w:rPr>
                <w:rFonts w:ascii="Arial Narrow" w:hAnsi="Arial Narrow" w:cstheme="minorHAnsi"/>
                <w:sz w:val="20"/>
                <w:szCs w:val="20"/>
              </w:rPr>
              <w:t xml:space="preserve">Complex Drugs </w:t>
            </w:r>
          </w:p>
          <w:p w:rsidR="00DD62AA" w:rsidRPr="00115B6A" w:rsidRDefault="00DD62AA" w:rsidP="00DD62AA">
            <w:pPr>
              <w:rPr>
                <w:rFonts w:ascii="Arial Narrow" w:hAnsi="Arial Narrow" w:cstheme="minorHAnsi"/>
                <w:sz w:val="20"/>
                <w:szCs w:val="20"/>
              </w:rPr>
            </w:pPr>
            <w:r w:rsidRPr="00115B6A">
              <w:rPr>
                <w:rFonts w:ascii="Arial Narrow" w:hAnsi="Arial Narrow" w:cstheme="minorHAnsi"/>
                <w:sz w:val="20"/>
                <w:szCs w:val="20"/>
              </w:rPr>
              <w:t xml:space="preserve">Reply Paid 9826 </w:t>
            </w:r>
          </w:p>
          <w:p w:rsidR="00DD62AA" w:rsidRPr="00115B6A" w:rsidRDefault="00DD62AA" w:rsidP="00DD62AA">
            <w:pPr>
              <w:rPr>
                <w:rFonts w:ascii="Arial Narrow" w:hAnsi="Arial Narrow" w:cstheme="minorHAnsi"/>
                <w:sz w:val="20"/>
                <w:szCs w:val="20"/>
              </w:rPr>
            </w:pPr>
            <w:r w:rsidRPr="00115B6A">
              <w:rPr>
                <w:rFonts w:ascii="Arial Narrow" w:hAnsi="Arial Narrow" w:cstheme="minorHAnsi"/>
                <w:sz w:val="20"/>
                <w:szCs w:val="20"/>
              </w:rPr>
              <w:t>HOBART TAS 7001</w:t>
            </w:r>
          </w:p>
          <w:p w:rsidR="00DD62AA" w:rsidRPr="00115B6A" w:rsidRDefault="00DD62AA" w:rsidP="00DD62AA">
            <w:pPr>
              <w:rPr>
                <w:rFonts w:ascii="Arial Narrow" w:hAnsi="Arial Narrow" w:cstheme="minorHAnsi"/>
                <w:sz w:val="20"/>
                <w:szCs w:val="20"/>
              </w:rPr>
            </w:pPr>
          </w:p>
          <w:p w:rsidR="00DD62AA" w:rsidRPr="00115B6A" w:rsidRDefault="00DD62AA" w:rsidP="00DD62AA">
            <w:pPr>
              <w:rPr>
                <w:rFonts w:ascii="Arial Narrow" w:hAnsi="Arial Narrow" w:cstheme="minorHAnsi"/>
                <w:sz w:val="20"/>
                <w:szCs w:val="20"/>
              </w:rPr>
            </w:pPr>
            <w:r w:rsidRPr="00115B6A">
              <w:rPr>
                <w:rFonts w:ascii="Arial Narrow" w:hAnsi="Arial Narrow" w:cstheme="minorHAnsi"/>
                <w:sz w:val="20"/>
                <w:szCs w:val="20"/>
              </w:rPr>
              <w:t>No increase in the maximum quantity or number of units may be authorised.</w:t>
            </w:r>
          </w:p>
          <w:p w:rsidR="00DD62AA" w:rsidRPr="00115B6A" w:rsidDel="00126B9E" w:rsidRDefault="00DD62AA" w:rsidP="00DD62AA">
            <w:pPr>
              <w:rPr>
                <w:rFonts w:ascii="Arial Narrow" w:hAnsi="Arial Narrow" w:cstheme="minorHAnsi"/>
                <w:sz w:val="20"/>
                <w:szCs w:val="20"/>
              </w:rPr>
            </w:pPr>
            <w:r w:rsidRPr="00115B6A">
              <w:rPr>
                <w:rFonts w:ascii="Arial Narrow" w:hAnsi="Arial Narrow" w:cstheme="minorHAnsi"/>
                <w:sz w:val="20"/>
                <w:szCs w:val="20"/>
              </w:rPr>
              <w:t xml:space="preserve">No increase in the maximum number of repeats may be authorised. </w:t>
            </w:r>
          </w:p>
        </w:tc>
      </w:tr>
    </w:tbl>
    <w:p w:rsidR="00097C7D" w:rsidRPr="00115B6A" w:rsidRDefault="00097C7D"/>
    <w:tbl>
      <w:tblPr>
        <w:tblW w:w="5039" w:type="pct"/>
        <w:tblLook w:val="0000" w:firstRow="0" w:lastRow="0" w:firstColumn="0" w:lastColumn="0" w:noHBand="0" w:noVBand="0"/>
      </w:tblPr>
      <w:tblGrid>
        <w:gridCol w:w="1732"/>
        <w:gridCol w:w="1492"/>
        <w:gridCol w:w="839"/>
        <w:gridCol w:w="840"/>
        <w:gridCol w:w="1848"/>
        <w:gridCol w:w="1093"/>
        <w:gridCol w:w="1252"/>
      </w:tblGrid>
      <w:tr w:rsidR="00097C7D" w:rsidRPr="00115B6A" w:rsidTr="00097C7D">
        <w:trPr>
          <w:cantSplit/>
          <w:trHeight w:val="20"/>
        </w:trPr>
        <w:tc>
          <w:tcPr>
            <w:tcW w:w="1772" w:type="pct"/>
            <w:gridSpan w:val="2"/>
            <w:tcBorders>
              <w:bottom w:val="single" w:sz="4" w:space="0" w:color="auto"/>
            </w:tcBorders>
          </w:tcPr>
          <w:p w:rsidR="00097C7D" w:rsidRPr="00115B6A" w:rsidRDefault="00097C7D" w:rsidP="00097C7D">
            <w:pPr>
              <w:keepNext/>
              <w:keepLines/>
              <w:ind w:left="-108"/>
              <w:rPr>
                <w:rFonts w:ascii="Arial Narrow" w:hAnsi="Arial Narrow" w:cstheme="minorHAnsi"/>
                <w:b/>
                <w:sz w:val="20"/>
                <w:szCs w:val="20"/>
              </w:rPr>
            </w:pPr>
            <w:r w:rsidRPr="00115B6A">
              <w:rPr>
                <w:rFonts w:ascii="Arial Narrow" w:hAnsi="Arial Narrow" w:cstheme="minorHAnsi"/>
                <w:b/>
                <w:sz w:val="20"/>
                <w:szCs w:val="20"/>
              </w:rPr>
              <w:lastRenderedPageBreak/>
              <w:t>Name, Restriction,</w:t>
            </w:r>
          </w:p>
          <w:p w:rsidR="00097C7D" w:rsidRPr="00115B6A" w:rsidRDefault="00097C7D" w:rsidP="00097C7D">
            <w:pPr>
              <w:keepNext/>
              <w:keepLines/>
              <w:ind w:left="-108"/>
              <w:rPr>
                <w:rFonts w:ascii="Arial Narrow" w:hAnsi="Arial Narrow" w:cstheme="minorHAnsi"/>
                <w:b/>
                <w:sz w:val="20"/>
                <w:szCs w:val="20"/>
              </w:rPr>
            </w:pPr>
            <w:r w:rsidRPr="00115B6A">
              <w:rPr>
                <w:rFonts w:ascii="Arial Narrow" w:hAnsi="Arial Narrow" w:cstheme="minorHAnsi"/>
                <w:b/>
                <w:sz w:val="20"/>
                <w:szCs w:val="20"/>
              </w:rPr>
              <w:t>Manner of administration and form</w:t>
            </w:r>
          </w:p>
        </w:tc>
        <w:tc>
          <w:tcPr>
            <w:tcW w:w="461" w:type="pct"/>
            <w:tcBorders>
              <w:bottom w:val="single" w:sz="4" w:space="0" w:color="auto"/>
            </w:tcBorders>
          </w:tcPr>
          <w:p w:rsidR="00097C7D" w:rsidRPr="00115B6A" w:rsidRDefault="00097C7D" w:rsidP="00097C7D">
            <w:pPr>
              <w:keepNext/>
              <w:keepLines/>
              <w:ind w:left="-108"/>
              <w:jc w:val="center"/>
              <w:rPr>
                <w:rFonts w:ascii="Arial Narrow" w:hAnsi="Arial Narrow" w:cstheme="minorHAnsi"/>
                <w:b/>
                <w:sz w:val="20"/>
                <w:szCs w:val="20"/>
              </w:rPr>
            </w:pPr>
            <w:r w:rsidRPr="00115B6A">
              <w:rPr>
                <w:rFonts w:ascii="Arial Narrow" w:hAnsi="Arial Narrow" w:cstheme="minorHAnsi"/>
                <w:b/>
                <w:sz w:val="20"/>
                <w:szCs w:val="20"/>
              </w:rPr>
              <w:t>Max.</w:t>
            </w:r>
          </w:p>
          <w:p w:rsidR="00097C7D" w:rsidRPr="00115B6A" w:rsidRDefault="00097C7D" w:rsidP="00097C7D">
            <w:pPr>
              <w:keepNext/>
              <w:keepLines/>
              <w:ind w:left="-108"/>
              <w:jc w:val="center"/>
              <w:rPr>
                <w:rFonts w:ascii="Arial Narrow" w:hAnsi="Arial Narrow" w:cstheme="minorHAnsi"/>
                <w:b/>
                <w:sz w:val="20"/>
                <w:szCs w:val="20"/>
              </w:rPr>
            </w:pPr>
            <w:proofErr w:type="spellStart"/>
            <w:r w:rsidRPr="00115B6A">
              <w:rPr>
                <w:rFonts w:ascii="Arial Narrow" w:hAnsi="Arial Narrow" w:cstheme="minorHAnsi"/>
                <w:b/>
                <w:sz w:val="20"/>
                <w:szCs w:val="20"/>
              </w:rPr>
              <w:t>Qty</w:t>
            </w:r>
            <w:proofErr w:type="spellEnd"/>
            <w:r w:rsidRPr="00115B6A">
              <w:rPr>
                <w:rFonts w:ascii="Arial Narrow" w:hAnsi="Arial Narrow" w:cstheme="minorHAnsi"/>
                <w:b/>
                <w:sz w:val="20"/>
                <w:szCs w:val="20"/>
              </w:rPr>
              <w:t xml:space="preserve"> packs</w:t>
            </w:r>
          </w:p>
        </w:tc>
        <w:tc>
          <w:tcPr>
            <w:tcW w:w="462" w:type="pct"/>
            <w:tcBorders>
              <w:bottom w:val="single" w:sz="4" w:space="0" w:color="auto"/>
            </w:tcBorders>
          </w:tcPr>
          <w:p w:rsidR="00097C7D" w:rsidRPr="00115B6A" w:rsidRDefault="00097C7D" w:rsidP="00097C7D">
            <w:pPr>
              <w:keepNext/>
              <w:keepLines/>
              <w:jc w:val="center"/>
              <w:rPr>
                <w:rFonts w:ascii="Arial Narrow" w:hAnsi="Arial Narrow" w:cstheme="minorHAnsi"/>
                <w:b/>
                <w:sz w:val="20"/>
                <w:szCs w:val="20"/>
              </w:rPr>
            </w:pPr>
            <w:r w:rsidRPr="00115B6A">
              <w:rPr>
                <w:rFonts w:ascii="Arial Narrow" w:hAnsi="Arial Narrow" w:cstheme="minorHAnsi"/>
                <w:b/>
                <w:sz w:val="20"/>
                <w:szCs w:val="20"/>
              </w:rPr>
              <w:t xml:space="preserve">Max. </w:t>
            </w:r>
            <w:proofErr w:type="spellStart"/>
            <w:r w:rsidRPr="00115B6A">
              <w:rPr>
                <w:rFonts w:ascii="Arial Narrow" w:hAnsi="Arial Narrow" w:cstheme="minorHAnsi"/>
                <w:b/>
                <w:sz w:val="20"/>
                <w:szCs w:val="20"/>
              </w:rPr>
              <w:t>Qty</w:t>
            </w:r>
            <w:proofErr w:type="spellEnd"/>
            <w:r w:rsidRPr="00115B6A">
              <w:rPr>
                <w:rFonts w:ascii="Arial Narrow" w:hAnsi="Arial Narrow" w:cstheme="minorHAnsi"/>
                <w:b/>
                <w:sz w:val="20"/>
                <w:szCs w:val="20"/>
              </w:rPr>
              <w:t xml:space="preserve"> units</w:t>
            </w:r>
          </w:p>
        </w:tc>
        <w:tc>
          <w:tcPr>
            <w:tcW w:w="1016" w:type="pct"/>
            <w:tcBorders>
              <w:bottom w:val="single" w:sz="4" w:space="0" w:color="auto"/>
            </w:tcBorders>
          </w:tcPr>
          <w:p w:rsidR="00097C7D" w:rsidRPr="00115B6A" w:rsidRDefault="00097C7D" w:rsidP="00097C7D">
            <w:pPr>
              <w:keepNext/>
              <w:keepLines/>
              <w:ind w:left="-108"/>
              <w:jc w:val="center"/>
              <w:rPr>
                <w:rFonts w:ascii="Arial Narrow" w:hAnsi="Arial Narrow" w:cstheme="minorHAnsi"/>
                <w:b/>
                <w:sz w:val="20"/>
                <w:szCs w:val="20"/>
              </w:rPr>
            </w:pPr>
            <w:r w:rsidRPr="00115B6A">
              <w:rPr>
                <w:rFonts w:ascii="Arial Narrow" w:hAnsi="Arial Narrow" w:cstheme="minorHAnsi"/>
                <w:b/>
                <w:sz w:val="20"/>
                <w:szCs w:val="20"/>
              </w:rPr>
              <w:t>№.of</w:t>
            </w:r>
          </w:p>
          <w:p w:rsidR="00097C7D" w:rsidRPr="00115B6A" w:rsidRDefault="00097C7D" w:rsidP="00097C7D">
            <w:pPr>
              <w:keepNext/>
              <w:keepLines/>
              <w:ind w:left="-108"/>
              <w:jc w:val="center"/>
              <w:rPr>
                <w:rFonts w:ascii="Arial Narrow" w:hAnsi="Arial Narrow" w:cstheme="minorHAnsi"/>
                <w:b/>
                <w:sz w:val="20"/>
                <w:szCs w:val="20"/>
              </w:rPr>
            </w:pPr>
            <w:proofErr w:type="spellStart"/>
            <w:r w:rsidRPr="00115B6A">
              <w:rPr>
                <w:rFonts w:ascii="Arial Narrow" w:hAnsi="Arial Narrow" w:cstheme="minorHAnsi"/>
                <w:b/>
                <w:sz w:val="20"/>
                <w:szCs w:val="20"/>
              </w:rPr>
              <w:t>Rpts</w:t>
            </w:r>
            <w:proofErr w:type="spellEnd"/>
          </w:p>
        </w:tc>
        <w:tc>
          <w:tcPr>
            <w:tcW w:w="1289" w:type="pct"/>
            <w:gridSpan w:val="2"/>
            <w:tcBorders>
              <w:bottom w:val="single" w:sz="4" w:space="0" w:color="auto"/>
            </w:tcBorders>
          </w:tcPr>
          <w:p w:rsidR="00097C7D" w:rsidRPr="00EA5994" w:rsidRDefault="00097C7D" w:rsidP="00097C7D">
            <w:pPr>
              <w:keepNext/>
              <w:keepLines/>
              <w:rPr>
                <w:rFonts w:ascii="Arial Narrow" w:hAnsi="Arial Narrow" w:cstheme="minorHAnsi"/>
                <w:b/>
                <w:sz w:val="20"/>
                <w:szCs w:val="20"/>
              </w:rPr>
            </w:pPr>
            <w:r w:rsidRPr="00115B6A">
              <w:rPr>
                <w:rFonts w:ascii="Arial Narrow" w:hAnsi="Arial Narrow" w:cstheme="minorHAnsi"/>
                <w:b/>
                <w:sz w:val="20"/>
                <w:szCs w:val="20"/>
              </w:rPr>
              <w:t>Proprietary Name and Manufacturer</w:t>
            </w:r>
          </w:p>
        </w:tc>
      </w:tr>
      <w:tr w:rsidR="00097C7D" w:rsidRPr="00115B6A" w:rsidTr="00097C7D">
        <w:trPr>
          <w:cantSplit/>
          <w:trHeight w:val="20"/>
        </w:trPr>
        <w:tc>
          <w:tcPr>
            <w:tcW w:w="1772" w:type="pct"/>
            <w:gridSpan w:val="2"/>
          </w:tcPr>
          <w:p w:rsidR="00097C7D" w:rsidRPr="00115B6A" w:rsidRDefault="00097C7D" w:rsidP="00097C7D">
            <w:pPr>
              <w:keepNext/>
              <w:keepLines/>
              <w:ind w:left="-108"/>
              <w:rPr>
                <w:rFonts w:ascii="Arial Narrow" w:hAnsi="Arial Narrow" w:cstheme="minorHAnsi"/>
                <w:smallCaps/>
                <w:sz w:val="20"/>
                <w:szCs w:val="20"/>
              </w:rPr>
            </w:pPr>
            <w:r w:rsidRPr="00115B6A">
              <w:rPr>
                <w:rFonts w:ascii="Arial Narrow" w:hAnsi="Arial Narrow" w:cstheme="minorHAnsi"/>
                <w:smallCaps/>
                <w:sz w:val="20"/>
                <w:szCs w:val="20"/>
              </w:rPr>
              <w:t>TOCILIZUMAB</w:t>
            </w:r>
          </w:p>
          <w:p w:rsidR="00097C7D" w:rsidRPr="00115B6A" w:rsidRDefault="00097C7D" w:rsidP="00097C7D">
            <w:pPr>
              <w:keepNext/>
              <w:keepLines/>
              <w:ind w:left="-108"/>
              <w:rPr>
                <w:rFonts w:ascii="Arial Narrow" w:hAnsi="Arial Narrow" w:cstheme="minorHAnsi"/>
                <w:sz w:val="20"/>
                <w:szCs w:val="20"/>
              </w:rPr>
            </w:pPr>
            <w:r w:rsidRPr="00115B6A">
              <w:rPr>
                <w:rFonts w:ascii="Arial Narrow" w:hAnsi="Arial Narrow" w:cstheme="minorHAnsi"/>
                <w:smallCaps/>
                <w:sz w:val="20"/>
                <w:szCs w:val="20"/>
              </w:rPr>
              <w:t xml:space="preserve"> </w:t>
            </w:r>
            <w:r w:rsidRPr="00115B6A">
              <w:rPr>
                <w:rFonts w:ascii="Arial Narrow" w:hAnsi="Arial Narrow" w:cstheme="minorHAnsi"/>
                <w:sz w:val="20"/>
                <w:szCs w:val="20"/>
              </w:rPr>
              <w:t xml:space="preserve">162 mg/0.9 mL injection, 4 x 0.9 mL </w:t>
            </w:r>
          </w:p>
          <w:p w:rsidR="00097C7D" w:rsidRPr="00115B6A" w:rsidRDefault="00097C7D" w:rsidP="00097C7D">
            <w:pPr>
              <w:keepNext/>
              <w:keepLines/>
              <w:ind w:left="-108"/>
              <w:rPr>
                <w:rFonts w:ascii="Arial Narrow" w:hAnsi="Arial Narrow" w:cstheme="minorHAnsi"/>
                <w:sz w:val="20"/>
                <w:szCs w:val="20"/>
              </w:rPr>
            </w:pPr>
            <w:r w:rsidRPr="00115B6A">
              <w:rPr>
                <w:rFonts w:ascii="Arial Narrow" w:hAnsi="Arial Narrow" w:cstheme="minorHAnsi"/>
                <w:sz w:val="20"/>
                <w:szCs w:val="20"/>
              </w:rPr>
              <w:t>pre-filled syringe</w:t>
            </w:r>
          </w:p>
          <w:p w:rsidR="00097C7D" w:rsidRPr="00115B6A" w:rsidRDefault="00097C7D" w:rsidP="00097C7D">
            <w:pPr>
              <w:keepNext/>
              <w:keepLines/>
              <w:ind w:left="-108"/>
              <w:rPr>
                <w:rFonts w:ascii="Arial Narrow" w:hAnsi="Arial Narrow" w:cstheme="minorHAnsi"/>
                <w:sz w:val="20"/>
                <w:szCs w:val="20"/>
              </w:rPr>
            </w:pPr>
            <w:r w:rsidRPr="00115B6A">
              <w:rPr>
                <w:rFonts w:ascii="Arial Narrow" w:hAnsi="Arial Narrow" w:cstheme="minorHAnsi"/>
                <w:sz w:val="20"/>
                <w:szCs w:val="20"/>
              </w:rPr>
              <w:t xml:space="preserve"> 162 mg/0.9 mL injection, 4 x 0.9 mL </w:t>
            </w:r>
          </w:p>
          <w:p w:rsidR="00097C7D" w:rsidRPr="00115B6A" w:rsidRDefault="00097C7D" w:rsidP="00097C7D">
            <w:pPr>
              <w:keepNext/>
              <w:keepLines/>
              <w:ind w:left="-108"/>
              <w:rPr>
                <w:rFonts w:ascii="Arial Narrow" w:hAnsi="Arial Narrow" w:cstheme="minorHAnsi"/>
                <w:sz w:val="20"/>
                <w:szCs w:val="20"/>
              </w:rPr>
            </w:pPr>
            <w:r w:rsidRPr="00115B6A">
              <w:rPr>
                <w:rFonts w:ascii="Arial Narrow" w:hAnsi="Arial Narrow" w:cstheme="minorHAnsi"/>
                <w:sz w:val="20"/>
                <w:szCs w:val="20"/>
              </w:rPr>
              <w:t>pre-filled pen</w:t>
            </w:r>
          </w:p>
        </w:tc>
        <w:tc>
          <w:tcPr>
            <w:tcW w:w="461" w:type="pct"/>
          </w:tcPr>
          <w:p w:rsidR="00097C7D" w:rsidRPr="00115B6A" w:rsidRDefault="00097C7D" w:rsidP="00097C7D">
            <w:pPr>
              <w:keepNext/>
              <w:keepLines/>
              <w:ind w:left="-108"/>
              <w:jc w:val="center"/>
              <w:rPr>
                <w:rFonts w:ascii="Arial Narrow" w:hAnsi="Arial Narrow" w:cstheme="minorHAnsi"/>
                <w:sz w:val="20"/>
                <w:szCs w:val="20"/>
              </w:rPr>
            </w:pPr>
          </w:p>
          <w:p w:rsidR="00097C7D" w:rsidRPr="00115B6A" w:rsidRDefault="00097C7D" w:rsidP="00097C7D">
            <w:pPr>
              <w:keepNext/>
              <w:keepLines/>
              <w:ind w:left="-108"/>
              <w:jc w:val="center"/>
              <w:rPr>
                <w:rFonts w:ascii="Arial Narrow" w:hAnsi="Arial Narrow" w:cstheme="minorHAnsi"/>
                <w:sz w:val="20"/>
                <w:szCs w:val="20"/>
              </w:rPr>
            </w:pPr>
            <w:r w:rsidRPr="00115B6A">
              <w:rPr>
                <w:rFonts w:ascii="Arial Narrow" w:hAnsi="Arial Narrow" w:cstheme="minorHAnsi"/>
                <w:sz w:val="20"/>
                <w:szCs w:val="20"/>
              </w:rPr>
              <w:t>1</w:t>
            </w:r>
          </w:p>
          <w:p w:rsidR="00097C7D" w:rsidRPr="00115B6A" w:rsidRDefault="00097C7D" w:rsidP="00097C7D">
            <w:pPr>
              <w:keepNext/>
              <w:keepLines/>
              <w:ind w:left="-108"/>
              <w:jc w:val="center"/>
              <w:rPr>
                <w:rFonts w:ascii="Arial Narrow" w:hAnsi="Arial Narrow" w:cstheme="minorHAnsi"/>
                <w:sz w:val="20"/>
                <w:szCs w:val="20"/>
              </w:rPr>
            </w:pPr>
          </w:p>
          <w:p w:rsidR="00097C7D" w:rsidRPr="00115B6A" w:rsidRDefault="00097C7D" w:rsidP="00097C7D">
            <w:pPr>
              <w:keepNext/>
              <w:keepLines/>
              <w:ind w:left="-108"/>
              <w:jc w:val="center"/>
              <w:rPr>
                <w:rFonts w:ascii="Arial Narrow" w:hAnsi="Arial Narrow" w:cstheme="minorHAnsi"/>
                <w:sz w:val="20"/>
                <w:szCs w:val="20"/>
              </w:rPr>
            </w:pPr>
            <w:r w:rsidRPr="00115B6A">
              <w:rPr>
                <w:rFonts w:ascii="Arial Narrow" w:hAnsi="Arial Narrow" w:cstheme="minorHAnsi"/>
                <w:sz w:val="20"/>
                <w:szCs w:val="20"/>
              </w:rPr>
              <w:t>1</w:t>
            </w:r>
          </w:p>
        </w:tc>
        <w:tc>
          <w:tcPr>
            <w:tcW w:w="462" w:type="pct"/>
          </w:tcPr>
          <w:p w:rsidR="00097C7D" w:rsidRPr="00115B6A" w:rsidRDefault="00097C7D" w:rsidP="00097C7D">
            <w:pPr>
              <w:keepNext/>
              <w:keepLines/>
              <w:jc w:val="center"/>
              <w:rPr>
                <w:rFonts w:ascii="Arial Narrow" w:hAnsi="Arial Narrow" w:cstheme="minorHAnsi"/>
                <w:sz w:val="20"/>
                <w:szCs w:val="20"/>
              </w:rPr>
            </w:pPr>
          </w:p>
          <w:p w:rsidR="00097C7D" w:rsidRPr="00115B6A" w:rsidRDefault="00097C7D" w:rsidP="00097C7D">
            <w:pPr>
              <w:keepNext/>
              <w:keepLines/>
              <w:jc w:val="center"/>
              <w:rPr>
                <w:rFonts w:ascii="Arial Narrow" w:hAnsi="Arial Narrow" w:cstheme="minorHAnsi"/>
                <w:sz w:val="20"/>
                <w:szCs w:val="20"/>
              </w:rPr>
            </w:pPr>
            <w:r w:rsidRPr="00115B6A">
              <w:rPr>
                <w:rFonts w:ascii="Arial Narrow" w:hAnsi="Arial Narrow" w:cstheme="minorHAnsi"/>
                <w:sz w:val="20"/>
                <w:szCs w:val="20"/>
              </w:rPr>
              <w:t>4</w:t>
            </w:r>
          </w:p>
          <w:p w:rsidR="00097C7D" w:rsidRPr="00115B6A" w:rsidRDefault="00097C7D" w:rsidP="00097C7D">
            <w:pPr>
              <w:keepNext/>
              <w:keepLines/>
              <w:jc w:val="center"/>
              <w:rPr>
                <w:rFonts w:ascii="Arial Narrow" w:hAnsi="Arial Narrow" w:cstheme="minorHAnsi"/>
                <w:sz w:val="20"/>
                <w:szCs w:val="20"/>
              </w:rPr>
            </w:pPr>
          </w:p>
          <w:p w:rsidR="00097C7D" w:rsidRPr="00115B6A" w:rsidRDefault="00097C7D" w:rsidP="00097C7D">
            <w:pPr>
              <w:keepNext/>
              <w:keepLines/>
              <w:jc w:val="center"/>
              <w:rPr>
                <w:rFonts w:ascii="Arial Narrow" w:hAnsi="Arial Narrow" w:cstheme="minorHAnsi"/>
                <w:sz w:val="20"/>
                <w:szCs w:val="20"/>
              </w:rPr>
            </w:pPr>
            <w:r w:rsidRPr="00115B6A">
              <w:rPr>
                <w:rFonts w:ascii="Arial Narrow" w:hAnsi="Arial Narrow" w:cstheme="minorHAnsi"/>
                <w:sz w:val="20"/>
                <w:szCs w:val="20"/>
              </w:rPr>
              <w:t>4</w:t>
            </w:r>
          </w:p>
        </w:tc>
        <w:tc>
          <w:tcPr>
            <w:tcW w:w="1016" w:type="pct"/>
          </w:tcPr>
          <w:p w:rsidR="00097C7D" w:rsidRPr="00115B6A" w:rsidRDefault="00097C7D" w:rsidP="00097C7D">
            <w:pPr>
              <w:keepNext/>
              <w:keepLines/>
              <w:ind w:left="-108"/>
              <w:jc w:val="center"/>
              <w:rPr>
                <w:rFonts w:ascii="Arial Narrow" w:hAnsi="Arial Narrow" w:cstheme="minorHAnsi"/>
                <w:sz w:val="20"/>
                <w:szCs w:val="20"/>
              </w:rPr>
            </w:pPr>
          </w:p>
          <w:p w:rsidR="00097C7D" w:rsidRPr="00115B6A" w:rsidRDefault="00097C7D" w:rsidP="00097C7D">
            <w:pPr>
              <w:keepNext/>
              <w:keepLines/>
              <w:ind w:left="-108"/>
              <w:jc w:val="center"/>
              <w:rPr>
                <w:rFonts w:ascii="Arial Narrow" w:hAnsi="Arial Narrow" w:cstheme="minorHAnsi"/>
                <w:sz w:val="20"/>
                <w:szCs w:val="20"/>
              </w:rPr>
            </w:pPr>
            <w:r w:rsidRPr="00115B6A">
              <w:rPr>
                <w:rFonts w:ascii="Arial Narrow" w:hAnsi="Arial Narrow" w:cstheme="minorHAnsi"/>
                <w:sz w:val="20"/>
                <w:szCs w:val="20"/>
              </w:rPr>
              <w:t>6</w:t>
            </w:r>
          </w:p>
          <w:p w:rsidR="00097C7D" w:rsidRPr="00115B6A" w:rsidRDefault="00097C7D" w:rsidP="00097C7D">
            <w:pPr>
              <w:keepNext/>
              <w:keepLines/>
              <w:ind w:left="-108"/>
              <w:jc w:val="center"/>
              <w:rPr>
                <w:rFonts w:ascii="Arial Narrow" w:hAnsi="Arial Narrow" w:cstheme="minorHAnsi"/>
                <w:sz w:val="20"/>
                <w:szCs w:val="20"/>
              </w:rPr>
            </w:pPr>
          </w:p>
          <w:p w:rsidR="00097C7D" w:rsidRPr="00115B6A" w:rsidRDefault="00097C7D" w:rsidP="00097C7D">
            <w:pPr>
              <w:keepNext/>
              <w:keepLines/>
              <w:ind w:left="-108"/>
              <w:jc w:val="center"/>
              <w:rPr>
                <w:rFonts w:ascii="Arial Narrow" w:hAnsi="Arial Narrow" w:cstheme="minorHAnsi"/>
                <w:sz w:val="20"/>
                <w:szCs w:val="20"/>
              </w:rPr>
            </w:pPr>
            <w:r w:rsidRPr="00115B6A">
              <w:rPr>
                <w:rFonts w:ascii="Arial Narrow" w:hAnsi="Arial Narrow" w:cstheme="minorHAnsi"/>
                <w:sz w:val="20"/>
                <w:szCs w:val="20"/>
              </w:rPr>
              <w:t>6</w:t>
            </w:r>
          </w:p>
        </w:tc>
        <w:tc>
          <w:tcPr>
            <w:tcW w:w="601" w:type="pct"/>
          </w:tcPr>
          <w:p w:rsidR="00097C7D" w:rsidRPr="00115B6A" w:rsidRDefault="00097C7D" w:rsidP="00097C7D">
            <w:pPr>
              <w:keepNext/>
              <w:keepLines/>
              <w:rPr>
                <w:rFonts w:ascii="Arial Narrow" w:hAnsi="Arial Narrow" w:cstheme="minorHAnsi"/>
                <w:sz w:val="20"/>
                <w:szCs w:val="20"/>
              </w:rPr>
            </w:pPr>
          </w:p>
          <w:p w:rsidR="00097C7D" w:rsidRPr="00115B6A" w:rsidRDefault="00097C7D" w:rsidP="00097C7D">
            <w:pPr>
              <w:keepNext/>
              <w:keepLines/>
              <w:rPr>
                <w:rFonts w:ascii="Arial Narrow" w:hAnsi="Arial Narrow" w:cstheme="minorHAnsi"/>
                <w:sz w:val="20"/>
                <w:szCs w:val="20"/>
              </w:rPr>
            </w:pPr>
            <w:proofErr w:type="spellStart"/>
            <w:r w:rsidRPr="00115B6A">
              <w:rPr>
                <w:rFonts w:ascii="Arial Narrow" w:hAnsi="Arial Narrow" w:cstheme="minorHAnsi"/>
                <w:sz w:val="20"/>
                <w:szCs w:val="20"/>
              </w:rPr>
              <w:t>Actemra</w:t>
            </w:r>
            <w:proofErr w:type="spellEnd"/>
            <w:r w:rsidRPr="00115B6A">
              <w:rPr>
                <w:rFonts w:ascii="Arial Narrow" w:hAnsi="Arial Narrow" w:cstheme="minorHAnsi"/>
                <w:sz w:val="20"/>
                <w:szCs w:val="20"/>
                <w:vertAlign w:val="superscript"/>
              </w:rPr>
              <w:t>®</w:t>
            </w:r>
          </w:p>
        </w:tc>
        <w:tc>
          <w:tcPr>
            <w:tcW w:w="689" w:type="pct"/>
          </w:tcPr>
          <w:p w:rsidR="00097C7D" w:rsidRPr="00115B6A" w:rsidRDefault="00097C7D" w:rsidP="00097C7D">
            <w:pPr>
              <w:keepNext/>
              <w:keepLines/>
              <w:rPr>
                <w:rFonts w:ascii="Arial Narrow" w:hAnsi="Arial Narrow" w:cstheme="minorHAnsi"/>
                <w:sz w:val="20"/>
                <w:szCs w:val="20"/>
              </w:rPr>
            </w:pPr>
          </w:p>
          <w:p w:rsidR="00097C7D" w:rsidRPr="00115B6A" w:rsidRDefault="00097C7D" w:rsidP="00097C7D">
            <w:pPr>
              <w:keepNext/>
              <w:keepLines/>
              <w:rPr>
                <w:rFonts w:ascii="Arial Narrow" w:hAnsi="Arial Narrow" w:cstheme="minorHAnsi"/>
                <w:sz w:val="20"/>
                <w:szCs w:val="20"/>
              </w:rPr>
            </w:pPr>
            <w:r w:rsidRPr="00115B6A">
              <w:rPr>
                <w:rFonts w:ascii="Arial Narrow" w:hAnsi="Arial Narrow" w:cstheme="minorHAnsi"/>
                <w:sz w:val="20"/>
                <w:szCs w:val="20"/>
              </w:rPr>
              <w:t>Roche</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b/>
                <w:sz w:val="20"/>
                <w:szCs w:val="20"/>
              </w:rPr>
            </w:pPr>
            <w:r w:rsidRPr="00115B6A">
              <w:rPr>
                <w:rFonts w:ascii="Arial Narrow" w:hAnsi="Arial Narrow" w:cstheme="minorHAnsi"/>
                <w:b/>
                <w:sz w:val="20"/>
                <w:szCs w:val="20"/>
              </w:rPr>
              <w:t>Category / Program</w:t>
            </w: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115B6A">
              <w:rPr>
                <w:rFonts w:ascii="Arial Narrow" w:hAnsi="Arial Narrow" w:cstheme="minorHAnsi"/>
                <w:sz w:val="20"/>
                <w:szCs w:val="20"/>
              </w:rPr>
              <w:t>GENERAL – General Schedule (Code GE)</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b/>
                <w:sz w:val="20"/>
                <w:szCs w:val="20"/>
              </w:rPr>
            </w:pPr>
            <w:r w:rsidRPr="00115B6A">
              <w:rPr>
                <w:rFonts w:ascii="Arial Narrow" w:hAnsi="Arial Narrow" w:cstheme="minorHAnsi"/>
                <w:b/>
                <w:sz w:val="20"/>
                <w:szCs w:val="20"/>
              </w:rPr>
              <w:t>Prescriber type:</w:t>
            </w: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EA5994">
              <w:rPr>
                <w:rFonts w:ascii="Arial Narrow" w:hAnsi="Arial Narrow" w:cstheme="minorHAnsi"/>
                <w:sz w:val="20"/>
                <w:szCs w:val="20"/>
              </w:rPr>
              <w:fldChar w:fldCharType="begin">
                <w:ffData>
                  <w:name w:val="Check1"/>
                  <w:enabled/>
                  <w:calcOnExit w:val="0"/>
                  <w:checkBox>
                    <w:sizeAuto/>
                    <w:default w:val="0"/>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 xml:space="preserve">Dental  </w:t>
            </w:r>
            <w:r w:rsidRPr="00EA5994">
              <w:rPr>
                <w:rFonts w:ascii="Arial Narrow" w:hAnsi="Arial Narrow" w:cstheme="minorHAnsi"/>
                <w:sz w:val="20"/>
                <w:szCs w:val="20"/>
              </w:rPr>
              <w:fldChar w:fldCharType="begin">
                <w:ffData>
                  <w:name w:val=""/>
                  <w:enabled/>
                  <w:calcOnExit w:val="0"/>
                  <w:checkBox>
                    <w:sizeAuto/>
                    <w:default w:val="1"/>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 xml:space="preserve">Medical Practitioners  </w:t>
            </w:r>
            <w:r w:rsidRPr="00EA5994">
              <w:rPr>
                <w:rFonts w:ascii="Arial Narrow" w:hAnsi="Arial Narrow" w:cstheme="minorHAnsi"/>
                <w:sz w:val="20"/>
                <w:szCs w:val="20"/>
              </w:rPr>
              <w:fldChar w:fldCharType="begin">
                <w:ffData>
                  <w:name w:val="Check3"/>
                  <w:enabled/>
                  <w:calcOnExit w:val="0"/>
                  <w:checkBox>
                    <w:sizeAuto/>
                    <w:default w:val="0"/>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 xml:space="preserve">Nurse practitioners  </w:t>
            </w:r>
            <w:r w:rsidRPr="00EA5994">
              <w:rPr>
                <w:rFonts w:ascii="Arial Narrow" w:hAnsi="Arial Narrow" w:cstheme="minorHAnsi"/>
                <w:sz w:val="20"/>
                <w:szCs w:val="20"/>
              </w:rPr>
              <w:fldChar w:fldCharType="begin">
                <w:ffData>
                  <w:name w:val=""/>
                  <w:enabled/>
                  <w:calcOnExit w:val="0"/>
                  <w:checkBox>
                    <w:sizeAuto/>
                    <w:default w:val="0"/>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 xml:space="preserve">Optometrists </w:t>
            </w:r>
            <w:r w:rsidRPr="00EA5994">
              <w:rPr>
                <w:rFonts w:ascii="Arial Narrow" w:hAnsi="Arial Narrow" w:cstheme="minorHAnsi"/>
                <w:sz w:val="20"/>
                <w:szCs w:val="20"/>
              </w:rPr>
              <w:fldChar w:fldCharType="begin">
                <w:ffData>
                  <w:name w:val="Check5"/>
                  <w:enabled/>
                  <w:calcOnExit w:val="0"/>
                  <w:checkBox>
                    <w:sizeAuto/>
                    <w:default w:val="0"/>
                  </w:checkBox>
                </w:ffData>
              </w:fldChar>
            </w:r>
            <w:r w:rsidRPr="00115B6A">
              <w:rPr>
                <w:rFonts w:ascii="Arial Narrow" w:hAnsi="Arial Narrow" w:cstheme="minorHAnsi"/>
                <w:sz w:val="20"/>
                <w:szCs w:val="20"/>
              </w:rPr>
              <w:instrText xml:space="preserve"> FORMCHECKBOX </w:instrText>
            </w:r>
            <w:r w:rsidR="001D4D95">
              <w:rPr>
                <w:rFonts w:ascii="Arial Narrow" w:hAnsi="Arial Narrow" w:cstheme="minorHAnsi"/>
                <w:sz w:val="20"/>
                <w:szCs w:val="20"/>
              </w:rPr>
            </w:r>
            <w:r w:rsidR="001D4D95">
              <w:rPr>
                <w:rFonts w:ascii="Arial Narrow" w:hAnsi="Arial Narrow" w:cstheme="minorHAnsi"/>
                <w:sz w:val="20"/>
                <w:szCs w:val="20"/>
              </w:rPr>
              <w:fldChar w:fldCharType="separate"/>
            </w:r>
            <w:r w:rsidRPr="00EA5994">
              <w:rPr>
                <w:rFonts w:ascii="Arial Narrow" w:hAnsi="Arial Narrow" w:cstheme="minorHAnsi"/>
                <w:sz w:val="20"/>
                <w:szCs w:val="20"/>
              </w:rPr>
              <w:fldChar w:fldCharType="end"/>
            </w:r>
            <w:r w:rsidRPr="00115B6A">
              <w:rPr>
                <w:rFonts w:ascii="Arial Narrow" w:hAnsi="Arial Narrow" w:cstheme="minorHAnsi"/>
                <w:sz w:val="20"/>
                <w:szCs w:val="20"/>
              </w:rPr>
              <w:t>Midwives</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b/>
                <w:sz w:val="20"/>
                <w:szCs w:val="20"/>
              </w:rPr>
            </w:pPr>
            <w:r w:rsidRPr="00115B6A">
              <w:rPr>
                <w:rFonts w:ascii="Arial Narrow" w:hAnsi="Arial Narrow" w:cstheme="minorHAnsi"/>
                <w:b/>
                <w:sz w:val="20"/>
                <w:szCs w:val="20"/>
              </w:rPr>
              <w:t>Severity:</w:t>
            </w: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115B6A">
              <w:rPr>
                <w:rFonts w:ascii="Arial Narrow" w:hAnsi="Arial Narrow" w:cstheme="minorHAnsi"/>
                <w:sz w:val="20"/>
                <w:szCs w:val="20"/>
              </w:rPr>
              <w:t>Active</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b/>
                <w:sz w:val="20"/>
                <w:szCs w:val="20"/>
              </w:rPr>
            </w:pPr>
            <w:r w:rsidRPr="00115B6A">
              <w:rPr>
                <w:rFonts w:ascii="Arial Narrow" w:hAnsi="Arial Narrow" w:cstheme="minorHAnsi"/>
                <w:b/>
                <w:sz w:val="20"/>
                <w:szCs w:val="20"/>
              </w:rPr>
              <w:t>Condition:</w:t>
            </w: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115B6A">
              <w:rPr>
                <w:rFonts w:ascii="Arial Narrow" w:hAnsi="Arial Narrow" w:cstheme="minorHAnsi"/>
                <w:sz w:val="20"/>
                <w:szCs w:val="20"/>
              </w:rPr>
              <w:t>Giant cell arteritis</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i/>
                <w:sz w:val="20"/>
                <w:szCs w:val="20"/>
              </w:rPr>
            </w:pPr>
            <w:r w:rsidRPr="00115B6A">
              <w:rPr>
                <w:rFonts w:ascii="Arial Narrow" w:hAnsi="Arial Narrow" w:cstheme="minorHAnsi"/>
                <w:b/>
                <w:sz w:val="20"/>
                <w:szCs w:val="20"/>
              </w:rPr>
              <w:t>PBS Indication:</w:t>
            </w: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115B6A">
              <w:rPr>
                <w:rFonts w:ascii="Arial Narrow" w:hAnsi="Arial Narrow" w:cstheme="minorHAnsi"/>
                <w:sz w:val="20"/>
                <w:szCs w:val="20"/>
              </w:rPr>
              <w:t>Active giant cell arteritis</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b/>
                <w:sz w:val="20"/>
                <w:szCs w:val="20"/>
              </w:rPr>
            </w:pPr>
            <w:r w:rsidRPr="00115B6A">
              <w:rPr>
                <w:rFonts w:ascii="Arial Narrow" w:hAnsi="Arial Narrow" w:cstheme="minorHAnsi"/>
                <w:b/>
                <w:sz w:val="20"/>
                <w:szCs w:val="20"/>
              </w:rPr>
              <w:t>Treatment phase:</w:t>
            </w: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115B6A">
              <w:rPr>
                <w:rFonts w:ascii="Arial Narrow" w:hAnsi="Arial Narrow" w:cstheme="minorHAnsi"/>
                <w:sz w:val="20"/>
                <w:szCs w:val="20"/>
              </w:rPr>
              <w:t>Continuing</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i/>
                <w:sz w:val="20"/>
                <w:szCs w:val="20"/>
              </w:rPr>
            </w:pPr>
            <w:r w:rsidRPr="00115B6A">
              <w:rPr>
                <w:rFonts w:ascii="Arial Narrow" w:hAnsi="Arial Narrow" w:cstheme="minorHAnsi"/>
                <w:b/>
                <w:sz w:val="20"/>
                <w:szCs w:val="20"/>
              </w:rPr>
              <w:t>Restriction Level / Method:</w:t>
            </w: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EA5994">
              <w:rPr>
                <w:rFonts w:ascii="Arial Narrow" w:hAnsi="Arial Narrow" w:cstheme="minorHAnsi"/>
                <w:i/>
                <w:sz w:val="20"/>
                <w:szCs w:val="20"/>
              </w:rPr>
              <w:fldChar w:fldCharType="begin">
                <w:ffData>
                  <w:name w:val="Check3"/>
                  <w:enabled/>
                  <w:calcOnExit w:val="0"/>
                  <w:checkBox>
                    <w:sizeAuto/>
                    <w:default w:val="1"/>
                  </w:checkBox>
                </w:ffData>
              </w:fldChar>
            </w:r>
            <w:r w:rsidRPr="00115B6A">
              <w:rPr>
                <w:rFonts w:ascii="Arial Narrow" w:hAnsi="Arial Narrow" w:cstheme="minorHAnsi"/>
                <w:i/>
                <w:sz w:val="20"/>
                <w:szCs w:val="20"/>
              </w:rPr>
              <w:instrText xml:space="preserve"> FORMCHECKBOX </w:instrText>
            </w:r>
            <w:r w:rsidR="001D4D95">
              <w:rPr>
                <w:rFonts w:ascii="Arial Narrow" w:hAnsi="Arial Narrow" w:cstheme="minorHAnsi"/>
                <w:i/>
                <w:sz w:val="20"/>
                <w:szCs w:val="20"/>
              </w:rPr>
            </w:r>
            <w:r w:rsidR="001D4D95">
              <w:rPr>
                <w:rFonts w:ascii="Arial Narrow" w:hAnsi="Arial Narrow" w:cstheme="minorHAnsi"/>
                <w:i/>
                <w:sz w:val="20"/>
                <w:szCs w:val="20"/>
              </w:rPr>
              <w:fldChar w:fldCharType="separate"/>
            </w:r>
            <w:r w:rsidRPr="00EA5994">
              <w:rPr>
                <w:rFonts w:ascii="Arial Narrow" w:hAnsi="Arial Narrow" w:cstheme="minorHAnsi"/>
                <w:i/>
                <w:sz w:val="20"/>
                <w:szCs w:val="20"/>
              </w:rPr>
              <w:fldChar w:fldCharType="end"/>
            </w:r>
            <w:r w:rsidRPr="00115B6A">
              <w:rPr>
                <w:rFonts w:ascii="Arial Narrow" w:hAnsi="Arial Narrow" w:cstheme="minorHAnsi"/>
                <w:sz w:val="20"/>
                <w:szCs w:val="20"/>
              </w:rPr>
              <w:t>Authority Required - Telephone</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b/>
                <w:sz w:val="20"/>
                <w:szCs w:val="20"/>
              </w:rPr>
            </w:pPr>
            <w:r w:rsidRPr="00115B6A">
              <w:rPr>
                <w:rFonts w:ascii="Arial Narrow" w:hAnsi="Arial Narrow" w:cstheme="minorHAnsi"/>
                <w:b/>
                <w:sz w:val="20"/>
                <w:szCs w:val="20"/>
              </w:rPr>
              <w:t>Treatment criteria:</w:t>
            </w:r>
          </w:p>
          <w:p w:rsidR="00867E38" w:rsidRPr="00115B6A" w:rsidRDefault="00867E38" w:rsidP="00097C7D">
            <w:pPr>
              <w:keepNext/>
              <w:keepLines/>
              <w:rPr>
                <w:rFonts w:ascii="Arial Narrow" w:hAnsi="Arial Narrow" w:cstheme="minorHAnsi"/>
                <w:b/>
                <w:sz w:val="20"/>
                <w:szCs w:val="20"/>
              </w:rPr>
            </w:pP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115B6A">
              <w:rPr>
                <w:rFonts w:ascii="Arial Narrow" w:hAnsi="Arial Narrow" w:cstheme="minorHAnsi"/>
                <w:sz w:val="20"/>
                <w:szCs w:val="20"/>
              </w:rPr>
              <w:t>Patient must be treated by a rheumatologist, clinical immunologist or neurologist experienced in the management of giant cell arteritis</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b/>
                <w:sz w:val="20"/>
                <w:szCs w:val="20"/>
              </w:rPr>
            </w:pPr>
            <w:r w:rsidRPr="00115B6A">
              <w:rPr>
                <w:rFonts w:ascii="Arial Narrow" w:hAnsi="Arial Narrow" w:cstheme="minorHAnsi"/>
                <w:b/>
                <w:sz w:val="20"/>
                <w:szCs w:val="20"/>
              </w:rPr>
              <w:t>Clinical criteria:</w:t>
            </w:r>
          </w:p>
          <w:p w:rsidR="00867E38" w:rsidRPr="00115B6A" w:rsidRDefault="00867E38" w:rsidP="00097C7D">
            <w:pPr>
              <w:keepNext/>
              <w:keepLines/>
              <w:rPr>
                <w:rFonts w:ascii="Arial Narrow" w:hAnsi="Arial Narrow" w:cstheme="minorHAnsi"/>
                <w:i/>
                <w:sz w:val="20"/>
                <w:szCs w:val="20"/>
              </w:rPr>
            </w:pPr>
          </w:p>
          <w:p w:rsidR="00867E38" w:rsidRPr="00115B6A" w:rsidRDefault="00867E38" w:rsidP="00097C7D">
            <w:pPr>
              <w:keepNext/>
              <w:keepLines/>
              <w:rPr>
                <w:rFonts w:ascii="Arial Narrow" w:hAnsi="Arial Narrow" w:cstheme="minorHAnsi"/>
                <w:sz w:val="20"/>
                <w:szCs w:val="20"/>
              </w:rPr>
            </w:pPr>
          </w:p>
        </w:tc>
        <w:tc>
          <w:tcPr>
            <w:tcW w:w="4048" w:type="pct"/>
            <w:gridSpan w:val="6"/>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spacing w:line="276" w:lineRule="auto"/>
              <w:rPr>
                <w:rFonts w:ascii="Arial Narrow" w:eastAsia="Calibri" w:hAnsi="Arial Narrow" w:cstheme="minorHAnsi"/>
                <w:sz w:val="20"/>
                <w:szCs w:val="20"/>
              </w:rPr>
            </w:pPr>
            <w:r w:rsidRPr="00115B6A">
              <w:rPr>
                <w:rFonts w:ascii="Arial Narrow" w:eastAsia="Calibri" w:hAnsi="Arial Narrow" w:cstheme="minorHAnsi"/>
                <w:sz w:val="20"/>
                <w:szCs w:val="20"/>
              </w:rPr>
              <w:t>Patient must have previously received PBS-subsidised treatment with this drug for this condition</w:t>
            </w:r>
          </w:p>
          <w:p w:rsidR="00867E38" w:rsidRPr="00115B6A" w:rsidRDefault="00867E38" w:rsidP="00097C7D">
            <w:pPr>
              <w:keepNext/>
              <w:keepLines/>
              <w:spacing w:line="276" w:lineRule="auto"/>
              <w:rPr>
                <w:rFonts w:ascii="Arial Narrow" w:eastAsia="Calibri" w:hAnsi="Arial Narrow" w:cstheme="minorHAnsi"/>
                <w:sz w:val="20"/>
                <w:szCs w:val="20"/>
              </w:rPr>
            </w:pPr>
            <w:r w:rsidRPr="00115B6A">
              <w:rPr>
                <w:rFonts w:ascii="Arial Narrow" w:eastAsia="Calibri" w:hAnsi="Arial Narrow" w:cstheme="minorHAnsi"/>
                <w:sz w:val="20"/>
                <w:szCs w:val="20"/>
              </w:rPr>
              <w:t>AND</w:t>
            </w:r>
          </w:p>
          <w:p w:rsidR="00867E38" w:rsidRPr="00115B6A" w:rsidRDefault="00867E38" w:rsidP="00097C7D">
            <w:pPr>
              <w:keepNext/>
              <w:keepLines/>
              <w:spacing w:line="276" w:lineRule="auto"/>
              <w:rPr>
                <w:rFonts w:ascii="Arial Narrow" w:hAnsi="Arial Narrow" w:cstheme="minorHAnsi"/>
                <w:sz w:val="20"/>
                <w:szCs w:val="20"/>
              </w:rPr>
            </w:pPr>
            <w:r w:rsidRPr="00115B6A">
              <w:rPr>
                <w:rFonts w:ascii="Arial Narrow" w:eastAsia="Calibri" w:hAnsi="Arial Narrow" w:cstheme="minorHAnsi"/>
                <w:sz w:val="20"/>
                <w:szCs w:val="20"/>
              </w:rPr>
              <w:t>The treatment with this drug for this condition must not exceed a total of 12 months of therapy</w:t>
            </w:r>
            <w:r w:rsidRPr="00115B6A">
              <w:rPr>
                <w:rFonts w:ascii="Arial Narrow" w:hAnsi="Arial Narrow" w:cstheme="minorHAnsi"/>
                <w:i/>
                <w:sz w:val="20"/>
                <w:szCs w:val="20"/>
              </w:rPr>
              <w:t xml:space="preserve"> </w:t>
            </w:r>
          </w:p>
        </w:tc>
      </w:tr>
      <w:tr w:rsidR="00867E38" w:rsidRPr="00115B6A" w:rsidTr="00097C7D">
        <w:trPr>
          <w:cantSplit/>
          <w:trHeight w:val="20"/>
        </w:trPr>
        <w:tc>
          <w:tcPr>
            <w:tcW w:w="952" w:type="pct"/>
            <w:tcBorders>
              <w:top w:val="single" w:sz="4" w:space="0" w:color="auto"/>
              <w:left w:val="single" w:sz="4" w:space="0" w:color="auto"/>
              <w:bottom w:val="single" w:sz="4" w:space="0" w:color="auto"/>
              <w:right w:val="single" w:sz="4" w:space="0" w:color="auto"/>
            </w:tcBorders>
          </w:tcPr>
          <w:p w:rsidR="00867E38" w:rsidRPr="00115B6A" w:rsidRDefault="00867E38" w:rsidP="00097C7D">
            <w:pPr>
              <w:keepNext/>
              <w:keepLines/>
              <w:rPr>
                <w:rFonts w:ascii="Arial Narrow" w:hAnsi="Arial Narrow" w:cstheme="minorHAnsi"/>
                <w:sz w:val="20"/>
                <w:szCs w:val="20"/>
              </w:rPr>
            </w:pPr>
            <w:r w:rsidRPr="00115B6A">
              <w:rPr>
                <w:rFonts w:ascii="Arial Narrow" w:hAnsi="Arial Narrow" w:cstheme="minorHAnsi"/>
                <w:b/>
                <w:sz w:val="20"/>
                <w:szCs w:val="20"/>
              </w:rPr>
              <w:t>Administrative Advice</w:t>
            </w:r>
          </w:p>
        </w:tc>
        <w:tc>
          <w:tcPr>
            <w:tcW w:w="4048" w:type="pct"/>
            <w:gridSpan w:val="6"/>
            <w:tcBorders>
              <w:top w:val="single" w:sz="4" w:space="0" w:color="auto"/>
              <w:left w:val="single" w:sz="4" w:space="0" w:color="auto"/>
              <w:bottom w:val="single" w:sz="4" w:space="0" w:color="auto"/>
              <w:right w:val="single" w:sz="4" w:space="0" w:color="auto"/>
            </w:tcBorders>
          </w:tcPr>
          <w:p w:rsidR="00DD62AA" w:rsidRPr="00115B6A" w:rsidRDefault="00DD62AA" w:rsidP="00DD62AA">
            <w:pPr>
              <w:rPr>
                <w:rFonts w:ascii="Arial Narrow" w:eastAsia="Calibri" w:hAnsi="Arial Narrow"/>
                <w:sz w:val="20"/>
              </w:rPr>
            </w:pPr>
            <w:r w:rsidRPr="00115B6A">
              <w:rPr>
                <w:rFonts w:ascii="Arial Narrow" w:eastAsia="Calibri" w:hAnsi="Arial Narrow"/>
                <w:sz w:val="20"/>
              </w:rPr>
              <w:t>A patient may only qualify for PBS-subsidised treatment under this restriction once in a lifetime.</w:t>
            </w:r>
          </w:p>
          <w:p w:rsidR="00DD62AA" w:rsidRPr="00115B6A" w:rsidRDefault="00DD62AA" w:rsidP="00097C7D">
            <w:pPr>
              <w:keepNext/>
              <w:keepLines/>
              <w:rPr>
                <w:rFonts w:ascii="Arial Narrow" w:hAnsi="Arial Narrow" w:cstheme="minorHAnsi"/>
                <w:sz w:val="20"/>
                <w:szCs w:val="20"/>
              </w:rPr>
            </w:pPr>
          </w:p>
          <w:p w:rsidR="00867E38" w:rsidRDefault="00867E38" w:rsidP="00097C7D">
            <w:pPr>
              <w:keepNext/>
              <w:keepLines/>
              <w:rPr>
                <w:rFonts w:ascii="Arial Narrow" w:hAnsi="Arial Narrow" w:cstheme="minorHAnsi"/>
                <w:sz w:val="20"/>
                <w:szCs w:val="20"/>
              </w:rPr>
            </w:pPr>
            <w:r w:rsidRPr="00115B6A">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r w:rsidR="00115B6A">
              <w:rPr>
                <w:rFonts w:ascii="Arial Narrow" w:hAnsi="Arial Narrow" w:cstheme="minorHAnsi"/>
                <w:sz w:val="20"/>
                <w:szCs w:val="20"/>
              </w:rPr>
              <w:t xml:space="preserve">. </w:t>
            </w:r>
          </w:p>
          <w:p w:rsidR="00E9149A" w:rsidRDefault="00E9149A" w:rsidP="00097C7D">
            <w:pPr>
              <w:keepNext/>
              <w:keepLines/>
              <w:rPr>
                <w:rFonts w:ascii="Arial Narrow" w:hAnsi="Arial Narrow" w:cstheme="minorHAnsi"/>
                <w:sz w:val="20"/>
                <w:szCs w:val="20"/>
              </w:rPr>
            </w:pPr>
          </w:p>
          <w:p w:rsidR="00E9149A" w:rsidRPr="00115B6A" w:rsidRDefault="00E9149A" w:rsidP="00E9149A">
            <w:pPr>
              <w:rPr>
                <w:rFonts w:ascii="Arial Narrow" w:hAnsi="Arial Narrow" w:cstheme="minorHAnsi"/>
                <w:sz w:val="20"/>
                <w:szCs w:val="20"/>
              </w:rPr>
            </w:pPr>
            <w:r w:rsidRPr="00115B6A">
              <w:rPr>
                <w:rFonts w:ascii="Arial Narrow" w:hAnsi="Arial Narrow" w:cstheme="minorHAnsi"/>
                <w:sz w:val="20"/>
                <w:szCs w:val="20"/>
              </w:rPr>
              <w:t>No increase in the maximum quantity or number of units may be authorised.</w:t>
            </w:r>
          </w:p>
          <w:p w:rsidR="00E9149A" w:rsidRPr="00115B6A" w:rsidRDefault="00E9149A" w:rsidP="003D454B">
            <w:pPr>
              <w:rPr>
                <w:rFonts w:ascii="Arial Narrow" w:hAnsi="Arial Narrow" w:cstheme="minorHAnsi"/>
                <w:sz w:val="20"/>
                <w:szCs w:val="20"/>
              </w:rPr>
            </w:pPr>
            <w:r w:rsidRPr="00115B6A">
              <w:rPr>
                <w:rFonts w:ascii="Arial Narrow" w:hAnsi="Arial Narrow" w:cstheme="minorHAnsi"/>
                <w:sz w:val="20"/>
                <w:szCs w:val="20"/>
              </w:rPr>
              <w:t xml:space="preserve">No increase in the maximum number of repeats may be authorised. </w:t>
            </w:r>
          </w:p>
        </w:tc>
      </w:tr>
    </w:tbl>
    <w:p w:rsidR="00EA46CA" w:rsidRPr="00EA46CA" w:rsidRDefault="00EA46CA" w:rsidP="003744A9">
      <w:pPr>
        <w:widowControl w:val="0"/>
        <w:numPr>
          <w:ilvl w:val="0"/>
          <w:numId w:val="5"/>
        </w:numPr>
        <w:spacing w:before="120" w:after="120"/>
        <w:jc w:val="both"/>
        <w:outlineLvl w:val="0"/>
        <w:rPr>
          <w:rFonts w:asciiTheme="minorHAnsi" w:hAnsiTheme="minorHAnsi" w:cs="Arial"/>
          <w:b/>
          <w:bCs/>
          <w:snapToGrid w:val="0"/>
          <w:sz w:val="32"/>
        </w:rPr>
      </w:pPr>
      <w:r w:rsidRPr="00EA46CA">
        <w:rPr>
          <w:rFonts w:asciiTheme="minorHAnsi" w:hAnsiTheme="minorHAnsi" w:cs="Arial"/>
          <w:b/>
          <w:bCs/>
          <w:snapToGrid w:val="0"/>
          <w:sz w:val="32"/>
        </w:rPr>
        <w:t>Context for Decision</w:t>
      </w:r>
    </w:p>
    <w:p w:rsidR="00EA46CA" w:rsidRPr="00E45AA8" w:rsidRDefault="00EA46CA" w:rsidP="003744A9">
      <w:pPr>
        <w:spacing w:before="120" w:after="120"/>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A46CA" w:rsidRPr="00EA46CA" w:rsidRDefault="00EA46CA" w:rsidP="003744A9">
      <w:pPr>
        <w:widowControl w:val="0"/>
        <w:numPr>
          <w:ilvl w:val="0"/>
          <w:numId w:val="5"/>
        </w:numPr>
        <w:spacing w:before="120" w:after="120"/>
        <w:jc w:val="both"/>
        <w:outlineLvl w:val="0"/>
        <w:rPr>
          <w:rFonts w:asciiTheme="minorHAnsi" w:hAnsiTheme="minorHAnsi" w:cs="Arial"/>
          <w:b/>
          <w:bCs/>
          <w:snapToGrid w:val="0"/>
          <w:sz w:val="32"/>
        </w:rPr>
      </w:pPr>
      <w:r w:rsidRPr="00EA46CA">
        <w:rPr>
          <w:rFonts w:asciiTheme="minorHAnsi" w:hAnsiTheme="minorHAnsi" w:cs="Arial"/>
          <w:b/>
          <w:bCs/>
          <w:snapToGrid w:val="0"/>
          <w:sz w:val="32"/>
        </w:rPr>
        <w:t>Sponsor’s Comment</w:t>
      </w:r>
    </w:p>
    <w:p w:rsidR="00EA46CA" w:rsidRPr="003744A9" w:rsidRDefault="00EA46CA" w:rsidP="003744A9">
      <w:pPr>
        <w:spacing w:before="120" w:after="120"/>
        <w:ind w:left="709"/>
        <w:jc w:val="both"/>
        <w:rPr>
          <w:rFonts w:asciiTheme="minorHAnsi" w:hAnsiTheme="minorHAnsi" w:cs="Arial"/>
          <w:bCs/>
        </w:rPr>
      </w:pPr>
      <w:r w:rsidRPr="00C07617">
        <w:rPr>
          <w:rFonts w:asciiTheme="minorHAnsi" w:hAnsiTheme="minorHAnsi" w:cs="Arial"/>
          <w:bCs/>
        </w:rPr>
        <w:t>The sponsor had no comment.</w:t>
      </w:r>
    </w:p>
    <w:sectPr w:rsidR="00EA46CA" w:rsidRPr="003744A9"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60" w:rsidRDefault="00EA7660">
      <w:r>
        <w:separator/>
      </w:r>
    </w:p>
    <w:p w:rsidR="00EA7660" w:rsidRDefault="00EA7660"/>
  </w:endnote>
  <w:endnote w:type="continuationSeparator" w:id="0">
    <w:p w:rsidR="00EA7660" w:rsidRDefault="00EA7660">
      <w:r>
        <w:continuationSeparator/>
      </w:r>
    </w:p>
    <w:p w:rsidR="00EA7660" w:rsidRDefault="00EA7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A3C9F" w:rsidTr="005A3173">
      <w:trPr>
        <w:trHeight w:val="151"/>
      </w:trPr>
      <w:tc>
        <w:tcPr>
          <w:tcW w:w="2250" w:type="pct"/>
          <w:tcBorders>
            <w:top w:val="nil"/>
            <w:left w:val="nil"/>
            <w:bottom w:val="single" w:sz="4" w:space="0" w:color="4F81BD"/>
            <w:right w:val="nil"/>
          </w:tcBorders>
        </w:tcPr>
        <w:p w:rsidR="002A3C9F" w:rsidRPr="005A3173" w:rsidRDefault="002A3C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A3C9F" w:rsidRPr="005A3173" w:rsidRDefault="002A3C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3C9F" w:rsidRPr="005A3173" w:rsidRDefault="002A3C9F" w:rsidP="005A3173">
          <w:pPr>
            <w:pStyle w:val="Header"/>
            <w:spacing w:line="276" w:lineRule="auto"/>
            <w:rPr>
              <w:rFonts w:ascii="Calibri" w:eastAsia="MS Gothic" w:hAnsi="Calibri"/>
              <w:b/>
              <w:bCs/>
              <w:color w:val="4F81BD"/>
            </w:rPr>
          </w:pPr>
        </w:p>
      </w:tc>
    </w:tr>
    <w:tr w:rsidR="002A3C9F" w:rsidTr="005A3173">
      <w:trPr>
        <w:trHeight w:val="150"/>
      </w:trPr>
      <w:tc>
        <w:tcPr>
          <w:tcW w:w="2250" w:type="pct"/>
          <w:tcBorders>
            <w:top w:val="single" w:sz="4" w:space="0" w:color="4F81BD"/>
            <w:left w:val="nil"/>
            <w:bottom w:val="nil"/>
            <w:right w:val="nil"/>
          </w:tcBorders>
        </w:tcPr>
        <w:p w:rsidR="002A3C9F" w:rsidRPr="005A3173" w:rsidRDefault="002A3C9F" w:rsidP="005A3173">
          <w:pPr>
            <w:pStyle w:val="Header"/>
            <w:spacing w:line="276" w:lineRule="auto"/>
            <w:rPr>
              <w:rFonts w:ascii="Calibri" w:eastAsia="MS Gothic" w:hAnsi="Calibri"/>
              <w:b/>
              <w:bCs/>
              <w:color w:val="4F81BD"/>
            </w:rPr>
          </w:pPr>
        </w:p>
      </w:tc>
      <w:tc>
        <w:tcPr>
          <w:tcW w:w="0" w:type="auto"/>
          <w:vMerge/>
          <w:vAlign w:val="center"/>
          <w:hideMark/>
        </w:tcPr>
        <w:p w:rsidR="002A3C9F" w:rsidRPr="005A3173" w:rsidRDefault="002A3C9F" w:rsidP="005A3173">
          <w:pPr>
            <w:rPr>
              <w:rFonts w:ascii="Calibri" w:hAnsi="Calibri"/>
              <w:color w:val="365F91"/>
              <w:sz w:val="22"/>
              <w:szCs w:val="22"/>
            </w:rPr>
          </w:pPr>
        </w:p>
      </w:tc>
      <w:tc>
        <w:tcPr>
          <w:tcW w:w="2250" w:type="pct"/>
          <w:tcBorders>
            <w:top w:val="single" w:sz="4" w:space="0" w:color="4F81BD"/>
            <w:left w:val="nil"/>
            <w:bottom w:val="nil"/>
            <w:right w:val="nil"/>
          </w:tcBorders>
        </w:tcPr>
        <w:p w:rsidR="002A3C9F" w:rsidRPr="005A3173" w:rsidRDefault="002A3C9F" w:rsidP="005A3173">
          <w:pPr>
            <w:pStyle w:val="Header"/>
            <w:spacing w:line="276" w:lineRule="auto"/>
            <w:rPr>
              <w:rFonts w:ascii="Calibri" w:eastAsia="MS Gothic" w:hAnsi="Calibri"/>
              <w:b/>
              <w:bCs/>
              <w:color w:val="4F81BD"/>
            </w:rPr>
          </w:pPr>
        </w:p>
      </w:tc>
    </w:tr>
  </w:tbl>
  <w:p w:rsidR="002A3C9F" w:rsidRDefault="002A3C9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C9F" w:rsidRDefault="002A3C9F">
    <w:pPr>
      <w:pStyle w:val="Footer"/>
    </w:pPr>
  </w:p>
  <w:p w:rsidR="002A3C9F" w:rsidRDefault="002A3C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558675162"/>
      <w:docPartObj>
        <w:docPartGallery w:val="Page Numbers (Bottom of Page)"/>
        <w:docPartUnique/>
      </w:docPartObj>
    </w:sdtPr>
    <w:sdtEndPr>
      <w:rPr>
        <w:b/>
        <w:noProof/>
      </w:rPr>
    </w:sdtEndPr>
    <w:sdtContent>
      <w:p w:rsidR="002A3C9F" w:rsidRPr="000367DF" w:rsidRDefault="002A3C9F">
        <w:pPr>
          <w:pStyle w:val="Footer"/>
          <w:jc w:val="center"/>
          <w:rPr>
            <w:rFonts w:asciiTheme="minorHAnsi" w:hAnsiTheme="minorHAnsi" w:cstheme="minorHAnsi"/>
            <w:b/>
          </w:rPr>
        </w:pPr>
        <w:r w:rsidRPr="000367DF">
          <w:rPr>
            <w:rFonts w:asciiTheme="minorHAnsi" w:hAnsiTheme="minorHAnsi" w:cstheme="minorHAnsi"/>
            <w:b/>
          </w:rPr>
          <w:fldChar w:fldCharType="begin"/>
        </w:r>
        <w:r w:rsidRPr="000367DF">
          <w:rPr>
            <w:rFonts w:asciiTheme="minorHAnsi" w:hAnsiTheme="minorHAnsi" w:cstheme="minorHAnsi"/>
            <w:b/>
          </w:rPr>
          <w:instrText xml:space="preserve"> PAGE   \* MERGEFORMAT </w:instrText>
        </w:r>
        <w:r w:rsidRPr="000367DF">
          <w:rPr>
            <w:rFonts w:asciiTheme="minorHAnsi" w:hAnsiTheme="minorHAnsi" w:cstheme="minorHAnsi"/>
            <w:b/>
          </w:rPr>
          <w:fldChar w:fldCharType="separate"/>
        </w:r>
        <w:r w:rsidR="001D4D95">
          <w:rPr>
            <w:rFonts w:asciiTheme="minorHAnsi" w:hAnsiTheme="minorHAnsi" w:cstheme="minorHAnsi"/>
            <w:b/>
            <w:noProof/>
          </w:rPr>
          <w:t>13</w:t>
        </w:r>
        <w:r w:rsidRPr="000367DF">
          <w:rPr>
            <w:rFonts w:asciiTheme="minorHAnsi" w:hAnsiTheme="minorHAnsi" w:cstheme="minorHAnsi"/>
            <w:b/>
            <w:noProof/>
          </w:rPr>
          <w:fldChar w:fldCharType="end"/>
        </w:r>
      </w:p>
    </w:sdtContent>
  </w:sdt>
  <w:p w:rsidR="002A3C9F" w:rsidRPr="005E1333" w:rsidRDefault="002A3C9F" w:rsidP="003528D3">
    <w:pPr>
      <w:pStyle w:val="Footer"/>
      <w:spacing w:after="50"/>
      <w:jc w:val="center"/>
      <w:rPr>
        <w:rFonts w:asciiTheme="minorHAnsi" w:hAnsiTheme="minorHAnsi" w:cs="Arial"/>
        <w:b/>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2A3C9F" w:rsidTr="005A3173">
      <w:trPr>
        <w:trHeight w:val="151"/>
      </w:trPr>
      <w:tc>
        <w:tcPr>
          <w:tcW w:w="2250" w:type="pct"/>
          <w:tcBorders>
            <w:top w:val="nil"/>
            <w:left w:val="nil"/>
            <w:bottom w:val="single" w:sz="4" w:space="0" w:color="4F81BD"/>
            <w:right w:val="nil"/>
          </w:tcBorders>
        </w:tcPr>
        <w:p w:rsidR="002A3C9F" w:rsidRPr="005A3173" w:rsidRDefault="002A3C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A3C9F" w:rsidRPr="005A3173" w:rsidRDefault="002A3C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3C9F" w:rsidRPr="005A3173" w:rsidRDefault="002A3C9F" w:rsidP="005A3173">
          <w:pPr>
            <w:pStyle w:val="Header"/>
            <w:spacing w:line="276" w:lineRule="auto"/>
            <w:rPr>
              <w:rFonts w:ascii="Calibri" w:eastAsia="MS Gothic" w:hAnsi="Calibri"/>
              <w:b/>
              <w:bCs/>
              <w:color w:val="4F81BD"/>
            </w:rPr>
          </w:pPr>
        </w:p>
      </w:tc>
    </w:tr>
    <w:tr w:rsidR="002A3C9F" w:rsidTr="005A3173">
      <w:trPr>
        <w:trHeight w:val="150"/>
      </w:trPr>
      <w:tc>
        <w:tcPr>
          <w:tcW w:w="2250" w:type="pct"/>
          <w:tcBorders>
            <w:top w:val="single" w:sz="4" w:space="0" w:color="4F81BD"/>
            <w:left w:val="nil"/>
            <w:bottom w:val="nil"/>
            <w:right w:val="nil"/>
          </w:tcBorders>
        </w:tcPr>
        <w:p w:rsidR="002A3C9F" w:rsidRPr="005A3173" w:rsidRDefault="002A3C9F" w:rsidP="005A3173">
          <w:pPr>
            <w:pStyle w:val="Header"/>
            <w:spacing w:line="276" w:lineRule="auto"/>
            <w:rPr>
              <w:rFonts w:ascii="Calibri" w:eastAsia="MS Gothic" w:hAnsi="Calibri"/>
              <w:b/>
              <w:bCs/>
              <w:color w:val="4F81BD"/>
            </w:rPr>
          </w:pPr>
        </w:p>
      </w:tc>
      <w:tc>
        <w:tcPr>
          <w:tcW w:w="0" w:type="auto"/>
          <w:vMerge/>
          <w:vAlign w:val="center"/>
          <w:hideMark/>
        </w:tcPr>
        <w:p w:rsidR="002A3C9F" w:rsidRPr="005A3173" w:rsidRDefault="002A3C9F" w:rsidP="005A3173">
          <w:pPr>
            <w:rPr>
              <w:rFonts w:ascii="Calibri" w:hAnsi="Calibri"/>
              <w:color w:val="365F91"/>
              <w:sz w:val="22"/>
              <w:szCs w:val="22"/>
            </w:rPr>
          </w:pPr>
        </w:p>
      </w:tc>
      <w:tc>
        <w:tcPr>
          <w:tcW w:w="2250" w:type="pct"/>
          <w:tcBorders>
            <w:top w:val="single" w:sz="4" w:space="0" w:color="4F81BD"/>
            <w:left w:val="nil"/>
            <w:bottom w:val="nil"/>
            <w:right w:val="nil"/>
          </w:tcBorders>
        </w:tcPr>
        <w:p w:rsidR="002A3C9F" w:rsidRPr="005A3173" w:rsidRDefault="002A3C9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A3C9F" w:rsidTr="005A3173">
      <w:trPr>
        <w:trHeight w:val="151"/>
      </w:trPr>
      <w:tc>
        <w:tcPr>
          <w:tcW w:w="2250" w:type="pct"/>
          <w:tcBorders>
            <w:top w:val="nil"/>
            <w:left w:val="nil"/>
            <w:bottom w:val="single" w:sz="4" w:space="0" w:color="4F81BD"/>
            <w:right w:val="nil"/>
          </w:tcBorders>
        </w:tcPr>
        <w:p w:rsidR="002A3C9F" w:rsidRPr="005A3173" w:rsidRDefault="002A3C9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A3C9F" w:rsidRPr="005A3173" w:rsidRDefault="002A3C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A3C9F" w:rsidRPr="005A3173" w:rsidRDefault="002A3C9F" w:rsidP="005A3173">
          <w:pPr>
            <w:pStyle w:val="Header"/>
            <w:spacing w:line="276" w:lineRule="auto"/>
            <w:rPr>
              <w:rFonts w:ascii="Calibri" w:eastAsia="MS Gothic" w:hAnsi="Calibri"/>
              <w:b/>
              <w:bCs/>
              <w:color w:val="4F81BD"/>
            </w:rPr>
          </w:pPr>
        </w:p>
      </w:tc>
    </w:tr>
    <w:tr w:rsidR="002A3C9F" w:rsidTr="005A3173">
      <w:trPr>
        <w:trHeight w:val="150"/>
      </w:trPr>
      <w:tc>
        <w:tcPr>
          <w:tcW w:w="2250" w:type="pct"/>
          <w:tcBorders>
            <w:top w:val="single" w:sz="4" w:space="0" w:color="4F81BD"/>
            <w:left w:val="nil"/>
            <w:bottom w:val="nil"/>
            <w:right w:val="nil"/>
          </w:tcBorders>
        </w:tcPr>
        <w:p w:rsidR="002A3C9F" w:rsidRPr="005A3173" w:rsidRDefault="002A3C9F" w:rsidP="005A3173">
          <w:pPr>
            <w:pStyle w:val="Header"/>
            <w:spacing w:line="276" w:lineRule="auto"/>
            <w:rPr>
              <w:rFonts w:ascii="Calibri" w:eastAsia="MS Gothic" w:hAnsi="Calibri"/>
              <w:b/>
              <w:bCs/>
              <w:color w:val="4F81BD"/>
            </w:rPr>
          </w:pPr>
        </w:p>
      </w:tc>
      <w:tc>
        <w:tcPr>
          <w:tcW w:w="0" w:type="auto"/>
          <w:vMerge/>
          <w:vAlign w:val="center"/>
          <w:hideMark/>
        </w:tcPr>
        <w:p w:rsidR="002A3C9F" w:rsidRPr="005A3173" w:rsidRDefault="002A3C9F" w:rsidP="005A3173">
          <w:pPr>
            <w:rPr>
              <w:rFonts w:ascii="Calibri" w:hAnsi="Calibri"/>
              <w:color w:val="365F91"/>
              <w:sz w:val="22"/>
              <w:szCs w:val="22"/>
            </w:rPr>
          </w:pPr>
        </w:p>
      </w:tc>
      <w:tc>
        <w:tcPr>
          <w:tcW w:w="2250" w:type="pct"/>
          <w:tcBorders>
            <w:top w:val="single" w:sz="4" w:space="0" w:color="4F81BD"/>
            <w:left w:val="nil"/>
            <w:bottom w:val="nil"/>
            <w:right w:val="nil"/>
          </w:tcBorders>
        </w:tcPr>
        <w:p w:rsidR="002A3C9F" w:rsidRPr="005A3173" w:rsidRDefault="002A3C9F" w:rsidP="005A3173">
          <w:pPr>
            <w:pStyle w:val="Header"/>
            <w:spacing w:line="276" w:lineRule="auto"/>
            <w:rPr>
              <w:rFonts w:ascii="Calibri" w:eastAsia="MS Gothic" w:hAnsi="Calibri"/>
              <w:b/>
              <w:bCs/>
              <w:color w:val="4F81BD"/>
            </w:rPr>
          </w:pPr>
        </w:p>
      </w:tc>
    </w:tr>
  </w:tbl>
  <w:p w:rsidR="002A3C9F" w:rsidRPr="007C0F57" w:rsidRDefault="002A3C9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A3C9F" w:rsidRPr="007C0F57" w:rsidRDefault="002A3C9F" w:rsidP="007C0F57">
    <w:pPr>
      <w:pStyle w:val="Footer"/>
      <w:jc w:val="center"/>
      <w:rPr>
        <w:b/>
        <w:i/>
        <w:sz w:val="20"/>
        <w:szCs w:val="20"/>
      </w:rPr>
    </w:pPr>
    <w:r w:rsidRPr="007C0F57">
      <w:rPr>
        <w:b/>
        <w:i/>
        <w:sz w:val="20"/>
        <w:szCs w:val="20"/>
      </w:rPr>
      <w:t>Commercial-in-Confidence</w:t>
    </w:r>
  </w:p>
  <w:p w:rsidR="002A3C9F" w:rsidRDefault="002A3C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60" w:rsidRDefault="00EA7660">
      <w:r>
        <w:separator/>
      </w:r>
    </w:p>
    <w:p w:rsidR="00EA7660" w:rsidRDefault="00EA7660"/>
  </w:footnote>
  <w:footnote w:type="continuationSeparator" w:id="0">
    <w:p w:rsidR="00EA7660" w:rsidRDefault="00EA7660">
      <w:r>
        <w:continuationSeparator/>
      </w:r>
    </w:p>
    <w:p w:rsidR="00EA7660" w:rsidRDefault="00EA76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A3C9F" w:rsidRPr="008E0D90" w:rsidTr="00A06225">
      <w:trPr>
        <w:trHeight w:val="151"/>
      </w:trPr>
      <w:tc>
        <w:tcPr>
          <w:tcW w:w="2389" w:type="pct"/>
          <w:tcBorders>
            <w:top w:val="nil"/>
            <w:left w:val="nil"/>
            <w:bottom w:val="single" w:sz="4" w:space="0" w:color="4F81BD"/>
            <w:right w:val="nil"/>
          </w:tcBorders>
        </w:tcPr>
        <w:p w:rsidR="002A3C9F" w:rsidRPr="00A06225" w:rsidRDefault="002A3C9F">
          <w:pPr>
            <w:pStyle w:val="Header"/>
            <w:spacing w:line="276" w:lineRule="auto"/>
            <w:rPr>
              <w:rFonts w:ascii="Cambria" w:eastAsia="MS Gothic" w:hAnsi="Cambria"/>
              <w:b/>
              <w:bCs/>
              <w:color w:val="4F81BD"/>
            </w:rPr>
          </w:pPr>
        </w:p>
      </w:tc>
      <w:tc>
        <w:tcPr>
          <w:tcW w:w="333" w:type="pct"/>
          <w:vMerge w:val="restart"/>
          <w:noWrap/>
          <w:vAlign w:val="center"/>
          <w:hideMark/>
        </w:tcPr>
        <w:p w:rsidR="002A3C9F" w:rsidRPr="00A06225" w:rsidRDefault="002A3C9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A3C9F" w:rsidRPr="00A06225" w:rsidRDefault="002A3C9F">
          <w:pPr>
            <w:pStyle w:val="Header"/>
            <w:spacing w:line="276" w:lineRule="auto"/>
            <w:rPr>
              <w:rFonts w:ascii="Cambria" w:eastAsia="MS Gothic" w:hAnsi="Cambria"/>
              <w:b/>
              <w:bCs/>
              <w:color w:val="4F81BD"/>
            </w:rPr>
          </w:pPr>
        </w:p>
      </w:tc>
    </w:tr>
    <w:tr w:rsidR="002A3C9F" w:rsidRPr="008E0D90" w:rsidTr="00A06225">
      <w:trPr>
        <w:trHeight w:val="150"/>
      </w:trPr>
      <w:tc>
        <w:tcPr>
          <w:tcW w:w="2389" w:type="pct"/>
          <w:tcBorders>
            <w:top w:val="single" w:sz="4" w:space="0" w:color="4F81BD"/>
            <w:left w:val="nil"/>
            <w:bottom w:val="nil"/>
            <w:right w:val="nil"/>
          </w:tcBorders>
        </w:tcPr>
        <w:p w:rsidR="002A3C9F" w:rsidRPr="00A06225" w:rsidRDefault="002A3C9F">
          <w:pPr>
            <w:pStyle w:val="Header"/>
            <w:spacing w:line="276" w:lineRule="auto"/>
            <w:rPr>
              <w:rFonts w:ascii="Cambria" w:eastAsia="MS Gothic" w:hAnsi="Cambria"/>
              <w:b/>
              <w:bCs/>
              <w:color w:val="4F81BD"/>
            </w:rPr>
          </w:pPr>
        </w:p>
      </w:tc>
      <w:tc>
        <w:tcPr>
          <w:tcW w:w="0" w:type="auto"/>
          <w:vMerge/>
          <w:vAlign w:val="center"/>
          <w:hideMark/>
        </w:tcPr>
        <w:p w:rsidR="002A3C9F" w:rsidRPr="00A06225" w:rsidRDefault="002A3C9F">
          <w:pPr>
            <w:rPr>
              <w:rFonts w:ascii="Cambria" w:hAnsi="Cambria"/>
              <w:color w:val="4F81BD"/>
              <w:sz w:val="22"/>
              <w:szCs w:val="22"/>
            </w:rPr>
          </w:pPr>
        </w:p>
      </w:tc>
      <w:tc>
        <w:tcPr>
          <w:tcW w:w="2278" w:type="pct"/>
          <w:tcBorders>
            <w:top w:val="single" w:sz="4" w:space="0" w:color="4F81BD"/>
            <w:left w:val="nil"/>
            <w:bottom w:val="nil"/>
            <w:right w:val="nil"/>
          </w:tcBorders>
        </w:tcPr>
        <w:p w:rsidR="002A3C9F" w:rsidRPr="00A06225" w:rsidRDefault="002A3C9F">
          <w:pPr>
            <w:pStyle w:val="Header"/>
            <w:spacing w:line="276" w:lineRule="auto"/>
            <w:rPr>
              <w:rFonts w:ascii="Cambria" w:eastAsia="MS Gothic" w:hAnsi="Cambria"/>
              <w:b/>
              <w:bCs/>
              <w:color w:val="4F81BD"/>
            </w:rPr>
          </w:pPr>
        </w:p>
      </w:tc>
    </w:tr>
  </w:tbl>
  <w:p w:rsidR="002A3C9F" w:rsidRDefault="002A3C9F">
    <w:pPr>
      <w:pStyle w:val="Header"/>
    </w:pPr>
  </w:p>
  <w:p w:rsidR="002A3C9F" w:rsidRDefault="002A3C9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9F" w:rsidRDefault="00EA46CA" w:rsidP="003C168C">
    <w:pPr>
      <w:pStyle w:val="Header"/>
      <w:spacing w:before="50"/>
      <w:jc w:val="center"/>
      <w:rPr>
        <w:rFonts w:asciiTheme="minorHAnsi" w:hAnsiTheme="minorHAnsi" w:cs="Arial"/>
        <w:i/>
      </w:rPr>
    </w:pPr>
    <w:r>
      <w:rPr>
        <w:rFonts w:asciiTheme="minorHAnsi" w:hAnsiTheme="minorHAnsi" w:cs="Arial"/>
        <w:i/>
      </w:rPr>
      <w:t>Public Summary Document</w:t>
    </w:r>
    <w:r w:rsidR="002A3C9F">
      <w:rPr>
        <w:rFonts w:asciiTheme="minorHAnsi" w:hAnsiTheme="minorHAnsi" w:cs="Arial"/>
        <w:i/>
      </w:rPr>
      <w:t xml:space="preserve"> – March 2019 PBAC Meeting</w:t>
    </w:r>
  </w:p>
  <w:p w:rsidR="002A3C9F" w:rsidRDefault="002A3C9F"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677B1"/>
    <w:multiLevelType w:val="hybridMultilevel"/>
    <w:tmpl w:val="379CDCA6"/>
    <w:lvl w:ilvl="0" w:tplc="95D220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E33794"/>
    <w:multiLevelType w:val="hybridMultilevel"/>
    <w:tmpl w:val="F4F4E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611C5"/>
    <w:multiLevelType w:val="hybridMultilevel"/>
    <w:tmpl w:val="0CFA3D54"/>
    <w:lvl w:ilvl="0" w:tplc="89FE75DC">
      <w:start w:val="3"/>
      <w:numFmt w:val="decimal"/>
      <w:lvlText w:val="1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90D13"/>
    <w:multiLevelType w:val="hybridMultilevel"/>
    <w:tmpl w:val="990E13CA"/>
    <w:lvl w:ilvl="0" w:tplc="89FE75DC">
      <w:start w:val="3"/>
      <w:numFmt w:val="decimal"/>
      <w:lvlText w:val="1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4E6825"/>
    <w:multiLevelType w:val="multilevel"/>
    <w:tmpl w:val="B95A3C9C"/>
    <w:lvl w:ilvl="0">
      <w:start w:val="1"/>
      <w:numFmt w:val="decimal"/>
      <w:lvlText w:val="%1"/>
      <w:lvlJc w:val="left"/>
      <w:pPr>
        <w:ind w:left="432" w:hanging="432"/>
      </w:pPr>
      <w:rPr>
        <w:rFonts w:hint="default"/>
        <w:b/>
      </w:rPr>
    </w:lvl>
    <w:lvl w:ilvl="1">
      <w:start w:val="1"/>
      <w:numFmt w:val="decimal"/>
      <w:lvlText w:val="%1.%2"/>
      <w:lvlJc w:val="left"/>
      <w:pPr>
        <w:ind w:left="1002"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F530F4"/>
    <w:multiLevelType w:val="hybridMultilevel"/>
    <w:tmpl w:val="86C00258"/>
    <w:lvl w:ilvl="0" w:tplc="EC367B6E">
      <w:start w:val="12"/>
      <w:numFmt w:val="bullet"/>
      <w:lvlText w:val="-"/>
      <w:lvlJc w:val="left"/>
      <w:pPr>
        <w:ind w:left="720" w:hanging="360"/>
      </w:pPr>
      <w:rPr>
        <w:rFonts w:ascii="Arial Narrow" w:eastAsia="Times New Roman" w:hAnsi="Arial Narro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92FFE"/>
    <w:multiLevelType w:val="hybridMultilevel"/>
    <w:tmpl w:val="A40856DC"/>
    <w:lvl w:ilvl="0" w:tplc="A394CFDE">
      <w:start w:val="1"/>
      <w:numFmt w:val="bullet"/>
      <w:lvlText w:val="•"/>
      <w:lvlJc w:val="left"/>
      <w:pPr>
        <w:tabs>
          <w:tab w:val="num" w:pos="720"/>
        </w:tabs>
        <w:ind w:left="720" w:hanging="360"/>
      </w:pPr>
      <w:rPr>
        <w:rFonts w:ascii="Times New Roman" w:hAnsi="Times New Roman" w:hint="default"/>
      </w:rPr>
    </w:lvl>
    <w:lvl w:ilvl="1" w:tplc="20468432" w:tentative="1">
      <w:start w:val="1"/>
      <w:numFmt w:val="bullet"/>
      <w:lvlText w:val="•"/>
      <w:lvlJc w:val="left"/>
      <w:pPr>
        <w:tabs>
          <w:tab w:val="num" w:pos="1440"/>
        </w:tabs>
        <w:ind w:left="1440" w:hanging="360"/>
      </w:pPr>
      <w:rPr>
        <w:rFonts w:ascii="Times New Roman" w:hAnsi="Times New Roman" w:hint="default"/>
      </w:rPr>
    </w:lvl>
    <w:lvl w:ilvl="2" w:tplc="D0C0D6D2" w:tentative="1">
      <w:start w:val="1"/>
      <w:numFmt w:val="bullet"/>
      <w:lvlText w:val="•"/>
      <w:lvlJc w:val="left"/>
      <w:pPr>
        <w:tabs>
          <w:tab w:val="num" w:pos="2160"/>
        </w:tabs>
        <w:ind w:left="2160" w:hanging="360"/>
      </w:pPr>
      <w:rPr>
        <w:rFonts w:ascii="Times New Roman" w:hAnsi="Times New Roman" w:hint="default"/>
      </w:rPr>
    </w:lvl>
    <w:lvl w:ilvl="3" w:tplc="B4C6BF80" w:tentative="1">
      <w:start w:val="1"/>
      <w:numFmt w:val="bullet"/>
      <w:lvlText w:val="•"/>
      <w:lvlJc w:val="left"/>
      <w:pPr>
        <w:tabs>
          <w:tab w:val="num" w:pos="2880"/>
        </w:tabs>
        <w:ind w:left="2880" w:hanging="360"/>
      </w:pPr>
      <w:rPr>
        <w:rFonts w:ascii="Times New Roman" w:hAnsi="Times New Roman" w:hint="default"/>
      </w:rPr>
    </w:lvl>
    <w:lvl w:ilvl="4" w:tplc="33ACA2C6" w:tentative="1">
      <w:start w:val="1"/>
      <w:numFmt w:val="bullet"/>
      <w:lvlText w:val="•"/>
      <w:lvlJc w:val="left"/>
      <w:pPr>
        <w:tabs>
          <w:tab w:val="num" w:pos="3600"/>
        </w:tabs>
        <w:ind w:left="3600" w:hanging="360"/>
      </w:pPr>
      <w:rPr>
        <w:rFonts w:ascii="Times New Roman" w:hAnsi="Times New Roman" w:hint="default"/>
      </w:rPr>
    </w:lvl>
    <w:lvl w:ilvl="5" w:tplc="FCB2F3D8" w:tentative="1">
      <w:start w:val="1"/>
      <w:numFmt w:val="bullet"/>
      <w:lvlText w:val="•"/>
      <w:lvlJc w:val="left"/>
      <w:pPr>
        <w:tabs>
          <w:tab w:val="num" w:pos="4320"/>
        </w:tabs>
        <w:ind w:left="4320" w:hanging="360"/>
      </w:pPr>
      <w:rPr>
        <w:rFonts w:ascii="Times New Roman" w:hAnsi="Times New Roman" w:hint="default"/>
      </w:rPr>
    </w:lvl>
    <w:lvl w:ilvl="6" w:tplc="6FB2900A" w:tentative="1">
      <w:start w:val="1"/>
      <w:numFmt w:val="bullet"/>
      <w:lvlText w:val="•"/>
      <w:lvlJc w:val="left"/>
      <w:pPr>
        <w:tabs>
          <w:tab w:val="num" w:pos="5040"/>
        </w:tabs>
        <w:ind w:left="5040" w:hanging="360"/>
      </w:pPr>
      <w:rPr>
        <w:rFonts w:ascii="Times New Roman" w:hAnsi="Times New Roman" w:hint="default"/>
      </w:rPr>
    </w:lvl>
    <w:lvl w:ilvl="7" w:tplc="3C4A6670" w:tentative="1">
      <w:start w:val="1"/>
      <w:numFmt w:val="bullet"/>
      <w:lvlText w:val="•"/>
      <w:lvlJc w:val="left"/>
      <w:pPr>
        <w:tabs>
          <w:tab w:val="num" w:pos="5760"/>
        </w:tabs>
        <w:ind w:left="5760" w:hanging="360"/>
      </w:pPr>
      <w:rPr>
        <w:rFonts w:ascii="Times New Roman" w:hAnsi="Times New Roman" w:hint="default"/>
      </w:rPr>
    </w:lvl>
    <w:lvl w:ilvl="8" w:tplc="75E679E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C8946AA"/>
    <w:multiLevelType w:val="hybridMultilevel"/>
    <w:tmpl w:val="2FF88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9B1987"/>
    <w:multiLevelType w:val="hybridMultilevel"/>
    <w:tmpl w:val="E7683ACE"/>
    <w:lvl w:ilvl="0" w:tplc="2BD272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2E2EA2"/>
    <w:multiLevelType w:val="hybridMultilevel"/>
    <w:tmpl w:val="5D8C4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5C1A83"/>
    <w:multiLevelType w:val="hybridMultilevel"/>
    <w:tmpl w:val="7E18FB2C"/>
    <w:lvl w:ilvl="0" w:tplc="708AF432">
      <w:start w:val="1"/>
      <w:numFmt w:val="bullet"/>
      <w:lvlText w:val="•"/>
      <w:lvlJc w:val="left"/>
      <w:pPr>
        <w:tabs>
          <w:tab w:val="num" w:pos="720"/>
        </w:tabs>
        <w:ind w:left="720" w:hanging="360"/>
      </w:pPr>
      <w:rPr>
        <w:rFonts w:ascii="Times New Roman" w:hAnsi="Times New Roman" w:hint="default"/>
      </w:rPr>
    </w:lvl>
    <w:lvl w:ilvl="1" w:tplc="E3E8D6B8" w:tentative="1">
      <w:start w:val="1"/>
      <w:numFmt w:val="bullet"/>
      <w:lvlText w:val="•"/>
      <w:lvlJc w:val="left"/>
      <w:pPr>
        <w:tabs>
          <w:tab w:val="num" w:pos="1440"/>
        </w:tabs>
        <w:ind w:left="1440" w:hanging="360"/>
      </w:pPr>
      <w:rPr>
        <w:rFonts w:ascii="Times New Roman" w:hAnsi="Times New Roman" w:hint="default"/>
      </w:rPr>
    </w:lvl>
    <w:lvl w:ilvl="2" w:tplc="0E926112" w:tentative="1">
      <w:start w:val="1"/>
      <w:numFmt w:val="bullet"/>
      <w:lvlText w:val="•"/>
      <w:lvlJc w:val="left"/>
      <w:pPr>
        <w:tabs>
          <w:tab w:val="num" w:pos="2160"/>
        </w:tabs>
        <w:ind w:left="2160" w:hanging="360"/>
      </w:pPr>
      <w:rPr>
        <w:rFonts w:ascii="Times New Roman" w:hAnsi="Times New Roman" w:hint="default"/>
      </w:rPr>
    </w:lvl>
    <w:lvl w:ilvl="3" w:tplc="58C02F18" w:tentative="1">
      <w:start w:val="1"/>
      <w:numFmt w:val="bullet"/>
      <w:lvlText w:val="•"/>
      <w:lvlJc w:val="left"/>
      <w:pPr>
        <w:tabs>
          <w:tab w:val="num" w:pos="2880"/>
        </w:tabs>
        <w:ind w:left="2880" w:hanging="360"/>
      </w:pPr>
      <w:rPr>
        <w:rFonts w:ascii="Times New Roman" w:hAnsi="Times New Roman" w:hint="default"/>
      </w:rPr>
    </w:lvl>
    <w:lvl w:ilvl="4" w:tplc="03DEAE78" w:tentative="1">
      <w:start w:val="1"/>
      <w:numFmt w:val="bullet"/>
      <w:lvlText w:val="•"/>
      <w:lvlJc w:val="left"/>
      <w:pPr>
        <w:tabs>
          <w:tab w:val="num" w:pos="3600"/>
        </w:tabs>
        <w:ind w:left="3600" w:hanging="360"/>
      </w:pPr>
      <w:rPr>
        <w:rFonts w:ascii="Times New Roman" w:hAnsi="Times New Roman" w:hint="default"/>
      </w:rPr>
    </w:lvl>
    <w:lvl w:ilvl="5" w:tplc="D7402924" w:tentative="1">
      <w:start w:val="1"/>
      <w:numFmt w:val="bullet"/>
      <w:lvlText w:val="•"/>
      <w:lvlJc w:val="left"/>
      <w:pPr>
        <w:tabs>
          <w:tab w:val="num" w:pos="4320"/>
        </w:tabs>
        <w:ind w:left="4320" w:hanging="360"/>
      </w:pPr>
      <w:rPr>
        <w:rFonts w:ascii="Times New Roman" w:hAnsi="Times New Roman" w:hint="default"/>
      </w:rPr>
    </w:lvl>
    <w:lvl w:ilvl="6" w:tplc="C3ECCD64" w:tentative="1">
      <w:start w:val="1"/>
      <w:numFmt w:val="bullet"/>
      <w:lvlText w:val="•"/>
      <w:lvlJc w:val="left"/>
      <w:pPr>
        <w:tabs>
          <w:tab w:val="num" w:pos="5040"/>
        </w:tabs>
        <w:ind w:left="5040" w:hanging="360"/>
      </w:pPr>
      <w:rPr>
        <w:rFonts w:ascii="Times New Roman" w:hAnsi="Times New Roman" w:hint="default"/>
      </w:rPr>
    </w:lvl>
    <w:lvl w:ilvl="7" w:tplc="0E6CA7D4" w:tentative="1">
      <w:start w:val="1"/>
      <w:numFmt w:val="bullet"/>
      <w:lvlText w:val="•"/>
      <w:lvlJc w:val="left"/>
      <w:pPr>
        <w:tabs>
          <w:tab w:val="num" w:pos="5760"/>
        </w:tabs>
        <w:ind w:left="5760" w:hanging="360"/>
      </w:pPr>
      <w:rPr>
        <w:rFonts w:ascii="Times New Roman" w:hAnsi="Times New Roman" w:hint="default"/>
      </w:rPr>
    </w:lvl>
    <w:lvl w:ilvl="8" w:tplc="07F4646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3486090"/>
    <w:multiLevelType w:val="hybridMultilevel"/>
    <w:tmpl w:val="964ECA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BD56AA"/>
    <w:multiLevelType w:val="hybridMultilevel"/>
    <w:tmpl w:val="91CE3A4A"/>
    <w:lvl w:ilvl="0" w:tplc="B9D6CA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ED6633"/>
    <w:multiLevelType w:val="hybridMultilevel"/>
    <w:tmpl w:val="90EC27E8"/>
    <w:lvl w:ilvl="0" w:tplc="61101FBA">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CA3D77"/>
    <w:multiLevelType w:val="hybridMultilevel"/>
    <w:tmpl w:val="3C760B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1E71DD1"/>
    <w:multiLevelType w:val="hybridMultilevel"/>
    <w:tmpl w:val="0BA06E58"/>
    <w:lvl w:ilvl="0" w:tplc="18FE30CA">
      <w:start w:val="4"/>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DB1C44"/>
    <w:multiLevelType w:val="hybridMultilevel"/>
    <w:tmpl w:val="444EBF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EB04A4"/>
    <w:multiLevelType w:val="hybridMultilevel"/>
    <w:tmpl w:val="8D58E7FC"/>
    <w:lvl w:ilvl="0" w:tplc="D026B8D4">
      <w:start w:val="1"/>
      <w:numFmt w:val="decimal"/>
      <w:lvlText w:val="7.%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4D033C"/>
    <w:multiLevelType w:val="multilevel"/>
    <w:tmpl w:val="C338EB3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075D01"/>
    <w:multiLevelType w:val="hybridMultilevel"/>
    <w:tmpl w:val="5F80473A"/>
    <w:lvl w:ilvl="0" w:tplc="18FE30CA">
      <w:start w:val="4"/>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26"/>
  </w:num>
  <w:num w:numId="5">
    <w:abstractNumId w:val="37"/>
  </w:num>
  <w:num w:numId="6">
    <w:abstractNumId w:val="10"/>
  </w:num>
  <w:num w:numId="7">
    <w:abstractNumId w:val="22"/>
  </w:num>
  <w:num w:numId="8">
    <w:abstractNumId w:val="5"/>
  </w:num>
  <w:num w:numId="9">
    <w:abstractNumId w:val="20"/>
  </w:num>
  <w:num w:numId="10">
    <w:abstractNumId w:val="19"/>
  </w:num>
  <w:num w:numId="11">
    <w:abstractNumId w:val="17"/>
  </w:num>
  <w:num w:numId="12">
    <w:abstractNumId w:val="1"/>
  </w:num>
  <w:num w:numId="13">
    <w:abstractNumId w:val="0"/>
  </w:num>
  <w:num w:numId="14">
    <w:abstractNumId w:val="37"/>
  </w:num>
  <w:num w:numId="15">
    <w:abstractNumId w:val="8"/>
  </w:num>
  <w:num w:numId="16">
    <w:abstractNumId w:val="30"/>
  </w:num>
  <w:num w:numId="17">
    <w:abstractNumId w:val="23"/>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3"/>
  </w:num>
  <w:num w:numId="22">
    <w:abstractNumId w:val="34"/>
  </w:num>
  <w:num w:numId="23">
    <w:abstractNumId w:val="36"/>
  </w:num>
  <w:num w:numId="24">
    <w:abstractNumId w:val="9"/>
  </w:num>
  <w:num w:numId="25">
    <w:abstractNumId w:val="12"/>
  </w:num>
  <w:num w:numId="26">
    <w:abstractNumId w:val="31"/>
  </w:num>
  <w:num w:numId="27">
    <w:abstractNumId w:val="21"/>
  </w:num>
  <w:num w:numId="28">
    <w:abstractNumId w:val="35"/>
  </w:num>
  <w:num w:numId="29">
    <w:abstractNumId w:val="38"/>
  </w:num>
  <w:num w:numId="30">
    <w:abstractNumId w:val="15"/>
  </w:num>
  <w:num w:numId="31">
    <w:abstractNumId w:val="18"/>
  </w:num>
  <w:num w:numId="32">
    <w:abstractNumId w:val="37"/>
  </w:num>
  <w:num w:numId="33">
    <w:abstractNumId w:val="27"/>
  </w:num>
  <w:num w:numId="34">
    <w:abstractNumId w:val="28"/>
  </w:num>
  <w:num w:numId="35">
    <w:abstractNumId w:val="6"/>
  </w:num>
  <w:num w:numId="36">
    <w:abstractNumId w:val="2"/>
  </w:num>
  <w:num w:numId="37">
    <w:abstractNumId w:val="13"/>
  </w:num>
  <w:num w:numId="38">
    <w:abstractNumId w:val="24"/>
  </w:num>
  <w:num w:numId="39">
    <w:abstractNumId w:val="29"/>
  </w:num>
  <w:num w:numId="40">
    <w:abstractNumId w:val="16"/>
  </w:num>
  <w:num w:numId="41">
    <w:abstractNumId w:val="4"/>
  </w:num>
  <w:num w:numId="4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574"/>
    <w:rsid w:val="00001F62"/>
    <w:rsid w:val="000025AD"/>
    <w:rsid w:val="0000335D"/>
    <w:rsid w:val="000050E3"/>
    <w:rsid w:val="00005A9F"/>
    <w:rsid w:val="000064D8"/>
    <w:rsid w:val="000069CB"/>
    <w:rsid w:val="000244CE"/>
    <w:rsid w:val="0002464A"/>
    <w:rsid w:val="00027495"/>
    <w:rsid w:val="000279F4"/>
    <w:rsid w:val="0003106B"/>
    <w:rsid w:val="00032303"/>
    <w:rsid w:val="00032B9E"/>
    <w:rsid w:val="000367DF"/>
    <w:rsid w:val="000421A1"/>
    <w:rsid w:val="0004240E"/>
    <w:rsid w:val="00044F4C"/>
    <w:rsid w:val="0004562A"/>
    <w:rsid w:val="00045E26"/>
    <w:rsid w:val="000514B5"/>
    <w:rsid w:val="000553AB"/>
    <w:rsid w:val="0005789E"/>
    <w:rsid w:val="00060E64"/>
    <w:rsid w:val="00064777"/>
    <w:rsid w:val="00066755"/>
    <w:rsid w:val="00067ADA"/>
    <w:rsid w:val="00067B29"/>
    <w:rsid w:val="0007202B"/>
    <w:rsid w:val="00077143"/>
    <w:rsid w:val="00082169"/>
    <w:rsid w:val="00086138"/>
    <w:rsid w:val="00095609"/>
    <w:rsid w:val="000969AD"/>
    <w:rsid w:val="00097C7D"/>
    <w:rsid w:val="000B558D"/>
    <w:rsid w:val="000B62B1"/>
    <w:rsid w:val="000C2E4B"/>
    <w:rsid w:val="000C30A8"/>
    <w:rsid w:val="000C6996"/>
    <w:rsid w:val="000D23BA"/>
    <w:rsid w:val="000E681E"/>
    <w:rsid w:val="000F0003"/>
    <w:rsid w:val="000F307F"/>
    <w:rsid w:val="000F338A"/>
    <w:rsid w:val="000F4E6A"/>
    <w:rsid w:val="00104227"/>
    <w:rsid w:val="001107BF"/>
    <w:rsid w:val="00115B6A"/>
    <w:rsid w:val="00116C62"/>
    <w:rsid w:val="00117AE4"/>
    <w:rsid w:val="0012103D"/>
    <w:rsid w:val="001228AA"/>
    <w:rsid w:val="0012417C"/>
    <w:rsid w:val="00126B9E"/>
    <w:rsid w:val="00142395"/>
    <w:rsid w:val="00142714"/>
    <w:rsid w:val="0014471B"/>
    <w:rsid w:val="001452ED"/>
    <w:rsid w:val="00151581"/>
    <w:rsid w:val="0015396B"/>
    <w:rsid w:val="00163329"/>
    <w:rsid w:val="00164623"/>
    <w:rsid w:val="00165B64"/>
    <w:rsid w:val="00180713"/>
    <w:rsid w:val="001830CE"/>
    <w:rsid w:val="0018643B"/>
    <w:rsid w:val="0019458E"/>
    <w:rsid w:val="00196307"/>
    <w:rsid w:val="001A062F"/>
    <w:rsid w:val="001A1E3B"/>
    <w:rsid w:val="001A33EA"/>
    <w:rsid w:val="001B017F"/>
    <w:rsid w:val="001B0FE8"/>
    <w:rsid w:val="001B2BBC"/>
    <w:rsid w:val="001B5129"/>
    <w:rsid w:val="001B75B7"/>
    <w:rsid w:val="001C1195"/>
    <w:rsid w:val="001C1391"/>
    <w:rsid w:val="001D3982"/>
    <w:rsid w:val="001D4D95"/>
    <w:rsid w:val="001E5F89"/>
    <w:rsid w:val="001F14CB"/>
    <w:rsid w:val="001F1850"/>
    <w:rsid w:val="00201107"/>
    <w:rsid w:val="0020185F"/>
    <w:rsid w:val="00201C5E"/>
    <w:rsid w:val="00203FAC"/>
    <w:rsid w:val="00204DC5"/>
    <w:rsid w:val="0020662D"/>
    <w:rsid w:val="00210B8C"/>
    <w:rsid w:val="00212FEE"/>
    <w:rsid w:val="00213CFB"/>
    <w:rsid w:val="002148ED"/>
    <w:rsid w:val="00216423"/>
    <w:rsid w:val="00217BE1"/>
    <w:rsid w:val="0025684E"/>
    <w:rsid w:val="002634D4"/>
    <w:rsid w:val="002705D5"/>
    <w:rsid w:val="00271BA1"/>
    <w:rsid w:val="002762FA"/>
    <w:rsid w:val="00277412"/>
    <w:rsid w:val="00277505"/>
    <w:rsid w:val="0028451A"/>
    <w:rsid w:val="00290B43"/>
    <w:rsid w:val="0029458F"/>
    <w:rsid w:val="002A0184"/>
    <w:rsid w:val="002A104C"/>
    <w:rsid w:val="002A1E55"/>
    <w:rsid w:val="002A3C9F"/>
    <w:rsid w:val="002A4960"/>
    <w:rsid w:val="002B1AE6"/>
    <w:rsid w:val="002B2DE8"/>
    <w:rsid w:val="002B30F8"/>
    <w:rsid w:val="002B5596"/>
    <w:rsid w:val="002C209E"/>
    <w:rsid w:val="002C212F"/>
    <w:rsid w:val="002D28A0"/>
    <w:rsid w:val="002D363A"/>
    <w:rsid w:val="002D44E2"/>
    <w:rsid w:val="002D4543"/>
    <w:rsid w:val="002D4AE8"/>
    <w:rsid w:val="002D7F08"/>
    <w:rsid w:val="002E2152"/>
    <w:rsid w:val="002E2277"/>
    <w:rsid w:val="002E3153"/>
    <w:rsid w:val="002E72CA"/>
    <w:rsid w:val="002F600D"/>
    <w:rsid w:val="00300AD6"/>
    <w:rsid w:val="00305013"/>
    <w:rsid w:val="00305EA4"/>
    <w:rsid w:val="00307366"/>
    <w:rsid w:val="00307EA8"/>
    <w:rsid w:val="00317C6C"/>
    <w:rsid w:val="0032116B"/>
    <w:rsid w:val="00325568"/>
    <w:rsid w:val="00326E79"/>
    <w:rsid w:val="0033518A"/>
    <w:rsid w:val="003367EF"/>
    <w:rsid w:val="00341AE4"/>
    <w:rsid w:val="00341FBF"/>
    <w:rsid w:val="00342CAA"/>
    <w:rsid w:val="003528D3"/>
    <w:rsid w:val="00363169"/>
    <w:rsid w:val="00372B3C"/>
    <w:rsid w:val="003744A9"/>
    <w:rsid w:val="0037511D"/>
    <w:rsid w:val="003872CF"/>
    <w:rsid w:val="0039782C"/>
    <w:rsid w:val="003A5B4A"/>
    <w:rsid w:val="003B23C5"/>
    <w:rsid w:val="003B2A75"/>
    <w:rsid w:val="003B5EDD"/>
    <w:rsid w:val="003B6124"/>
    <w:rsid w:val="003C168C"/>
    <w:rsid w:val="003C2FB5"/>
    <w:rsid w:val="003C7E2D"/>
    <w:rsid w:val="003D3395"/>
    <w:rsid w:val="003D454B"/>
    <w:rsid w:val="003D4AC4"/>
    <w:rsid w:val="003D63B7"/>
    <w:rsid w:val="003E2D37"/>
    <w:rsid w:val="003E468B"/>
    <w:rsid w:val="003F3228"/>
    <w:rsid w:val="003F5C8C"/>
    <w:rsid w:val="0040268C"/>
    <w:rsid w:val="00411B9E"/>
    <w:rsid w:val="00414D11"/>
    <w:rsid w:val="004252EC"/>
    <w:rsid w:val="0043128F"/>
    <w:rsid w:val="0043499E"/>
    <w:rsid w:val="00434DC5"/>
    <w:rsid w:val="00444E35"/>
    <w:rsid w:val="004465BD"/>
    <w:rsid w:val="00451011"/>
    <w:rsid w:val="00452981"/>
    <w:rsid w:val="00453DAC"/>
    <w:rsid w:val="00454691"/>
    <w:rsid w:val="00454F10"/>
    <w:rsid w:val="004555E4"/>
    <w:rsid w:val="00455B1E"/>
    <w:rsid w:val="00462E84"/>
    <w:rsid w:val="00465A64"/>
    <w:rsid w:val="00466ADA"/>
    <w:rsid w:val="004674C3"/>
    <w:rsid w:val="0047372B"/>
    <w:rsid w:val="00476245"/>
    <w:rsid w:val="00483035"/>
    <w:rsid w:val="00485940"/>
    <w:rsid w:val="00492F67"/>
    <w:rsid w:val="004A1E3E"/>
    <w:rsid w:val="004A2484"/>
    <w:rsid w:val="004A5A85"/>
    <w:rsid w:val="004A71D1"/>
    <w:rsid w:val="004A7B04"/>
    <w:rsid w:val="004B1646"/>
    <w:rsid w:val="004B5640"/>
    <w:rsid w:val="004C1BD7"/>
    <w:rsid w:val="004C31FE"/>
    <w:rsid w:val="004C691D"/>
    <w:rsid w:val="004C6C07"/>
    <w:rsid w:val="004D14FE"/>
    <w:rsid w:val="004D3D6F"/>
    <w:rsid w:val="004E692D"/>
    <w:rsid w:val="004F4A99"/>
    <w:rsid w:val="0050069A"/>
    <w:rsid w:val="00501554"/>
    <w:rsid w:val="005064F3"/>
    <w:rsid w:val="00514CD7"/>
    <w:rsid w:val="00522A07"/>
    <w:rsid w:val="00526C61"/>
    <w:rsid w:val="0053037E"/>
    <w:rsid w:val="005319B2"/>
    <w:rsid w:val="00532402"/>
    <w:rsid w:val="00532C74"/>
    <w:rsid w:val="00534E2E"/>
    <w:rsid w:val="00544552"/>
    <w:rsid w:val="00547A69"/>
    <w:rsid w:val="005734AA"/>
    <w:rsid w:val="00577C4D"/>
    <w:rsid w:val="00580F38"/>
    <w:rsid w:val="00581932"/>
    <w:rsid w:val="0058660E"/>
    <w:rsid w:val="005963BB"/>
    <w:rsid w:val="005A3173"/>
    <w:rsid w:val="005A3223"/>
    <w:rsid w:val="005A3DA3"/>
    <w:rsid w:val="005A52C4"/>
    <w:rsid w:val="005A5FD8"/>
    <w:rsid w:val="005B1D21"/>
    <w:rsid w:val="005D03AB"/>
    <w:rsid w:val="005D5017"/>
    <w:rsid w:val="005E0337"/>
    <w:rsid w:val="005E1333"/>
    <w:rsid w:val="005F0854"/>
    <w:rsid w:val="005F76BD"/>
    <w:rsid w:val="00601A91"/>
    <w:rsid w:val="00602BA3"/>
    <w:rsid w:val="0060483A"/>
    <w:rsid w:val="00606EED"/>
    <w:rsid w:val="00612E34"/>
    <w:rsid w:val="00614159"/>
    <w:rsid w:val="00614FEC"/>
    <w:rsid w:val="006165F7"/>
    <w:rsid w:val="00617C00"/>
    <w:rsid w:val="006263BF"/>
    <w:rsid w:val="0062748A"/>
    <w:rsid w:val="00630A2C"/>
    <w:rsid w:val="006363B0"/>
    <w:rsid w:val="0063682E"/>
    <w:rsid w:val="0064271C"/>
    <w:rsid w:val="006436CD"/>
    <w:rsid w:val="00651169"/>
    <w:rsid w:val="00653D69"/>
    <w:rsid w:val="0065524D"/>
    <w:rsid w:val="0066336A"/>
    <w:rsid w:val="006659D2"/>
    <w:rsid w:val="006670BE"/>
    <w:rsid w:val="00670A76"/>
    <w:rsid w:val="006711AA"/>
    <w:rsid w:val="00672B57"/>
    <w:rsid w:val="00675622"/>
    <w:rsid w:val="0067747D"/>
    <w:rsid w:val="00683955"/>
    <w:rsid w:val="006906DB"/>
    <w:rsid w:val="00691E6C"/>
    <w:rsid w:val="00696129"/>
    <w:rsid w:val="00697CF2"/>
    <w:rsid w:val="006A0BD4"/>
    <w:rsid w:val="006A12A5"/>
    <w:rsid w:val="006A64D1"/>
    <w:rsid w:val="006B0D94"/>
    <w:rsid w:val="006B3D16"/>
    <w:rsid w:val="006B485D"/>
    <w:rsid w:val="006C5012"/>
    <w:rsid w:val="006C708E"/>
    <w:rsid w:val="006D14E7"/>
    <w:rsid w:val="006D56EA"/>
    <w:rsid w:val="006D6493"/>
    <w:rsid w:val="006D6EC7"/>
    <w:rsid w:val="006F5125"/>
    <w:rsid w:val="00702B6F"/>
    <w:rsid w:val="0071093C"/>
    <w:rsid w:val="00712C57"/>
    <w:rsid w:val="0071340B"/>
    <w:rsid w:val="007174BB"/>
    <w:rsid w:val="00717ADE"/>
    <w:rsid w:val="0072025D"/>
    <w:rsid w:val="00725946"/>
    <w:rsid w:val="00733281"/>
    <w:rsid w:val="007353D3"/>
    <w:rsid w:val="007360DC"/>
    <w:rsid w:val="0076420C"/>
    <w:rsid w:val="00767C11"/>
    <w:rsid w:val="0077185A"/>
    <w:rsid w:val="007753C2"/>
    <w:rsid w:val="00776975"/>
    <w:rsid w:val="00777681"/>
    <w:rsid w:val="007838B8"/>
    <w:rsid w:val="007A21DE"/>
    <w:rsid w:val="007A39E3"/>
    <w:rsid w:val="007C0967"/>
    <w:rsid w:val="007C0F57"/>
    <w:rsid w:val="007C3BCE"/>
    <w:rsid w:val="007C40B6"/>
    <w:rsid w:val="007C729F"/>
    <w:rsid w:val="007E1365"/>
    <w:rsid w:val="007E1D28"/>
    <w:rsid w:val="007E6D63"/>
    <w:rsid w:val="007E71EC"/>
    <w:rsid w:val="007F2641"/>
    <w:rsid w:val="007F7C36"/>
    <w:rsid w:val="008057AA"/>
    <w:rsid w:val="00805FF9"/>
    <w:rsid w:val="00806796"/>
    <w:rsid w:val="008151D6"/>
    <w:rsid w:val="00826F6D"/>
    <w:rsid w:val="008306F3"/>
    <w:rsid w:val="00831102"/>
    <w:rsid w:val="00832871"/>
    <w:rsid w:val="00836C4B"/>
    <w:rsid w:val="0085286C"/>
    <w:rsid w:val="00856DDD"/>
    <w:rsid w:val="00863E68"/>
    <w:rsid w:val="00865B83"/>
    <w:rsid w:val="00867E38"/>
    <w:rsid w:val="00881879"/>
    <w:rsid w:val="00882085"/>
    <w:rsid w:val="00883188"/>
    <w:rsid w:val="00884BDF"/>
    <w:rsid w:val="00890465"/>
    <w:rsid w:val="008942E3"/>
    <w:rsid w:val="00894C49"/>
    <w:rsid w:val="00897D58"/>
    <w:rsid w:val="00897F22"/>
    <w:rsid w:val="008A1956"/>
    <w:rsid w:val="008A1C27"/>
    <w:rsid w:val="008A4937"/>
    <w:rsid w:val="008A50F1"/>
    <w:rsid w:val="008C72AA"/>
    <w:rsid w:val="008D1B5C"/>
    <w:rsid w:val="008D3C82"/>
    <w:rsid w:val="008D447E"/>
    <w:rsid w:val="008D7A41"/>
    <w:rsid w:val="008E156C"/>
    <w:rsid w:val="008E3680"/>
    <w:rsid w:val="008E5870"/>
    <w:rsid w:val="008F0C29"/>
    <w:rsid w:val="008F1434"/>
    <w:rsid w:val="008F3A2A"/>
    <w:rsid w:val="008F7355"/>
    <w:rsid w:val="009005CB"/>
    <w:rsid w:val="009065E1"/>
    <w:rsid w:val="009067B7"/>
    <w:rsid w:val="00914DD5"/>
    <w:rsid w:val="00930937"/>
    <w:rsid w:val="00933E6C"/>
    <w:rsid w:val="00937958"/>
    <w:rsid w:val="00942160"/>
    <w:rsid w:val="00942F19"/>
    <w:rsid w:val="009446FD"/>
    <w:rsid w:val="0095146F"/>
    <w:rsid w:val="0095270E"/>
    <w:rsid w:val="00960112"/>
    <w:rsid w:val="009602C5"/>
    <w:rsid w:val="00962223"/>
    <w:rsid w:val="009654A6"/>
    <w:rsid w:val="00966153"/>
    <w:rsid w:val="00966D0D"/>
    <w:rsid w:val="00974C21"/>
    <w:rsid w:val="009818AE"/>
    <w:rsid w:val="009A3D5C"/>
    <w:rsid w:val="009A711B"/>
    <w:rsid w:val="009B0F67"/>
    <w:rsid w:val="009B2DAE"/>
    <w:rsid w:val="009C3E4C"/>
    <w:rsid w:val="009C703C"/>
    <w:rsid w:val="009D3CAA"/>
    <w:rsid w:val="009D4B85"/>
    <w:rsid w:val="009E0DD1"/>
    <w:rsid w:val="009E40E1"/>
    <w:rsid w:val="009F31BA"/>
    <w:rsid w:val="009F4E46"/>
    <w:rsid w:val="009F5B65"/>
    <w:rsid w:val="009F5F2E"/>
    <w:rsid w:val="00A06225"/>
    <w:rsid w:val="00A128E6"/>
    <w:rsid w:val="00A15F9A"/>
    <w:rsid w:val="00A2219B"/>
    <w:rsid w:val="00A34E6C"/>
    <w:rsid w:val="00A37C8D"/>
    <w:rsid w:val="00A43BD8"/>
    <w:rsid w:val="00A51803"/>
    <w:rsid w:val="00A5273B"/>
    <w:rsid w:val="00A53A9D"/>
    <w:rsid w:val="00A55FEE"/>
    <w:rsid w:val="00A60034"/>
    <w:rsid w:val="00A62C1A"/>
    <w:rsid w:val="00A6426D"/>
    <w:rsid w:val="00A642E0"/>
    <w:rsid w:val="00A665C1"/>
    <w:rsid w:val="00A66C0D"/>
    <w:rsid w:val="00A70622"/>
    <w:rsid w:val="00A70977"/>
    <w:rsid w:val="00A72799"/>
    <w:rsid w:val="00A77613"/>
    <w:rsid w:val="00A81C7F"/>
    <w:rsid w:val="00A8390C"/>
    <w:rsid w:val="00A928BD"/>
    <w:rsid w:val="00AA4D1C"/>
    <w:rsid w:val="00AA5557"/>
    <w:rsid w:val="00AC193C"/>
    <w:rsid w:val="00AC5206"/>
    <w:rsid w:val="00AD2A3B"/>
    <w:rsid w:val="00AE11A5"/>
    <w:rsid w:val="00AE13E2"/>
    <w:rsid w:val="00AE17C0"/>
    <w:rsid w:val="00AE2075"/>
    <w:rsid w:val="00AE22D3"/>
    <w:rsid w:val="00AE2FE7"/>
    <w:rsid w:val="00AF62DF"/>
    <w:rsid w:val="00AF68CC"/>
    <w:rsid w:val="00AF78A8"/>
    <w:rsid w:val="00B01A5B"/>
    <w:rsid w:val="00B026D5"/>
    <w:rsid w:val="00B1059E"/>
    <w:rsid w:val="00B11948"/>
    <w:rsid w:val="00B176C8"/>
    <w:rsid w:val="00B205AA"/>
    <w:rsid w:val="00B22E84"/>
    <w:rsid w:val="00B25F75"/>
    <w:rsid w:val="00B26B3F"/>
    <w:rsid w:val="00B35C94"/>
    <w:rsid w:val="00B42B75"/>
    <w:rsid w:val="00B43E90"/>
    <w:rsid w:val="00B446FF"/>
    <w:rsid w:val="00B467DC"/>
    <w:rsid w:val="00B52179"/>
    <w:rsid w:val="00B56118"/>
    <w:rsid w:val="00B6773F"/>
    <w:rsid w:val="00B7526E"/>
    <w:rsid w:val="00B801BA"/>
    <w:rsid w:val="00B82B44"/>
    <w:rsid w:val="00B84187"/>
    <w:rsid w:val="00B84D5C"/>
    <w:rsid w:val="00B97B62"/>
    <w:rsid w:val="00BA24CF"/>
    <w:rsid w:val="00BA4779"/>
    <w:rsid w:val="00BB36CB"/>
    <w:rsid w:val="00BB69F5"/>
    <w:rsid w:val="00BB7EC3"/>
    <w:rsid w:val="00BC4B9A"/>
    <w:rsid w:val="00BC59C4"/>
    <w:rsid w:val="00BD0812"/>
    <w:rsid w:val="00BD314E"/>
    <w:rsid w:val="00BD6855"/>
    <w:rsid w:val="00BD735B"/>
    <w:rsid w:val="00BD784C"/>
    <w:rsid w:val="00BE4FD2"/>
    <w:rsid w:val="00BE5D5A"/>
    <w:rsid w:val="00BF31A7"/>
    <w:rsid w:val="00BF4CB6"/>
    <w:rsid w:val="00C00DA7"/>
    <w:rsid w:val="00C035E4"/>
    <w:rsid w:val="00C12077"/>
    <w:rsid w:val="00C12768"/>
    <w:rsid w:val="00C17B28"/>
    <w:rsid w:val="00C27B58"/>
    <w:rsid w:val="00C3537F"/>
    <w:rsid w:val="00C35996"/>
    <w:rsid w:val="00C37FBB"/>
    <w:rsid w:val="00C42053"/>
    <w:rsid w:val="00C4747E"/>
    <w:rsid w:val="00C5342C"/>
    <w:rsid w:val="00C603D4"/>
    <w:rsid w:val="00C6256A"/>
    <w:rsid w:val="00C65565"/>
    <w:rsid w:val="00C6561E"/>
    <w:rsid w:val="00C72A6F"/>
    <w:rsid w:val="00C77891"/>
    <w:rsid w:val="00C84E1E"/>
    <w:rsid w:val="00C86FE5"/>
    <w:rsid w:val="00C91449"/>
    <w:rsid w:val="00C92D10"/>
    <w:rsid w:val="00CA0663"/>
    <w:rsid w:val="00CB5842"/>
    <w:rsid w:val="00CC7D6F"/>
    <w:rsid w:val="00CD5F69"/>
    <w:rsid w:val="00CE0E50"/>
    <w:rsid w:val="00CE10C4"/>
    <w:rsid w:val="00CE139E"/>
    <w:rsid w:val="00CE27B5"/>
    <w:rsid w:val="00CF4FD3"/>
    <w:rsid w:val="00D0321E"/>
    <w:rsid w:val="00D03EDE"/>
    <w:rsid w:val="00D04A03"/>
    <w:rsid w:val="00D051FD"/>
    <w:rsid w:val="00D1455A"/>
    <w:rsid w:val="00D233FD"/>
    <w:rsid w:val="00D25BCE"/>
    <w:rsid w:val="00D2695F"/>
    <w:rsid w:val="00D31150"/>
    <w:rsid w:val="00D3138B"/>
    <w:rsid w:val="00D3280C"/>
    <w:rsid w:val="00D32AB1"/>
    <w:rsid w:val="00D3406A"/>
    <w:rsid w:val="00D4358C"/>
    <w:rsid w:val="00D4572C"/>
    <w:rsid w:val="00D469B2"/>
    <w:rsid w:val="00D522A7"/>
    <w:rsid w:val="00D5391E"/>
    <w:rsid w:val="00D70F46"/>
    <w:rsid w:val="00D741EB"/>
    <w:rsid w:val="00D7750C"/>
    <w:rsid w:val="00D83605"/>
    <w:rsid w:val="00D84934"/>
    <w:rsid w:val="00D91271"/>
    <w:rsid w:val="00D919F5"/>
    <w:rsid w:val="00D94F03"/>
    <w:rsid w:val="00DA0CDF"/>
    <w:rsid w:val="00DA2CB5"/>
    <w:rsid w:val="00DA4BAC"/>
    <w:rsid w:val="00DA7A76"/>
    <w:rsid w:val="00DB6B45"/>
    <w:rsid w:val="00DC11C3"/>
    <w:rsid w:val="00DD25C6"/>
    <w:rsid w:val="00DD62AA"/>
    <w:rsid w:val="00DE6CFD"/>
    <w:rsid w:val="00DE6D27"/>
    <w:rsid w:val="00DF1AF0"/>
    <w:rsid w:val="00DF217D"/>
    <w:rsid w:val="00DF26A7"/>
    <w:rsid w:val="00E01816"/>
    <w:rsid w:val="00E1105F"/>
    <w:rsid w:val="00E15627"/>
    <w:rsid w:val="00E164B3"/>
    <w:rsid w:val="00E16910"/>
    <w:rsid w:val="00E24423"/>
    <w:rsid w:val="00E3220C"/>
    <w:rsid w:val="00E42AAB"/>
    <w:rsid w:val="00E42BDB"/>
    <w:rsid w:val="00E43D23"/>
    <w:rsid w:val="00E45AA8"/>
    <w:rsid w:val="00E57EEB"/>
    <w:rsid w:val="00E62D94"/>
    <w:rsid w:val="00E65E54"/>
    <w:rsid w:val="00E65EE4"/>
    <w:rsid w:val="00E677F3"/>
    <w:rsid w:val="00E7307F"/>
    <w:rsid w:val="00E73390"/>
    <w:rsid w:val="00E80155"/>
    <w:rsid w:val="00E81F28"/>
    <w:rsid w:val="00E83DDA"/>
    <w:rsid w:val="00E848C0"/>
    <w:rsid w:val="00E87854"/>
    <w:rsid w:val="00E9149A"/>
    <w:rsid w:val="00E91B96"/>
    <w:rsid w:val="00E941A1"/>
    <w:rsid w:val="00E95CE3"/>
    <w:rsid w:val="00E97A39"/>
    <w:rsid w:val="00EA2825"/>
    <w:rsid w:val="00EA46CA"/>
    <w:rsid w:val="00EA52A8"/>
    <w:rsid w:val="00EA5994"/>
    <w:rsid w:val="00EA7660"/>
    <w:rsid w:val="00EB0B63"/>
    <w:rsid w:val="00EB1936"/>
    <w:rsid w:val="00EB275F"/>
    <w:rsid w:val="00EB4AB9"/>
    <w:rsid w:val="00EB5088"/>
    <w:rsid w:val="00EB7CD0"/>
    <w:rsid w:val="00EC4D49"/>
    <w:rsid w:val="00ED1644"/>
    <w:rsid w:val="00ED2593"/>
    <w:rsid w:val="00ED2E51"/>
    <w:rsid w:val="00ED7D9C"/>
    <w:rsid w:val="00EF44A0"/>
    <w:rsid w:val="00EF4FED"/>
    <w:rsid w:val="00EF598D"/>
    <w:rsid w:val="00F050BD"/>
    <w:rsid w:val="00F05657"/>
    <w:rsid w:val="00F25578"/>
    <w:rsid w:val="00F258E5"/>
    <w:rsid w:val="00F300BC"/>
    <w:rsid w:val="00F3334E"/>
    <w:rsid w:val="00F36CCB"/>
    <w:rsid w:val="00F374E5"/>
    <w:rsid w:val="00F422C8"/>
    <w:rsid w:val="00F43AF2"/>
    <w:rsid w:val="00F5007E"/>
    <w:rsid w:val="00F50EC4"/>
    <w:rsid w:val="00F550CF"/>
    <w:rsid w:val="00F57A6D"/>
    <w:rsid w:val="00F57F09"/>
    <w:rsid w:val="00F638CC"/>
    <w:rsid w:val="00F64CC1"/>
    <w:rsid w:val="00F678ED"/>
    <w:rsid w:val="00F70656"/>
    <w:rsid w:val="00F72317"/>
    <w:rsid w:val="00F72E69"/>
    <w:rsid w:val="00F753BF"/>
    <w:rsid w:val="00F80475"/>
    <w:rsid w:val="00F807D5"/>
    <w:rsid w:val="00F8247A"/>
    <w:rsid w:val="00F84FB5"/>
    <w:rsid w:val="00F9629A"/>
    <w:rsid w:val="00F97EFC"/>
    <w:rsid w:val="00FA5883"/>
    <w:rsid w:val="00FA6055"/>
    <w:rsid w:val="00FB22E3"/>
    <w:rsid w:val="00FB322F"/>
    <w:rsid w:val="00FB442F"/>
    <w:rsid w:val="00FB756D"/>
    <w:rsid w:val="00FC1929"/>
    <w:rsid w:val="00FC3221"/>
    <w:rsid w:val="00FC5B46"/>
    <w:rsid w:val="00FC6111"/>
    <w:rsid w:val="00FD2DF5"/>
    <w:rsid w:val="00FD6D8E"/>
    <w:rsid w:val="00FE0E94"/>
    <w:rsid w:val="00FF00BD"/>
    <w:rsid w:val="00FF1ED4"/>
    <w:rsid w:val="00FF2801"/>
    <w:rsid w:val="00FF2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AD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nhideWhenUsed/>
    <w:qFormat/>
    <w:rsid w:val="00363169"/>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ullet1,Bullet 1,Bulleted - 2,1. Bullet Blank,Footnote,Bullet point,List Paragraph1,List Paragraph11,Recommendation,Section heading,Table Legend"/>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1 Char,Bullet 1 Char,Bulleted - 2 Char,1. Bullet Blank Char,Footnote Char,Bullet point Char,List Paragraph1 Char,List Paragraph11 Char,Recommendation Char,Section heading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qFormat/>
    <w:rsid w:val="00BC59C4"/>
    <w:pPr>
      <w:keepNext/>
      <w:spacing w:before="240" w:after="40"/>
      <w:ind w:left="1134" w:hanging="1134"/>
    </w:pPr>
    <w:rPr>
      <w:rFonts w:ascii="Calibri" w:eastAsiaTheme="minorEastAsia" w:hAnsi="Calibri" w:cstheme="minorBidi"/>
      <w:b/>
      <w:bCs/>
      <w:sz w:val="22"/>
      <w:szCs w:val="22"/>
      <w:lang w:eastAsia="zh-CN"/>
    </w:rPr>
  </w:style>
  <w:style w:type="paragraph" w:customStyle="1" w:styleId="TableText0">
    <w:name w:val="TableText"/>
    <w:basedOn w:val="Normal"/>
    <w:link w:val="TableTextChar"/>
    <w:uiPriority w:val="3"/>
    <w:qFormat/>
    <w:rsid w:val="00BC59C4"/>
    <w:pPr>
      <w:spacing w:before="40" w:after="40"/>
    </w:pPr>
    <w:rPr>
      <w:rFonts w:ascii="Calibri" w:hAnsi="Calibri" w:cstheme="minorHAnsi"/>
      <w:bCs/>
      <w:sz w:val="20"/>
      <w:szCs w:val="20"/>
      <w:lang w:eastAsia="en-US"/>
    </w:rPr>
  </w:style>
  <w:style w:type="character" w:customStyle="1" w:styleId="TableTextChar">
    <w:name w:val="TableText Char"/>
    <w:basedOn w:val="DefaultParagraphFont"/>
    <w:link w:val="TableText0"/>
    <w:uiPriority w:val="3"/>
    <w:rsid w:val="00BC59C4"/>
    <w:rPr>
      <w:rFonts w:ascii="Calibri" w:hAnsi="Calibri" w:cstheme="minorHAnsi"/>
      <w:bCs/>
      <w:lang w:eastAsia="en-US"/>
    </w:rPr>
  </w:style>
  <w:style w:type="paragraph" w:customStyle="1" w:styleId="TableNotes0">
    <w:name w:val="TableNotes"/>
    <w:basedOn w:val="Normal"/>
    <w:next w:val="Normal"/>
    <w:link w:val="TableNotesChar"/>
    <w:uiPriority w:val="98"/>
    <w:qFormat/>
    <w:rsid w:val="00BC59C4"/>
    <w:pPr>
      <w:tabs>
        <w:tab w:val="left" w:pos="1134"/>
      </w:tabs>
      <w:ind w:left="1134" w:hanging="1134"/>
    </w:pPr>
    <w:rPr>
      <w:rFonts w:ascii="Calibri" w:eastAsiaTheme="minorEastAsia" w:hAnsi="Calibri" w:cstheme="minorBidi"/>
      <w:sz w:val="18"/>
      <w:szCs w:val="18"/>
      <w:lang w:eastAsia="en-US"/>
    </w:rPr>
  </w:style>
  <w:style w:type="paragraph" w:customStyle="1" w:styleId="TableHeadingRow">
    <w:name w:val="TableHeadingRow"/>
    <w:basedOn w:val="Normal"/>
    <w:uiPriority w:val="3"/>
    <w:qFormat/>
    <w:rsid w:val="00BC59C4"/>
    <w:pPr>
      <w:keepNext/>
      <w:spacing w:before="20" w:after="20"/>
    </w:pPr>
    <w:rPr>
      <w:rFonts w:ascii="Calibri" w:hAnsi="Calibri" w:cstheme="minorHAnsi"/>
      <w:b/>
      <w:sz w:val="20"/>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locked/>
    <w:rsid w:val="00BC59C4"/>
    <w:rPr>
      <w:rFonts w:ascii="Calibri" w:eastAsiaTheme="minorEastAsia" w:hAnsi="Calibri" w:cstheme="minorBidi"/>
      <w:b/>
      <w:bCs/>
      <w:sz w:val="22"/>
      <w:szCs w:val="22"/>
      <w:lang w:eastAsia="zh-CN"/>
    </w:rPr>
  </w:style>
  <w:style w:type="character" w:customStyle="1" w:styleId="TableNotesChar">
    <w:name w:val="TableNotes Char"/>
    <w:basedOn w:val="DefaultParagraphFont"/>
    <w:link w:val="TableNotes0"/>
    <w:uiPriority w:val="3"/>
    <w:rsid w:val="00BC59C4"/>
    <w:rPr>
      <w:rFonts w:ascii="Calibri" w:eastAsiaTheme="minorEastAsia" w:hAnsi="Calibri" w:cstheme="minorBidi"/>
      <w:sz w:val="18"/>
      <w:szCs w:val="18"/>
      <w:lang w:eastAsia="en-US"/>
    </w:rPr>
  </w:style>
  <w:style w:type="character" w:customStyle="1" w:styleId="Heading8Char">
    <w:name w:val="Heading 8 Char"/>
    <w:basedOn w:val="DefaultParagraphFont"/>
    <w:link w:val="Heading8"/>
    <w:rsid w:val="00363169"/>
    <w:rPr>
      <w:rFonts w:asciiTheme="majorHAnsi" w:eastAsiaTheme="majorEastAsia" w:hAnsiTheme="majorHAnsi" w:cstheme="majorBidi"/>
      <w:color w:val="272727" w:themeColor="text1" w:themeTint="D8"/>
      <w:sz w:val="21"/>
      <w:szCs w:val="21"/>
      <w:lang w:eastAsia="en-US"/>
    </w:rPr>
  </w:style>
  <w:style w:type="table" w:customStyle="1" w:styleId="PlainTable21">
    <w:name w:val="Plain Table 21"/>
    <w:basedOn w:val="TableNormal"/>
    <w:uiPriority w:val="42"/>
    <w:rsid w:val="0036316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rsid w:val="00D25BCE"/>
    <w:pPr>
      <w:spacing w:after="120"/>
    </w:pPr>
  </w:style>
  <w:style w:type="character" w:customStyle="1" w:styleId="BodyTextChar">
    <w:name w:val="Body Text Char"/>
    <w:basedOn w:val="DefaultParagraphFont"/>
    <w:link w:val="BodyText"/>
    <w:rsid w:val="00D25BCE"/>
    <w:rPr>
      <w:sz w:val="24"/>
      <w:szCs w:val="24"/>
    </w:rPr>
  </w:style>
  <w:style w:type="paragraph" w:customStyle="1" w:styleId="TableHeading0">
    <w:name w:val="Table Heading"/>
    <w:basedOn w:val="Normal"/>
    <w:link w:val="TableHeadingChar"/>
    <w:qFormat/>
    <w:rsid w:val="00086138"/>
    <w:pPr>
      <w:keepNext/>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086138"/>
    <w:pPr>
      <w:widowControl w:val="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086138"/>
    <w:rPr>
      <w:rFonts w:ascii="Arial Narrow" w:hAnsi="Arial Narrow" w:cs="Arial"/>
      <w:snapToGrid w:val="0"/>
      <w:sz w:val="18"/>
      <w:lang w:eastAsia="en-US"/>
    </w:rPr>
  </w:style>
  <w:style w:type="character" w:customStyle="1" w:styleId="TableHeadingChar">
    <w:name w:val="Table Heading Char"/>
    <w:link w:val="TableHeading0"/>
    <w:rsid w:val="00086138"/>
    <w:rPr>
      <w:rFonts w:ascii="Arial Narrow" w:eastAsiaTheme="minorHAnsi" w:hAnsi="Arial Narrow" w:cstheme="minorBidi"/>
      <w:b/>
      <w:szCs w:val="22"/>
      <w:lang w:eastAsia="en-US"/>
    </w:rPr>
  </w:style>
  <w:style w:type="paragraph" w:styleId="Revision">
    <w:name w:val="Revision"/>
    <w:hidden/>
    <w:uiPriority w:val="71"/>
    <w:rsid w:val="00005A9F"/>
    <w:rPr>
      <w:sz w:val="24"/>
      <w:szCs w:val="24"/>
    </w:rPr>
  </w:style>
  <w:style w:type="character" w:styleId="FollowedHyperlink">
    <w:name w:val="FollowedHyperlink"/>
    <w:basedOn w:val="DefaultParagraphFont"/>
    <w:semiHidden/>
    <w:unhideWhenUsed/>
    <w:rsid w:val="007718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87490643">
      <w:bodyDiv w:val="1"/>
      <w:marLeft w:val="0"/>
      <w:marRight w:val="0"/>
      <w:marTop w:val="0"/>
      <w:marBottom w:val="0"/>
      <w:divBdr>
        <w:top w:val="none" w:sz="0" w:space="0" w:color="auto"/>
        <w:left w:val="none" w:sz="0" w:space="0" w:color="auto"/>
        <w:bottom w:val="none" w:sz="0" w:space="0" w:color="auto"/>
        <w:right w:val="none" w:sz="0" w:space="0" w:color="auto"/>
      </w:divBdr>
      <w:divsChild>
        <w:div w:id="1727412639">
          <w:marLeft w:val="547"/>
          <w:marRight w:val="0"/>
          <w:marTop w:val="134"/>
          <w:marBottom w:val="0"/>
          <w:divBdr>
            <w:top w:val="none" w:sz="0" w:space="0" w:color="auto"/>
            <w:left w:val="none" w:sz="0" w:space="0" w:color="auto"/>
            <w:bottom w:val="none" w:sz="0" w:space="0" w:color="auto"/>
            <w:right w:val="none" w:sz="0" w:space="0" w:color="auto"/>
          </w:divBdr>
        </w:div>
      </w:divsChild>
    </w:div>
    <w:div w:id="746996293">
      <w:bodyDiv w:val="1"/>
      <w:marLeft w:val="0"/>
      <w:marRight w:val="0"/>
      <w:marTop w:val="0"/>
      <w:marBottom w:val="0"/>
      <w:divBdr>
        <w:top w:val="none" w:sz="0" w:space="0" w:color="auto"/>
        <w:left w:val="none" w:sz="0" w:space="0" w:color="auto"/>
        <w:bottom w:val="none" w:sz="0" w:space="0" w:color="auto"/>
        <w:right w:val="none" w:sz="0" w:space="0" w:color="auto"/>
      </w:divBdr>
      <w:divsChild>
        <w:div w:id="1194927211">
          <w:marLeft w:val="547"/>
          <w:marRight w:val="0"/>
          <w:marTop w:val="58"/>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3035495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E47F-9DA4-4018-8357-6F6A953B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4602</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2019-06-27T00:30:00Z</dcterms:created>
  <dcterms:modified xsi:type="dcterms:W3CDTF">2019-07-01T02:02:00Z</dcterms:modified>
</cp:coreProperties>
</file>