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A2" w:rsidRPr="002E6BC6" w:rsidRDefault="00700A32" w:rsidP="003263A2">
      <w:pPr>
        <w:pStyle w:val="Title"/>
        <w:spacing w:before="120" w:after="160"/>
        <w:ind w:left="720" w:hanging="720"/>
        <w:jc w:val="both"/>
        <w:rPr>
          <w:rFonts w:asciiTheme="minorHAnsi" w:hAnsiTheme="minorHAnsi"/>
          <w:sz w:val="36"/>
          <w:szCs w:val="36"/>
        </w:rPr>
      </w:pPr>
      <w:r w:rsidRPr="002E6BC6">
        <w:rPr>
          <w:rFonts w:asciiTheme="minorHAnsi" w:hAnsiTheme="minorHAnsi"/>
          <w:sz w:val="36"/>
          <w:szCs w:val="36"/>
        </w:rPr>
        <w:t>6.19</w:t>
      </w:r>
      <w:r w:rsidRPr="002E6BC6">
        <w:rPr>
          <w:rFonts w:asciiTheme="minorHAnsi" w:hAnsiTheme="minorHAnsi"/>
          <w:sz w:val="36"/>
          <w:szCs w:val="36"/>
        </w:rPr>
        <w:tab/>
        <w:t>TOCILIZUMAB</w:t>
      </w:r>
    </w:p>
    <w:p w:rsidR="003263A2" w:rsidRPr="002E6BC6" w:rsidRDefault="003263A2" w:rsidP="00224CF5">
      <w:pPr>
        <w:pStyle w:val="Title"/>
        <w:spacing w:before="120" w:after="160"/>
        <w:ind w:left="720" w:hanging="11"/>
        <w:jc w:val="both"/>
        <w:outlineLvl w:val="9"/>
        <w:rPr>
          <w:rFonts w:asciiTheme="minorHAnsi" w:hAnsiTheme="minorHAnsi"/>
          <w:sz w:val="36"/>
          <w:szCs w:val="36"/>
        </w:rPr>
      </w:pPr>
      <w:r w:rsidRPr="002E6BC6">
        <w:rPr>
          <w:rFonts w:asciiTheme="minorHAnsi" w:hAnsiTheme="minorHAnsi"/>
          <w:sz w:val="36"/>
          <w:szCs w:val="36"/>
        </w:rPr>
        <w:t>Injection 162 mg in 0.9 mL single use pre-filled pen,</w:t>
      </w:r>
    </w:p>
    <w:p w:rsidR="00D830C5" w:rsidRPr="002E6BC6" w:rsidRDefault="003263A2" w:rsidP="00224CF5">
      <w:pPr>
        <w:pStyle w:val="Title"/>
        <w:spacing w:before="120" w:after="160"/>
        <w:ind w:left="720" w:hanging="11"/>
        <w:jc w:val="both"/>
        <w:outlineLvl w:val="9"/>
        <w:rPr>
          <w:rFonts w:asciiTheme="minorHAnsi" w:hAnsiTheme="minorHAnsi"/>
          <w:sz w:val="36"/>
          <w:szCs w:val="36"/>
        </w:rPr>
      </w:pPr>
      <w:r w:rsidRPr="002E6BC6">
        <w:rPr>
          <w:rFonts w:asciiTheme="minorHAnsi" w:hAnsiTheme="minorHAnsi"/>
          <w:sz w:val="36"/>
          <w:szCs w:val="36"/>
        </w:rPr>
        <w:t>Injection 162 mg in 0.9 mL single use pre-filled</w:t>
      </w:r>
      <w:r w:rsidR="00106730" w:rsidRPr="002E6BC6">
        <w:rPr>
          <w:rFonts w:asciiTheme="minorHAnsi" w:hAnsiTheme="minorHAnsi"/>
          <w:sz w:val="36"/>
          <w:szCs w:val="36"/>
        </w:rPr>
        <w:t xml:space="preserve"> </w:t>
      </w:r>
      <w:r w:rsidRPr="002E6BC6">
        <w:rPr>
          <w:rFonts w:asciiTheme="minorHAnsi" w:hAnsiTheme="minorHAnsi"/>
          <w:sz w:val="36"/>
          <w:szCs w:val="36"/>
        </w:rPr>
        <w:t>syringe</w:t>
      </w:r>
      <w:r w:rsidRPr="002E6BC6">
        <w:rPr>
          <w:rFonts w:asciiTheme="minorHAnsi" w:hAnsiTheme="minorHAnsi"/>
          <w:b w:val="0"/>
          <w:sz w:val="36"/>
          <w:szCs w:val="36"/>
        </w:rPr>
        <w:t>,</w:t>
      </w:r>
      <w:r w:rsidR="00D830C5" w:rsidRPr="002E6BC6">
        <w:rPr>
          <w:rFonts w:asciiTheme="minorHAnsi" w:hAnsiTheme="minorHAnsi"/>
          <w:sz w:val="36"/>
          <w:szCs w:val="36"/>
        </w:rPr>
        <w:t xml:space="preserve"> </w:t>
      </w:r>
    </w:p>
    <w:p w:rsidR="006D6493" w:rsidRPr="002E6BC6" w:rsidRDefault="003263A2" w:rsidP="00224CF5">
      <w:pPr>
        <w:pStyle w:val="Title"/>
        <w:spacing w:before="120" w:after="160"/>
        <w:ind w:left="720" w:hanging="11"/>
        <w:jc w:val="both"/>
        <w:outlineLvl w:val="9"/>
        <w:rPr>
          <w:rFonts w:asciiTheme="minorHAnsi" w:hAnsiTheme="minorHAnsi"/>
          <w:sz w:val="36"/>
          <w:szCs w:val="36"/>
        </w:rPr>
      </w:pPr>
      <w:proofErr w:type="spellStart"/>
      <w:r w:rsidRPr="002E6BC6">
        <w:rPr>
          <w:rFonts w:asciiTheme="minorHAnsi" w:hAnsiTheme="minorHAnsi"/>
          <w:sz w:val="36"/>
          <w:szCs w:val="36"/>
        </w:rPr>
        <w:t>Actemra</w:t>
      </w:r>
      <w:proofErr w:type="spellEnd"/>
      <w:r w:rsidR="006D6493" w:rsidRPr="002E6BC6">
        <w:rPr>
          <w:rFonts w:asciiTheme="minorHAnsi" w:hAnsiTheme="minorHAnsi"/>
          <w:sz w:val="36"/>
          <w:szCs w:val="36"/>
          <w:vertAlign w:val="superscript"/>
        </w:rPr>
        <w:t>®</w:t>
      </w:r>
      <w:r w:rsidRPr="002E6BC6">
        <w:rPr>
          <w:rFonts w:asciiTheme="minorHAnsi" w:hAnsiTheme="minorHAnsi"/>
          <w:sz w:val="36"/>
          <w:szCs w:val="36"/>
        </w:rPr>
        <w:t xml:space="preserve">, Roche Products Pty Ltd </w:t>
      </w:r>
    </w:p>
    <w:p w:rsidR="008A50F1" w:rsidRPr="002E6BC6" w:rsidRDefault="00CE10C4" w:rsidP="000334C9">
      <w:pPr>
        <w:pStyle w:val="PBACHeading1"/>
        <w:spacing w:before="120" w:after="120"/>
        <w:ind w:left="709" w:hanging="709"/>
        <w:rPr>
          <w:rFonts w:asciiTheme="minorHAnsi" w:hAnsiTheme="minorHAnsi"/>
          <w:sz w:val="32"/>
          <w:szCs w:val="32"/>
        </w:rPr>
      </w:pPr>
      <w:r w:rsidRPr="002E6BC6">
        <w:rPr>
          <w:rFonts w:asciiTheme="minorHAnsi" w:hAnsiTheme="minorHAnsi"/>
          <w:sz w:val="32"/>
          <w:szCs w:val="32"/>
        </w:rPr>
        <w:t xml:space="preserve">Purpose of </w:t>
      </w:r>
      <w:r w:rsidR="0004240E" w:rsidRPr="002E6BC6">
        <w:rPr>
          <w:rFonts w:asciiTheme="minorHAnsi" w:hAnsiTheme="minorHAnsi"/>
          <w:sz w:val="32"/>
          <w:szCs w:val="32"/>
        </w:rPr>
        <w:t>Application</w:t>
      </w:r>
    </w:p>
    <w:p w:rsidR="004F160E" w:rsidRPr="002E6BC6" w:rsidRDefault="00EF44A0" w:rsidP="000334C9">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The mi</w:t>
      </w:r>
      <w:r w:rsidR="00FF2801" w:rsidRPr="002E6BC6">
        <w:rPr>
          <w:rFonts w:asciiTheme="minorHAnsi" w:eastAsiaTheme="minorHAnsi" w:hAnsiTheme="minorHAnsi" w:cstheme="minorBidi"/>
          <w:snapToGrid/>
          <w:sz w:val="24"/>
          <w:szCs w:val="22"/>
        </w:rPr>
        <w:t xml:space="preserve">nor submission </w:t>
      </w:r>
      <w:r w:rsidR="00D830C5" w:rsidRPr="002E6BC6">
        <w:rPr>
          <w:rFonts w:asciiTheme="minorHAnsi" w:eastAsiaTheme="minorHAnsi" w:hAnsiTheme="minorHAnsi" w:cstheme="minorBidi"/>
          <w:snapToGrid/>
          <w:sz w:val="24"/>
          <w:szCs w:val="22"/>
        </w:rPr>
        <w:t>requested</w:t>
      </w:r>
      <w:r w:rsidR="00BF655A" w:rsidRPr="002E6BC6">
        <w:rPr>
          <w:rFonts w:asciiTheme="minorHAnsi" w:eastAsiaTheme="minorHAnsi" w:hAnsiTheme="minorHAnsi" w:cstheme="minorBidi"/>
          <w:snapToGrid/>
          <w:sz w:val="24"/>
          <w:szCs w:val="22"/>
        </w:rPr>
        <w:t xml:space="preserve"> </w:t>
      </w:r>
      <w:r w:rsidR="00AC00D7" w:rsidRPr="002E6BC6">
        <w:rPr>
          <w:rFonts w:asciiTheme="minorHAnsi" w:eastAsiaTheme="minorHAnsi" w:hAnsiTheme="minorHAnsi" w:cstheme="minorBidi"/>
          <w:snapToGrid/>
          <w:sz w:val="24"/>
          <w:szCs w:val="22"/>
        </w:rPr>
        <w:t xml:space="preserve">to extend </w:t>
      </w:r>
      <w:r w:rsidR="004F160E" w:rsidRPr="002E6BC6">
        <w:rPr>
          <w:rFonts w:asciiTheme="minorHAnsi" w:eastAsiaTheme="minorHAnsi" w:hAnsiTheme="minorHAnsi" w:cstheme="minorBidi"/>
          <w:snapToGrid/>
          <w:sz w:val="24"/>
          <w:szCs w:val="22"/>
        </w:rPr>
        <w:t>the</w:t>
      </w:r>
      <w:r w:rsidR="00BF655A" w:rsidRPr="002E6BC6">
        <w:rPr>
          <w:rFonts w:asciiTheme="minorHAnsi" w:eastAsiaTheme="minorHAnsi" w:hAnsiTheme="minorHAnsi" w:cstheme="minorBidi"/>
          <w:snapToGrid/>
          <w:sz w:val="24"/>
          <w:szCs w:val="22"/>
        </w:rPr>
        <w:t xml:space="preserve"> current</w:t>
      </w:r>
      <w:r w:rsidR="004F160E" w:rsidRPr="002E6BC6">
        <w:rPr>
          <w:rFonts w:asciiTheme="minorHAnsi" w:eastAsiaTheme="minorHAnsi" w:hAnsiTheme="minorHAnsi" w:cstheme="minorBidi"/>
          <w:snapToGrid/>
          <w:sz w:val="24"/>
          <w:szCs w:val="22"/>
        </w:rPr>
        <w:t xml:space="preserve"> Section 85 (General Schedule), </w:t>
      </w:r>
      <w:r w:rsidR="00D830C5" w:rsidRPr="002E6BC6">
        <w:rPr>
          <w:rFonts w:asciiTheme="minorHAnsi" w:eastAsiaTheme="minorHAnsi" w:hAnsiTheme="minorHAnsi" w:cstheme="minorBidi"/>
          <w:snapToGrid/>
          <w:sz w:val="24"/>
          <w:szCs w:val="22"/>
        </w:rPr>
        <w:t>Authority Required listing</w:t>
      </w:r>
      <w:r w:rsidR="00BE7959" w:rsidRPr="002E6BC6">
        <w:rPr>
          <w:rFonts w:asciiTheme="minorHAnsi" w:eastAsiaTheme="minorHAnsi" w:hAnsiTheme="minorHAnsi" w:cstheme="minorBidi"/>
          <w:snapToGrid/>
          <w:sz w:val="24"/>
          <w:szCs w:val="22"/>
        </w:rPr>
        <w:t>s</w:t>
      </w:r>
      <w:r w:rsidR="00D830C5" w:rsidRPr="002E6BC6">
        <w:rPr>
          <w:rFonts w:asciiTheme="minorHAnsi" w:eastAsiaTheme="minorHAnsi" w:hAnsiTheme="minorHAnsi" w:cstheme="minorBidi"/>
          <w:snapToGrid/>
          <w:sz w:val="24"/>
          <w:szCs w:val="22"/>
        </w:rPr>
        <w:t xml:space="preserve"> </w:t>
      </w:r>
      <w:r w:rsidR="000C6A21" w:rsidRPr="002E6BC6">
        <w:rPr>
          <w:rFonts w:asciiTheme="minorHAnsi" w:eastAsiaTheme="minorHAnsi" w:hAnsiTheme="minorHAnsi" w:cstheme="minorBidi"/>
          <w:snapToGrid/>
          <w:sz w:val="24"/>
          <w:szCs w:val="22"/>
        </w:rPr>
        <w:t>of</w:t>
      </w:r>
      <w:r w:rsidR="00D830C5" w:rsidRPr="002E6BC6">
        <w:rPr>
          <w:rFonts w:asciiTheme="minorHAnsi" w:eastAsiaTheme="minorHAnsi" w:hAnsiTheme="minorHAnsi" w:cstheme="minorBidi"/>
          <w:snapToGrid/>
          <w:sz w:val="24"/>
          <w:szCs w:val="22"/>
        </w:rPr>
        <w:t xml:space="preserve"> subcutaneous</w:t>
      </w:r>
      <w:r w:rsidR="007A6ACC" w:rsidRPr="002E6BC6">
        <w:rPr>
          <w:rFonts w:asciiTheme="minorHAnsi" w:eastAsiaTheme="minorHAnsi" w:hAnsiTheme="minorHAnsi" w:cstheme="minorBidi"/>
          <w:snapToGrid/>
          <w:sz w:val="24"/>
          <w:szCs w:val="22"/>
        </w:rPr>
        <w:t xml:space="preserve"> (SC)</w:t>
      </w:r>
      <w:r w:rsidR="00B0205D" w:rsidRPr="002E6BC6">
        <w:rPr>
          <w:rFonts w:asciiTheme="minorHAnsi" w:eastAsiaTheme="minorHAnsi" w:hAnsiTheme="minorHAnsi" w:cstheme="minorBidi"/>
          <w:snapToGrid/>
          <w:sz w:val="24"/>
          <w:szCs w:val="22"/>
        </w:rPr>
        <w:t xml:space="preserve"> injection presentations of</w:t>
      </w:r>
      <w:r w:rsidR="00D830C5" w:rsidRPr="002E6BC6">
        <w:rPr>
          <w:rFonts w:asciiTheme="minorHAnsi" w:eastAsiaTheme="minorHAnsi" w:hAnsiTheme="minorHAnsi" w:cstheme="minorBidi"/>
          <w:snapToGrid/>
          <w:sz w:val="24"/>
          <w:szCs w:val="22"/>
        </w:rPr>
        <w:t xml:space="preserve"> </w:t>
      </w:r>
      <w:proofErr w:type="spellStart"/>
      <w:r w:rsidR="00D830C5" w:rsidRPr="002E6BC6">
        <w:rPr>
          <w:rFonts w:asciiTheme="minorHAnsi" w:eastAsiaTheme="minorHAnsi" w:hAnsiTheme="minorHAnsi" w:cstheme="minorBidi"/>
          <w:snapToGrid/>
          <w:sz w:val="24"/>
          <w:szCs w:val="22"/>
        </w:rPr>
        <w:t>tocilizumab</w:t>
      </w:r>
      <w:proofErr w:type="spellEnd"/>
      <w:r w:rsidR="00D830C5" w:rsidRPr="002E6BC6">
        <w:rPr>
          <w:rFonts w:asciiTheme="minorHAnsi" w:eastAsiaTheme="minorHAnsi" w:hAnsiTheme="minorHAnsi" w:cstheme="minorBidi"/>
          <w:snapToGrid/>
          <w:sz w:val="24"/>
          <w:szCs w:val="22"/>
        </w:rPr>
        <w:t xml:space="preserve"> </w:t>
      </w:r>
      <w:r w:rsidR="00E42918" w:rsidRPr="002E6BC6">
        <w:rPr>
          <w:rFonts w:asciiTheme="minorHAnsi" w:eastAsiaTheme="minorHAnsi" w:hAnsiTheme="minorHAnsi" w:cstheme="minorBidi"/>
          <w:snapToGrid/>
          <w:sz w:val="24"/>
          <w:szCs w:val="22"/>
        </w:rPr>
        <w:t>(</w:t>
      </w:r>
      <w:proofErr w:type="spellStart"/>
      <w:r w:rsidR="00E42918" w:rsidRPr="002E6BC6">
        <w:rPr>
          <w:rFonts w:asciiTheme="minorHAnsi" w:eastAsiaTheme="minorHAnsi" w:hAnsiTheme="minorHAnsi" w:cstheme="minorBidi"/>
          <w:snapToGrid/>
          <w:sz w:val="24"/>
          <w:szCs w:val="22"/>
        </w:rPr>
        <w:t>tocilizumab</w:t>
      </w:r>
      <w:proofErr w:type="spellEnd"/>
      <w:r w:rsidR="00E42918" w:rsidRPr="002E6BC6">
        <w:rPr>
          <w:rFonts w:asciiTheme="minorHAnsi" w:eastAsiaTheme="minorHAnsi" w:hAnsiTheme="minorHAnsi" w:cstheme="minorBidi"/>
          <w:snapToGrid/>
          <w:sz w:val="24"/>
          <w:szCs w:val="22"/>
        </w:rPr>
        <w:t xml:space="preserve"> SC</w:t>
      </w:r>
      <w:r w:rsidR="00F3729D" w:rsidRPr="002E6BC6">
        <w:rPr>
          <w:rFonts w:asciiTheme="minorHAnsi" w:eastAsiaTheme="minorHAnsi" w:hAnsiTheme="minorHAnsi" w:cstheme="minorBidi"/>
          <w:snapToGrid/>
          <w:sz w:val="24"/>
          <w:szCs w:val="22"/>
        </w:rPr>
        <w:t xml:space="preserve"> from herein</w:t>
      </w:r>
      <w:r w:rsidR="00E42918" w:rsidRPr="002E6BC6">
        <w:rPr>
          <w:rFonts w:asciiTheme="minorHAnsi" w:eastAsiaTheme="minorHAnsi" w:hAnsiTheme="minorHAnsi" w:cstheme="minorBidi"/>
          <w:snapToGrid/>
          <w:sz w:val="24"/>
          <w:szCs w:val="22"/>
        </w:rPr>
        <w:t xml:space="preserve">) </w:t>
      </w:r>
      <w:r w:rsidR="00BF655A" w:rsidRPr="002E6BC6">
        <w:rPr>
          <w:rFonts w:asciiTheme="minorHAnsi" w:eastAsiaTheme="minorHAnsi" w:hAnsiTheme="minorHAnsi" w:cstheme="minorBidi"/>
          <w:snapToGrid/>
          <w:sz w:val="24"/>
          <w:szCs w:val="22"/>
        </w:rPr>
        <w:t xml:space="preserve">to include </w:t>
      </w:r>
      <w:r w:rsidR="00D830C5" w:rsidRPr="002E6BC6">
        <w:rPr>
          <w:rFonts w:asciiTheme="minorHAnsi" w:eastAsiaTheme="minorHAnsi" w:hAnsiTheme="minorHAnsi" w:cstheme="minorBidi"/>
          <w:snapToGrid/>
          <w:sz w:val="24"/>
          <w:szCs w:val="22"/>
        </w:rPr>
        <w:t>treatment of severe active</w:t>
      </w:r>
      <w:r w:rsidR="00BF655A" w:rsidRPr="002E6BC6">
        <w:rPr>
          <w:rFonts w:asciiTheme="minorHAnsi" w:eastAsiaTheme="minorHAnsi" w:hAnsiTheme="minorHAnsi" w:cstheme="minorBidi"/>
          <w:snapToGrid/>
          <w:sz w:val="24"/>
          <w:szCs w:val="22"/>
        </w:rPr>
        <w:t xml:space="preserve"> </w:t>
      </w:r>
      <w:proofErr w:type="spellStart"/>
      <w:r w:rsidR="00BF655A" w:rsidRPr="002E6BC6">
        <w:rPr>
          <w:rFonts w:asciiTheme="minorHAnsi" w:eastAsiaTheme="minorHAnsi" w:hAnsiTheme="minorHAnsi" w:cstheme="minorBidi"/>
          <w:snapToGrid/>
          <w:sz w:val="24"/>
          <w:szCs w:val="22"/>
        </w:rPr>
        <w:t>polyarticular</w:t>
      </w:r>
      <w:proofErr w:type="spellEnd"/>
      <w:r w:rsidR="00D830C5" w:rsidRPr="002E6BC6">
        <w:rPr>
          <w:rFonts w:asciiTheme="minorHAnsi" w:eastAsiaTheme="minorHAnsi" w:hAnsiTheme="minorHAnsi" w:cstheme="minorBidi"/>
          <w:snapToGrid/>
          <w:sz w:val="24"/>
          <w:szCs w:val="22"/>
        </w:rPr>
        <w:t xml:space="preserve"> juvenile idiopathic arthritis</w:t>
      </w:r>
      <w:r w:rsidR="008E121A" w:rsidRPr="002E6BC6">
        <w:rPr>
          <w:rFonts w:asciiTheme="minorHAnsi" w:eastAsiaTheme="minorHAnsi" w:hAnsiTheme="minorHAnsi" w:cstheme="minorBidi"/>
          <w:snapToGrid/>
          <w:sz w:val="24"/>
          <w:szCs w:val="22"/>
        </w:rPr>
        <w:t xml:space="preserve"> (JIA)</w:t>
      </w:r>
      <w:r w:rsidR="00964B27" w:rsidRPr="002E6BC6">
        <w:rPr>
          <w:rFonts w:asciiTheme="minorHAnsi" w:eastAsiaTheme="minorHAnsi" w:hAnsiTheme="minorHAnsi" w:cstheme="minorBidi"/>
          <w:snapToGrid/>
          <w:sz w:val="24"/>
          <w:szCs w:val="22"/>
        </w:rPr>
        <w:t>.</w:t>
      </w:r>
    </w:p>
    <w:p w:rsidR="006A12A5" w:rsidRPr="002E6BC6" w:rsidRDefault="006A12A5" w:rsidP="000334C9">
      <w:pPr>
        <w:pStyle w:val="PBACHeading1"/>
        <w:spacing w:before="120" w:after="120"/>
        <w:ind w:left="709" w:hanging="709"/>
        <w:rPr>
          <w:rFonts w:asciiTheme="minorHAnsi" w:hAnsiTheme="minorHAnsi"/>
          <w:sz w:val="32"/>
          <w:szCs w:val="32"/>
        </w:rPr>
      </w:pPr>
      <w:r w:rsidRPr="002E6BC6">
        <w:rPr>
          <w:rFonts w:asciiTheme="minorHAnsi" w:hAnsiTheme="minorHAnsi"/>
          <w:sz w:val="32"/>
          <w:szCs w:val="32"/>
        </w:rPr>
        <w:t>Requested listing</w:t>
      </w:r>
    </w:p>
    <w:p w:rsidR="00826F6D" w:rsidRPr="002E6BC6" w:rsidRDefault="007A6ACC"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The submission requested </w:t>
      </w:r>
      <w:r w:rsidR="00964B27" w:rsidRPr="002E6BC6">
        <w:rPr>
          <w:rFonts w:asciiTheme="minorHAnsi" w:eastAsiaTheme="minorHAnsi" w:hAnsiTheme="minorHAnsi" w:cstheme="minorBidi"/>
          <w:snapToGrid/>
          <w:sz w:val="24"/>
          <w:szCs w:val="22"/>
        </w:rPr>
        <w:t xml:space="preserve">to have the </w:t>
      </w:r>
      <w:r w:rsidR="00151C92" w:rsidRPr="002E6BC6">
        <w:rPr>
          <w:rFonts w:asciiTheme="minorHAnsi" w:eastAsiaTheme="minorHAnsi" w:hAnsiTheme="minorHAnsi" w:cstheme="minorBidi"/>
          <w:snapToGrid/>
          <w:sz w:val="24"/>
          <w:szCs w:val="22"/>
        </w:rPr>
        <w:t xml:space="preserve">same </w:t>
      </w:r>
      <w:r w:rsidR="00A3671D" w:rsidRPr="002E6BC6">
        <w:rPr>
          <w:rFonts w:asciiTheme="minorHAnsi" w:eastAsiaTheme="minorHAnsi" w:hAnsiTheme="minorHAnsi" w:cstheme="minorBidi"/>
          <w:snapToGrid/>
          <w:sz w:val="24"/>
          <w:szCs w:val="22"/>
        </w:rPr>
        <w:t>listing</w:t>
      </w:r>
      <w:r w:rsidR="00151C92" w:rsidRPr="002E6BC6">
        <w:rPr>
          <w:rFonts w:asciiTheme="minorHAnsi" w:eastAsiaTheme="minorHAnsi" w:hAnsiTheme="minorHAnsi" w:cstheme="minorBidi"/>
          <w:snapToGrid/>
          <w:sz w:val="24"/>
          <w:szCs w:val="22"/>
        </w:rPr>
        <w:t xml:space="preserve"> for</w:t>
      </w:r>
      <w:r w:rsidRPr="002E6BC6">
        <w:rPr>
          <w:rFonts w:asciiTheme="minorHAnsi" w:eastAsiaTheme="minorHAnsi" w:hAnsiTheme="minorHAnsi" w:cstheme="minorBidi"/>
          <w:snapToGrid/>
          <w:sz w:val="24"/>
          <w:szCs w:val="22"/>
        </w:rPr>
        <w:t xml:space="preserve"> </w:t>
      </w:r>
      <w:proofErr w:type="spellStart"/>
      <w:r w:rsidRPr="002E6BC6">
        <w:rPr>
          <w:rFonts w:asciiTheme="minorHAnsi" w:eastAsiaTheme="minorHAnsi" w:hAnsiTheme="minorHAnsi" w:cstheme="minorBidi"/>
          <w:snapToGrid/>
          <w:sz w:val="24"/>
          <w:szCs w:val="22"/>
        </w:rPr>
        <w:t>tocilizumab</w:t>
      </w:r>
      <w:proofErr w:type="spellEnd"/>
      <w:r w:rsidR="00151C92" w:rsidRPr="002E6BC6">
        <w:rPr>
          <w:rFonts w:asciiTheme="minorHAnsi" w:eastAsiaTheme="minorHAnsi" w:hAnsiTheme="minorHAnsi" w:cstheme="minorBidi"/>
          <w:snapToGrid/>
          <w:sz w:val="24"/>
          <w:szCs w:val="22"/>
        </w:rPr>
        <w:t xml:space="preserve"> SC</w:t>
      </w:r>
      <w:r w:rsidRPr="002E6BC6">
        <w:rPr>
          <w:rFonts w:asciiTheme="minorHAnsi" w:eastAsiaTheme="minorHAnsi" w:hAnsiTheme="minorHAnsi" w:cstheme="minorBidi"/>
          <w:snapToGrid/>
          <w:sz w:val="24"/>
          <w:szCs w:val="22"/>
        </w:rPr>
        <w:t xml:space="preserve"> as the existing </w:t>
      </w:r>
      <w:proofErr w:type="spellStart"/>
      <w:r w:rsidR="00B0205D" w:rsidRPr="002E6BC6">
        <w:rPr>
          <w:rFonts w:asciiTheme="minorHAnsi" w:eastAsiaTheme="minorHAnsi" w:hAnsiTheme="minorHAnsi" w:cstheme="minorBidi"/>
          <w:snapToGrid/>
          <w:sz w:val="24"/>
          <w:szCs w:val="22"/>
        </w:rPr>
        <w:t>tocilizumab</w:t>
      </w:r>
      <w:proofErr w:type="spellEnd"/>
      <w:r w:rsidR="00B0205D" w:rsidRPr="002E6BC6">
        <w:rPr>
          <w:rFonts w:asciiTheme="minorHAnsi" w:eastAsiaTheme="minorHAnsi" w:hAnsiTheme="minorHAnsi" w:cstheme="minorBidi"/>
          <w:snapToGrid/>
          <w:sz w:val="24"/>
          <w:szCs w:val="22"/>
        </w:rPr>
        <w:t xml:space="preserve"> intravenous (IV) injection in </w:t>
      </w:r>
      <w:r w:rsidRPr="002E6BC6">
        <w:rPr>
          <w:rFonts w:asciiTheme="minorHAnsi" w:eastAsiaTheme="minorHAnsi" w:hAnsiTheme="minorHAnsi" w:cstheme="minorBidi"/>
          <w:snapToGrid/>
          <w:sz w:val="24"/>
          <w:szCs w:val="22"/>
        </w:rPr>
        <w:t xml:space="preserve">severe active </w:t>
      </w:r>
      <w:r w:rsidR="006B5EA8" w:rsidRPr="002E6BC6">
        <w:rPr>
          <w:rFonts w:asciiTheme="minorHAnsi" w:eastAsiaTheme="minorHAnsi" w:hAnsiTheme="minorHAnsi" w:cstheme="minorBidi"/>
          <w:snapToGrid/>
          <w:sz w:val="24"/>
          <w:szCs w:val="22"/>
        </w:rPr>
        <w:t>JIA</w:t>
      </w:r>
      <w:r w:rsidR="00964B27" w:rsidRPr="002E6BC6">
        <w:rPr>
          <w:rFonts w:asciiTheme="minorHAnsi" w:eastAsiaTheme="minorHAnsi" w:hAnsiTheme="minorHAnsi" w:cstheme="minorBidi"/>
          <w:snapToGrid/>
          <w:sz w:val="24"/>
          <w:szCs w:val="22"/>
        </w:rPr>
        <w:t>,</w:t>
      </w:r>
      <w:r w:rsidR="005F25F6" w:rsidRPr="002E6BC6">
        <w:rPr>
          <w:rFonts w:asciiTheme="minorHAnsi" w:eastAsiaTheme="minorHAnsi" w:hAnsiTheme="minorHAnsi" w:cstheme="minorBidi"/>
          <w:snapToGrid/>
          <w:sz w:val="24"/>
          <w:szCs w:val="22"/>
        </w:rPr>
        <w:t xml:space="preserve"> </w:t>
      </w:r>
      <w:r w:rsidR="00964B27" w:rsidRPr="002E6BC6">
        <w:rPr>
          <w:rFonts w:asciiTheme="minorHAnsi" w:eastAsiaTheme="minorHAnsi" w:hAnsiTheme="minorHAnsi" w:cstheme="minorBidi"/>
          <w:snapToGrid/>
          <w:sz w:val="24"/>
          <w:szCs w:val="22"/>
        </w:rPr>
        <w:t>with the removal of the criterion</w:t>
      </w:r>
      <w:r w:rsidR="005F25F6" w:rsidRPr="002E6BC6">
        <w:rPr>
          <w:rFonts w:asciiTheme="minorHAnsi" w:eastAsiaTheme="minorHAnsi" w:hAnsiTheme="minorHAnsi" w:cstheme="minorBidi"/>
          <w:snapToGrid/>
          <w:sz w:val="24"/>
          <w:szCs w:val="22"/>
        </w:rPr>
        <w:t xml:space="preserve"> that specif</w:t>
      </w:r>
      <w:r w:rsidR="00964B27" w:rsidRPr="002E6BC6">
        <w:rPr>
          <w:rFonts w:asciiTheme="minorHAnsi" w:eastAsiaTheme="minorHAnsi" w:hAnsiTheme="minorHAnsi" w:cstheme="minorBidi"/>
          <w:snapToGrid/>
          <w:sz w:val="24"/>
          <w:szCs w:val="22"/>
        </w:rPr>
        <w:t>ies</w:t>
      </w:r>
      <w:r w:rsidR="005F25F6" w:rsidRPr="002E6BC6">
        <w:rPr>
          <w:rFonts w:asciiTheme="minorHAnsi" w:eastAsiaTheme="minorHAnsi" w:hAnsiTheme="minorHAnsi" w:cstheme="minorBidi"/>
          <w:snapToGrid/>
          <w:sz w:val="24"/>
          <w:szCs w:val="22"/>
        </w:rPr>
        <w:t xml:space="preserve"> the medical practitioner must request the appropriate number of vials of appropriate strength to provide sufficient drug, based on the weight of the patient, for two infusions. </w:t>
      </w:r>
    </w:p>
    <w:p w:rsidR="006023F2" w:rsidRPr="002E6BC6" w:rsidRDefault="006407BB"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The submission</w:t>
      </w:r>
      <w:r w:rsidR="00462FFC" w:rsidRPr="002E6BC6">
        <w:rPr>
          <w:rFonts w:asciiTheme="minorHAnsi" w:eastAsiaTheme="minorHAnsi" w:hAnsiTheme="minorHAnsi" w:cstheme="minorBidi"/>
          <w:snapToGrid/>
          <w:sz w:val="24"/>
          <w:szCs w:val="22"/>
        </w:rPr>
        <w:t xml:space="preserve"> also requested different maximum quantities</w:t>
      </w:r>
      <w:r w:rsidR="00813B42" w:rsidRPr="002E6BC6">
        <w:rPr>
          <w:rFonts w:asciiTheme="minorHAnsi" w:eastAsiaTheme="minorHAnsi" w:hAnsiTheme="minorHAnsi" w:cstheme="minorBidi"/>
          <w:snapToGrid/>
          <w:sz w:val="24"/>
          <w:szCs w:val="22"/>
        </w:rPr>
        <w:t xml:space="preserve"> and number of repeats </w:t>
      </w:r>
      <w:r w:rsidR="00C15C35" w:rsidRPr="002E6BC6">
        <w:rPr>
          <w:rFonts w:asciiTheme="minorHAnsi" w:eastAsiaTheme="minorHAnsi" w:hAnsiTheme="minorHAnsi" w:cstheme="minorBidi"/>
          <w:snapToGrid/>
          <w:sz w:val="24"/>
          <w:szCs w:val="22"/>
        </w:rPr>
        <w:t xml:space="preserve">(shown below) </w:t>
      </w:r>
      <w:r w:rsidR="00813B42" w:rsidRPr="002E6BC6">
        <w:rPr>
          <w:rFonts w:asciiTheme="minorHAnsi" w:eastAsiaTheme="minorHAnsi" w:hAnsiTheme="minorHAnsi" w:cstheme="minorBidi"/>
          <w:snapToGrid/>
          <w:sz w:val="24"/>
          <w:szCs w:val="22"/>
        </w:rPr>
        <w:t>for</w:t>
      </w:r>
      <w:r w:rsidR="006A468A" w:rsidRPr="002E6BC6">
        <w:rPr>
          <w:rFonts w:asciiTheme="minorHAnsi" w:eastAsiaTheme="minorHAnsi" w:hAnsiTheme="minorHAnsi" w:cstheme="minorBidi"/>
          <w:snapToGrid/>
          <w:sz w:val="24"/>
          <w:szCs w:val="22"/>
        </w:rPr>
        <w:t xml:space="preserve"> initial and continuing treatment for patients</w:t>
      </w:r>
      <w:r w:rsidR="00813B42" w:rsidRPr="002E6BC6">
        <w:rPr>
          <w:rFonts w:asciiTheme="minorHAnsi" w:eastAsiaTheme="minorHAnsi" w:hAnsiTheme="minorHAnsi" w:cstheme="minorBidi"/>
          <w:snapToGrid/>
          <w:sz w:val="24"/>
          <w:szCs w:val="22"/>
        </w:rPr>
        <w:t xml:space="preserve"> w</w:t>
      </w:r>
      <w:r w:rsidR="006A468A" w:rsidRPr="002E6BC6">
        <w:rPr>
          <w:rFonts w:asciiTheme="minorHAnsi" w:eastAsiaTheme="minorHAnsi" w:hAnsiTheme="minorHAnsi" w:cstheme="minorBidi"/>
          <w:snapToGrid/>
          <w:sz w:val="24"/>
          <w:szCs w:val="22"/>
        </w:rPr>
        <w:t xml:space="preserve">eighing &lt; 30 kg </w:t>
      </w:r>
      <w:r w:rsidR="00813B42" w:rsidRPr="002E6BC6">
        <w:rPr>
          <w:rFonts w:asciiTheme="minorHAnsi" w:eastAsiaTheme="minorHAnsi" w:hAnsiTheme="minorHAnsi" w:cstheme="minorBidi"/>
          <w:snapToGrid/>
          <w:sz w:val="24"/>
          <w:szCs w:val="22"/>
        </w:rPr>
        <w:t>and</w:t>
      </w:r>
      <w:r w:rsidR="006A468A" w:rsidRPr="002E6BC6">
        <w:rPr>
          <w:rFonts w:asciiTheme="minorHAnsi" w:eastAsiaTheme="minorHAnsi" w:hAnsiTheme="minorHAnsi" w:cstheme="minorBidi"/>
          <w:snapToGrid/>
          <w:sz w:val="24"/>
          <w:szCs w:val="22"/>
        </w:rPr>
        <w:t xml:space="preserve"> for</w:t>
      </w:r>
      <w:r w:rsidR="00813B42" w:rsidRPr="002E6BC6">
        <w:rPr>
          <w:rFonts w:asciiTheme="minorHAnsi" w:eastAsiaTheme="minorHAnsi" w:hAnsiTheme="minorHAnsi" w:cstheme="minorBidi"/>
          <w:snapToGrid/>
          <w:sz w:val="24"/>
          <w:szCs w:val="22"/>
        </w:rPr>
        <w:t xml:space="preserve"> </w:t>
      </w:r>
      <w:r w:rsidR="006A468A" w:rsidRPr="002E6BC6">
        <w:rPr>
          <w:rFonts w:asciiTheme="minorHAnsi" w:eastAsiaTheme="minorHAnsi" w:hAnsiTheme="minorHAnsi" w:cstheme="minorBidi"/>
          <w:snapToGrid/>
          <w:sz w:val="24"/>
          <w:szCs w:val="22"/>
        </w:rPr>
        <w:t xml:space="preserve">patients weighing </w:t>
      </w:r>
      <w:r w:rsidR="006A468A" w:rsidRPr="002E6BC6">
        <w:rPr>
          <w:rFonts w:asciiTheme="minorHAnsi" w:eastAsiaTheme="minorHAnsi" w:hAnsiTheme="minorHAnsi" w:cstheme="minorHAnsi"/>
          <w:snapToGrid/>
          <w:sz w:val="24"/>
          <w:szCs w:val="22"/>
        </w:rPr>
        <w:t>≥</w:t>
      </w:r>
      <w:r w:rsidR="006A468A" w:rsidRPr="002E6BC6">
        <w:rPr>
          <w:rFonts w:asciiTheme="minorHAnsi" w:eastAsiaTheme="minorHAnsi" w:hAnsiTheme="minorHAnsi" w:cstheme="minorBidi"/>
          <w:snapToGrid/>
          <w:sz w:val="24"/>
          <w:szCs w:val="22"/>
        </w:rPr>
        <w:t xml:space="preserve"> 30 kg. </w:t>
      </w:r>
    </w:p>
    <w:p w:rsidR="006023F2" w:rsidRPr="002E6BC6" w:rsidRDefault="006023F2"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Suggestions and additions proposed by the Secretariat to the requested listing </w:t>
      </w:r>
      <w:proofErr w:type="gramStart"/>
      <w:r w:rsidRPr="002E6BC6">
        <w:rPr>
          <w:rFonts w:asciiTheme="minorHAnsi" w:eastAsiaTheme="minorHAnsi" w:hAnsiTheme="minorHAnsi" w:cstheme="minorBidi"/>
          <w:snapToGrid/>
          <w:sz w:val="24"/>
          <w:szCs w:val="22"/>
        </w:rPr>
        <w:t>are added</w:t>
      </w:r>
      <w:proofErr w:type="gramEnd"/>
      <w:r w:rsidRPr="002E6BC6">
        <w:rPr>
          <w:rFonts w:asciiTheme="minorHAnsi" w:eastAsiaTheme="minorHAnsi" w:hAnsiTheme="minorHAnsi" w:cstheme="minorBidi"/>
          <w:snapToGrid/>
          <w:sz w:val="24"/>
          <w:szCs w:val="22"/>
        </w:rPr>
        <w:t xml:space="preserve"> in italics and suggested deletions are crossed out with strikethrough. </w:t>
      </w:r>
      <w:r w:rsidR="00144015" w:rsidRPr="002E6BC6">
        <w:rPr>
          <w:rFonts w:asciiTheme="minorHAnsi" w:eastAsiaTheme="minorHAnsi" w:hAnsiTheme="minorHAnsi" w:cstheme="minorBidi"/>
          <w:snapToGrid/>
          <w:sz w:val="24"/>
          <w:szCs w:val="22"/>
        </w:rPr>
        <w:t>Given the size of</w:t>
      </w:r>
      <w:r w:rsidR="00F44F5F" w:rsidRPr="002E6BC6">
        <w:rPr>
          <w:rFonts w:asciiTheme="minorHAnsi" w:eastAsiaTheme="minorHAnsi" w:hAnsiTheme="minorHAnsi" w:cstheme="minorBidi"/>
          <w:snapToGrid/>
          <w:sz w:val="24"/>
          <w:szCs w:val="22"/>
        </w:rPr>
        <w:t xml:space="preserve"> the restrictions, only the proposed additions and deletions </w:t>
      </w:r>
      <w:proofErr w:type="gramStart"/>
      <w:r w:rsidR="00F44F5F" w:rsidRPr="002E6BC6">
        <w:rPr>
          <w:rFonts w:asciiTheme="minorHAnsi" w:eastAsiaTheme="minorHAnsi" w:hAnsiTheme="minorHAnsi" w:cstheme="minorBidi"/>
          <w:snapToGrid/>
          <w:sz w:val="24"/>
          <w:szCs w:val="22"/>
        </w:rPr>
        <w:t>are shown</w:t>
      </w:r>
      <w:proofErr w:type="gramEnd"/>
      <w:r w:rsidR="00F44F5F" w:rsidRPr="002E6BC6">
        <w:rPr>
          <w:rFonts w:asciiTheme="minorHAnsi" w:eastAsiaTheme="minorHAnsi" w:hAnsiTheme="minorHAnsi" w:cstheme="minorBidi"/>
          <w:snapToGrid/>
          <w:sz w:val="24"/>
          <w:szCs w:val="22"/>
        </w:rPr>
        <w:t xml:space="preserve"> below. </w:t>
      </w:r>
    </w:p>
    <w:p w:rsidR="00A3671D" w:rsidRPr="002E6BC6" w:rsidRDefault="00A3671D" w:rsidP="00A3671D">
      <w:pPr>
        <w:keepNext/>
        <w:spacing w:after="120"/>
        <w:rPr>
          <w:rFonts w:asciiTheme="minorHAnsi" w:eastAsiaTheme="minorHAnsi" w:hAnsiTheme="minorHAnsi" w:cstheme="minorBidi"/>
          <w:b/>
          <w:szCs w:val="22"/>
        </w:rPr>
      </w:pPr>
      <w:r w:rsidRPr="002E6BC6">
        <w:rPr>
          <w:rFonts w:asciiTheme="minorHAnsi" w:eastAsiaTheme="minorHAnsi" w:hAnsiTheme="minorHAnsi" w:cstheme="minorBidi"/>
          <w:b/>
          <w:szCs w:val="22"/>
        </w:rPr>
        <w:t xml:space="preserve">&lt; 30 kg body </w:t>
      </w:r>
      <w:proofErr w:type="gramStart"/>
      <w:r w:rsidRPr="002E6BC6">
        <w:rPr>
          <w:rFonts w:asciiTheme="minorHAnsi" w:eastAsiaTheme="minorHAnsi" w:hAnsiTheme="minorHAnsi" w:cstheme="minorBidi"/>
          <w:b/>
          <w:szCs w:val="22"/>
        </w:rPr>
        <w:t>weight (</w:t>
      </w:r>
      <w:r w:rsidR="00134859" w:rsidRPr="002E6BC6">
        <w:rPr>
          <w:rFonts w:asciiTheme="minorHAnsi" w:eastAsiaTheme="minorHAnsi" w:hAnsiTheme="minorHAnsi" w:cstheme="minorBidi"/>
          <w:b/>
          <w:szCs w:val="22"/>
        </w:rPr>
        <w:t>dosing</w:t>
      </w:r>
      <w:proofErr w:type="gramEnd"/>
      <w:r w:rsidR="00134859" w:rsidRPr="002E6BC6">
        <w:rPr>
          <w:rFonts w:asciiTheme="minorHAnsi" w:eastAsiaTheme="minorHAnsi" w:hAnsiTheme="minorHAnsi" w:cstheme="minorBidi"/>
          <w:b/>
          <w:szCs w:val="22"/>
        </w:rPr>
        <w:t xml:space="preserve"> </w:t>
      </w:r>
      <w:r w:rsidRPr="002E6BC6">
        <w:rPr>
          <w:rFonts w:asciiTheme="minorHAnsi" w:eastAsiaTheme="minorHAnsi" w:hAnsiTheme="minorHAnsi" w:cstheme="minorBidi"/>
          <w:b/>
          <w:szCs w:val="22"/>
        </w:rPr>
        <w:t>Q3W)</w:t>
      </w:r>
    </w:p>
    <w:p w:rsidR="00134859" w:rsidRPr="002E6BC6" w:rsidRDefault="00134859" w:rsidP="00A3671D">
      <w:pPr>
        <w:keepNext/>
        <w:spacing w:after="120"/>
        <w:rPr>
          <w:rFonts w:ascii="Arial Narrow" w:eastAsiaTheme="minorHAnsi" w:hAnsi="Arial Narrow" w:cstheme="minorBidi"/>
          <w:sz w:val="20"/>
          <w:szCs w:val="22"/>
          <w:u w:val="single"/>
        </w:rPr>
      </w:pPr>
      <w:r w:rsidRPr="002E6BC6">
        <w:rPr>
          <w:rFonts w:ascii="Arial Narrow" w:eastAsiaTheme="minorHAnsi" w:hAnsi="Arial Narrow" w:cstheme="minorBidi"/>
          <w:sz w:val="20"/>
          <w:szCs w:val="22"/>
          <w:u w:val="single"/>
        </w:rPr>
        <w:t xml:space="preserve">Initial treatment </w:t>
      </w:r>
    </w:p>
    <w:tbl>
      <w:tblPr>
        <w:tblW w:w="5000" w:type="pct"/>
        <w:tblLook w:val="0000" w:firstRow="0" w:lastRow="0" w:firstColumn="0" w:lastColumn="0" w:noHBand="0" w:noVBand="0"/>
      </w:tblPr>
      <w:tblGrid>
        <w:gridCol w:w="2873"/>
        <w:gridCol w:w="615"/>
        <w:gridCol w:w="1010"/>
        <w:gridCol w:w="1010"/>
        <w:gridCol w:w="1401"/>
        <w:gridCol w:w="827"/>
        <w:gridCol w:w="1290"/>
      </w:tblGrid>
      <w:tr w:rsidR="00A3671D" w:rsidRPr="002E6BC6" w:rsidTr="00A3671D">
        <w:trPr>
          <w:trHeight w:val="465"/>
        </w:trPr>
        <w:tc>
          <w:tcPr>
            <w:tcW w:w="1594" w:type="pct"/>
            <w:tcBorders>
              <w:bottom w:val="single" w:sz="4" w:space="0" w:color="auto"/>
            </w:tcBorders>
          </w:tcPr>
          <w:p w:rsidR="00A3671D" w:rsidRPr="002E6BC6" w:rsidRDefault="00A3671D" w:rsidP="00A3671D">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A3671D" w:rsidRPr="002E6BC6" w:rsidRDefault="00A3671D" w:rsidP="00A3671D">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3" w:type="pct"/>
            <w:tcBorders>
              <w:bottom w:val="single" w:sz="4" w:space="0" w:color="auto"/>
            </w:tcBorders>
          </w:tcPr>
          <w:p w:rsidR="00A3671D" w:rsidRPr="002E6BC6" w:rsidRDefault="00A3671D" w:rsidP="00A3671D">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A3671D" w:rsidRPr="002E6BC6" w:rsidRDefault="00A3671D" w:rsidP="00A3671D">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61" w:type="pct"/>
            <w:tcBorders>
              <w:bottom w:val="single" w:sz="4" w:space="0" w:color="auto"/>
            </w:tcBorders>
          </w:tcPr>
          <w:p w:rsidR="00A3671D" w:rsidRPr="002E6BC6" w:rsidRDefault="00A3671D" w:rsidP="00A3671D">
            <w:pPr>
              <w:keepNext/>
              <w:spacing w:before="40" w:after="40"/>
              <w:jc w:val="both"/>
              <w:rPr>
                <w:rFonts w:ascii="Arial Narrow" w:hAnsi="Arial Narrow" w:cs="Arial"/>
                <w:b/>
                <w:sz w:val="20"/>
                <w:szCs w:val="20"/>
              </w:rPr>
            </w:pPr>
          </w:p>
        </w:tc>
        <w:tc>
          <w:tcPr>
            <w:tcW w:w="561" w:type="pct"/>
            <w:tcBorders>
              <w:bottom w:val="single" w:sz="4" w:space="0" w:color="auto"/>
            </w:tcBorders>
          </w:tcPr>
          <w:p w:rsidR="00A3671D" w:rsidRPr="002E6BC6" w:rsidRDefault="00A3671D" w:rsidP="00A3671D">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A3671D" w:rsidRPr="002E6BC6" w:rsidRDefault="00A3671D" w:rsidP="00A3671D">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8" w:type="pct"/>
            <w:tcBorders>
              <w:bottom w:val="single" w:sz="4" w:space="0" w:color="auto"/>
            </w:tcBorders>
          </w:tcPr>
          <w:p w:rsidR="00A3671D" w:rsidRPr="002E6BC6" w:rsidRDefault="00A3671D" w:rsidP="00A3671D">
            <w:pPr>
              <w:keepNext/>
              <w:spacing w:before="40" w:after="40"/>
              <w:jc w:val="both"/>
              <w:rPr>
                <w:rFonts w:ascii="Arial Narrow" w:hAnsi="Arial Narrow" w:cs="Arial"/>
                <w:b/>
                <w:sz w:val="20"/>
                <w:szCs w:val="20"/>
              </w:rPr>
            </w:pPr>
            <w:r w:rsidRPr="002E6BC6">
              <w:rPr>
                <w:rFonts w:ascii="Arial Narrow" w:hAnsi="Arial Narrow" w:cs="Arial"/>
                <w:b/>
                <w:sz w:val="20"/>
                <w:szCs w:val="20"/>
              </w:rPr>
              <w:t xml:space="preserve">Dispensed Price for Max. </w:t>
            </w:r>
            <w:proofErr w:type="spellStart"/>
            <w:r w:rsidRPr="002E6BC6">
              <w:rPr>
                <w:rFonts w:ascii="Arial Narrow" w:hAnsi="Arial Narrow" w:cs="Arial"/>
                <w:b/>
                <w:sz w:val="20"/>
                <w:szCs w:val="20"/>
              </w:rPr>
              <w:t>Qty</w:t>
            </w:r>
            <w:proofErr w:type="spellEnd"/>
          </w:p>
        </w:tc>
        <w:tc>
          <w:tcPr>
            <w:tcW w:w="1163" w:type="pct"/>
            <w:gridSpan w:val="2"/>
            <w:tcBorders>
              <w:bottom w:val="single" w:sz="4" w:space="0" w:color="auto"/>
            </w:tcBorders>
          </w:tcPr>
          <w:p w:rsidR="00A3671D" w:rsidRPr="00037C20" w:rsidRDefault="00A3671D" w:rsidP="00A3671D">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A3671D" w:rsidRPr="002E6BC6" w:rsidTr="00A3671D">
        <w:trPr>
          <w:trHeight w:val="567"/>
        </w:trPr>
        <w:tc>
          <w:tcPr>
            <w:tcW w:w="1594" w:type="pct"/>
          </w:tcPr>
          <w:p w:rsidR="00A3671D" w:rsidRPr="002E6BC6" w:rsidRDefault="00A3671D" w:rsidP="00A3671D">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A3671D" w:rsidRPr="002E6BC6" w:rsidRDefault="00A3671D" w:rsidP="00A3671D">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A3671D" w:rsidRPr="002E6BC6" w:rsidRDefault="00A3671D" w:rsidP="00A3671D">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A3671D" w:rsidRPr="002E6BC6" w:rsidRDefault="00A3671D" w:rsidP="00A3671D">
            <w:pPr>
              <w:keepNext/>
              <w:spacing w:before="40" w:after="40"/>
              <w:jc w:val="both"/>
              <w:rPr>
                <w:rFonts w:ascii="Arial Narrow" w:hAnsi="Arial Narrow" w:cs="Arial"/>
                <w:sz w:val="20"/>
                <w:szCs w:val="20"/>
              </w:rPr>
            </w:pPr>
            <w:r w:rsidRPr="002E6BC6">
              <w:rPr>
                <w:rFonts w:ascii="Arial Narrow" w:hAnsi="Arial Narrow" w:cs="Arial"/>
                <w:sz w:val="20"/>
                <w:szCs w:val="20"/>
              </w:rPr>
              <w:t>162 mg/0.9 mL, 4</w:t>
            </w:r>
            <w:r w:rsidR="00C178B7" w:rsidRPr="002E6BC6">
              <w:rPr>
                <w:rFonts w:ascii="Arial Narrow" w:hAnsi="Arial Narrow" w:cs="Arial"/>
                <w:sz w:val="20"/>
                <w:szCs w:val="20"/>
              </w:rPr>
              <w:t xml:space="preserve"> x</w:t>
            </w:r>
            <w:r w:rsidRPr="002E6BC6">
              <w:rPr>
                <w:rFonts w:ascii="Arial Narrow" w:hAnsi="Arial Narrow" w:cs="Arial"/>
                <w:sz w:val="20"/>
                <w:szCs w:val="20"/>
              </w:rPr>
              <w:t xml:space="preserve"> 0.9 mL</w:t>
            </w:r>
          </w:p>
          <w:p w:rsidR="00A3671D" w:rsidRPr="002E6BC6" w:rsidRDefault="00A3671D" w:rsidP="00A3671D">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3" w:type="pct"/>
          </w:tcPr>
          <w:p w:rsidR="00A3671D" w:rsidRPr="002E6BC6" w:rsidRDefault="00A3671D" w:rsidP="00134859">
            <w:pPr>
              <w:keepNext/>
              <w:spacing w:before="40" w:after="40"/>
              <w:jc w:val="both"/>
              <w:rPr>
                <w:rFonts w:ascii="Arial Narrow" w:hAnsi="Arial Narrow" w:cs="Arial"/>
                <w:strike/>
                <w:sz w:val="20"/>
                <w:szCs w:val="20"/>
              </w:rPr>
            </w:pPr>
          </w:p>
          <w:p w:rsidR="00A3671D" w:rsidRPr="002E6BC6" w:rsidRDefault="00A3671D" w:rsidP="00134859">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p w:rsidR="00A3671D" w:rsidRPr="002E6BC6" w:rsidRDefault="00A3671D" w:rsidP="00C178B7">
            <w:pPr>
              <w:keepNext/>
              <w:spacing w:before="40" w:after="40"/>
              <w:jc w:val="both"/>
              <w:rPr>
                <w:rFonts w:ascii="Arial Narrow" w:hAnsi="Arial Narrow" w:cs="Arial"/>
                <w:strike/>
                <w:sz w:val="20"/>
                <w:szCs w:val="20"/>
              </w:rPr>
            </w:pPr>
          </w:p>
          <w:p w:rsidR="00A3671D" w:rsidRPr="002E6BC6" w:rsidRDefault="00A3671D" w:rsidP="00435047">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tc>
        <w:tc>
          <w:tcPr>
            <w:tcW w:w="561" w:type="pct"/>
          </w:tcPr>
          <w:p w:rsidR="00A3671D" w:rsidRPr="002E6BC6" w:rsidRDefault="00A3671D" w:rsidP="00A3671D">
            <w:pPr>
              <w:keepNext/>
              <w:spacing w:before="40" w:after="40"/>
              <w:jc w:val="both"/>
              <w:rPr>
                <w:rFonts w:ascii="Arial Narrow" w:hAnsi="Arial Narrow" w:cs="Arial"/>
                <w:strike/>
                <w:sz w:val="20"/>
                <w:szCs w:val="20"/>
              </w:rPr>
            </w:pPr>
          </w:p>
        </w:tc>
        <w:tc>
          <w:tcPr>
            <w:tcW w:w="561" w:type="pct"/>
          </w:tcPr>
          <w:p w:rsidR="00A3671D" w:rsidRPr="002E6BC6" w:rsidRDefault="00A3671D" w:rsidP="00A3671D">
            <w:pPr>
              <w:keepNext/>
              <w:spacing w:before="40" w:after="40"/>
              <w:jc w:val="both"/>
              <w:rPr>
                <w:rFonts w:ascii="Arial Narrow" w:hAnsi="Arial Narrow" w:cs="Arial"/>
                <w:strike/>
                <w:sz w:val="20"/>
                <w:szCs w:val="20"/>
              </w:rPr>
            </w:pPr>
          </w:p>
          <w:p w:rsidR="00A3671D" w:rsidRPr="002E6BC6" w:rsidRDefault="00A3671D" w:rsidP="00A3671D">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p w:rsidR="00A3671D" w:rsidRPr="002E6BC6" w:rsidRDefault="00A3671D" w:rsidP="00A3671D">
            <w:pPr>
              <w:keepNext/>
              <w:spacing w:before="40" w:after="40"/>
              <w:jc w:val="both"/>
              <w:rPr>
                <w:rFonts w:ascii="Arial Narrow" w:hAnsi="Arial Narrow" w:cs="Arial"/>
                <w:strike/>
                <w:sz w:val="20"/>
                <w:szCs w:val="20"/>
              </w:rPr>
            </w:pPr>
          </w:p>
          <w:p w:rsidR="00A3671D" w:rsidRPr="002E6BC6" w:rsidRDefault="00A3671D" w:rsidP="00A3671D">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tc>
        <w:tc>
          <w:tcPr>
            <w:tcW w:w="778" w:type="pct"/>
          </w:tcPr>
          <w:p w:rsidR="00A3671D" w:rsidRPr="002E6BC6" w:rsidRDefault="00A3671D" w:rsidP="00134859">
            <w:pPr>
              <w:keepNext/>
              <w:spacing w:before="40" w:after="40"/>
              <w:jc w:val="both"/>
              <w:rPr>
                <w:rFonts w:ascii="Arial Narrow" w:hAnsi="Arial Narrow" w:cs="Arial"/>
                <w:sz w:val="20"/>
                <w:szCs w:val="20"/>
              </w:rPr>
            </w:pPr>
          </w:p>
          <w:p w:rsidR="00A3671D" w:rsidRPr="002E6BC6" w:rsidRDefault="00A3671D" w:rsidP="00134859">
            <w:pPr>
              <w:keepNext/>
              <w:spacing w:before="40" w:after="40"/>
              <w:jc w:val="both"/>
              <w:rPr>
                <w:rFonts w:ascii="Arial Narrow" w:hAnsi="Arial Narrow" w:cs="Arial"/>
                <w:sz w:val="20"/>
                <w:szCs w:val="20"/>
              </w:rPr>
            </w:pPr>
            <w:r w:rsidRPr="002E6BC6">
              <w:rPr>
                <w:rFonts w:ascii="Arial Narrow" w:hAnsi="Arial Narrow" w:cs="Arial"/>
                <w:sz w:val="20"/>
                <w:szCs w:val="20"/>
              </w:rPr>
              <w:t>$</w:t>
            </w:r>
            <w:r w:rsidR="003E2B64">
              <w:rPr>
                <w:rFonts w:ascii="Arial Narrow" w:hAnsi="Arial Narrow" w:cs="Arial"/>
                <w:noProof/>
                <w:color w:val="000000"/>
                <w:sz w:val="20"/>
                <w:szCs w:val="20"/>
                <w:highlight w:val="black"/>
              </w:rPr>
              <w:t>'''''''''''''''''''''''</w:t>
            </w:r>
          </w:p>
        </w:tc>
        <w:tc>
          <w:tcPr>
            <w:tcW w:w="447" w:type="pct"/>
          </w:tcPr>
          <w:p w:rsidR="00A3671D" w:rsidRPr="002E6BC6" w:rsidRDefault="00A3671D" w:rsidP="00C178B7">
            <w:pPr>
              <w:keepNext/>
              <w:spacing w:before="40" w:after="40"/>
              <w:jc w:val="both"/>
              <w:rPr>
                <w:rFonts w:ascii="Arial Narrow" w:hAnsi="Arial Narrow" w:cs="Arial"/>
                <w:sz w:val="20"/>
                <w:szCs w:val="20"/>
              </w:rPr>
            </w:pPr>
          </w:p>
          <w:p w:rsidR="00A3671D" w:rsidRPr="002E6BC6" w:rsidRDefault="00A3671D" w:rsidP="00435047">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6" w:type="pct"/>
          </w:tcPr>
          <w:p w:rsidR="00A3671D" w:rsidRPr="002E6BC6" w:rsidRDefault="00A3671D" w:rsidP="006023F2">
            <w:pPr>
              <w:keepNext/>
              <w:spacing w:before="40" w:after="40"/>
              <w:jc w:val="both"/>
              <w:rPr>
                <w:rFonts w:ascii="Arial Narrow" w:hAnsi="Arial Narrow" w:cs="Arial"/>
                <w:sz w:val="20"/>
                <w:szCs w:val="20"/>
              </w:rPr>
            </w:pPr>
          </w:p>
          <w:p w:rsidR="00A3671D" w:rsidRPr="002E6BC6" w:rsidRDefault="00A3671D" w:rsidP="00A42D9F">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134859" w:rsidRPr="002E6BC6" w:rsidRDefault="00134859" w:rsidP="00134859">
      <w:pPr>
        <w:spacing w:after="120"/>
        <w:rPr>
          <w:rFonts w:asciiTheme="minorHAnsi" w:eastAsiaTheme="minorHAnsi" w:hAnsiTheme="minorHAnsi" w:cstheme="minorBidi"/>
          <w:szCs w:val="22"/>
        </w:rPr>
      </w:pPr>
    </w:p>
    <w:p w:rsidR="00134859" w:rsidRPr="002E6BC6" w:rsidRDefault="00134859" w:rsidP="00134859">
      <w:pPr>
        <w:keepNext/>
        <w:spacing w:after="120"/>
        <w:rPr>
          <w:rFonts w:ascii="Arial Narrow" w:eastAsiaTheme="minorHAnsi" w:hAnsi="Arial Narrow" w:cstheme="minorBidi"/>
          <w:sz w:val="20"/>
          <w:szCs w:val="22"/>
          <w:u w:val="single"/>
        </w:rPr>
      </w:pPr>
      <w:r w:rsidRPr="002E6BC6">
        <w:rPr>
          <w:rFonts w:ascii="Arial Narrow" w:eastAsiaTheme="minorHAnsi" w:hAnsi="Arial Narrow" w:cstheme="minorBidi"/>
          <w:sz w:val="20"/>
          <w:szCs w:val="22"/>
          <w:u w:val="single"/>
        </w:rPr>
        <w:lastRenderedPageBreak/>
        <w:t xml:space="preserve">Continuing treatment </w:t>
      </w:r>
    </w:p>
    <w:tbl>
      <w:tblPr>
        <w:tblW w:w="5000" w:type="pct"/>
        <w:tblLook w:val="0000" w:firstRow="0" w:lastRow="0" w:firstColumn="0" w:lastColumn="0" w:noHBand="0" w:noVBand="0"/>
      </w:tblPr>
      <w:tblGrid>
        <w:gridCol w:w="2873"/>
        <w:gridCol w:w="615"/>
        <w:gridCol w:w="1010"/>
        <w:gridCol w:w="1010"/>
        <w:gridCol w:w="1401"/>
        <w:gridCol w:w="827"/>
        <w:gridCol w:w="1290"/>
      </w:tblGrid>
      <w:tr w:rsidR="00134859" w:rsidRPr="002E6BC6" w:rsidTr="00F44F5F">
        <w:trPr>
          <w:trHeight w:val="465"/>
        </w:trPr>
        <w:tc>
          <w:tcPr>
            <w:tcW w:w="1594" w:type="pct"/>
            <w:tcBorders>
              <w:bottom w:val="single" w:sz="4" w:space="0" w:color="auto"/>
            </w:tcBorders>
          </w:tcPr>
          <w:p w:rsidR="00134859" w:rsidRPr="002E6BC6" w:rsidRDefault="00134859"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134859" w:rsidRPr="002E6BC6" w:rsidRDefault="00134859"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3" w:type="pct"/>
            <w:tcBorders>
              <w:bottom w:val="single" w:sz="4" w:space="0" w:color="auto"/>
            </w:tcBorders>
          </w:tcPr>
          <w:p w:rsidR="00134859" w:rsidRPr="002E6BC6" w:rsidRDefault="00134859"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134859" w:rsidRPr="002E6BC6" w:rsidRDefault="00134859"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61" w:type="pct"/>
            <w:tcBorders>
              <w:bottom w:val="single" w:sz="4" w:space="0" w:color="auto"/>
            </w:tcBorders>
          </w:tcPr>
          <w:p w:rsidR="00134859" w:rsidRPr="002E6BC6" w:rsidRDefault="00134859" w:rsidP="00F44F5F">
            <w:pPr>
              <w:keepNext/>
              <w:spacing w:before="40" w:after="40"/>
              <w:jc w:val="both"/>
              <w:rPr>
                <w:rFonts w:ascii="Arial Narrow" w:hAnsi="Arial Narrow" w:cs="Arial"/>
                <w:b/>
                <w:sz w:val="20"/>
                <w:szCs w:val="20"/>
              </w:rPr>
            </w:pPr>
          </w:p>
        </w:tc>
        <w:tc>
          <w:tcPr>
            <w:tcW w:w="561" w:type="pct"/>
            <w:tcBorders>
              <w:bottom w:val="single" w:sz="4" w:space="0" w:color="auto"/>
            </w:tcBorders>
          </w:tcPr>
          <w:p w:rsidR="00134859" w:rsidRPr="002E6BC6" w:rsidRDefault="00134859"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134859" w:rsidRPr="002E6BC6" w:rsidRDefault="00134859"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8" w:type="pct"/>
            <w:tcBorders>
              <w:bottom w:val="single" w:sz="4" w:space="0" w:color="auto"/>
            </w:tcBorders>
          </w:tcPr>
          <w:p w:rsidR="00134859" w:rsidRPr="002E6BC6" w:rsidRDefault="00134859"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 xml:space="preserve">Dispensed Price for Max. </w:t>
            </w:r>
            <w:proofErr w:type="spellStart"/>
            <w:r w:rsidRPr="002E6BC6">
              <w:rPr>
                <w:rFonts w:ascii="Arial Narrow" w:hAnsi="Arial Narrow" w:cs="Arial"/>
                <w:b/>
                <w:sz w:val="20"/>
                <w:szCs w:val="20"/>
              </w:rPr>
              <w:t>Qty</w:t>
            </w:r>
            <w:proofErr w:type="spellEnd"/>
          </w:p>
        </w:tc>
        <w:tc>
          <w:tcPr>
            <w:tcW w:w="1163" w:type="pct"/>
            <w:gridSpan w:val="2"/>
            <w:tcBorders>
              <w:bottom w:val="single" w:sz="4" w:space="0" w:color="auto"/>
            </w:tcBorders>
          </w:tcPr>
          <w:p w:rsidR="00134859" w:rsidRPr="00037C20" w:rsidRDefault="00134859"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134859" w:rsidRPr="002E6BC6" w:rsidTr="00F44F5F">
        <w:trPr>
          <w:trHeight w:val="567"/>
        </w:trPr>
        <w:tc>
          <w:tcPr>
            <w:tcW w:w="1594" w:type="pct"/>
          </w:tcPr>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z w:val="20"/>
                <w:szCs w:val="20"/>
              </w:rPr>
              <w:t xml:space="preserve">162 mg/0.9 mL, 4 </w:t>
            </w:r>
            <w:r w:rsidR="00C178B7" w:rsidRPr="002E6BC6">
              <w:rPr>
                <w:rFonts w:ascii="Arial Narrow" w:hAnsi="Arial Narrow" w:cs="Arial"/>
                <w:sz w:val="20"/>
                <w:szCs w:val="20"/>
              </w:rPr>
              <w:t xml:space="preserve">x </w:t>
            </w:r>
            <w:r w:rsidRPr="002E6BC6">
              <w:rPr>
                <w:rFonts w:ascii="Arial Narrow" w:hAnsi="Arial Narrow" w:cs="Arial"/>
                <w:sz w:val="20"/>
                <w:szCs w:val="20"/>
              </w:rPr>
              <w:t>0.9 mL</w:t>
            </w:r>
          </w:p>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3" w:type="pct"/>
          </w:tcPr>
          <w:p w:rsidR="00134859" w:rsidRPr="002E6BC6" w:rsidRDefault="00134859" w:rsidP="00F44F5F">
            <w:pPr>
              <w:keepNext/>
              <w:spacing w:before="40" w:after="40"/>
              <w:jc w:val="both"/>
              <w:rPr>
                <w:rFonts w:ascii="Arial Narrow" w:hAnsi="Arial Narrow" w:cs="Arial"/>
                <w:strike/>
                <w:sz w:val="20"/>
                <w:szCs w:val="20"/>
              </w:rPr>
            </w:pPr>
          </w:p>
          <w:p w:rsidR="00134859" w:rsidRPr="002E6BC6" w:rsidRDefault="00134859"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p w:rsidR="00134859" w:rsidRPr="002E6BC6" w:rsidRDefault="00134859" w:rsidP="00F44F5F">
            <w:pPr>
              <w:keepNext/>
              <w:spacing w:before="40" w:after="40"/>
              <w:jc w:val="both"/>
              <w:rPr>
                <w:rFonts w:ascii="Arial Narrow" w:hAnsi="Arial Narrow" w:cs="Arial"/>
                <w:strike/>
                <w:sz w:val="20"/>
                <w:szCs w:val="20"/>
              </w:rPr>
            </w:pPr>
          </w:p>
          <w:p w:rsidR="00134859" w:rsidRPr="002E6BC6" w:rsidRDefault="00134859"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tc>
        <w:tc>
          <w:tcPr>
            <w:tcW w:w="561" w:type="pct"/>
          </w:tcPr>
          <w:p w:rsidR="00134859" w:rsidRPr="002E6BC6" w:rsidRDefault="00134859" w:rsidP="00F44F5F">
            <w:pPr>
              <w:keepNext/>
              <w:spacing w:before="40" w:after="40"/>
              <w:jc w:val="both"/>
              <w:rPr>
                <w:rFonts w:ascii="Arial Narrow" w:hAnsi="Arial Narrow" w:cs="Arial"/>
                <w:strike/>
                <w:sz w:val="20"/>
                <w:szCs w:val="20"/>
              </w:rPr>
            </w:pPr>
          </w:p>
        </w:tc>
        <w:tc>
          <w:tcPr>
            <w:tcW w:w="561" w:type="pct"/>
          </w:tcPr>
          <w:p w:rsidR="00134859" w:rsidRPr="002E6BC6" w:rsidRDefault="00134859" w:rsidP="00F44F5F">
            <w:pPr>
              <w:keepNext/>
              <w:spacing w:before="40" w:after="40"/>
              <w:jc w:val="both"/>
              <w:rPr>
                <w:rFonts w:ascii="Arial Narrow" w:hAnsi="Arial Narrow" w:cs="Arial"/>
                <w:strike/>
                <w:sz w:val="20"/>
                <w:szCs w:val="20"/>
              </w:rPr>
            </w:pPr>
          </w:p>
          <w:p w:rsidR="00134859" w:rsidRPr="002E6BC6" w:rsidRDefault="00134859"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3</w:t>
            </w:r>
          </w:p>
          <w:p w:rsidR="00134859" w:rsidRPr="002E6BC6" w:rsidRDefault="00134859" w:rsidP="00F44F5F">
            <w:pPr>
              <w:keepNext/>
              <w:spacing w:before="40" w:after="40"/>
              <w:jc w:val="both"/>
              <w:rPr>
                <w:rFonts w:ascii="Arial Narrow" w:hAnsi="Arial Narrow" w:cs="Arial"/>
                <w:strike/>
                <w:sz w:val="20"/>
                <w:szCs w:val="20"/>
              </w:rPr>
            </w:pPr>
          </w:p>
          <w:p w:rsidR="00134859" w:rsidRPr="002E6BC6" w:rsidRDefault="00134859"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3</w:t>
            </w:r>
          </w:p>
        </w:tc>
        <w:tc>
          <w:tcPr>
            <w:tcW w:w="778" w:type="pct"/>
          </w:tcPr>
          <w:p w:rsidR="00134859" w:rsidRPr="002E6BC6" w:rsidRDefault="00134859" w:rsidP="00F44F5F">
            <w:pPr>
              <w:keepNext/>
              <w:spacing w:before="40" w:after="40"/>
              <w:jc w:val="both"/>
              <w:rPr>
                <w:rFonts w:ascii="Arial Narrow" w:hAnsi="Arial Narrow" w:cs="Arial"/>
                <w:sz w:val="20"/>
                <w:szCs w:val="20"/>
              </w:rPr>
            </w:pPr>
          </w:p>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z w:val="20"/>
                <w:szCs w:val="20"/>
              </w:rPr>
              <w:t>$</w:t>
            </w:r>
            <w:r w:rsidR="003E2B64">
              <w:rPr>
                <w:rFonts w:ascii="Arial Narrow" w:hAnsi="Arial Narrow" w:cs="Arial"/>
                <w:noProof/>
                <w:color w:val="000000"/>
                <w:sz w:val="20"/>
                <w:szCs w:val="20"/>
                <w:highlight w:val="black"/>
              </w:rPr>
              <w:t>'''''''''''''''''''''</w:t>
            </w:r>
          </w:p>
        </w:tc>
        <w:tc>
          <w:tcPr>
            <w:tcW w:w="447" w:type="pct"/>
          </w:tcPr>
          <w:p w:rsidR="00134859" w:rsidRPr="002E6BC6" w:rsidRDefault="00134859" w:rsidP="00F44F5F">
            <w:pPr>
              <w:keepNext/>
              <w:spacing w:before="40" w:after="40"/>
              <w:jc w:val="both"/>
              <w:rPr>
                <w:rFonts w:ascii="Arial Narrow" w:hAnsi="Arial Narrow" w:cs="Arial"/>
                <w:sz w:val="20"/>
                <w:szCs w:val="20"/>
              </w:rPr>
            </w:pPr>
          </w:p>
          <w:p w:rsidR="00134859" w:rsidRPr="002E6BC6" w:rsidRDefault="00134859" w:rsidP="00F44F5F">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6" w:type="pct"/>
          </w:tcPr>
          <w:p w:rsidR="00134859" w:rsidRPr="002E6BC6" w:rsidRDefault="00134859" w:rsidP="00F44F5F">
            <w:pPr>
              <w:keepNext/>
              <w:spacing w:before="40" w:after="40"/>
              <w:jc w:val="both"/>
              <w:rPr>
                <w:rFonts w:ascii="Arial Narrow" w:hAnsi="Arial Narrow" w:cs="Arial"/>
                <w:sz w:val="20"/>
                <w:szCs w:val="20"/>
              </w:rPr>
            </w:pPr>
          </w:p>
          <w:p w:rsidR="00134859" w:rsidRPr="002E6BC6" w:rsidRDefault="00134859" w:rsidP="00F44F5F">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134859" w:rsidRPr="002E6BC6" w:rsidRDefault="00134859" w:rsidP="000334C9">
      <w:pPr>
        <w:keepNext/>
        <w:spacing w:before="120" w:after="120"/>
        <w:rPr>
          <w:rFonts w:asciiTheme="minorHAnsi" w:eastAsiaTheme="minorHAnsi" w:hAnsiTheme="minorHAnsi" w:cstheme="minorBidi"/>
          <w:b/>
          <w:szCs w:val="22"/>
        </w:rPr>
      </w:pPr>
      <w:r w:rsidRPr="002E6BC6">
        <w:rPr>
          <w:rFonts w:asciiTheme="minorHAnsi" w:eastAsiaTheme="minorHAnsi" w:hAnsiTheme="minorHAnsi" w:cstheme="minorHAnsi"/>
          <w:b/>
          <w:szCs w:val="22"/>
        </w:rPr>
        <w:t>≥</w:t>
      </w:r>
      <w:r w:rsidRPr="002E6BC6">
        <w:rPr>
          <w:rFonts w:asciiTheme="minorHAnsi" w:eastAsiaTheme="minorHAnsi" w:hAnsiTheme="minorHAnsi" w:cstheme="minorBidi"/>
          <w:b/>
          <w:szCs w:val="22"/>
        </w:rPr>
        <w:t xml:space="preserve"> 30 kg body weight (dosing </w:t>
      </w:r>
      <w:r w:rsidR="00435047" w:rsidRPr="002E6BC6">
        <w:rPr>
          <w:rFonts w:asciiTheme="minorHAnsi" w:eastAsiaTheme="minorHAnsi" w:hAnsiTheme="minorHAnsi" w:cstheme="minorBidi"/>
          <w:b/>
          <w:szCs w:val="22"/>
        </w:rPr>
        <w:t>Q2</w:t>
      </w:r>
      <w:r w:rsidRPr="002E6BC6">
        <w:rPr>
          <w:rFonts w:asciiTheme="minorHAnsi" w:eastAsiaTheme="minorHAnsi" w:hAnsiTheme="minorHAnsi" w:cstheme="minorBidi"/>
          <w:b/>
          <w:szCs w:val="22"/>
        </w:rPr>
        <w:t>W)</w:t>
      </w:r>
    </w:p>
    <w:p w:rsidR="00C178B7" w:rsidRPr="002E6BC6" w:rsidRDefault="00C178B7" w:rsidP="000334C9">
      <w:pPr>
        <w:keepNext/>
        <w:spacing w:before="120" w:after="120"/>
        <w:rPr>
          <w:rFonts w:ascii="Arial Narrow" w:eastAsiaTheme="minorHAnsi" w:hAnsi="Arial Narrow" w:cstheme="minorBidi"/>
          <w:sz w:val="20"/>
          <w:szCs w:val="22"/>
          <w:u w:val="single"/>
        </w:rPr>
      </w:pPr>
      <w:r w:rsidRPr="002E6BC6">
        <w:rPr>
          <w:rFonts w:ascii="Arial Narrow" w:eastAsiaTheme="minorHAnsi" w:hAnsi="Arial Narrow" w:cstheme="minorBidi"/>
          <w:sz w:val="20"/>
          <w:szCs w:val="22"/>
          <w:u w:val="single"/>
        </w:rPr>
        <w:t xml:space="preserve">Initial treatment </w:t>
      </w:r>
    </w:p>
    <w:tbl>
      <w:tblPr>
        <w:tblW w:w="5000" w:type="pct"/>
        <w:tblLook w:val="0000" w:firstRow="0" w:lastRow="0" w:firstColumn="0" w:lastColumn="0" w:noHBand="0" w:noVBand="0"/>
      </w:tblPr>
      <w:tblGrid>
        <w:gridCol w:w="2873"/>
        <w:gridCol w:w="615"/>
        <w:gridCol w:w="1010"/>
        <w:gridCol w:w="1010"/>
        <w:gridCol w:w="1401"/>
        <w:gridCol w:w="827"/>
        <w:gridCol w:w="1290"/>
      </w:tblGrid>
      <w:tr w:rsidR="00C178B7" w:rsidRPr="002E6BC6" w:rsidTr="00F44F5F">
        <w:trPr>
          <w:trHeight w:val="465"/>
        </w:trPr>
        <w:tc>
          <w:tcPr>
            <w:tcW w:w="1594" w:type="pct"/>
            <w:tcBorders>
              <w:bottom w:val="single" w:sz="4" w:space="0" w:color="auto"/>
            </w:tcBorders>
          </w:tcPr>
          <w:p w:rsidR="00C178B7" w:rsidRPr="002E6BC6" w:rsidRDefault="00C178B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C178B7" w:rsidRPr="002E6BC6" w:rsidRDefault="00C178B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3" w:type="pct"/>
            <w:tcBorders>
              <w:bottom w:val="single" w:sz="4" w:space="0" w:color="auto"/>
            </w:tcBorders>
          </w:tcPr>
          <w:p w:rsidR="00C178B7" w:rsidRPr="002E6BC6" w:rsidRDefault="00C178B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C178B7" w:rsidRPr="002E6BC6" w:rsidRDefault="00C178B7"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61" w:type="pct"/>
            <w:tcBorders>
              <w:bottom w:val="single" w:sz="4" w:space="0" w:color="auto"/>
            </w:tcBorders>
          </w:tcPr>
          <w:p w:rsidR="00C178B7" w:rsidRPr="002E6BC6" w:rsidRDefault="00C178B7" w:rsidP="00F44F5F">
            <w:pPr>
              <w:keepNext/>
              <w:spacing w:before="40" w:after="40"/>
              <w:jc w:val="both"/>
              <w:rPr>
                <w:rFonts w:ascii="Arial Narrow" w:hAnsi="Arial Narrow" w:cs="Arial"/>
                <w:b/>
                <w:sz w:val="20"/>
                <w:szCs w:val="20"/>
              </w:rPr>
            </w:pPr>
          </w:p>
        </w:tc>
        <w:tc>
          <w:tcPr>
            <w:tcW w:w="561" w:type="pct"/>
            <w:tcBorders>
              <w:bottom w:val="single" w:sz="4" w:space="0" w:color="auto"/>
            </w:tcBorders>
          </w:tcPr>
          <w:p w:rsidR="00C178B7" w:rsidRPr="002E6BC6" w:rsidRDefault="00C178B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C178B7" w:rsidRPr="002E6BC6" w:rsidRDefault="00C178B7"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8" w:type="pct"/>
            <w:tcBorders>
              <w:bottom w:val="single" w:sz="4" w:space="0" w:color="auto"/>
            </w:tcBorders>
          </w:tcPr>
          <w:p w:rsidR="00C178B7" w:rsidRPr="002E6BC6" w:rsidRDefault="00C178B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 xml:space="preserve">Dispensed Price for Max. </w:t>
            </w:r>
            <w:proofErr w:type="spellStart"/>
            <w:r w:rsidRPr="002E6BC6">
              <w:rPr>
                <w:rFonts w:ascii="Arial Narrow" w:hAnsi="Arial Narrow" w:cs="Arial"/>
                <w:b/>
                <w:sz w:val="20"/>
                <w:szCs w:val="20"/>
              </w:rPr>
              <w:t>Qty</w:t>
            </w:r>
            <w:proofErr w:type="spellEnd"/>
          </w:p>
        </w:tc>
        <w:tc>
          <w:tcPr>
            <w:tcW w:w="1163" w:type="pct"/>
            <w:gridSpan w:val="2"/>
            <w:tcBorders>
              <w:bottom w:val="single" w:sz="4" w:space="0" w:color="auto"/>
            </w:tcBorders>
          </w:tcPr>
          <w:p w:rsidR="00C178B7" w:rsidRPr="00037C20" w:rsidRDefault="00C178B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C178B7" w:rsidRPr="002E6BC6" w:rsidTr="00F44F5F">
        <w:trPr>
          <w:trHeight w:val="567"/>
        </w:trPr>
        <w:tc>
          <w:tcPr>
            <w:tcW w:w="1594" w:type="pct"/>
          </w:tcPr>
          <w:p w:rsidR="00C178B7" w:rsidRPr="002E6BC6" w:rsidRDefault="00C178B7" w:rsidP="00F44F5F">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C178B7" w:rsidRPr="002E6BC6" w:rsidRDefault="00C178B7"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C178B7" w:rsidRPr="002E6BC6" w:rsidRDefault="00C178B7" w:rsidP="00F44F5F">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C178B7" w:rsidRPr="002E6BC6" w:rsidRDefault="00C178B7"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C178B7" w:rsidRPr="002E6BC6" w:rsidRDefault="00C178B7" w:rsidP="00F44F5F">
            <w:pPr>
              <w:keepNext/>
              <w:spacing w:before="40" w:after="40"/>
              <w:jc w:val="both"/>
              <w:rPr>
                <w:rFonts w:ascii="Arial Narrow" w:hAnsi="Arial Narrow" w:cs="Arial"/>
                <w:strike/>
                <w:sz w:val="20"/>
                <w:szCs w:val="20"/>
              </w:rPr>
            </w:pPr>
            <w:r w:rsidRPr="002E6BC6">
              <w:rPr>
                <w:rFonts w:ascii="Arial Narrow" w:hAnsi="Arial Narrow" w:cs="Arial"/>
                <w:sz w:val="20"/>
                <w:szCs w:val="20"/>
              </w:rPr>
              <w:t>syringe</w:t>
            </w:r>
          </w:p>
        </w:tc>
        <w:tc>
          <w:tcPr>
            <w:tcW w:w="343" w:type="pct"/>
          </w:tcPr>
          <w:p w:rsidR="00C178B7" w:rsidRPr="002E6BC6" w:rsidRDefault="00C178B7" w:rsidP="00F44F5F">
            <w:pPr>
              <w:keepNext/>
              <w:spacing w:before="40" w:after="40"/>
              <w:jc w:val="both"/>
              <w:rPr>
                <w:rFonts w:ascii="Arial Narrow" w:hAnsi="Arial Narrow" w:cs="Arial"/>
                <w:strike/>
                <w:sz w:val="20"/>
                <w:szCs w:val="20"/>
              </w:rPr>
            </w:pPr>
          </w:p>
          <w:p w:rsidR="00C178B7" w:rsidRPr="002E6BC6" w:rsidRDefault="00C178B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p w:rsidR="00C178B7" w:rsidRPr="002E6BC6" w:rsidRDefault="00C178B7" w:rsidP="00F44F5F">
            <w:pPr>
              <w:keepNext/>
              <w:spacing w:before="40" w:after="40"/>
              <w:jc w:val="both"/>
              <w:rPr>
                <w:rFonts w:ascii="Arial Narrow" w:hAnsi="Arial Narrow" w:cs="Arial"/>
                <w:strike/>
                <w:sz w:val="20"/>
                <w:szCs w:val="20"/>
              </w:rPr>
            </w:pPr>
          </w:p>
          <w:p w:rsidR="00C178B7" w:rsidRPr="002E6BC6" w:rsidRDefault="00C178B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tc>
        <w:tc>
          <w:tcPr>
            <w:tcW w:w="561" w:type="pct"/>
          </w:tcPr>
          <w:p w:rsidR="00C178B7" w:rsidRPr="002E6BC6" w:rsidRDefault="00C178B7" w:rsidP="00F44F5F">
            <w:pPr>
              <w:keepNext/>
              <w:spacing w:before="40" w:after="40"/>
              <w:jc w:val="both"/>
              <w:rPr>
                <w:rFonts w:ascii="Arial Narrow" w:hAnsi="Arial Narrow" w:cs="Arial"/>
                <w:strike/>
                <w:sz w:val="20"/>
                <w:szCs w:val="20"/>
              </w:rPr>
            </w:pPr>
          </w:p>
        </w:tc>
        <w:tc>
          <w:tcPr>
            <w:tcW w:w="561" w:type="pct"/>
          </w:tcPr>
          <w:p w:rsidR="00C178B7" w:rsidRPr="002E6BC6" w:rsidRDefault="00C178B7" w:rsidP="00F44F5F">
            <w:pPr>
              <w:keepNext/>
              <w:spacing w:before="40" w:after="40"/>
              <w:jc w:val="both"/>
              <w:rPr>
                <w:rFonts w:ascii="Arial Narrow" w:hAnsi="Arial Narrow" w:cs="Arial"/>
                <w:strike/>
                <w:sz w:val="20"/>
                <w:szCs w:val="20"/>
              </w:rPr>
            </w:pPr>
          </w:p>
          <w:p w:rsidR="00C178B7" w:rsidRPr="002E6BC6" w:rsidRDefault="00C178B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0</w:t>
            </w:r>
          </w:p>
          <w:p w:rsidR="00C178B7" w:rsidRPr="002E6BC6" w:rsidRDefault="00C178B7" w:rsidP="00F44F5F">
            <w:pPr>
              <w:keepNext/>
              <w:spacing w:before="40" w:after="40"/>
              <w:jc w:val="both"/>
              <w:rPr>
                <w:rFonts w:ascii="Arial Narrow" w:hAnsi="Arial Narrow" w:cs="Arial"/>
                <w:strike/>
                <w:sz w:val="20"/>
                <w:szCs w:val="20"/>
              </w:rPr>
            </w:pPr>
          </w:p>
          <w:p w:rsidR="00C178B7" w:rsidRPr="002E6BC6" w:rsidRDefault="00C178B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0</w:t>
            </w:r>
          </w:p>
        </w:tc>
        <w:tc>
          <w:tcPr>
            <w:tcW w:w="778" w:type="pct"/>
          </w:tcPr>
          <w:p w:rsidR="00C178B7" w:rsidRPr="002E6BC6" w:rsidRDefault="00C178B7" w:rsidP="00F44F5F">
            <w:pPr>
              <w:keepNext/>
              <w:spacing w:before="40" w:after="40"/>
              <w:jc w:val="both"/>
              <w:rPr>
                <w:rFonts w:ascii="Arial Narrow" w:hAnsi="Arial Narrow" w:cs="Arial"/>
                <w:sz w:val="20"/>
                <w:szCs w:val="20"/>
              </w:rPr>
            </w:pPr>
          </w:p>
          <w:p w:rsidR="00C178B7" w:rsidRPr="002E6BC6" w:rsidRDefault="00C178B7" w:rsidP="00F44F5F">
            <w:pPr>
              <w:keepNext/>
              <w:spacing w:before="40" w:after="40"/>
              <w:jc w:val="both"/>
              <w:rPr>
                <w:rFonts w:ascii="Arial Narrow" w:hAnsi="Arial Narrow" w:cs="Arial"/>
                <w:sz w:val="20"/>
                <w:szCs w:val="20"/>
              </w:rPr>
            </w:pPr>
            <w:r w:rsidRPr="002E6BC6">
              <w:rPr>
                <w:rFonts w:ascii="Arial Narrow" w:hAnsi="Arial Narrow" w:cs="Arial"/>
                <w:sz w:val="20"/>
                <w:szCs w:val="20"/>
              </w:rPr>
              <w:t>$</w:t>
            </w:r>
            <w:r w:rsidR="003E2B64">
              <w:rPr>
                <w:rFonts w:ascii="Arial Narrow" w:hAnsi="Arial Narrow" w:cs="Arial"/>
                <w:noProof/>
                <w:color w:val="000000"/>
                <w:sz w:val="20"/>
                <w:szCs w:val="20"/>
                <w:highlight w:val="black"/>
              </w:rPr>
              <w:t>'''''''''''''''''''''''</w:t>
            </w:r>
          </w:p>
        </w:tc>
        <w:tc>
          <w:tcPr>
            <w:tcW w:w="447" w:type="pct"/>
          </w:tcPr>
          <w:p w:rsidR="00C178B7" w:rsidRPr="002E6BC6" w:rsidRDefault="00C178B7" w:rsidP="00F44F5F">
            <w:pPr>
              <w:keepNext/>
              <w:spacing w:before="40" w:after="40"/>
              <w:jc w:val="both"/>
              <w:rPr>
                <w:rFonts w:ascii="Arial Narrow" w:hAnsi="Arial Narrow" w:cs="Arial"/>
                <w:sz w:val="20"/>
                <w:szCs w:val="20"/>
              </w:rPr>
            </w:pPr>
          </w:p>
          <w:p w:rsidR="00C178B7" w:rsidRPr="002E6BC6" w:rsidRDefault="00C178B7" w:rsidP="00F44F5F">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6" w:type="pct"/>
          </w:tcPr>
          <w:p w:rsidR="00C178B7" w:rsidRPr="002E6BC6" w:rsidRDefault="00C178B7" w:rsidP="00F44F5F">
            <w:pPr>
              <w:keepNext/>
              <w:spacing w:before="40" w:after="40"/>
              <w:jc w:val="both"/>
              <w:rPr>
                <w:rFonts w:ascii="Arial Narrow" w:hAnsi="Arial Narrow" w:cs="Arial"/>
                <w:sz w:val="20"/>
                <w:szCs w:val="20"/>
              </w:rPr>
            </w:pPr>
          </w:p>
          <w:p w:rsidR="00C178B7" w:rsidRPr="002E6BC6" w:rsidRDefault="00C178B7" w:rsidP="00F44F5F">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435047" w:rsidRPr="002E6BC6" w:rsidRDefault="00435047" w:rsidP="000334C9">
      <w:pPr>
        <w:keepNext/>
        <w:spacing w:before="120" w:after="120"/>
        <w:rPr>
          <w:rFonts w:ascii="Arial Narrow" w:eastAsiaTheme="minorHAnsi" w:hAnsi="Arial Narrow" w:cstheme="minorBidi"/>
          <w:sz w:val="20"/>
          <w:szCs w:val="22"/>
          <w:u w:val="single"/>
        </w:rPr>
      </w:pPr>
      <w:r w:rsidRPr="002E6BC6">
        <w:rPr>
          <w:rFonts w:ascii="Arial Narrow" w:eastAsiaTheme="minorHAnsi" w:hAnsi="Arial Narrow" w:cstheme="minorBidi"/>
          <w:sz w:val="20"/>
          <w:szCs w:val="22"/>
          <w:u w:val="single"/>
        </w:rPr>
        <w:t xml:space="preserve">Continuing treatment </w:t>
      </w:r>
    </w:p>
    <w:tbl>
      <w:tblPr>
        <w:tblW w:w="5000" w:type="pct"/>
        <w:tblLook w:val="0000" w:firstRow="0" w:lastRow="0" w:firstColumn="0" w:lastColumn="0" w:noHBand="0" w:noVBand="0"/>
      </w:tblPr>
      <w:tblGrid>
        <w:gridCol w:w="2873"/>
        <w:gridCol w:w="615"/>
        <w:gridCol w:w="1010"/>
        <w:gridCol w:w="1010"/>
        <w:gridCol w:w="1401"/>
        <w:gridCol w:w="827"/>
        <w:gridCol w:w="1290"/>
      </w:tblGrid>
      <w:tr w:rsidR="00435047" w:rsidRPr="002E6BC6" w:rsidTr="00F44F5F">
        <w:trPr>
          <w:trHeight w:val="465"/>
        </w:trPr>
        <w:tc>
          <w:tcPr>
            <w:tcW w:w="1594" w:type="pct"/>
            <w:tcBorders>
              <w:bottom w:val="single" w:sz="4" w:space="0" w:color="auto"/>
            </w:tcBorders>
          </w:tcPr>
          <w:p w:rsidR="00435047" w:rsidRPr="002E6BC6" w:rsidRDefault="0043504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435047" w:rsidRPr="002E6BC6" w:rsidRDefault="0043504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3" w:type="pct"/>
            <w:tcBorders>
              <w:bottom w:val="single" w:sz="4" w:space="0" w:color="auto"/>
            </w:tcBorders>
          </w:tcPr>
          <w:p w:rsidR="00435047" w:rsidRPr="002E6BC6" w:rsidRDefault="0043504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435047" w:rsidRPr="002E6BC6" w:rsidRDefault="00435047"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61" w:type="pct"/>
            <w:tcBorders>
              <w:bottom w:val="single" w:sz="4" w:space="0" w:color="auto"/>
            </w:tcBorders>
          </w:tcPr>
          <w:p w:rsidR="00435047" w:rsidRPr="002E6BC6" w:rsidRDefault="00435047" w:rsidP="00F44F5F">
            <w:pPr>
              <w:keepNext/>
              <w:spacing w:before="40" w:after="40"/>
              <w:jc w:val="both"/>
              <w:rPr>
                <w:rFonts w:ascii="Arial Narrow" w:hAnsi="Arial Narrow" w:cs="Arial"/>
                <w:b/>
                <w:sz w:val="20"/>
                <w:szCs w:val="20"/>
              </w:rPr>
            </w:pPr>
          </w:p>
        </w:tc>
        <w:tc>
          <w:tcPr>
            <w:tcW w:w="561" w:type="pct"/>
            <w:tcBorders>
              <w:bottom w:val="single" w:sz="4" w:space="0" w:color="auto"/>
            </w:tcBorders>
          </w:tcPr>
          <w:p w:rsidR="00435047" w:rsidRPr="002E6BC6" w:rsidRDefault="0043504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435047" w:rsidRPr="002E6BC6" w:rsidRDefault="00435047"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8" w:type="pct"/>
            <w:tcBorders>
              <w:bottom w:val="single" w:sz="4" w:space="0" w:color="auto"/>
            </w:tcBorders>
          </w:tcPr>
          <w:p w:rsidR="00435047" w:rsidRPr="002E6BC6" w:rsidRDefault="0043504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 xml:space="preserve">Dispensed Price for Max. </w:t>
            </w:r>
            <w:proofErr w:type="spellStart"/>
            <w:r w:rsidRPr="002E6BC6">
              <w:rPr>
                <w:rFonts w:ascii="Arial Narrow" w:hAnsi="Arial Narrow" w:cs="Arial"/>
                <w:b/>
                <w:sz w:val="20"/>
                <w:szCs w:val="20"/>
              </w:rPr>
              <w:t>Qty</w:t>
            </w:r>
            <w:proofErr w:type="spellEnd"/>
          </w:p>
        </w:tc>
        <w:tc>
          <w:tcPr>
            <w:tcW w:w="1163" w:type="pct"/>
            <w:gridSpan w:val="2"/>
            <w:tcBorders>
              <w:bottom w:val="single" w:sz="4" w:space="0" w:color="auto"/>
            </w:tcBorders>
          </w:tcPr>
          <w:p w:rsidR="00435047" w:rsidRPr="00037C20" w:rsidRDefault="00435047"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435047" w:rsidRPr="002E6BC6" w:rsidTr="00F44F5F">
        <w:trPr>
          <w:trHeight w:val="567"/>
        </w:trPr>
        <w:tc>
          <w:tcPr>
            <w:tcW w:w="1594" w:type="pct"/>
          </w:tcPr>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3" w:type="pct"/>
          </w:tcPr>
          <w:p w:rsidR="00435047" w:rsidRPr="002E6BC6" w:rsidRDefault="00435047" w:rsidP="00F44F5F">
            <w:pPr>
              <w:keepNext/>
              <w:spacing w:before="40" w:after="40"/>
              <w:jc w:val="both"/>
              <w:rPr>
                <w:rFonts w:ascii="Arial Narrow" w:hAnsi="Arial Narrow" w:cs="Arial"/>
                <w:strike/>
                <w:sz w:val="20"/>
                <w:szCs w:val="20"/>
              </w:rPr>
            </w:pPr>
          </w:p>
          <w:p w:rsidR="00435047" w:rsidRPr="002E6BC6" w:rsidRDefault="0043504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p w:rsidR="00435047" w:rsidRPr="002E6BC6" w:rsidRDefault="00435047" w:rsidP="00F44F5F">
            <w:pPr>
              <w:keepNext/>
              <w:spacing w:before="40" w:after="40"/>
              <w:jc w:val="both"/>
              <w:rPr>
                <w:rFonts w:ascii="Arial Narrow" w:hAnsi="Arial Narrow" w:cs="Arial"/>
                <w:strike/>
                <w:sz w:val="20"/>
                <w:szCs w:val="20"/>
              </w:rPr>
            </w:pPr>
          </w:p>
          <w:p w:rsidR="00435047" w:rsidRPr="002E6BC6" w:rsidRDefault="0043504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tc>
        <w:tc>
          <w:tcPr>
            <w:tcW w:w="561" w:type="pct"/>
          </w:tcPr>
          <w:p w:rsidR="00435047" w:rsidRPr="002E6BC6" w:rsidRDefault="00435047" w:rsidP="00F44F5F">
            <w:pPr>
              <w:keepNext/>
              <w:spacing w:before="40" w:after="40"/>
              <w:jc w:val="both"/>
              <w:rPr>
                <w:rFonts w:ascii="Arial Narrow" w:hAnsi="Arial Narrow" w:cs="Arial"/>
                <w:strike/>
                <w:sz w:val="20"/>
                <w:szCs w:val="20"/>
              </w:rPr>
            </w:pPr>
          </w:p>
        </w:tc>
        <w:tc>
          <w:tcPr>
            <w:tcW w:w="561" w:type="pct"/>
          </w:tcPr>
          <w:p w:rsidR="00435047" w:rsidRPr="002E6BC6" w:rsidRDefault="00435047" w:rsidP="00F44F5F">
            <w:pPr>
              <w:keepNext/>
              <w:spacing w:before="40" w:after="40"/>
              <w:jc w:val="both"/>
              <w:rPr>
                <w:rFonts w:ascii="Arial Narrow" w:hAnsi="Arial Narrow" w:cs="Arial"/>
                <w:strike/>
                <w:sz w:val="20"/>
                <w:szCs w:val="20"/>
              </w:rPr>
            </w:pPr>
          </w:p>
          <w:p w:rsidR="00435047" w:rsidRPr="002E6BC6" w:rsidRDefault="0043504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p w:rsidR="00435047" w:rsidRPr="002E6BC6" w:rsidRDefault="00435047" w:rsidP="00F44F5F">
            <w:pPr>
              <w:keepNext/>
              <w:spacing w:before="40" w:after="40"/>
              <w:jc w:val="both"/>
              <w:rPr>
                <w:rFonts w:ascii="Arial Narrow" w:hAnsi="Arial Narrow" w:cs="Arial"/>
                <w:strike/>
                <w:sz w:val="20"/>
                <w:szCs w:val="20"/>
              </w:rPr>
            </w:pPr>
          </w:p>
          <w:p w:rsidR="00435047" w:rsidRPr="002E6BC6" w:rsidRDefault="00435047" w:rsidP="00F44F5F">
            <w:pPr>
              <w:keepNext/>
              <w:spacing w:before="40" w:after="40"/>
              <w:jc w:val="both"/>
              <w:rPr>
                <w:rFonts w:ascii="Arial Narrow" w:hAnsi="Arial Narrow" w:cs="Arial"/>
                <w:strike/>
                <w:sz w:val="20"/>
                <w:szCs w:val="20"/>
              </w:rPr>
            </w:pPr>
            <w:r w:rsidRPr="002E6BC6">
              <w:rPr>
                <w:rFonts w:ascii="Arial Narrow" w:hAnsi="Arial Narrow" w:cs="Arial"/>
                <w:strike/>
                <w:sz w:val="20"/>
                <w:szCs w:val="20"/>
              </w:rPr>
              <w:t>1</w:t>
            </w:r>
          </w:p>
        </w:tc>
        <w:tc>
          <w:tcPr>
            <w:tcW w:w="778" w:type="pct"/>
          </w:tcPr>
          <w:p w:rsidR="00435047" w:rsidRPr="002E6BC6" w:rsidRDefault="00435047" w:rsidP="00F44F5F">
            <w:pPr>
              <w:keepNext/>
              <w:spacing w:before="40" w:after="40"/>
              <w:jc w:val="both"/>
              <w:rPr>
                <w:rFonts w:ascii="Arial Narrow" w:hAnsi="Arial Narrow" w:cs="Arial"/>
                <w:sz w:val="20"/>
                <w:szCs w:val="20"/>
              </w:rPr>
            </w:pPr>
          </w:p>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z w:val="20"/>
                <w:szCs w:val="20"/>
              </w:rPr>
              <w:t>$</w:t>
            </w:r>
            <w:r w:rsidR="003E2B64">
              <w:rPr>
                <w:rFonts w:ascii="Arial Narrow" w:hAnsi="Arial Narrow" w:cs="Arial"/>
                <w:noProof/>
                <w:color w:val="000000"/>
                <w:sz w:val="20"/>
                <w:szCs w:val="20"/>
                <w:highlight w:val="black"/>
              </w:rPr>
              <w:t>'''''''''''''''''''''</w:t>
            </w:r>
          </w:p>
        </w:tc>
        <w:tc>
          <w:tcPr>
            <w:tcW w:w="447" w:type="pct"/>
          </w:tcPr>
          <w:p w:rsidR="00435047" w:rsidRPr="002E6BC6" w:rsidRDefault="00435047" w:rsidP="00F44F5F">
            <w:pPr>
              <w:keepNext/>
              <w:spacing w:before="40" w:after="40"/>
              <w:jc w:val="both"/>
              <w:rPr>
                <w:rFonts w:ascii="Arial Narrow" w:hAnsi="Arial Narrow" w:cs="Arial"/>
                <w:sz w:val="20"/>
                <w:szCs w:val="20"/>
              </w:rPr>
            </w:pPr>
          </w:p>
          <w:p w:rsidR="00435047" w:rsidRPr="002E6BC6" w:rsidRDefault="00435047" w:rsidP="00F44F5F">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6" w:type="pct"/>
          </w:tcPr>
          <w:p w:rsidR="00435047" w:rsidRPr="002E6BC6" w:rsidRDefault="00435047" w:rsidP="00F44F5F">
            <w:pPr>
              <w:keepNext/>
              <w:spacing w:before="40" w:after="40"/>
              <w:jc w:val="both"/>
              <w:rPr>
                <w:rFonts w:ascii="Arial Narrow" w:hAnsi="Arial Narrow" w:cs="Arial"/>
                <w:sz w:val="20"/>
                <w:szCs w:val="20"/>
              </w:rPr>
            </w:pPr>
          </w:p>
          <w:p w:rsidR="00435047" w:rsidRPr="002E6BC6" w:rsidRDefault="00435047" w:rsidP="00F44F5F">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435047" w:rsidRPr="002E6BC6" w:rsidRDefault="00435047" w:rsidP="00435047">
      <w:pPr>
        <w:keepNext/>
        <w:spacing w:after="120"/>
        <w:rPr>
          <w:rFonts w:ascii="Arial Narrow" w:eastAsiaTheme="minorHAnsi" w:hAnsi="Arial Narrow" w:cstheme="minorBidi"/>
          <w:sz w:val="20"/>
          <w:szCs w:val="22"/>
          <w:u w:val="single"/>
        </w:rPr>
      </w:pPr>
    </w:p>
    <w:tbl>
      <w:tblPr>
        <w:tblW w:w="5000" w:type="pct"/>
        <w:tblLook w:val="0000" w:firstRow="0" w:lastRow="0" w:firstColumn="0" w:lastColumn="0" w:noHBand="0" w:noVBand="0"/>
      </w:tblPr>
      <w:tblGrid>
        <w:gridCol w:w="2873"/>
        <w:gridCol w:w="616"/>
        <w:gridCol w:w="1009"/>
        <w:gridCol w:w="1009"/>
        <w:gridCol w:w="1401"/>
        <w:gridCol w:w="827"/>
        <w:gridCol w:w="1291"/>
      </w:tblGrid>
      <w:tr w:rsidR="00F44F5F" w:rsidRPr="002E6BC6" w:rsidTr="00744CF6">
        <w:trPr>
          <w:trHeight w:val="465"/>
        </w:trPr>
        <w:tc>
          <w:tcPr>
            <w:tcW w:w="1592" w:type="pct"/>
            <w:tcBorders>
              <w:bottom w:val="single" w:sz="4" w:space="0" w:color="auto"/>
            </w:tcBorders>
          </w:tcPr>
          <w:p w:rsidR="00F44F5F" w:rsidRPr="002E6BC6" w:rsidRDefault="00F44F5F"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F44F5F" w:rsidRPr="002E6BC6" w:rsidRDefault="00F44F5F"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1" w:type="pct"/>
            <w:tcBorders>
              <w:bottom w:val="single" w:sz="4" w:space="0" w:color="auto"/>
            </w:tcBorders>
          </w:tcPr>
          <w:p w:rsidR="00F44F5F" w:rsidRPr="002E6BC6" w:rsidRDefault="00F44F5F"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F44F5F" w:rsidRPr="002E6BC6" w:rsidRDefault="00F44F5F"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59" w:type="pct"/>
            <w:tcBorders>
              <w:bottom w:val="single" w:sz="4" w:space="0" w:color="auto"/>
            </w:tcBorders>
          </w:tcPr>
          <w:p w:rsidR="00F44F5F" w:rsidRPr="002E6BC6" w:rsidRDefault="00F44F5F" w:rsidP="00F44F5F">
            <w:pPr>
              <w:keepNext/>
              <w:spacing w:before="40" w:after="40"/>
              <w:jc w:val="both"/>
              <w:rPr>
                <w:rFonts w:ascii="Arial Narrow" w:hAnsi="Arial Narrow" w:cs="Arial"/>
                <w:b/>
                <w:sz w:val="20"/>
                <w:szCs w:val="20"/>
              </w:rPr>
            </w:pPr>
          </w:p>
        </w:tc>
        <w:tc>
          <w:tcPr>
            <w:tcW w:w="559" w:type="pct"/>
            <w:tcBorders>
              <w:bottom w:val="single" w:sz="4" w:space="0" w:color="auto"/>
            </w:tcBorders>
          </w:tcPr>
          <w:p w:rsidR="00F44F5F" w:rsidRPr="002E6BC6" w:rsidRDefault="00F44F5F"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F44F5F" w:rsidRPr="002E6BC6" w:rsidRDefault="00F44F5F" w:rsidP="00F44F5F">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6" w:type="pct"/>
            <w:tcBorders>
              <w:bottom w:val="single" w:sz="4" w:space="0" w:color="auto"/>
            </w:tcBorders>
          </w:tcPr>
          <w:p w:rsidR="00F44F5F" w:rsidRPr="002E6BC6" w:rsidRDefault="00F44F5F"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 xml:space="preserve">Dispensed Price for Max. </w:t>
            </w:r>
            <w:proofErr w:type="spellStart"/>
            <w:r w:rsidRPr="002E6BC6">
              <w:rPr>
                <w:rFonts w:ascii="Arial Narrow" w:hAnsi="Arial Narrow" w:cs="Arial"/>
                <w:b/>
                <w:sz w:val="20"/>
                <w:szCs w:val="20"/>
              </w:rPr>
              <w:t>Qty</w:t>
            </w:r>
            <w:proofErr w:type="spellEnd"/>
          </w:p>
        </w:tc>
        <w:tc>
          <w:tcPr>
            <w:tcW w:w="1173" w:type="pct"/>
            <w:gridSpan w:val="2"/>
            <w:tcBorders>
              <w:bottom w:val="single" w:sz="4" w:space="0" w:color="auto"/>
            </w:tcBorders>
          </w:tcPr>
          <w:p w:rsidR="00F44F5F" w:rsidRPr="00037C20" w:rsidRDefault="00F44F5F" w:rsidP="00F44F5F">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F44F5F" w:rsidRPr="002E6BC6" w:rsidTr="00744CF6">
        <w:trPr>
          <w:trHeight w:val="567"/>
        </w:trPr>
        <w:tc>
          <w:tcPr>
            <w:tcW w:w="1592" w:type="pct"/>
          </w:tcPr>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1" w:type="pct"/>
          </w:tcPr>
          <w:p w:rsidR="00F44F5F" w:rsidRPr="002E6BC6" w:rsidRDefault="00F44F5F" w:rsidP="00F44F5F">
            <w:pPr>
              <w:keepNext/>
              <w:spacing w:before="40" w:after="40"/>
              <w:jc w:val="both"/>
              <w:rPr>
                <w:rFonts w:ascii="Arial Narrow" w:hAnsi="Arial Narrow" w:cs="Arial"/>
                <w:i/>
                <w:sz w:val="20"/>
                <w:szCs w:val="20"/>
              </w:rPr>
            </w:pPr>
          </w:p>
          <w:p w:rsidR="00F44F5F" w:rsidRPr="002E6BC6" w:rsidRDefault="00F44F5F" w:rsidP="00F44F5F">
            <w:pPr>
              <w:keepNext/>
              <w:spacing w:before="40" w:after="40"/>
              <w:jc w:val="both"/>
              <w:rPr>
                <w:rFonts w:ascii="Arial Narrow" w:hAnsi="Arial Narrow" w:cs="Arial"/>
                <w:i/>
                <w:sz w:val="20"/>
                <w:szCs w:val="20"/>
              </w:rPr>
            </w:pPr>
            <w:r w:rsidRPr="002E6BC6">
              <w:rPr>
                <w:rFonts w:ascii="Arial Narrow" w:hAnsi="Arial Narrow" w:cs="Arial"/>
                <w:i/>
                <w:sz w:val="20"/>
                <w:szCs w:val="20"/>
              </w:rPr>
              <w:t>1</w:t>
            </w:r>
          </w:p>
          <w:p w:rsidR="00F44F5F" w:rsidRPr="002E6BC6" w:rsidRDefault="00F44F5F" w:rsidP="00F44F5F">
            <w:pPr>
              <w:keepNext/>
              <w:spacing w:before="40" w:after="40"/>
              <w:jc w:val="both"/>
              <w:rPr>
                <w:rFonts w:ascii="Arial Narrow" w:hAnsi="Arial Narrow" w:cs="Arial"/>
                <w:i/>
                <w:sz w:val="20"/>
                <w:szCs w:val="20"/>
              </w:rPr>
            </w:pPr>
          </w:p>
          <w:p w:rsidR="00F44F5F" w:rsidRPr="002E6BC6" w:rsidRDefault="00F44F5F" w:rsidP="00F44F5F">
            <w:pPr>
              <w:keepNext/>
              <w:spacing w:before="40" w:after="40"/>
              <w:jc w:val="both"/>
              <w:rPr>
                <w:rFonts w:ascii="Arial Narrow" w:hAnsi="Arial Narrow" w:cs="Arial"/>
                <w:i/>
                <w:sz w:val="20"/>
                <w:szCs w:val="20"/>
              </w:rPr>
            </w:pPr>
            <w:r w:rsidRPr="002E6BC6">
              <w:rPr>
                <w:rFonts w:ascii="Arial Narrow" w:hAnsi="Arial Narrow" w:cs="Arial"/>
                <w:i/>
                <w:sz w:val="20"/>
                <w:szCs w:val="20"/>
              </w:rPr>
              <w:t>1</w:t>
            </w:r>
          </w:p>
        </w:tc>
        <w:tc>
          <w:tcPr>
            <w:tcW w:w="559" w:type="pct"/>
          </w:tcPr>
          <w:p w:rsidR="00F44F5F" w:rsidRPr="002E6BC6" w:rsidRDefault="00F44F5F" w:rsidP="00F44F5F">
            <w:pPr>
              <w:keepNext/>
              <w:spacing w:before="40" w:after="40"/>
              <w:jc w:val="both"/>
              <w:rPr>
                <w:rFonts w:ascii="Arial Narrow" w:hAnsi="Arial Narrow" w:cs="Arial"/>
                <w:i/>
                <w:sz w:val="20"/>
                <w:szCs w:val="20"/>
              </w:rPr>
            </w:pPr>
          </w:p>
        </w:tc>
        <w:tc>
          <w:tcPr>
            <w:tcW w:w="559" w:type="pct"/>
          </w:tcPr>
          <w:p w:rsidR="00F44F5F" w:rsidRPr="002E6BC6" w:rsidRDefault="00F44F5F" w:rsidP="00F44F5F">
            <w:pPr>
              <w:keepNext/>
              <w:spacing w:before="40" w:after="40"/>
              <w:jc w:val="both"/>
              <w:rPr>
                <w:rFonts w:ascii="Arial Narrow" w:hAnsi="Arial Narrow" w:cs="Arial"/>
                <w:i/>
                <w:sz w:val="20"/>
                <w:szCs w:val="20"/>
              </w:rPr>
            </w:pPr>
          </w:p>
          <w:p w:rsidR="00F44F5F" w:rsidRPr="002E6BC6" w:rsidRDefault="00A42D9F" w:rsidP="00F44F5F">
            <w:pPr>
              <w:keepNext/>
              <w:spacing w:before="40" w:after="40"/>
              <w:jc w:val="both"/>
              <w:rPr>
                <w:rFonts w:ascii="Arial Narrow" w:hAnsi="Arial Narrow" w:cs="Arial"/>
                <w:i/>
                <w:sz w:val="20"/>
                <w:szCs w:val="20"/>
              </w:rPr>
            </w:pPr>
            <w:r w:rsidRPr="002E6BC6">
              <w:rPr>
                <w:rFonts w:ascii="Arial Narrow" w:hAnsi="Arial Narrow" w:cs="Arial"/>
                <w:i/>
                <w:sz w:val="20"/>
                <w:szCs w:val="20"/>
              </w:rPr>
              <w:t>0</w:t>
            </w:r>
          </w:p>
          <w:p w:rsidR="00F44F5F" w:rsidRPr="002E6BC6" w:rsidRDefault="00F44F5F" w:rsidP="00F44F5F">
            <w:pPr>
              <w:keepNext/>
              <w:spacing w:before="40" w:after="40"/>
              <w:jc w:val="both"/>
              <w:rPr>
                <w:rFonts w:ascii="Arial Narrow" w:hAnsi="Arial Narrow" w:cs="Arial"/>
                <w:i/>
                <w:sz w:val="20"/>
                <w:szCs w:val="20"/>
              </w:rPr>
            </w:pPr>
          </w:p>
          <w:p w:rsidR="00F44F5F" w:rsidRPr="002E6BC6" w:rsidRDefault="00A42D9F" w:rsidP="00F44F5F">
            <w:pPr>
              <w:keepNext/>
              <w:spacing w:before="40" w:after="40"/>
              <w:jc w:val="both"/>
              <w:rPr>
                <w:rFonts w:ascii="Arial Narrow" w:hAnsi="Arial Narrow" w:cs="Arial"/>
                <w:i/>
                <w:sz w:val="20"/>
                <w:szCs w:val="20"/>
              </w:rPr>
            </w:pPr>
            <w:r w:rsidRPr="002E6BC6">
              <w:rPr>
                <w:rFonts w:ascii="Arial Narrow" w:hAnsi="Arial Narrow" w:cs="Arial"/>
                <w:i/>
                <w:sz w:val="20"/>
                <w:szCs w:val="20"/>
              </w:rPr>
              <w:t>0</w:t>
            </w:r>
          </w:p>
        </w:tc>
        <w:tc>
          <w:tcPr>
            <w:tcW w:w="776" w:type="pct"/>
          </w:tcPr>
          <w:p w:rsidR="00F44F5F" w:rsidRPr="002E6BC6" w:rsidRDefault="00F44F5F" w:rsidP="00F44F5F">
            <w:pPr>
              <w:keepNext/>
              <w:spacing w:before="40" w:after="40"/>
              <w:jc w:val="both"/>
              <w:rPr>
                <w:rFonts w:ascii="Arial Narrow" w:hAnsi="Arial Narrow" w:cs="Arial"/>
                <w:sz w:val="20"/>
                <w:szCs w:val="20"/>
              </w:rPr>
            </w:pPr>
          </w:p>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z w:val="20"/>
                <w:szCs w:val="20"/>
              </w:rPr>
              <w:t>$</w:t>
            </w:r>
            <w:r w:rsidR="003E2B64">
              <w:rPr>
                <w:rFonts w:ascii="Arial Narrow" w:hAnsi="Arial Narrow" w:cs="Arial"/>
                <w:noProof/>
                <w:color w:val="000000"/>
                <w:sz w:val="20"/>
                <w:szCs w:val="20"/>
                <w:highlight w:val="black"/>
              </w:rPr>
              <w:t>'''''''''''''''''''''</w:t>
            </w:r>
          </w:p>
        </w:tc>
        <w:tc>
          <w:tcPr>
            <w:tcW w:w="458" w:type="pct"/>
          </w:tcPr>
          <w:p w:rsidR="00F44F5F" w:rsidRPr="002E6BC6" w:rsidRDefault="00F44F5F" w:rsidP="00F44F5F">
            <w:pPr>
              <w:keepNext/>
              <w:spacing w:before="40" w:after="40"/>
              <w:jc w:val="both"/>
              <w:rPr>
                <w:rFonts w:ascii="Arial Narrow" w:hAnsi="Arial Narrow" w:cs="Arial"/>
                <w:sz w:val="20"/>
                <w:szCs w:val="20"/>
              </w:rPr>
            </w:pPr>
          </w:p>
          <w:p w:rsidR="00F44F5F" w:rsidRPr="002E6BC6" w:rsidRDefault="00F44F5F" w:rsidP="00F44F5F">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5" w:type="pct"/>
          </w:tcPr>
          <w:p w:rsidR="00F44F5F" w:rsidRPr="002E6BC6" w:rsidRDefault="00F44F5F" w:rsidP="00F44F5F">
            <w:pPr>
              <w:keepNext/>
              <w:spacing w:before="40" w:after="40"/>
              <w:jc w:val="both"/>
              <w:rPr>
                <w:rFonts w:ascii="Arial Narrow" w:hAnsi="Arial Narrow" w:cs="Arial"/>
                <w:sz w:val="20"/>
                <w:szCs w:val="20"/>
              </w:rPr>
            </w:pPr>
          </w:p>
          <w:p w:rsidR="00F44F5F" w:rsidRPr="002E6BC6" w:rsidRDefault="00F44F5F" w:rsidP="00F44F5F">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744CF6" w:rsidRPr="002E6BC6" w:rsidRDefault="00744CF6" w:rsidP="00F44F5F">
      <w:pPr>
        <w:spacing w:after="120"/>
        <w:rPr>
          <w:rFonts w:asciiTheme="minorHAnsi" w:eastAsiaTheme="minorHAnsi" w:hAnsiTheme="minorHAnsi" w:cstheme="minorBidi"/>
          <w:szCs w:val="22"/>
        </w:rPr>
      </w:pPr>
    </w:p>
    <w:p w:rsidR="00744CF6" w:rsidRPr="002E6BC6" w:rsidRDefault="00744CF6">
      <w:pPr>
        <w:rPr>
          <w:rFonts w:asciiTheme="minorHAnsi" w:eastAsiaTheme="minorHAnsi" w:hAnsiTheme="minorHAnsi" w:cstheme="minorBidi"/>
          <w:szCs w:val="22"/>
        </w:rPr>
      </w:pPr>
      <w:r w:rsidRPr="002E6BC6">
        <w:rPr>
          <w:rFonts w:asciiTheme="minorHAnsi" w:eastAsiaTheme="minorHAnsi" w:hAnsiTheme="minorHAnsi" w:cstheme="minorBidi"/>
          <w:szCs w:val="22"/>
        </w:rPr>
        <w:br w:type="page"/>
      </w:r>
    </w:p>
    <w:tbl>
      <w:tblPr>
        <w:tblW w:w="5000" w:type="pct"/>
        <w:tblLook w:val="0000" w:firstRow="0" w:lastRow="0" w:firstColumn="0" w:lastColumn="0" w:noHBand="0" w:noVBand="0"/>
      </w:tblPr>
      <w:tblGrid>
        <w:gridCol w:w="1917"/>
        <w:gridCol w:w="7099"/>
      </w:tblGrid>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 xml:space="preserve">Category / </w:t>
            </w:r>
          </w:p>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826F6D" w:rsidRPr="002E6BC6" w:rsidRDefault="00826F6D" w:rsidP="00EB0B63">
            <w:pPr>
              <w:spacing w:before="40" w:after="40"/>
              <w:rPr>
                <w:rFonts w:ascii="Arial Narrow" w:hAnsi="Arial Narrow" w:cs="Arial"/>
                <w:sz w:val="20"/>
                <w:szCs w:val="20"/>
              </w:rPr>
            </w:pP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 xml:space="preserve">Dental  </w:t>
            </w:r>
            <w:r w:rsidR="00677461" w:rsidRPr="00037C20">
              <w:rPr>
                <w:rFonts w:ascii="Arial Narrow" w:hAnsi="Arial Narrow" w:cs="Arial"/>
                <w:sz w:val="20"/>
                <w:szCs w:val="20"/>
              </w:rPr>
              <w:fldChar w:fldCharType="begin">
                <w:ffData>
                  <w:name w:val=""/>
                  <w:enabled/>
                  <w:calcOnExit w:val="0"/>
                  <w:checkBox>
                    <w:sizeAuto/>
                    <w:default w:val="1"/>
                  </w:checkBox>
                </w:ffData>
              </w:fldChar>
            </w:r>
            <w:r w:rsidR="00677461"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00677461" w:rsidRPr="00037C20">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037C20">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037C20">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Optometrists</w:t>
            </w:r>
          </w:p>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Midwives</w:t>
            </w: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CD0BBF" w:rsidP="00EB0B6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CD0BBF" w:rsidP="00EB0B6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826F6D" w:rsidRPr="002E6BC6" w:rsidRDefault="00826F6D" w:rsidP="00EB0B63">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CD0BBF" w:rsidP="00EB0B63">
            <w:pPr>
              <w:spacing w:before="40" w:after="40"/>
              <w:rPr>
                <w:rFonts w:ascii="Arial Narrow" w:hAnsi="Arial Narrow" w:cs="Arial"/>
                <w:sz w:val="20"/>
                <w:szCs w:val="20"/>
              </w:rPr>
            </w:pPr>
            <w:r w:rsidRPr="002E6BC6">
              <w:rPr>
                <w:rFonts w:ascii="Arial Narrow" w:hAnsi="Arial Narrow" w:cs="Arial"/>
                <w:sz w:val="20"/>
                <w:szCs w:val="20"/>
              </w:rPr>
              <w:t>Initial treatment - Initial 1 (new patient or patient recommencing treatment after a break of more than 12 months)</w:t>
            </w:r>
          </w:p>
          <w:p w:rsidR="00CD0BBF" w:rsidRPr="002E6BC6" w:rsidRDefault="00CD0BBF" w:rsidP="00EB0B63">
            <w:pPr>
              <w:spacing w:before="40" w:after="40"/>
              <w:rPr>
                <w:rFonts w:ascii="Arial Narrow" w:hAnsi="Arial Narrow" w:cs="Arial"/>
                <w:sz w:val="20"/>
                <w:szCs w:val="20"/>
              </w:rPr>
            </w:pPr>
            <w:r w:rsidRPr="002E6BC6">
              <w:rPr>
                <w:rFonts w:ascii="Arial Narrow" w:hAnsi="Arial Narrow" w:cs="Arial"/>
                <w:sz w:val="20"/>
                <w:szCs w:val="20"/>
              </w:rPr>
              <w:t>Initial treatment - Initial 2 (change or recommencement of treatment after break of less than 12 months)</w:t>
            </w: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826F6D" w:rsidRPr="002E6BC6" w:rsidRDefault="00826F6D" w:rsidP="00EB0B6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Restricted benefit</w:t>
            </w:r>
          </w:p>
          <w:p w:rsidR="00826F6D" w:rsidRPr="002E6BC6" w:rsidRDefault="00742D31"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00826F6D" w:rsidRPr="002E6BC6">
              <w:rPr>
                <w:rFonts w:ascii="Arial Narrow" w:hAnsi="Arial Narrow" w:cs="Arial"/>
                <w:sz w:val="20"/>
                <w:szCs w:val="20"/>
              </w:rPr>
              <w:t>Authority Required - In Writing</w:t>
            </w:r>
          </w:p>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Telephone</w:t>
            </w:r>
          </w:p>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Emergency</w:t>
            </w:r>
          </w:p>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Electronic</w:t>
            </w:r>
          </w:p>
          <w:p w:rsidR="00826F6D" w:rsidRPr="002E6BC6" w:rsidRDefault="00826F6D" w:rsidP="00EB0B63">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Streamlined</w:t>
            </w: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826F6D" w:rsidRPr="002E6BC6" w:rsidRDefault="00826F6D" w:rsidP="00742D31">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89521C" w:rsidP="00EB0B63">
            <w:pPr>
              <w:spacing w:before="40" w:after="40"/>
              <w:rPr>
                <w:rFonts w:ascii="Arial Narrow" w:hAnsi="Arial Narrow" w:cs="Arial"/>
                <w:strike/>
                <w:sz w:val="20"/>
                <w:szCs w:val="20"/>
              </w:rPr>
            </w:pPr>
            <w:r w:rsidRPr="002E6BC6">
              <w:rPr>
                <w:rFonts w:ascii="Arial Narrow" w:hAnsi="Arial Narrow" w:cs="Arial"/>
                <w:strike/>
                <w:sz w:val="20"/>
                <w:szCs w:val="20"/>
              </w:rPr>
              <w:t>Patient must not receive more than 16 weeks of treatment under this restriction.</w:t>
            </w:r>
          </w:p>
          <w:p w:rsidR="00826F6D" w:rsidRPr="002E6BC6" w:rsidRDefault="00826F6D" w:rsidP="00EB0B63">
            <w:pPr>
              <w:spacing w:before="40" w:after="40"/>
              <w:jc w:val="both"/>
              <w:rPr>
                <w:rFonts w:ascii="Arial Narrow" w:hAnsi="Arial Narrow" w:cs="Arial"/>
                <w:sz w:val="20"/>
                <w:szCs w:val="20"/>
              </w:rPr>
            </w:pPr>
          </w:p>
        </w:tc>
      </w:tr>
      <w:tr w:rsidR="00826F6D" w:rsidRPr="002E6BC6" w:rsidTr="00A42D9F">
        <w:trPr>
          <w:cantSplit/>
          <w:trHeight w:val="360"/>
        </w:trPr>
        <w:tc>
          <w:tcPr>
            <w:tcW w:w="1063" w:type="pct"/>
            <w:tcBorders>
              <w:top w:val="single" w:sz="4" w:space="0" w:color="auto"/>
              <w:left w:val="single" w:sz="4" w:space="0" w:color="auto"/>
              <w:bottom w:val="single" w:sz="4" w:space="0" w:color="auto"/>
              <w:right w:val="single" w:sz="4" w:space="0" w:color="auto"/>
            </w:tcBorders>
          </w:tcPr>
          <w:p w:rsidR="00826F6D" w:rsidRPr="002E6BC6" w:rsidRDefault="00826F6D" w:rsidP="00EB0B63">
            <w:pPr>
              <w:spacing w:before="40" w:after="40"/>
              <w:jc w:val="both"/>
              <w:rPr>
                <w:rFonts w:ascii="Arial Narrow" w:hAnsi="Arial Narrow" w:cs="Arial"/>
                <w:b/>
                <w:sz w:val="20"/>
                <w:szCs w:val="20"/>
              </w:rPr>
            </w:pPr>
            <w:r w:rsidRPr="002E6BC6">
              <w:rPr>
                <w:rFonts w:ascii="Arial Narrow" w:hAnsi="Arial Narrow" w:cs="Arial"/>
                <w:b/>
                <w:sz w:val="20"/>
                <w:szCs w:val="20"/>
              </w:rPr>
              <w:t>Prescriber Instructions</w:t>
            </w:r>
          </w:p>
          <w:p w:rsidR="00826F6D" w:rsidRPr="002E6BC6" w:rsidRDefault="00826F6D" w:rsidP="00742D31">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826F6D" w:rsidRPr="002E6BC6" w:rsidRDefault="0089521C" w:rsidP="00EB0B63">
            <w:pPr>
              <w:spacing w:before="40" w:after="40"/>
              <w:rPr>
                <w:rFonts w:ascii="Arial Narrow" w:hAnsi="Arial Narrow" w:cs="Arial"/>
                <w:strike/>
                <w:sz w:val="20"/>
                <w:szCs w:val="20"/>
              </w:rPr>
            </w:pPr>
            <w:r w:rsidRPr="002E6BC6">
              <w:rPr>
                <w:rFonts w:ascii="Arial Narrow" w:hAnsi="Arial Narrow" w:cs="Arial"/>
                <w:strike/>
                <w:sz w:val="20"/>
                <w:szCs w:val="20"/>
              </w:rPr>
              <w:t xml:space="preserve">At the time of authority application, medical practitioners must request the appropriate number of vials of appropriate strength to provide sufficient drug, based on the weight of the patient, for one infusion. A separate authority prescription form </w:t>
            </w:r>
            <w:proofErr w:type="gramStart"/>
            <w:r w:rsidRPr="002E6BC6">
              <w:rPr>
                <w:rFonts w:ascii="Arial Narrow" w:hAnsi="Arial Narrow" w:cs="Arial"/>
                <w:strike/>
                <w:sz w:val="20"/>
                <w:szCs w:val="20"/>
              </w:rPr>
              <w:t>must be completed</w:t>
            </w:r>
            <w:proofErr w:type="gramEnd"/>
            <w:r w:rsidRPr="002E6BC6">
              <w:rPr>
                <w:rFonts w:ascii="Arial Narrow" w:hAnsi="Arial Narrow" w:cs="Arial"/>
                <w:strike/>
                <w:sz w:val="20"/>
                <w:szCs w:val="20"/>
              </w:rPr>
              <w:t xml:space="preserve"> for each strength requested. Up to a maximum of 3 repeats will be authorised.</w:t>
            </w:r>
          </w:p>
          <w:p w:rsidR="0089521C" w:rsidRPr="002E6BC6" w:rsidRDefault="0089521C" w:rsidP="00EB0B63">
            <w:pPr>
              <w:spacing w:before="40" w:after="40"/>
              <w:rPr>
                <w:rFonts w:ascii="Arial Narrow" w:hAnsi="Arial Narrow" w:cs="Arial"/>
                <w:sz w:val="20"/>
                <w:szCs w:val="20"/>
              </w:rPr>
            </w:pPr>
          </w:p>
          <w:p w:rsidR="00AA61F5" w:rsidRPr="002E6BC6" w:rsidRDefault="0089521C" w:rsidP="0098321D">
            <w:pPr>
              <w:spacing w:before="40" w:after="40"/>
              <w:rPr>
                <w:rFonts w:ascii="Arial Narrow" w:hAnsi="Arial Narrow" w:cs="Arial"/>
                <w:i/>
                <w:sz w:val="20"/>
                <w:szCs w:val="20"/>
              </w:rPr>
            </w:pPr>
            <w:r w:rsidRPr="002E6BC6">
              <w:rPr>
                <w:rFonts w:ascii="Arial Narrow" w:hAnsi="Arial Narrow" w:cs="Arial"/>
                <w:i/>
                <w:sz w:val="20"/>
                <w:szCs w:val="20"/>
              </w:rPr>
              <w:t xml:space="preserve">At the time of </w:t>
            </w:r>
            <w:r w:rsidR="00DC4F25" w:rsidRPr="002E6BC6">
              <w:rPr>
                <w:rFonts w:ascii="Arial Narrow" w:hAnsi="Arial Narrow" w:cs="Arial"/>
                <w:i/>
                <w:sz w:val="20"/>
                <w:szCs w:val="20"/>
              </w:rPr>
              <w:t xml:space="preserve">initial </w:t>
            </w:r>
            <w:r w:rsidRPr="002E6BC6">
              <w:rPr>
                <w:rFonts w:ascii="Arial Narrow" w:hAnsi="Arial Narrow" w:cs="Arial"/>
                <w:i/>
                <w:sz w:val="20"/>
                <w:szCs w:val="20"/>
              </w:rPr>
              <w:t>authority application, medical practitioners must request the approp</w:t>
            </w:r>
            <w:r w:rsidR="00AA61F5" w:rsidRPr="002E6BC6">
              <w:rPr>
                <w:rFonts w:ascii="Arial Narrow" w:hAnsi="Arial Narrow" w:cs="Arial"/>
                <w:i/>
                <w:sz w:val="20"/>
                <w:szCs w:val="20"/>
              </w:rPr>
              <w:t>riate number of repeat</w:t>
            </w:r>
            <w:r w:rsidR="00FA54E1" w:rsidRPr="002E6BC6">
              <w:rPr>
                <w:rFonts w:ascii="Arial Narrow" w:hAnsi="Arial Narrow" w:cs="Arial"/>
                <w:i/>
                <w:sz w:val="20"/>
                <w:szCs w:val="20"/>
              </w:rPr>
              <w:t>s</w:t>
            </w:r>
            <w:r w:rsidRPr="002E6BC6">
              <w:rPr>
                <w:rFonts w:ascii="Arial Narrow" w:hAnsi="Arial Narrow" w:cs="Arial"/>
                <w:i/>
                <w:sz w:val="20"/>
                <w:szCs w:val="20"/>
              </w:rPr>
              <w:t>, based on the weight o</w:t>
            </w:r>
            <w:r w:rsidR="00FA54E1" w:rsidRPr="002E6BC6">
              <w:rPr>
                <w:rFonts w:ascii="Arial Narrow" w:hAnsi="Arial Narrow" w:cs="Arial"/>
                <w:i/>
                <w:sz w:val="20"/>
                <w:szCs w:val="20"/>
              </w:rPr>
              <w:t xml:space="preserve">f the patient as follows: for the patients under 30 kg the </w:t>
            </w:r>
            <w:r w:rsidR="001928D9" w:rsidRPr="002E6BC6">
              <w:rPr>
                <w:rFonts w:ascii="Arial Narrow" w:hAnsi="Arial Narrow" w:cs="Arial"/>
                <w:i/>
                <w:sz w:val="20"/>
                <w:szCs w:val="20"/>
              </w:rPr>
              <w:t xml:space="preserve">162 mg dose every 3 weeks, to provide a sufficient amount for up to </w:t>
            </w:r>
            <w:r w:rsidR="0098321D" w:rsidRPr="002E6BC6">
              <w:rPr>
                <w:rFonts w:ascii="Arial Narrow" w:hAnsi="Arial Narrow" w:cs="Arial"/>
                <w:i/>
                <w:sz w:val="20"/>
                <w:szCs w:val="20"/>
              </w:rPr>
              <w:t>2</w:t>
            </w:r>
            <w:r w:rsidR="00037C20">
              <w:rPr>
                <w:rFonts w:ascii="Arial Narrow" w:hAnsi="Arial Narrow" w:cs="Arial"/>
                <w:i/>
                <w:sz w:val="20"/>
                <w:szCs w:val="20"/>
              </w:rPr>
              <w:t>4</w:t>
            </w:r>
            <w:r w:rsidR="0098321D" w:rsidRPr="002E6BC6">
              <w:rPr>
                <w:rFonts w:ascii="Arial Narrow" w:hAnsi="Arial Narrow" w:cs="Arial"/>
                <w:i/>
                <w:sz w:val="20"/>
                <w:szCs w:val="20"/>
              </w:rPr>
              <w:t xml:space="preserve"> </w:t>
            </w:r>
            <w:r w:rsidR="001928D9" w:rsidRPr="002E6BC6">
              <w:rPr>
                <w:rFonts w:ascii="Arial Narrow" w:hAnsi="Arial Narrow" w:cs="Arial"/>
                <w:i/>
                <w:sz w:val="20"/>
                <w:szCs w:val="20"/>
              </w:rPr>
              <w:t xml:space="preserve">weeks of treatment. For the patients of 30 kg or over the 162 mg dose every 2 weeks, to provide sufficient amount for up to </w:t>
            </w:r>
            <w:r w:rsidR="0098321D" w:rsidRPr="002E6BC6">
              <w:rPr>
                <w:rFonts w:ascii="Arial Narrow" w:hAnsi="Arial Narrow" w:cs="Arial"/>
                <w:i/>
                <w:sz w:val="20"/>
                <w:szCs w:val="20"/>
              </w:rPr>
              <w:t xml:space="preserve">16 </w:t>
            </w:r>
            <w:r w:rsidR="001928D9" w:rsidRPr="002E6BC6">
              <w:rPr>
                <w:rFonts w:ascii="Arial Narrow" w:hAnsi="Arial Narrow" w:cs="Arial"/>
                <w:i/>
                <w:sz w:val="20"/>
                <w:szCs w:val="20"/>
              </w:rPr>
              <w:t xml:space="preserve">weeks of treatment. </w:t>
            </w:r>
          </w:p>
        </w:tc>
      </w:tr>
    </w:tbl>
    <w:p w:rsidR="001928D9" w:rsidRPr="002E6BC6" w:rsidRDefault="001928D9" w:rsidP="002D4543">
      <w:pPr>
        <w:rPr>
          <w:szCs w:val="22"/>
        </w:rPr>
      </w:pPr>
    </w:p>
    <w:tbl>
      <w:tblPr>
        <w:tblW w:w="5000" w:type="pct"/>
        <w:tblLook w:val="0000" w:firstRow="0" w:lastRow="0" w:firstColumn="0" w:lastColumn="0" w:noHBand="0" w:noVBand="0"/>
      </w:tblPr>
      <w:tblGrid>
        <w:gridCol w:w="1919"/>
        <w:gridCol w:w="7097"/>
      </w:tblGrid>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1928D9" w:rsidRPr="002E6BC6" w:rsidRDefault="001928D9" w:rsidP="001928D9">
            <w:pPr>
              <w:spacing w:before="40" w:after="40"/>
              <w:rPr>
                <w:rFonts w:ascii="Arial Narrow" w:hAnsi="Arial Narrow" w:cs="Arial"/>
                <w:sz w:val="20"/>
                <w:szCs w:val="20"/>
              </w:rPr>
            </w:pPr>
          </w:p>
        </w:tc>
      </w:tr>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 xml:space="preserve">Dental  </w:t>
            </w:r>
            <w:r w:rsidRPr="00037C20">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037C20">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037C20">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Optometrists</w:t>
            </w:r>
          </w:p>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Midwives</w:t>
            </w:r>
          </w:p>
        </w:tc>
      </w:tr>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1928D9" w:rsidRPr="002E6BC6" w:rsidRDefault="001928D9" w:rsidP="001928D9">
            <w:pPr>
              <w:spacing w:before="40" w:after="40"/>
              <w:jc w:val="both"/>
              <w:rPr>
                <w:rFonts w:ascii="Arial Narrow" w:hAnsi="Arial Narrow" w:cs="Arial"/>
                <w:i/>
                <w:sz w:val="20"/>
                <w:szCs w:val="20"/>
              </w:rPr>
            </w:pP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z w:val="20"/>
                <w:szCs w:val="20"/>
              </w:rPr>
            </w:pPr>
            <w:r w:rsidRPr="002E6BC6">
              <w:rPr>
                <w:rFonts w:ascii="Arial Narrow" w:hAnsi="Arial Narrow" w:cs="Arial"/>
                <w:sz w:val="20"/>
                <w:szCs w:val="20"/>
              </w:rPr>
              <w:t>Continuing treatment</w:t>
            </w:r>
          </w:p>
          <w:p w:rsidR="00F44F5F" w:rsidRPr="002E6BC6" w:rsidRDefault="00F44F5F" w:rsidP="001928D9">
            <w:pPr>
              <w:spacing w:before="40" w:after="40"/>
              <w:rPr>
                <w:rFonts w:ascii="Arial Narrow" w:hAnsi="Arial Narrow" w:cs="Arial"/>
                <w:sz w:val="20"/>
                <w:szCs w:val="20"/>
              </w:rPr>
            </w:pPr>
            <w:r w:rsidRPr="002E6BC6">
              <w:rPr>
                <w:rFonts w:ascii="Arial Narrow" w:hAnsi="Arial Narrow" w:cs="Arial"/>
                <w:sz w:val="20"/>
                <w:szCs w:val="20"/>
              </w:rPr>
              <w:t xml:space="preserve">Continuing treatment – balance of supply </w:t>
            </w:r>
          </w:p>
        </w:tc>
      </w:tr>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1928D9" w:rsidRPr="002E6BC6" w:rsidRDefault="001928D9" w:rsidP="001928D9">
            <w:pPr>
              <w:spacing w:before="40" w:after="40"/>
              <w:rPr>
                <w:rFonts w:ascii="Arial Narrow" w:hAnsi="Arial Narrow" w:cs="Arial"/>
                <w:sz w:val="20"/>
                <w:szCs w:val="20"/>
              </w:rPr>
            </w:pP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Restricted benefit</w:t>
            </w:r>
          </w:p>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In Writing</w:t>
            </w:r>
          </w:p>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Telephone</w:t>
            </w:r>
          </w:p>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Emergency</w:t>
            </w:r>
          </w:p>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Authority Required - Electronic</w:t>
            </w:r>
          </w:p>
          <w:p w:rsidR="001928D9" w:rsidRPr="002E6BC6" w:rsidRDefault="001928D9" w:rsidP="001928D9">
            <w:pPr>
              <w:spacing w:before="40" w:after="40"/>
              <w:rPr>
                <w:rFonts w:ascii="Arial Narrow" w:hAnsi="Arial Narrow" w:cs="Arial"/>
                <w:sz w:val="20"/>
                <w:szCs w:val="20"/>
              </w:rPr>
            </w:pPr>
            <w:r w:rsidRPr="00037C20">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037C20">
              <w:rPr>
                <w:rFonts w:ascii="Arial Narrow" w:hAnsi="Arial Narrow" w:cs="Arial"/>
                <w:sz w:val="20"/>
                <w:szCs w:val="20"/>
              </w:rPr>
              <w:fldChar w:fldCharType="end"/>
            </w:r>
            <w:r w:rsidRPr="002E6BC6">
              <w:rPr>
                <w:rFonts w:ascii="Arial Narrow" w:hAnsi="Arial Narrow" w:cs="Arial"/>
                <w:sz w:val="20"/>
                <w:szCs w:val="20"/>
              </w:rPr>
              <w:t>Streamlined</w:t>
            </w:r>
          </w:p>
        </w:tc>
      </w:tr>
      <w:tr w:rsidR="001928D9" w:rsidRPr="002E6BC6" w:rsidTr="006E5550">
        <w:trPr>
          <w:cantSplit/>
          <w:trHeight w:val="360"/>
        </w:trPr>
        <w:tc>
          <w:tcPr>
            <w:tcW w:w="1064"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1928D9" w:rsidRPr="002E6BC6" w:rsidRDefault="001928D9" w:rsidP="001928D9">
            <w:pPr>
              <w:spacing w:before="40" w:after="40"/>
              <w:jc w:val="both"/>
              <w:rPr>
                <w:rFonts w:ascii="Arial Narrow" w:hAnsi="Arial Narrow" w:cs="Arial"/>
                <w:sz w:val="20"/>
                <w:szCs w:val="20"/>
              </w:rPr>
            </w:pPr>
          </w:p>
        </w:tc>
        <w:tc>
          <w:tcPr>
            <w:tcW w:w="3936" w:type="pct"/>
            <w:tcBorders>
              <w:top w:val="single" w:sz="4" w:space="0" w:color="auto"/>
              <w:left w:val="single" w:sz="4" w:space="0" w:color="auto"/>
              <w:bottom w:val="single" w:sz="4" w:space="0" w:color="auto"/>
              <w:right w:val="single" w:sz="4" w:space="0" w:color="auto"/>
            </w:tcBorders>
          </w:tcPr>
          <w:p w:rsidR="001928D9" w:rsidRPr="002E6BC6" w:rsidRDefault="001928D9" w:rsidP="001928D9">
            <w:pPr>
              <w:spacing w:before="40" w:after="40"/>
              <w:rPr>
                <w:rFonts w:ascii="Arial Narrow" w:hAnsi="Arial Narrow" w:cs="Arial"/>
                <w:strike/>
                <w:sz w:val="20"/>
                <w:szCs w:val="20"/>
              </w:rPr>
            </w:pPr>
            <w:r w:rsidRPr="002E6BC6">
              <w:rPr>
                <w:rFonts w:ascii="Arial Narrow" w:hAnsi="Arial Narrow" w:cs="Arial"/>
                <w:strike/>
                <w:sz w:val="20"/>
                <w:szCs w:val="20"/>
              </w:rPr>
              <w:t xml:space="preserve">At the time of authority application, medical practitioners must request the appropriate number of vials of appropriate strength to provide sufficient drug, based on the weight of the patient, for one infusion. A separate authority prescription form </w:t>
            </w:r>
            <w:proofErr w:type="gramStart"/>
            <w:r w:rsidRPr="002E6BC6">
              <w:rPr>
                <w:rFonts w:ascii="Arial Narrow" w:hAnsi="Arial Narrow" w:cs="Arial"/>
                <w:strike/>
                <w:sz w:val="20"/>
                <w:szCs w:val="20"/>
              </w:rPr>
              <w:t>must be completed</w:t>
            </w:r>
            <w:proofErr w:type="gramEnd"/>
            <w:r w:rsidRPr="002E6BC6">
              <w:rPr>
                <w:rFonts w:ascii="Arial Narrow" w:hAnsi="Arial Narrow" w:cs="Arial"/>
                <w:strike/>
                <w:sz w:val="20"/>
                <w:szCs w:val="20"/>
              </w:rPr>
              <w:t xml:space="preserve"> for each strength requested. Up to a maximum of 3 repeats will be authorised.</w:t>
            </w:r>
          </w:p>
          <w:p w:rsidR="001928D9" w:rsidRPr="002E6BC6" w:rsidRDefault="00DC4F25" w:rsidP="001928D9">
            <w:pPr>
              <w:spacing w:before="40" w:after="40"/>
              <w:rPr>
                <w:rFonts w:ascii="Arial Narrow" w:hAnsi="Arial Narrow" w:cs="Arial"/>
                <w:i/>
                <w:sz w:val="20"/>
                <w:szCs w:val="20"/>
              </w:rPr>
            </w:pPr>
            <w:proofErr w:type="gramStart"/>
            <w:r w:rsidRPr="002E6BC6">
              <w:rPr>
                <w:rFonts w:ascii="Arial Narrow" w:hAnsi="Arial Narrow" w:cs="Arial"/>
                <w:i/>
                <w:sz w:val="20"/>
                <w:szCs w:val="20"/>
              </w:rPr>
              <w:t>At the time of continuing authority application, medical practitioners must request the appropriate number of repeats, based on the weight of the patient as follows: for the patients under 30 kg the 162 mg dose every 3 weeks, and for the patients of 30 kg or over the 162 mg dose every 2 weeks to provide a sufficient amount for up to 24 weeks of treatment.</w:t>
            </w:r>
            <w:proofErr w:type="gramEnd"/>
          </w:p>
          <w:p w:rsidR="001928D9" w:rsidRPr="002E6BC6" w:rsidRDefault="001928D9" w:rsidP="001928D9">
            <w:pPr>
              <w:spacing w:before="40" w:after="40"/>
              <w:rPr>
                <w:rFonts w:ascii="Arial Narrow" w:hAnsi="Arial Narrow" w:cs="Arial"/>
                <w:i/>
                <w:sz w:val="20"/>
                <w:szCs w:val="20"/>
              </w:rPr>
            </w:pPr>
          </w:p>
        </w:tc>
      </w:tr>
    </w:tbl>
    <w:p w:rsidR="00060708" w:rsidRPr="002E6BC6" w:rsidRDefault="002775AA" w:rsidP="000334C9">
      <w:pPr>
        <w:pStyle w:val="ListParagraph"/>
        <w:widowControl/>
        <w:numPr>
          <w:ilvl w:val="1"/>
          <w:numId w:val="14"/>
        </w:numPr>
        <w:spacing w:before="120" w:after="120"/>
        <w:contextualSpacing w:val="0"/>
        <w:rPr>
          <w:rFonts w:asciiTheme="minorHAnsi" w:eastAsiaTheme="minorHAnsi" w:hAnsiTheme="minorHAnsi" w:cstheme="minorBidi"/>
          <w:szCs w:val="22"/>
        </w:rPr>
      </w:pPr>
      <w:r w:rsidRPr="002E6BC6">
        <w:rPr>
          <w:rFonts w:asciiTheme="minorHAnsi" w:eastAsiaTheme="minorHAnsi" w:hAnsiTheme="minorHAnsi" w:cstheme="minorBidi"/>
          <w:snapToGrid/>
          <w:sz w:val="24"/>
          <w:szCs w:val="22"/>
        </w:rPr>
        <w:t>The p</w:t>
      </w:r>
      <w:r w:rsidR="00C23E3E" w:rsidRPr="002E6BC6">
        <w:rPr>
          <w:rFonts w:asciiTheme="minorHAnsi" w:eastAsiaTheme="minorHAnsi" w:hAnsiTheme="minorHAnsi" w:cstheme="minorBidi"/>
          <w:snapToGrid/>
          <w:sz w:val="24"/>
          <w:szCs w:val="22"/>
        </w:rPr>
        <w:t xml:space="preserve">re-PBAC response </w:t>
      </w:r>
      <w:r w:rsidR="002E38BF" w:rsidRPr="002E6BC6">
        <w:rPr>
          <w:rFonts w:asciiTheme="minorHAnsi" w:eastAsiaTheme="minorHAnsi" w:hAnsiTheme="minorHAnsi" w:cstheme="minorBidi"/>
          <w:snapToGrid/>
          <w:sz w:val="24"/>
          <w:szCs w:val="22"/>
        </w:rPr>
        <w:t>requested changing</w:t>
      </w:r>
      <w:r w:rsidR="00C246EA" w:rsidRPr="002E6BC6">
        <w:rPr>
          <w:rFonts w:asciiTheme="minorHAnsi" w:eastAsiaTheme="minorHAnsi" w:hAnsiTheme="minorHAnsi" w:cstheme="minorBidi"/>
          <w:snapToGrid/>
          <w:sz w:val="24"/>
          <w:szCs w:val="22"/>
        </w:rPr>
        <w:t xml:space="preserve"> the</w:t>
      </w:r>
      <w:r w:rsidRPr="002E6BC6">
        <w:rPr>
          <w:rFonts w:asciiTheme="minorHAnsi" w:eastAsiaTheme="minorHAnsi" w:hAnsiTheme="minorHAnsi" w:cstheme="minorBidi"/>
          <w:snapToGrid/>
          <w:sz w:val="24"/>
          <w:szCs w:val="22"/>
        </w:rPr>
        <w:t xml:space="preserve"> maximum quantity and</w:t>
      </w:r>
      <w:r w:rsidR="00C246EA" w:rsidRPr="002E6BC6">
        <w:rPr>
          <w:rFonts w:asciiTheme="minorHAnsi" w:eastAsiaTheme="minorHAnsi" w:hAnsiTheme="minorHAnsi" w:cstheme="minorBidi"/>
          <w:snapToGrid/>
          <w:sz w:val="24"/>
          <w:szCs w:val="22"/>
        </w:rPr>
        <w:t xml:space="preserve"> number of repeats </w:t>
      </w:r>
      <w:r w:rsidRPr="002E6BC6">
        <w:rPr>
          <w:rFonts w:asciiTheme="minorHAnsi" w:eastAsiaTheme="minorHAnsi" w:hAnsiTheme="minorHAnsi" w:cstheme="minorBidi"/>
          <w:snapToGrid/>
          <w:sz w:val="24"/>
          <w:szCs w:val="22"/>
        </w:rPr>
        <w:t xml:space="preserve">from the </w:t>
      </w:r>
      <w:proofErr w:type="gramStart"/>
      <w:r w:rsidRPr="002E6BC6">
        <w:rPr>
          <w:rFonts w:asciiTheme="minorHAnsi" w:eastAsiaTheme="minorHAnsi" w:hAnsiTheme="minorHAnsi" w:cstheme="minorBidi"/>
          <w:snapToGrid/>
          <w:sz w:val="24"/>
          <w:szCs w:val="22"/>
        </w:rPr>
        <w:t>Secretariat’s</w:t>
      </w:r>
      <w:proofErr w:type="gramEnd"/>
      <w:r w:rsidRPr="002E6BC6">
        <w:rPr>
          <w:rFonts w:asciiTheme="minorHAnsi" w:eastAsiaTheme="minorHAnsi" w:hAnsiTheme="minorHAnsi" w:cstheme="minorBidi"/>
          <w:snapToGrid/>
          <w:sz w:val="24"/>
          <w:szCs w:val="22"/>
        </w:rPr>
        <w:t xml:space="preserve"> proposed</w:t>
      </w:r>
      <w:r w:rsidR="00C246EA" w:rsidRPr="002E6BC6">
        <w:rPr>
          <w:rFonts w:asciiTheme="minorHAnsi" w:eastAsiaTheme="minorHAnsi" w:hAnsiTheme="minorHAnsi" w:cstheme="minorBidi"/>
          <w:snapToGrid/>
          <w:sz w:val="24"/>
          <w:szCs w:val="22"/>
        </w:rPr>
        <w:t xml:space="preserve"> </w:t>
      </w:r>
      <w:r w:rsidR="002E38BF" w:rsidRPr="002E6BC6">
        <w:rPr>
          <w:rFonts w:asciiTheme="minorHAnsi" w:eastAsiaTheme="minorHAnsi" w:hAnsiTheme="minorHAnsi" w:cstheme="minorBidi"/>
          <w:snapToGrid/>
          <w:sz w:val="24"/>
          <w:szCs w:val="22"/>
        </w:rPr>
        <w:t>maximum quantity of 1 with 0 repeats</w:t>
      </w:r>
      <w:r w:rsidRPr="002E6BC6">
        <w:rPr>
          <w:rFonts w:asciiTheme="minorHAnsi" w:eastAsiaTheme="minorHAnsi" w:hAnsiTheme="minorHAnsi" w:cstheme="minorBidi"/>
          <w:snapToGrid/>
          <w:sz w:val="24"/>
          <w:szCs w:val="22"/>
        </w:rPr>
        <w:t xml:space="preserve"> to </w:t>
      </w:r>
      <w:r w:rsidR="002E38BF" w:rsidRPr="002E6BC6">
        <w:rPr>
          <w:rFonts w:asciiTheme="minorHAnsi" w:eastAsiaTheme="minorHAnsi" w:hAnsiTheme="minorHAnsi" w:cstheme="minorBidi"/>
          <w:snapToGrid/>
          <w:sz w:val="24"/>
          <w:szCs w:val="22"/>
        </w:rPr>
        <w:t xml:space="preserve">a maximum quantity of </w:t>
      </w:r>
      <w:r w:rsidRPr="002E6BC6">
        <w:rPr>
          <w:rFonts w:asciiTheme="minorHAnsi" w:eastAsiaTheme="minorHAnsi" w:hAnsiTheme="minorHAnsi" w:cstheme="minorBidi"/>
          <w:snapToGrid/>
          <w:sz w:val="24"/>
          <w:szCs w:val="22"/>
        </w:rPr>
        <w:t>1</w:t>
      </w:r>
      <w:r w:rsidR="002E38BF" w:rsidRPr="002E6BC6">
        <w:rPr>
          <w:rFonts w:asciiTheme="minorHAnsi" w:eastAsiaTheme="minorHAnsi" w:hAnsiTheme="minorHAnsi" w:cstheme="minorBidi"/>
          <w:snapToGrid/>
          <w:sz w:val="24"/>
          <w:szCs w:val="22"/>
        </w:rPr>
        <w:t xml:space="preserve"> with</w:t>
      </w:r>
      <w:r w:rsidRPr="002E6BC6">
        <w:rPr>
          <w:rFonts w:asciiTheme="minorHAnsi" w:eastAsiaTheme="minorHAnsi" w:hAnsiTheme="minorHAnsi" w:cstheme="minorBidi"/>
          <w:snapToGrid/>
          <w:sz w:val="24"/>
          <w:szCs w:val="22"/>
        </w:rPr>
        <w:t xml:space="preserve"> 1</w:t>
      </w:r>
      <w:r w:rsidR="002E38BF" w:rsidRPr="002E6BC6">
        <w:rPr>
          <w:rFonts w:asciiTheme="minorHAnsi" w:eastAsiaTheme="minorHAnsi" w:hAnsiTheme="minorHAnsi" w:cstheme="minorBidi"/>
          <w:snapToGrid/>
          <w:sz w:val="24"/>
          <w:szCs w:val="22"/>
        </w:rPr>
        <w:t xml:space="preserve"> repeat</w:t>
      </w:r>
      <w:r w:rsidRPr="002E6BC6">
        <w:rPr>
          <w:rFonts w:asciiTheme="minorHAnsi" w:eastAsiaTheme="minorHAnsi" w:hAnsiTheme="minorHAnsi" w:cstheme="minorBidi"/>
          <w:snapToGrid/>
          <w:sz w:val="24"/>
          <w:szCs w:val="22"/>
        </w:rPr>
        <w:t>.</w:t>
      </w:r>
      <w:r w:rsidR="00BC7A1B" w:rsidRPr="002E6BC6">
        <w:rPr>
          <w:rFonts w:asciiTheme="minorHAnsi" w:eastAsiaTheme="minorHAnsi" w:hAnsiTheme="minorHAnsi" w:cstheme="minorBidi"/>
          <w:snapToGrid/>
          <w:sz w:val="24"/>
          <w:szCs w:val="22"/>
        </w:rPr>
        <w:t xml:space="preserve"> The pre-PBAC response indicated that this</w:t>
      </w:r>
      <w:r w:rsidR="00C246EA" w:rsidRPr="002E6BC6">
        <w:rPr>
          <w:rFonts w:asciiTheme="minorHAnsi" w:eastAsiaTheme="minorHAnsi" w:hAnsiTheme="minorHAnsi" w:cstheme="minorBidi"/>
          <w:snapToGrid/>
          <w:sz w:val="24"/>
          <w:szCs w:val="22"/>
        </w:rPr>
        <w:t xml:space="preserve"> </w:t>
      </w:r>
      <w:r w:rsidR="00BC7A1B" w:rsidRPr="002E6BC6">
        <w:rPr>
          <w:rFonts w:asciiTheme="minorHAnsi" w:eastAsiaTheme="minorHAnsi" w:hAnsiTheme="minorHAnsi" w:cstheme="minorBidi"/>
          <w:snapToGrid/>
          <w:sz w:val="24"/>
          <w:szCs w:val="22"/>
        </w:rPr>
        <w:t xml:space="preserve">would reduce the number of requests for additional repeats by prescribers. </w:t>
      </w:r>
    </w:p>
    <w:p w:rsidR="00B16D9C" w:rsidRPr="002E6BC6" w:rsidRDefault="00A537F3" w:rsidP="000334C9">
      <w:pPr>
        <w:spacing w:before="120" w:after="120"/>
        <w:rPr>
          <w:rFonts w:asciiTheme="minorHAnsi" w:hAnsiTheme="minorHAnsi"/>
          <w:i/>
        </w:rPr>
      </w:pPr>
      <w:r>
        <w:rPr>
          <w:rFonts w:asciiTheme="minorHAnsi" w:eastAsiaTheme="minorHAnsi" w:hAnsiTheme="minorHAnsi" w:cstheme="minorBidi"/>
          <w:szCs w:val="22"/>
        </w:rPr>
        <w:tab/>
      </w:r>
      <w:r w:rsidR="00B16D9C" w:rsidRPr="002E6BC6">
        <w:rPr>
          <w:rFonts w:asciiTheme="minorHAnsi" w:hAnsiTheme="minorHAnsi"/>
          <w:i/>
        </w:rPr>
        <w:t>For more deta</w:t>
      </w:r>
      <w:r w:rsidR="00BC7A1B" w:rsidRPr="002E6BC6">
        <w:rPr>
          <w:rFonts w:asciiTheme="minorHAnsi" w:hAnsiTheme="minorHAnsi"/>
          <w:i/>
        </w:rPr>
        <w:t>il on PBAC’s view, see section 6</w:t>
      </w:r>
      <w:r w:rsidR="00B16D9C" w:rsidRPr="002E6BC6">
        <w:rPr>
          <w:rFonts w:asciiTheme="minorHAnsi" w:hAnsiTheme="minorHAnsi"/>
          <w:i/>
        </w:rPr>
        <w:t xml:space="preserve"> PBAC outcome.</w:t>
      </w:r>
    </w:p>
    <w:p w:rsidR="00C603D4" w:rsidRPr="002E6BC6" w:rsidRDefault="00CE10C4" w:rsidP="000334C9">
      <w:pPr>
        <w:pStyle w:val="PBACHeading1"/>
        <w:spacing w:before="120" w:after="120"/>
        <w:ind w:left="709" w:hanging="709"/>
        <w:rPr>
          <w:rFonts w:asciiTheme="minorHAnsi" w:hAnsiTheme="minorHAnsi"/>
          <w:sz w:val="32"/>
          <w:szCs w:val="32"/>
        </w:rPr>
      </w:pPr>
      <w:r w:rsidRPr="002E6BC6">
        <w:rPr>
          <w:rFonts w:asciiTheme="minorHAnsi" w:hAnsiTheme="minorHAnsi"/>
          <w:sz w:val="32"/>
          <w:szCs w:val="32"/>
        </w:rPr>
        <w:t>Background</w:t>
      </w:r>
    </w:p>
    <w:p w:rsidR="006B0D94" w:rsidRPr="002E6BC6" w:rsidRDefault="001F5133"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2E6BC6">
        <w:rPr>
          <w:rFonts w:asciiTheme="minorHAnsi" w:eastAsiaTheme="minorHAnsi" w:hAnsiTheme="minorHAnsi" w:cstheme="minorBidi"/>
          <w:snapToGrid/>
          <w:sz w:val="24"/>
          <w:szCs w:val="22"/>
        </w:rPr>
        <w:t>T</w:t>
      </w:r>
      <w:r w:rsidR="00516910" w:rsidRPr="002E6BC6">
        <w:rPr>
          <w:rFonts w:asciiTheme="minorHAnsi" w:eastAsiaTheme="minorHAnsi" w:hAnsiTheme="minorHAnsi" w:cstheme="minorBidi"/>
          <w:snapToGrid/>
          <w:sz w:val="24"/>
          <w:szCs w:val="22"/>
        </w:rPr>
        <w:t>ocilizu</w:t>
      </w:r>
      <w:r w:rsidR="004451C8" w:rsidRPr="002E6BC6">
        <w:rPr>
          <w:rFonts w:asciiTheme="minorHAnsi" w:eastAsiaTheme="minorHAnsi" w:hAnsiTheme="minorHAnsi" w:cstheme="minorBidi"/>
          <w:snapToGrid/>
          <w:sz w:val="24"/>
          <w:szCs w:val="22"/>
        </w:rPr>
        <w:t>mab</w:t>
      </w:r>
      <w:proofErr w:type="spellEnd"/>
      <w:r w:rsidR="004451C8" w:rsidRPr="002E6BC6">
        <w:rPr>
          <w:rFonts w:asciiTheme="minorHAnsi" w:eastAsiaTheme="minorHAnsi" w:hAnsiTheme="minorHAnsi" w:cstheme="minorBidi"/>
          <w:snapToGrid/>
          <w:sz w:val="24"/>
          <w:szCs w:val="22"/>
        </w:rPr>
        <w:t xml:space="preserve"> </w:t>
      </w:r>
      <w:r w:rsidRPr="002E6BC6">
        <w:rPr>
          <w:rFonts w:asciiTheme="minorHAnsi" w:eastAsiaTheme="minorHAnsi" w:hAnsiTheme="minorHAnsi" w:cstheme="minorBidi"/>
          <w:snapToGrid/>
          <w:sz w:val="24"/>
          <w:szCs w:val="22"/>
        </w:rPr>
        <w:t xml:space="preserve">SC </w:t>
      </w:r>
      <w:r w:rsidR="004451C8" w:rsidRPr="002E6BC6">
        <w:rPr>
          <w:rFonts w:asciiTheme="minorHAnsi" w:eastAsiaTheme="minorHAnsi" w:hAnsiTheme="minorHAnsi" w:cstheme="minorBidi"/>
          <w:snapToGrid/>
          <w:sz w:val="24"/>
          <w:szCs w:val="22"/>
        </w:rPr>
        <w:t>was</w:t>
      </w:r>
      <w:r w:rsidR="00311B77" w:rsidRPr="002E6BC6">
        <w:rPr>
          <w:rFonts w:asciiTheme="minorHAnsi" w:eastAsiaTheme="minorHAnsi" w:hAnsiTheme="minorHAnsi" w:cstheme="minorBidi"/>
          <w:snapToGrid/>
          <w:sz w:val="24"/>
          <w:szCs w:val="22"/>
        </w:rPr>
        <w:t xml:space="preserve"> TGA registered</w:t>
      </w:r>
      <w:r w:rsidR="004451C8" w:rsidRPr="002E6BC6">
        <w:rPr>
          <w:rFonts w:asciiTheme="minorHAnsi" w:eastAsiaTheme="minorHAnsi" w:hAnsiTheme="minorHAnsi" w:cstheme="minorBidi"/>
          <w:snapToGrid/>
          <w:sz w:val="24"/>
          <w:szCs w:val="22"/>
        </w:rPr>
        <w:t xml:space="preserve"> </w:t>
      </w:r>
      <w:r w:rsidR="00516910" w:rsidRPr="002E6BC6">
        <w:rPr>
          <w:rFonts w:asciiTheme="minorHAnsi" w:eastAsiaTheme="minorHAnsi" w:hAnsiTheme="minorHAnsi" w:cstheme="minorBidi"/>
          <w:snapToGrid/>
          <w:sz w:val="24"/>
          <w:szCs w:val="22"/>
        </w:rPr>
        <w:t xml:space="preserve">on 19 November 2018 </w:t>
      </w:r>
      <w:r w:rsidR="00311B77" w:rsidRPr="002E6BC6">
        <w:rPr>
          <w:rFonts w:asciiTheme="minorHAnsi" w:eastAsiaTheme="minorHAnsi" w:hAnsiTheme="minorHAnsi" w:cstheme="minorBidi"/>
          <w:snapToGrid/>
          <w:sz w:val="24"/>
          <w:szCs w:val="22"/>
        </w:rPr>
        <w:t>for</w:t>
      </w:r>
      <w:r w:rsidR="00CA022E" w:rsidRPr="002E6BC6">
        <w:rPr>
          <w:rFonts w:asciiTheme="minorHAnsi" w:eastAsiaTheme="minorHAnsi" w:hAnsiTheme="minorHAnsi" w:cstheme="minorBidi"/>
          <w:snapToGrid/>
          <w:sz w:val="24"/>
          <w:szCs w:val="22"/>
        </w:rPr>
        <w:t xml:space="preserve"> the treatment of </w:t>
      </w:r>
      <w:proofErr w:type="spellStart"/>
      <w:r w:rsidR="00CA022E" w:rsidRPr="002E6BC6">
        <w:rPr>
          <w:rFonts w:asciiTheme="minorHAnsi" w:eastAsiaTheme="minorHAnsi" w:hAnsiTheme="minorHAnsi" w:cstheme="minorBidi"/>
          <w:snapToGrid/>
          <w:sz w:val="24"/>
          <w:szCs w:val="22"/>
        </w:rPr>
        <w:t>polyarticular</w:t>
      </w:r>
      <w:proofErr w:type="spellEnd"/>
      <w:r w:rsidR="00516910" w:rsidRPr="002E6BC6">
        <w:rPr>
          <w:rFonts w:asciiTheme="minorHAnsi" w:eastAsiaTheme="minorHAnsi" w:hAnsiTheme="minorHAnsi" w:cstheme="minorBidi"/>
          <w:snapToGrid/>
          <w:sz w:val="24"/>
          <w:szCs w:val="22"/>
        </w:rPr>
        <w:t xml:space="preserve"> </w:t>
      </w:r>
      <w:r w:rsidR="00EC0654" w:rsidRPr="002E6BC6">
        <w:rPr>
          <w:rFonts w:asciiTheme="minorHAnsi" w:eastAsiaTheme="minorHAnsi" w:hAnsiTheme="minorHAnsi" w:cstheme="minorBidi"/>
          <w:snapToGrid/>
          <w:sz w:val="24"/>
          <w:szCs w:val="22"/>
        </w:rPr>
        <w:t>JIA</w:t>
      </w:r>
      <w:r w:rsidR="00516910" w:rsidRPr="002E6BC6">
        <w:rPr>
          <w:rFonts w:asciiTheme="minorHAnsi" w:eastAsiaTheme="minorHAnsi" w:hAnsiTheme="minorHAnsi" w:cstheme="minorBidi"/>
          <w:snapToGrid/>
          <w:sz w:val="24"/>
          <w:szCs w:val="22"/>
        </w:rPr>
        <w:t xml:space="preserve">. </w:t>
      </w:r>
    </w:p>
    <w:p w:rsidR="005D6781" w:rsidRPr="002E6BC6" w:rsidRDefault="005D6781" w:rsidP="000334C9">
      <w:pPr>
        <w:pStyle w:val="ListParagraph"/>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The auto-injector presentation of </w:t>
      </w:r>
      <w:proofErr w:type="spellStart"/>
      <w:r w:rsidRPr="002E6BC6">
        <w:rPr>
          <w:rFonts w:asciiTheme="minorHAnsi" w:eastAsiaTheme="minorHAnsi" w:hAnsiTheme="minorHAnsi" w:cstheme="minorBidi"/>
          <w:snapToGrid/>
          <w:sz w:val="24"/>
          <w:szCs w:val="22"/>
        </w:rPr>
        <w:t>tocilizumab</w:t>
      </w:r>
      <w:proofErr w:type="spellEnd"/>
      <w:r w:rsidRPr="002E6BC6">
        <w:rPr>
          <w:rFonts w:asciiTheme="minorHAnsi" w:eastAsiaTheme="minorHAnsi" w:hAnsiTheme="minorHAnsi" w:cstheme="minorBidi"/>
          <w:snapToGrid/>
          <w:sz w:val="24"/>
          <w:szCs w:val="22"/>
        </w:rPr>
        <w:t xml:space="preserve"> SC </w:t>
      </w:r>
      <w:proofErr w:type="gramStart"/>
      <w:r w:rsidRPr="002E6BC6">
        <w:rPr>
          <w:rFonts w:asciiTheme="minorHAnsi" w:eastAsiaTheme="minorHAnsi" w:hAnsiTheme="minorHAnsi" w:cstheme="minorBidi"/>
          <w:snapToGrid/>
          <w:sz w:val="24"/>
          <w:szCs w:val="22"/>
        </w:rPr>
        <w:t>was recommended</w:t>
      </w:r>
      <w:proofErr w:type="gramEnd"/>
      <w:r w:rsidRPr="002E6BC6">
        <w:rPr>
          <w:rFonts w:asciiTheme="minorHAnsi" w:eastAsiaTheme="minorHAnsi" w:hAnsiTheme="minorHAnsi" w:cstheme="minorBidi"/>
          <w:snapToGrid/>
          <w:sz w:val="24"/>
          <w:szCs w:val="22"/>
        </w:rPr>
        <w:t xml:space="preserve"> by the PBAC for the treatment of severe active rheumatoid arthritis in July 2018. </w:t>
      </w:r>
    </w:p>
    <w:p w:rsidR="00CA022E" w:rsidRPr="002E6BC6" w:rsidRDefault="00CA022E" w:rsidP="000334C9">
      <w:pPr>
        <w:pStyle w:val="ListParagraph"/>
        <w:numPr>
          <w:ilvl w:val="1"/>
          <w:numId w:val="14"/>
        </w:numPr>
        <w:spacing w:before="120" w:after="12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The pre-filled syringe presentation </w:t>
      </w:r>
      <w:r w:rsidR="00B954F6" w:rsidRPr="002E6BC6">
        <w:rPr>
          <w:rFonts w:asciiTheme="minorHAnsi" w:eastAsiaTheme="minorHAnsi" w:hAnsiTheme="minorHAnsi" w:cstheme="minorBidi"/>
          <w:snapToGrid/>
          <w:sz w:val="24"/>
          <w:szCs w:val="22"/>
        </w:rPr>
        <w:t xml:space="preserve">of </w:t>
      </w:r>
      <w:proofErr w:type="spellStart"/>
      <w:r w:rsidR="00B954F6" w:rsidRPr="002E6BC6">
        <w:rPr>
          <w:rFonts w:asciiTheme="minorHAnsi" w:eastAsiaTheme="minorHAnsi" w:hAnsiTheme="minorHAnsi" w:cstheme="minorBidi"/>
          <w:snapToGrid/>
          <w:sz w:val="24"/>
          <w:szCs w:val="22"/>
        </w:rPr>
        <w:t>tocilizumab</w:t>
      </w:r>
      <w:proofErr w:type="spellEnd"/>
      <w:r w:rsidR="00B954F6" w:rsidRPr="002E6BC6">
        <w:rPr>
          <w:rFonts w:asciiTheme="minorHAnsi" w:eastAsiaTheme="minorHAnsi" w:hAnsiTheme="minorHAnsi" w:cstheme="minorBidi"/>
          <w:snapToGrid/>
          <w:sz w:val="24"/>
          <w:szCs w:val="22"/>
        </w:rPr>
        <w:t xml:space="preserve"> </w:t>
      </w:r>
      <w:r w:rsidR="001F5133" w:rsidRPr="002E6BC6">
        <w:rPr>
          <w:rFonts w:asciiTheme="minorHAnsi" w:eastAsiaTheme="minorHAnsi" w:hAnsiTheme="minorHAnsi" w:cstheme="minorBidi"/>
          <w:snapToGrid/>
          <w:sz w:val="24"/>
          <w:szCs w:val="22"/>
        </w:rPr>
        <w:t xml:space="preserve">SC </w:t>
      </w:r>
      <w:proofErr w:type="gramStart"/>
      <w:r w:rsidRPr="002E6BC6">
        <w:rPr>
          <w:rFonts w:asciiTheme="minorHAnsi" w:eastAsiaTheme="minorHAnsi" w:hAnsiTheme="minorHAnsi" w:cstheme="minorBidi"/>
          <w:snapToGrid/>
          <w:sz w:val="24"/>
          <w:szCs w:val="22"/>
        </w:rPr>
        <w:t>was recommended</w:t>
      </w:r>
      <w:proofErr w:type="gramEnd"/>
      <w:r w:rsidR="00D96AAD" w:rsidRPr="002E6BC6">
        <w:rPr>
          <w:rFonts w:asciiTheme="minorHAnsi" w:eastAsiaTheme="minorHAnsi" w:hAnsiTheme="minorHAnsi" w:cstheme="minorBidi"/>
          <w:snapToGrid/>
          <w:sz w:val="24"/>
          <w:szCs w:val="22"/>
        </w:rPr>
        <w:t xml:space="preserve"> by the PBAC</w:t>
      </w:r>
      <w:r w:rsidRPr="002E6BC6">
        <w:rPr>
          <w:rFonts w:asciiTheme="minorHAnsi" w:eastAsiaTheme="minorHAnsi" w:hAnsiTheme="minorHAnsi" w:cstheme="minorBidi"/>
          <w:snapToGrid/>
          <w:sz w:val="24"/>
          <w:szCs w:val="22"/>
        </w:rPr>
        <w:t xml:space="preserve"> for </w:t>
      </w:r>
      <w:r w:rsidR="00D96AAD" w:rsidRPr="002E6BC6">
        <w:rPr>
          <w:rFonts w:asciiTheme="minorHAnsi" w:eastAsiaTheme="minorHAnsi" w:hAnsiTheme="minorHAnsi" w:cstheme="minorBidi"/>
          <w:snapToGrid/>
          <w:sz w:val="24"/>
          <w:szCs w:val="22"/>
        </w:rPr>
        <w:t xml:space="preserve">the treatment of </w:t>
      </w:r>
      <w:r w:rsidRPr="002E6BC6">
        <w:rPr>
          <w:rFonts w:asciiTheme="minorHAnsi" w:eastAsiaTheme="minorHAnsi" w:hAnsiTheme="minorHAnsi" w:cstheme="minorBidi"/>
          <w:snapToGrid/>
          <w:sz w:val="24"/>
          <w:szCs w:val="22"/>
        </w:rPr>
        <w:t>patients with prior DMARD inadequate response</w:t>
      </w:r>
      <w:r w:rsidR="00D96AAD" w:rsidRPr="002E6BC6">
        <w:rPr>
          <w:rFonts w:asciiTheme="minorHAnsi" w:eastAsiaTheme="minorHAnsi" w:hAnsiTheme="minorHAnsi" w:cstheme="minorBidi"/>
          <w:snapToGrid/>
          <w:sz w:val="24"/>
          <w:szCs w:val="22"/>
        </w:rPr>
        <w:t xml:space="preserve"> as monotherapy or in combination with methotrexate</w:t>
      </w:r>
      <w:r w:rsidR="008D2FBC" w:rsidRPr="002E6BC6">
        <w:rPr>
          <w:rFonts w:asciiTheme="minorHAnsi" w:eastAsiaTheme="minorHAnsi" w:hAnsiTheme="minorHAnsi" w:cstheme="minorBidi"/>
          <w:snapToGrid/>
          <w:sz w:val="24"/>
          <w:szCs w:val="22"/>
        </w:rPr>
        <w:t xml:space="preserve"> (MTX)</w:t>
      </w:r>
      <w:r w:rsidRPr="002E6BC6">
        <w:rPr>
          <w:rFonts w:asciiTheme="minorHAnsi" w:eastAsiaTheme="minorHAnsi" w:hAnsiTheme="minorHAnsi" w:cstheme="minorBidi"/>
          <w:snapToGrid/>
          <w:sz w:val="24"/>
          <w:szCs w:val="22"/>
        </w:rPr>
        <w:t xml:space="preserve">, on a cost-minimisation basis with other </w:t>
      </w:r>
      <w:proofErr w:type="spellStart"/>
      <w:r w:rsidRPr="002E6BC6">
        <w:rPr>
          <w:rFonts w:asciiTheme="minorHAnsi" w:eastAsiaTheme="minorHAnsi" w:hAnsiTheme="minorHAnsi" w:cstheme="minorBidi"/>
          <w:snapToGrid/>
          <w:sz w:val="24"/>
          <w:szCs w:val="22"/>
        </w:rPr>
        <w:t>bDMARDs</w:t>
      </w:r>
      <w:proofErr w:type="spellEnd"/>
      <w:r w:rsidRPr="002E6BC6">
        <w:rPr>
          <w:rFonts w:asciiTheme="minorHAnsi" w:eastAsiaTheme="minorHAnsi" w:hAnsiTheme="minorHAnsi" w:cstheme="minorBidi"/>
          <w:snapToGrid/>
          <w:sz w:val="24"/>
          <w:szCs w:val="22"/>
        </w:rPr>
        <w:t xml:space="preserve"> in March 2016.</w:t>
      </w:r>
    </w:p>
    <w:p w:rsidR="00EC0654" w:rsidRPr="002E6BC6" w:rsidRDefault="00EC0654"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The IV presentation of </w:t>
      </w:r>
      <w:proofErr w:type="spellStart"/>
      <w:r w:rsidR="00021047" w:rsidRPr="002E6BC6">
        <w:rPr>
          <w:rFonts w:asciiTheme="minorHAnsi" w:eastAsiaTheme="minorHAnsi" w:hAnsiTheme="minorHAnsi" w:cstheme="minorBidi"/>
          <w:snapToGrid/>
          <w:sz w:val="24"/>
          <w:szCs w:val="22"/>
        </w:rPr>
        <w:t>tocili</w:t>
      </w:r>
      <w:r w:rsidR="00CA022E" w:rsidRPr="002E6BC6">
        <w:rPr>
          <w:rFonts w:asciiTheme="minorHAnsi" w:eastAsiaTheme="minorHAnsi" w:hAnsiTheme="minorHAnsi" w:cstheme="minorBidi"/>
          <w:snapToGrid/>
          <w:sz w:val="24"/>
          <w:szCs w:val="22"/>
        </w:rPr>
        <w:t>zumab</w:t>
      </w:r>
      <w:proofErr w:type="spellEnd"/>
      <w:r w:rsidR="00CA022E" w:rsidRPr="002E6BC6">
        <w:rPr>
          <w:rFonts w:asciiTheme="minorHAnsi" w:eastAsiaTheme="minorHAnsi" w:hAnsiTheme="minorHAnsi" w:cstheme="minorBidi"/>
          <w:snapToGrid/>
          <w:sz w:val="24"/>
          <w:szCs w:val="22"/>
        </w:rPr>
        <w:t xml:space="preserve"> </w:t>
      </w:r>
      <w:proofErr w:type="gramStart"/>
      <w:r w:rsidRPr="002E6BC6">
        <w:rPr>
          <w:rFonts w:asciiTheme="minorHAnsi" w:eastAsiaTheme="minorHAnsi" w:hAnsiTheme="minorHAnsi" w:cstheme="minorBidi"/>
          <w:snapToGrid/>
          <w:sz w:val="24"/>
          <w:szCs w:val="22"/>
        </w:rPr>
        <w:t>was recommended</w:t>
      </w:r>
      <w:proofErr w:type="gramEnd"/>
      <w:r w:rsidRPr="002E6BC6">
        <w:rPr>
          <w:rFonts w:asciiTheme="minorHAnsi" w:eastAsiaTheme="minorHAnsi" w:hAnsiTheme="minorHAnsi" w:cstheme="minorBidi"/>
          <w:snapToGrid/>
          <w:sz w:val="24"/>
          <w:szCs w:val="22"/>
        </w:rPr>
        <w:t xml:space="preserve"> by the PBAC </w:t>
      </w:r>
      <w:r w:rsidR="00CA022E" w:rsidRPr="002E6BC6">
        <w:rPr>
          <w:rFonts w:asciiTheme="minorHAnsi" w:eastAsiaTheme="minorHAnsi" w:hAnsiTheme="minorHAnsi" w:cstheme="minorBidi"/>
          <w:snapToGrid/>
          <w:sz w:val="24"/>
          <w:szCs w:val="22"/>
        </w:rPr>
        <w:t>for</w:t>
      </w:r>
      <w:r w:rsidR="00E6310D" w:rsidRPr="002E6BC6">
        <w:rPr>
          <w:rFonts w:asciiTheme="minorHAnsi" w:eastAsiaTheme="minorHAnsi" w:hAnsiTheme="minorHAnsi" w:cstheme="minorBidi"/>
          <w:snapToGrid/>
          <w:sz w:val="24"/>
          <w:szCs w:val="22"/>
        </w:rPr>
        <w:t xml:space="preserve"> the treatment of active </w:t>
      </w:r>
      <w:proofErr w:type="spellStart"/>
      <w:r w:rsidR="00E6310D" w:rsidRPr="002E6BC6">
        <w:rPr>
          <w:rFonts w:asciiTheme="minorHAnsi" w:eastAsiaTheme="minorHAnsi" w:hAnsiTheme="minorHAnsi" w:cstheme="minorBidi"/>
          <w:snapToGrid/>
          <w:sz w:val="24"/>
          <w:szCs w:val="22"/>
        </w:rPr>
        <w:t>polyarticular</w:t>
      </w:r>
      <w:proofErr w:type="spellEnd"/>
      <w:r w:rsidR="00E6310D" w:rsidRPr="002E6BC6">
        <w:rPr>
          <w:rFonts w:asciiTheme="minorHAnsi" w:eastAsiaTheme="minorHAnsi" w:hAnsiTheme="minorHAnsi" w:cstheme="minorBidi"/>
          <w:snapToGrid/>
          <w:sz w:val="24"/>
          <w:szCs w:val="22"/>
        </w:rPr>
        <w:t xml:space="preserve"> course</w:t>
      </w:r>
      <w:r w:rsidR="00CA022E" w:rsidRPr="002E6BC6">
        <w:rPr>
          <w:rFonts w:asciiTheme="minorHAnsi" w:eastAsiaTheme="minorHAnsi" w:hAnsiTheme="minorHAnsi" w:cstheme="minorBidi"/>
          <w:snapToGrid/>
          <w:sz w:val="24"/>
          <w:szCs w:val="22"/>
        </w:rPr>
        <w:t xml:space="preserve"> </w:t>
      </w:r>
      <w:r w:rsidRPr="002E6BC6">
        <w:rPr>
          <w:rFonts w:asciiTheme="minorHAnsi" w:eastAsiaTheme="minorHAnsi" w:hAnsiTheme="minorHAnsi" w:cstheme="minorBidi"/>
          <w:snapToGrid/>
          <w:sz w:val="24"/>
          <w:szCs w:val="22"/>
        </w:rPr>
        <w:t xml:space="preserve">JIA </w:t>
      </w:r>
      <w:r w:rsidR="00021047" w:rsidRPr="002E6BC6">
        <w:rPr>
          <w:rFonts w:asciiTheme="minorHAnsi" w:eastAsiaTheme="minorHAnsi" w:hAnsiTheme="minorHAnsi" w:cstheme="minorBidi"/>
          <w:snapToGrid/>
          <w:sz w:val="24"/>
          <w:szCs w:val="22"/>
        </w:rPr>
        <w:t xml:space="preserve">as a single agent or in combination with MTX </w:t>
      </w:r>
      <w:r w:rsidR="00E6310D" w:rsidRPr="002E6BC6">
        <w:rPr>
          <w:rFonts w:asciiTheme="minorHAnsi" w:eastAsiaTheme="minorHAnsi" w:hAnsiTheme="minorHAnsi" w:cstheme="minorBidi"/>
          <w:snapToGrid/>
          <w:sz w:val="24"/>
          <w:szCs w:val="22"/>
        </w:rPr>
        <w:t xml:space="preserve">on a cost-minimisation basis compared with </w:t>
      </w:r>
      <w:proofErr w:type="spellStart"/>
      <w:r w:rsidR="00E6310D" w:rsidRPr="002E6BC6">
        <w:rPr>
          <w:rFonts w:asciiTheme="minorHAnsi" w:eastAsiaTheme="minorHAnsi" w:hAnsiTheme="minorHAnsi" w:cstheme="minorBidi"/>
          <w:snapToGrid/>
          <w:sz w:val="24"/>
          <w:szCs w:val="22"/>
        </w:rPr>
        <w:t>etanercept</w:t>
      </w:r>
      <w:proofErr w:type="spellEnd"/>
      <w:r w:rsidR="00E6310D" w:rsidRPr="002E6BC6">
        <w:rPr>
          <w:rFonts w:asciiTheme="minorHAnsi" w:eastAsiaTheme="minorHAnsi" w:hAnsiTheme="minorHAnsi" w:cstheme="minorBidi"/>
          <w:snapToGrid/>
          <w:sz w:val="24"/>
          <w:szCs w:val="22"/>
        </w:rPr>
        <w:t xml:space="preserve"> and </w:t>
      </w:r>
      <w:proofErr w:type="spellStart"/>
      <w:r w:rsidR="00E6310D" w:rsidRPr="002E6BC6">
        <w:rPr>
          <w:rFonts w:asciiTheme="minorHAnsi" w:eastAsiaTheme="minorHAnsi" w:hAnsiTheme="minorHAnsi" w:cstheme="minorBidi"/>
          <w:snapToGrid/>
          <w:sz w:val="24"/>
          <w:szCs w:val="22"/>
        </w:rPr>
        <w:t>adalimumab</w:t>
      </w:r>
      <w:proofErr w:type="spellEnd"/>
      <w:r w:rsidR="00E6310D" w:rsidRPr="002E6BC6">
        <w:rPr>
          <w:rFonts w:asciiTheme="minorHAnsi" w:eastAsiaTheme="minorHAnsi" w:hAnsiTheme="minorHAnsi" w:cstheme="minorBidi"/>
          <w:snapToGrid/>
          <w:sz w:val="24"/>
          <w:szCs w:val="22"/>
        </w:rPr>
        <w:t xml:space="preserve"> </w:t>
      </w:r>
      <w:r w:rsidR="00021047" w:rsidRPr="002E6BC6">
        <w:rPr>
          <w:rFonts w:asciiTheme="minorHAnsi" w:eastAsiaTheme="minorHAnsi" w:hAnsiTheme="minorHAnsi" w:cstheme="minorBidi"/>
          <w:snapToGrid/>
          <w:sz w:val="24"/>
          <w:szCs w:val="22"/>
        </w:rPr>
        <w:t xml:space="preserve">at its November 2013 meeting. </w:t>
      </w:r>
    </w:p>
    <w:p w:rsidR="005A3173" w:rsidRPr="002E6BC6" w:rsidRDefault="005A3173" w:rsidP="000334C9">
      <w:pPr>
        <w:pStyle w:val="PBACHeading1"/>
        <w:spacing w:before="120" w:after="120"/>
        <w:ind w:left="709" w:hanging="709"/>
        <w:rPr>
          <w:rFonts w:asciiTheme="minorHAnsi" w:hAnsiTheme="minorHAnsi"/>
          <w:sz w:val="32"/>
          <w:szCs w:val="32"/>
        </w:rPr>
      </w:pPr>
      <w:r w:rsidRPr="002E6BC6">
        <w:rPr>
          <w:rFonts w:asciiTheme="minorHAnsi" w:hAnsiTheme="minorHAnsi"/>
          <w:sz w:val="32"/>
          <w:szCs w:val="32"/>
        </w:rPr>
        <w:t>Comparator</w:t>
      </w:r>
    </w:p>
    <w:p w:rsidR="00C35996" w:rsidRPr="002E6BC6" w:rsidRDefault="00FF2801" w:rsidP="000334C9">
      <w:pPr>
        <w:pStyle w:val="ListParagraph"/>
        <w:widowControl/>
        <w:numPr>
          <w:ilvl w:val="1"/>
          <w:numId w:val="14"/>
        </w:numPr>
        <w:spacing w:before="120" w:after="12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The minor submission nominate</w:t>
      </w:r>
      <w:r w:rsidR="0012245B" w:rsidRPr="002E6BC6">
        <w:rPr>
          <w:rFonts w:asciiTheme="minorHAnsi" w:eastAsiaTheme="minorHAnsi" w:hAnsiTheme="minorHAnsi" w:cstheme="minorBidi"/>
          <w:snapToGrid/>
          <w:sz w:val="24"/>
          <w:szCs w:val="22"/>
        </w:rPr>
        <w:t xml:space="preserve">d </w:t>
      </w:r>
      <w:r w:rsidR="00DC756F" w:rsidRPr="002E6BC6">
        <w:rPr>
          <w:rFonts w:asciiTheme="minorHAnsi" w:eastAsiaTheme="minorHAnsi" w:hAnsiTheme="minorHAnsi" w:cstheme="minorBidi"/>
          <w:snapToGrid/>
          <w:sz w:val="24"/>
          <w:szCs w:val="22"/>
        </w:rPr>
        <w:t xml:space="preserve">IV </w:t>
      </w:r>
      <w:proofErr w:type="spellStart"/>
      <w:r w:rsidR="0012245B" w:rsidRPr="002E6BC6">
        <w:rPr>
          <w:rFonts w:asciiTheme="minorHAnsi" w:eastAsiaTheme="minorHAnsi" w:hAnsiTheme="minorHAnsi" w:cstheme="minorBidi"/>
          <w:snapToGrid/>
          <w:sz w:val="24"/>
          <w:szCs w:val="22"/>
        </w:rPr>
        <w:t>tocilizumab</w:t>
      </w:r>
      <w:proofErr w:type="spellEnd"/>
      <w:r w:rsidR="0012245B" w:rsidRPr="002E6BC6">
        <w:rPr>
          <w:rFonts w:asciiTheme="minorHAnsi" w:eastAsiaTheme="minorHAnsi" w:hAnsiTheme="minorHAnsi" w:cstheme="minorBidi"/>
          <w:snapToGrid/>
          <w:sz w:val="24"/>
          <w:szCs w:val="22"/>
        </w:rPr>
        <w:t xml:space="preserve"> </w:t>
      </w:r>
      <w:r w:rsidR="00DC756F" w:rsidRPr="002E6BC6">
        <w:rPr>
          <w:rFonts w:asciiTheme="minorHAnsi" w:eastAsiaTheme="minorHAnsi" w:hAnsiTheme="minorHAnsi" w:cstheme="minorBidi"/>
          <w:snapToGrid/>
          <w:sz w:val="24"/>
          <w:szCs w:val="22"/>
        </w:rPr>
        <w:t xml:space="preserve">as its main comparator. </w:t>
      </w:r>
      <w:r w:rsidR="002B33DB" w:rsidRPr="002E6BC6">
        <w:rPr>
          <w:rFonts w:asciiTheme="minorHAnsi" w:eastAsiaTheme="minorHAnsi" w:hAnsiTheme="minorHAnsi" w:cstheme="minorBidi"/>
          <w:snapToGrid/>
          <w:sz w:val="24"/>
          <w:szCs w:val="22"/>
        </w:rPr>
        <w:t xml:space="preserve">This </w:t>
      </w:r>
      <w:r w:rsidR="00644242" w:rsidRPr="002E6BC6">
        <w:rPr>
          <w:rFonts w:asciiTheme="minorHAnsi" w:eastAsiaTheme="minorHAnsi" w:hAnsiTheme="minorHAnsi" w:cstheme="minorBidi"/>
          <w:snapToGrid/>
          <w:sz w:val="24"/>
          <w:szCs w:val="22"/>
        </w:rPr>
        <w:t>was appropriate</w:t>
      </w:r>
      <w:r w:rsidR="002B33DB" w:rsidRPr="002E6BC6">
        <w:rPr>
          <w:rFonts w:asciiTheme="minorHAnsi" w:eastAsiaTheme="minorHAnsi" w:hAnsiTheme="minorHAnsi" w:cstheme="minorBidi"/>
          <w:snapToGrid/>
          <w:sz w:val="24"/>
          <w:szCs w:val="22"/>
        </w:rPr>
        <w:t>.</w:t>
      </w:r>
      <w:r w:rsidR="004106F5" w:rsidRPr="002E6BC6">
        <w:rPr>
          <w:rFonts w:asciiTheme="minorHAnsi" w:eastAsiaTheme="minorHAnsi" w:hAnsiTheme="minorHAnsi" w:cstheme="minorBidi"/>
          <w:snapToGrid/>
          <w:sz w:val="24"/>
          <w:szCs w:val="22"/>
        </w:rPr>
        <w:t xml:space="preserve"> </w:t>
      </w:r>
      <w:proofErr w:type="spellStart"/>
      <w:r w:rsidR="004106F5" w:rsidRPr="002E6BC6">
        <w:rPr>
          <w:rFonts w:asciiTheme="minorHAnsi" w:eastAsiaTheme="minorHAnsi" w:hAnsiTheme="minorHAnsi" w:cstheme="minorBidi"/>
          <w:snapToGrid/>
          <w:sz w:val="24"/>
          <w:szCs w:val="22"/>
        </w:rPr>
        <w:t>Etanercept</w:t>
      </w:r>
      <w:proofErr w:type="spellEnd"/>
      <w:r w:rsidR="004106F5" w:rsidRPr="002E6BC6">
        <w:rPr>
          <w:rFonts w:asciiTheme="minorHAnsi" w:eastAsiaTheme="minorHAnsi" w:hAnsiTheme="minorHAnsi" w:cstheme="minorBidi"/>
          <w:snapToGrid/>
          <w:sz w:val="24"/>
          <w:szCs w:val="22"/>
        </w:rPr>
        <w:t xml:space="preserve"> and </w:t>
      </w:r>
      <w:proofErr w:type="spellStart"/>
      <w:r w:rsidR="004106F5" w:rsidRPr="002E6BC6">
        <w:rPr>
          <w:rFonts w:asciiTheme="minorHAnsi" w:eastAsiaTheme="minorHAnsi" w:hAnsiTheme="minorHAnsi" w:cstheme="minorBidi"/>
          <w:snapToGrid/>
          <w:sz w:val="24"/>
          <w:szCs w:val="22"/>
        </w:rPr>
        <w:t>adalimumab</w:t>
      </w:r>
      <w:proofErr w:type="spellEnd"/>
      <w:r w:rsidR="004106F5" w:rsidRPr="002E6BC6">
        <w:rPr>
          <w:rFonts w:asciiTheme="minorHAnsi" w:eastAsiaTheme="minorHAnsi" w:hAnsiTheme="minorHAnsi" w:cstheme="minorBidi"/>
          <w:snapToGrid/>
          <w:sz w:val="24"/>
          <w:szCs w:val="22"/>
        </w:rPr>
        <w:t xml:space="preserve"> are also </w:t>
      </w:r>
      <w:r w:rsidR="008D2FBC" w:rsidRPr="002E6BC6">
        <w:rPr>
          <w:rFonts w:asciiTheme="minorHAnsi" w:eastAsiaTheme="minorHAnsi" w:hAnsiTheme="minorHAnsi" w:cstheme="minorBidi"/>
          <w:snapToGrid/>
          <w:sz w:val="24"/>
          <w:szCs w:val="22"/>
        </w:rPr>
        <w:t>appropriate comparators.</w:t>
      </w:r>
    </w:p>
    <w:p w:rsidR="001D1447" w:rsidRPr="002E6BC6" w:rsidRDefault="001D1447" w:rsidP="000334C9">
      <w:pPr>
        <w:pStyle w:val="ListParagraph"/>
        <w:spacing w:before="120" w:after="120"/>
        <w:ind w:left="709"/>
        <w:rPr>
          <w:rFonts w:asciiTheme="minorHAnsi" w:hAnsiTheme="minorHAnsi"/>
          <w:i/>
        </w:rPr>
      </w:pPr>
    </w:p>
    <w:p w:rsidR="00B16D9C" w:rsidRPr="002E6BC6" w:rsidRDefault="00B16D9C" w:rsidP="000334C9">
      <w:pPr>
        <w:pStyle w:val="ListParagraph"/>
        <w:spacing w:before="120" w:after="120"/>
        <w:ind w:left="709"/>
        <w:rPr>
          <w:rFonts w:asciiTheme="minorHAnsi" w:hAnsiTheme="minorHAnsi"/>
          <w:i/>
          <w:sz w:val="24"/>
        </w:rPr>
      </w:pPr>
      <w:r w:rsidRPr="002E6BC6">
        <w:rPr>
          <w:rFonts w:asciiTheme="minorHAnsi" w:hAnsiTheme="minorHAnsi"/>
          <w:i/>
          <w:sz w:val="24"/>
        </w:rPr>
        <w:t>For more deta</w:t>
      </w:r>
      <w:r w:rsidR="00DC6970" w:rsidRPr="002E6BC6">
        <w:rPr>
          <w:rFonts w:asciiTheme="minorHAnsi" w:hAnsiTheme="minorHAnsi"/>
          <w:i/>
          <w:sz w:val="24"/>
        </w:rPr>
        <w:t>il on PBAC’s view, see section 6</w:t>
      </w:r>
      <w:r w:rsidRPr="002E6BC6">
        <w:rPr>
          <w:rFonts w:asciiTheme="minorHAnsi" w:hAnsiTheme="minorHAnsi"/>
          <w:i/>
          <w:sz w:val="24"/>
        </w:rPr>
        <w:t xml:space="preserve"> PBAC outcome.</w:t>
      </w:r>
    </w:p>
    <w:p w:rsidR="000B558D" w:rsidRPr="002E6BC6" w:rsidRDefault="008D7A41" w:rsidP="000334C9">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2E6BC6">
        <w:rPr>
          <w:rFonts w:asciiTheme="minorHAnsi" w:hAnsiTheme="minorHAnsi"/>
          <w:sz w:val="32"/>
          <w:szCs w:val="32"/>
        </w:rPr>
        <w:t>C</w:t>
      </w:r>
      <w:r w:rsidR="00D84934" w:rsidRPr="002E6BC6">
        <w:rPr>
          <w:rFonts w:asciiTheme="minorHAnsi" w:hAnsiTheme="minorHAnsi"/>
          <w:sz w:val="32"/>
          <w:szCs w:val="32"/>
        </w:rPr>
        <w:t>onsideration of the evidence</w:t>
      </w:r>
    </w:p>
    <w:p w:rsidR="00364C9B" w:rsidRPr="00332751" w:rsidRDefault="00364C9B" w:rsidP="00332751">
      <w:pPr>
        <w:pStyle w:val="Heading2"/>
        <w:keepLines/>
        <w:spacing w:before="120" w:after="120"/>
        <w:rPr>
          <w:rFonts w:asciiTheme="minorHAnsi" w:eastAsiaTheme="majorEastAsia" w:hAnsiTheme="minorHAnsi" w:cstheme="majorBidi"/>
          <w:sz w:val="28"/>
          <w:szCs w:val="28"/>
          <w:lang w:eastAsia="en-US"/>
        </w:rPr>
      </w:pPr>
      <w:r w:rsidRPr="00332751">
        <w:rPr>
          <w:rFonts w:asciiTheme="minorHAnsi" w:eastAsiaTheme="majorEastAsia" w:hAnsiTheme="minorHAnsi" w:cstheme="majorBidi"/>
          <w:sz w:val="28"/>
          <w:szCs w:val="28"/>
          <w:lang w:eastAsia="en-US"/>
        </w:rPr>
        <w:t>Sponsor hearing</w:t>
      </w:r>
    </w:p>
    <w:p w:rsidR="00FE5442" w:rsidRPr="002E6BC6" w:rsidRDefault="00364C9B" w:rsidP="000334C9">
      <w:pPr>
        <w:widowControl w:val="0"/>
        <w:numPr>
          <w:ilvl w:val="1"/>
          <w:numId w:val="5"/>
        </w:numPr>
        <w:spacing w:before="120" w:after="120"/>
        <w:jc w:val="both"/>
        <w:rPr>
          <w:rFonts w:asciiTheme="minorHAnsi" w:hAnsiTheme="minorHAnsi" w:cs="Arial"/>
          <w:bCs/>
          <w:snapToGrid w:val="0"/>
        </w:rPr>
      </w:pPr>
      <w:r w:rsidRPr="002E6BC6">
        <w:rPr>
          <w:rFonts w:asciiTheme="minorHAnsi" w:hAnsiTheme="minorHAnsi" w:cs="Arial"/>
          <w:bCs/>
          <w:snapToGrid w:val="0"/>
        </w:rPr>
        <w:t>There was no hearing for this item as it was a minor submission.</w:t>
      </w:r>
    </w:p>
    <w:p w:rsidR="00FE5442" w:rsidRPr="00332751" w:rsidRDefault="00FE5442" w:rsidP="00332751">
      <w:pPr>
        <w:pStyle w:val="Heading2"/>
        <w:keepLines/>
        <w:spacing w:before="120" w:after="120"/>
        <w:rPr>
          <w:rFonts w:asciiTheme="minorHAnsi" w:eastAsiaTheme="majorEastAsia" w:hAnsiTheme="minorHAnsi" w:cstheme="majorBidi"/>
          <w:sz w:val="28"/>
          <w:szCs w:val="28"/>
          <w:lang w:eastAsia="en-US"/>
        </w:rPr>
      </w:pPr>
      <w:r w:rsidRPr="00332751">
        <w:rPr>
          <w:rFonts w:asciiTheme="minorHAnsi" w:eastAsiaTheme="majorEastAsia" w:hAnsiTheme="minorHAnsi" w:cstheme="majorBidi"/>
          <w:sz w:val="28"/>
          <w:szCs w:val="28"/>
          <w:lang w:eastAsia="en-US"/>
        </w:rPr>
        <w:t>Consumer comments</w:t>
      </w:r>
    </w:p>
    <w:p w:rsidR="00364C9B" w:rsidRPr="002E6BC6" w:rsidRDefault="00FE5442" w:rsidP="000334C9">
      <w:pPr>
        <w:widowControl w:val="0"/>
        <w:numPr>
          <w:ilvl w:val="1"/>
          <w:numId w:val="5"/>
        </w:numPr>
        <w:spacing w:before="120" w:after="120"/>
        <w:jc w:val="both"/>
        <w:rPr>
          <w:rFonts w:asciiTheme="minorHAnsi" w:hAnsiTheme="minorHAnsi" w:cs="Arial"/>
          <w:bCs/>
          <w:snapToGrid w:val="0"/>
        </w:rPr>
      </w:pPr>
      <w:r w:rsidRPr="002E6BC6">
        <w:rPr>
          <w:rFonts w:asciiTheme="minorHAnsi" w:hAnsiTheme="minorHAnsi" w:cs="Arial"/>
          <w:bCs/>
          <w:snapToGrid w:val="0"/>
        </w:rPr>
        <w:t xml:space="preserve">The PBAC noted that no consumer comments </w:t>
      </w:r>
      <w:proofErr w:type="gramStart"/>
      <w:r w:rsidRPr="002E6BC6">
        <w:rPr>
          <w:rFonts w:asciiTheme="minorHAnsi" w:hAnsiTheme="minorHAnsi" w:cs="Arial"/>
          <w:bCs/>
          <w:snapToGrid w:val="0"/>
        </w:rPr>
        <w:t>were received</w:t>
      </w:r>
      <w:proofErr w:type="gramEnd"/>
      <w:r w:rsidRPr="002E6BC6">
        <w:rPr>
          <w:rFonts w:asciiTheme="minorHAnsi" w:hAnsiTheme="minorHAnsi" w:cs="Arial"/>
          <w:bCs/>
          <w:snapToGrid w:val="0"/>
        </w:rPr>
        <w:t xml:space="preserve"> for this item. </w:t>
      </w:r>
    </w:p>
    <w:p w:rsidR="00D84934" w:rsidRPr="002E6BC6" w:rsidRDefault="00D84934" w:rsidP="000334C9">
      <w:pPr>
        <w:pStyle w:val="Heading2"/>
        <w:keepLines/>
        <w:spacing w:before="120" w:after="120"/>
        <w:rPr>
          <w:rFonts w:asciiTheme="minorHAnsi" w:eastAsiaTheme="majorEastAsia" w:hAnsiTheme="minorHAnsi" w:cstheme="majorBidi"/>
          <w:sz w:val="28"/>
          <w:szCs w:val="28"/>
          <w:lang w:eastAsia="en-US"/>
        </w:rPr>
      </w:pPr>
      <w:r w:rsidRPr="002E6BC6">
        <w:rPr>
          <w:rFonts w:asciiTheme="minorHAnsi" w:eastAsiaTheme="majorEastAsia" w:hAnsiTheme="minorHAnsi" w:cstheme="majorBidi"/>
          <w:sz w:val="28"/>
          <w:szCs w:val="28"/>
          <w:lang w:eastAsia="en-US"/>
        </w:rPr>
        <w:lastRenderedPageBreak/>
        <w:t>Clinical trials</w:t>
      </w:r>
    </w:p>
    <w:p w:rsidR="0076420C" w:rsidRPr="002E6BC6" w:rsidRDefault="00DC756F"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The minor submission presented</w:t>
      </w:r>
      <w:r w:rsidR="008D2FBC" w:rsidRPr="002E6BC6">
        <w:rPr>
          <w:rFonts w:asciiTheme="minorHAnsi" w:eastAsiaTheme="minorHAnsi" w:hAnsiTheme="minorHAnsi" w:cstheme="minorBidi"/>
          <w:snapToGrid/>
          <w:sz w:val="24"/>
          <w:szCs w:val="22"/>
        </w:rPr>
        <w:t xml:space="preserve"> data from the</w:t>
      </w:r>
      <w:r w:rsidRPr="002E6BC6">
        <w:rPr>
          <w:rFonts w:asciiTheme="minorHAnsi" w:eastAsiaTheme="minorHAnsi" w:hAnsiTheme="minorHAnsi" w:cstheme="minorBidi"/>
          <w:snapToGrid/>
          <w:sz w:val="24"/>
          <w:szCs w:val="22"/>
        </w:rPr>
        <w:t xml:space="preserve"> JIGSAW 117</w:t>
      </w:r>
      <w:r w:rsidR="008D2FBC" w:rsidRPr="002E6BC6">
        <w:rPr>
          <w:rFonts w:asciiTheme="minorHAnsi" w:eastAsiaTheme="minorHAnsi" w:hAnsiTheme="minorHAnsi" w:cstheme="minorBidi"/>
          <w:snapToGrid/>
          <w:sz w:val="24"/>
          <w:szCs w:val="22"/>
        </w:rPr>
        <w:t xml:space="preserve"> trial,</w:t>
      </w:r>
      <w:r w:rsidRPr="002E6BC6">
        <w:rPr>
          <w:rFonts w:asciiTheme="minorHAnsi" w:eastAsiaTheme="minorHAnsi" w:hAnsiTheme="minorHAnsi" w:cstheme="minorBidi"/>
          <w:snapToGrid/>
          <w:sz w:val="24"/>
          <w:szCs w:val="22"/>
        </w:rPr>
        <w:t xml:space="preserve"> a phase 1b, single-arm, open-label, multicentre trial</w:t>
      </w:r>
      <w:r w:rsidR="001B6D1C" w:rsidRPr="002E6BC6">
        <w:rPr>
          <w:rFonts w:asciiTheme="minorHAnsi" w:eastAsiaTheme="minorHAnsi" w:hAnsiTheme="minorHAnsi" w:cstheme="minorBidi"/>
          <w:snapToGrid/>
          <w:sz w:val="24"/>
          <w:szCs w:val="22"/>
        </w:rPr>
        <w:t xml:space="preserve"> designed to investigate the pharmacokinetics, pharmacodynamics and safety of </w:t>
      </w:r>
      <w:proofErr w:type="spellStart"/>
      <w:r w:rsidR="001B6D1C" w:rsidRPr="002E6BC6">
        <w:rPr>
          <w:rFonts w:asciiTheme="minorHAnsi" w:eastAsiaTheme="minorHAnsi" w:hAnsiTheme="minorHAnsi" w:cstheme="minorBidi"/>
          <w:snapToGrid/>
          <w:sz w:val="24"/>
          <w:szCs w:val="22"/>
        </w:rPr>
        <w:t>tocilizumab</w:t>
      </w:r>
      <w:proofErr w:type="spellEnd"/>
      <w:r w:rsidR="001B6D1C" w:rsidRPr="002E6BC6">
        <w:rPr>
          <w:rFonts w:asciiTheme="minorHAnsi" w:eastAsiaTheme="minorHAnsi" w:hAnsiTheme="minorHAnsi" w:cstheme="minorBidi"/>
          <w:snapToGrid/>
          <w:sz w:val="24"/>
          <w:szCs w:val="22"/>
        </w:rPr>
        <w:t xml:space="preserve"> SC</w:t>
      </w:r>
      <w:r w:rsidRPr="002E6BC6">
        <w:rPr>
          <w:rFonts w:asciiTheme="minorHAnsi" w:eastAsiaTheme="minorHAnsi" w:hAnsiTheme="minorHAnsi" w:cstheme="minorBidi"/>
          <w:snapToGrid/>
          <w:sz w:val="24"/>
          <w:szCs w:val="22"/>
        </w:rPr>
        <w:t xml:space="preserve"> in paediatric patients</w:t>
      </w:r>
      <w:r w:rsidR="001B6D1C" w:rsidRPr="002E6BC6">
        <w:rPr>
          <w:rFonts w:asciiTheme="minorHAnsi" w:eastAsiaTheme="minorHAnsi" w:hAnsiTheme="minorHAnsi" w:cstheme="minorBidi"/>
          <w:snapToGrid/>
          <w:sz w:val="24"/>
          <w:szCs w:val="22"/>
        </w:rPr>
        <w:t xml:space="preserve"> who had an inadequate response to or were</w:t>
      </w:r>
      <w:r w:rsidRPr="002E6BC6">
        <w:rPr>
          <w:rFonts w:asciiTheme="minorHAnsi" w:eastAsiaTheme="minorHAnsi" w:hAnsiTheme="minorHAnsi" w:cstheme="minorBidi"/>
          <w:snapToGrid/>
          <w:sz w:val="24"/>
          <w:szCs w:val="22"/>
        </w:rPr>
        <w:t xml:space="preserve"> intolerant to MTX.</w:t>
      </w:r>
      <w:r w:rsidR="001B6D1C" w:rsidRPr="002E6BC6">
        <w:rPr>
          <w:rFonts w:asciiTheme="minorHAnsi" w:eastAsiaTheme="minorHAnsi" w:hAnsiTheme="minorHAnsi" w:cstheme="minorBidi"/>
          <w:snapToGrid/>
          <w:sz w:val="24"/>
          <w:szCs w:val="22"/>
        </w:rPr>
        <w:t xml:space="preserve"> The efficacy of </w:t>
      </w:r>
      <w:proofErr w:type="spellStart"/>
      <w:r w:rsidR="001B6D1C" w:rsidRPr="002E6BC6">
        <w:rPr>
          <w:rFonts w:asciiTheme="minorHAnsi" w:eastAsiaTheme="minorHAnsi" w:hAnsiTheme="minorHAnsi" w:cstheme="minorBidi"/>
          <w:snapToGrid/>
          <w:sz w:val="24"/>
          <w:szCs w:val="22"/>
        </w:rPr>
        <w:t>tocilizumab</w:t>
      </w:r>
      <w:proofErr w:type="spellEnd"/>
      <w:r w:rsidR="001B6D1C" w:rsidRPr="002E6BC6">
        <w:rPr>
          <w:rFonts w:asciiTheme="minorHAnsi" w:eastAsiaTheme="minorHAnsi" w:hAnsiTheme="minorHAnsi" w:cstheme="minorBidi"/>
          <w:snapToGrid/>
          <w:sz w:val="24"/>
          <w:szCs w:val="22"/>
        </w:rPr>
        <w:t xml:space="preserve"> SC was an exploratory outcome of the trial.</w:t>
      </w:r>
      <w:r w:rsidRPr="002E6BC6">
        <w:rPr>
          <w:rFonts w:asciiTheme="minorHAnsi" w:eastAsiaTheme="minorHAnsi" w:hAnsiTheme="minorHAnsi" w:cstheme="minorBidi"/>
          <w:snapToGrid/>
          <w:sz w:val="24"/>
          <w:szCs w:val="22"/>
        </w:rPr>
        <w:t xml:space="preserve"> </w:t>
      </w:r>
      <w:r w:rsidR="001B6D1C" w:rsidRPr="002E6BC6">
        <w:rPr>
          <w:rFonts w:asciiTheme="minorHAnsi" w:eastAsiaTheme="minorHAnsi" w:hAnsiTheme="minorHAnsi" w:cstheme="minorBidi"/>
          <w:snapToGrid/>
          <w:sz w:val="24"/>
          <w:szCs w:val="22"/>
        </w:rPr>
        <w:t>The minor submission concluded the results of the study demonstrate</w:t>
      </w:r>
      <w:r w:rsidR="000077EC" w:rsidRPr="002E6BC6">
        <w:rPr>
          <w:rFonts w:asciiTheme="minorHAnsi" w:eastAsiaTheme="minorHAnsi" w:hAnsiTheme="minorHAnsi" w:cstheme="minorBidi"/>
          <w:snapToGrid/>
          <w:sz w:val="24"/>
          <w:szCs w:val="22"/>
        </w:rPr>
        <w:t>d</w:t>
      </w:r>
      <w:r w:rsidR="00B41420" w:rsidRPr="002E6BC6">
        <w:rPr>
          <w:rFonts w:asciiTheme="minorHAnsi" w:eastAsiaTheme="minorHAnsi" w:hAnsiTheme="minorHAnsi" w:cstheme="minorBidi"/>
          <w:snapToGrid/>
          <w:sz w:val="24"/>
          <w:szCs w:val="22"/>
        </w:rPr>
        <w:t xml:space="preserve"> adequate pharmacokinetic exposures and </w:t>
      </w:r>
      <w:proofErr w:type="spellStart"/>
      <w:r w:rsidR="00B41420" w:rsidRPr="002E6BC6">
        <w:rPr>
          <w:rFonts w:asciiTheme="minorHAnsi" w:eastAsiaTheme="minorHAnsi" w:hAnsiTheme="minorHAnsi" w:cstheme="minorBidi"/>
          <w:snapToGrid/>
          <w:sz w:val="24"/>
          <w:szCs w:val="22"/>
        </w:rPr>
        <w:t>pharmacodynamic</w:t>
      </w:r>
      <w:proofErr w:type="spellEnd"/>
      <w:r w:rsidR="00B41420" w:rsidRPr="002E6BC6">
        <w:rPr>
          <w:rFonts w:asciiTheme="minorHAnsi" w:eastAsiaTheme="minorHAnsi" w:hAnsiTheme="minorHAnsi" w:cstheme="minorBidi"/>
          <w:snapToGrid/>
          <w:sz w:val="24"/>
          <w:szCs w:val="22"/>
        </w:rPr>
        <w:t xml:space="preserve"> responses similar to those achieved with the </w:t>
      </w:r>
      <w:proofErr w:type="spellStart"/>
      <w:r w:rsidR="00B41420" w:rsidRPr="002E6BC6">
        <w:rPr>
          <w:rFonts w:asciiTheme="minorHAnsi" w:eastAsiaTheme="minorHAnsi" w:hAnsiTheme="minorHAnsi" w:cstheme="minorBidi"/>
          <w:snapToGrid/>
          <w:sz w:val="24"/>
          <w:szCs w:val="22"/>
        </w:rPr>
        <w:t>tocilizumab</w:t>
      </w:r>
      <w:proofErr w:type="spellEnd"/>
      <w:r w:rsidR="00B41420" w:rsidRPr="002E6BC6">
        <w:rPr>
          <w:rFonts w:asciiTheme="minorHAnsi" w:eastAsiaTheme="minorHAnsi" w:hAnsiTheme="minorHAnsi" w:cstheme="minorBidi"/>
          <w:snapToGrid/>
          <w:sz w:val="24"/>
          <w:szCs w:val="22"/>
        </w:rPr>
        <w:t xml:space="preserve"> IV dosing regimens for severe active JIA. The minor submission further noted that both </w:t>
      </w:r>
      <w:proofErr w:type="spellStart"/>
      <w:r w:rsidR="00B41420" w:rsidRPr="002E6BC6">
        <w:rPr>
          <w:rFonts w:asciiTheme="minorHAnsi" w:eastAsiaTheme="minorHAnsi" w:hAnsiTheme="minorHAnsi" w:cstheme="minorBidi"/>
          <w:snapToGrid/>
          <w:sz w:val="24"/>
          <w:szCs w:val="22"/>
        </w:rPr>
        <w:t>tocilizumab</w:t>
      </w:r>
      <w:proofErr w:type="spellEnd"/>
      <w:r w:rsidR="00B41420" w:rsidRPr="002E6BC6">
        <w:rPr>
          <w:rFonts w:asciiTheme="minorHAnsi" w:eastAsiaTheme="minorHAnsi" w:hAnsiTheme="minorHAnsi" w:cstheme="minorBidi"/>
          <w:snapToGrid/>
          <w:sz w:val="24"/>
          <w:szCs w:val="22"/>
        </w:rPr>
        <w:t xml:space="preserve"> regimens </w:t>
      </w:r>
      <w:proofErr w:type="gramStart"/>
      <w:r w:rsidR="00B41420" w:rsidRPr="002E6BC6">
        <w:rPr>
          <w:rFonts w:asciiTheme="minorHAnsi" w:eastAsiaTheme="minorHAnsi" w:hAnsiTheme="minorHAnsi" w:cstheme="minorBidi"/>
          <w:snapToGrid/>
          <w:sz w:val="24"/>
          <w:szCs w:val="22"/>
        </w:rPr>
        <w:t>were well tolerated</w:t>
      </w:r>
      <w:proofErr w:type="gramEnd"/>
      <w:r w:rsidR="00B41420" w:rsidRPr="002E6BC6">
        <w:rPr>
          <w:rFonts w:asciiTheme="minorHAnsi" w:eastAsiaTheme="minorHAnsi" w:hAnsiTheme="minorHAnsi" w:cstheme="minorBidi"/>
          <w:snapToGrid/>
          <w:sz w:val="24"/>
          <w:szCs w:val="22"/>
        </w:rPr>
        <w:t xml:space="preserve"> and that the types of adverse events observed were consistent with the known safety profile for </w:t>
      </w:r>
      <w:proofErr w:type="spellStart"/>
      <w:r w:rsidR="00B41420" w:rsidRPr="002E6BC6">
        <w:rPr>
          <w:rFonts w:asciiTheme="minorHAnsi" w:eastAsiaTheme="minorHAnsi" w:hAnsiTheme="minorHAnsi" w:cstheme="minorBidi"/>
          <w:snapToGrid/>
          <w:sz w:val="24"/>
          <w:szCs w:val="22"/>
        </w:rPr>
        <w:t>tocilizumab</w:t>
      </w:r>
      <w:proofErr w:type="spellEnd"/>
      <w:r w:rsidR="00B41420" w:rsidRPr="002E6BC6">
        <w:rPr>
          <w:rFonts w:asciiTheme="minorHAnsi" w:eastAsiaTheme="minorHAnsi" w:hAnsiTheme="minorHAnsi" w:cstheme="minorBidi"/>
          <w:snapToGrid/>
          <w:sz w:val="24"/>
          <w:szCs w:val="22"/>
        </w:rPr>
        <w:t xml:space="preserve"> IV in sever</w:t>
      </w:r>
      <w:r w:rsidR="000077EC" w:rsidRPr="002E6BC6">
        <w:rPr>
          <w:rFonts w:asciiTheme="minorHAnsi" w:eastAsiaTheme="minorHAnsi" w:hAnsiTheme="minorHAnsi" w:cstheme="minorBidi"/>
          <w:snapToGrid/>
          <w:sz w:val="24"/>
          <w:szCs w:val="22"/>
        </w:rPr>
        <w:t>e</w:t>
      </w:r>
      <w:r w:rsidR="00B41420" w:rsidRPr="002E6BC6">
        <w:rPr>
          <w:rFonts w:asciiTheme="minorHAnsi" w:eastAsiaTheme="minorHAnsi" w:hAnsiTheme="minorHAnsi" w:cstheme="minorBidi"/>
          <w:snapToGrid/>
          <w:sz w:val="24"/>
          <w:szCs w:val="22"/>
        </w:rPr>
        <w:t xml:space="preserve"> active JIA.</w:t>
      </w:r>
      <w:r w:rsidR="00F1423B" w:rsidRPr="002E6BC6">
        <w:rPr>
          <w:rFonts w:asciiTheme="minorHAnsi" w:eastAsiaTheme="minorHAnsi" w:hAnsiTheme="minorHAnsi" w:cstheme="minorBidi"/>
          <w:snapToGrid/>
          <w:sz w:val="24"/>
          <w:szCs w:val="22"/>
        </w:rPr>
        <w:t xml:space="preserve"> </w:t>
      </w:r>
    </w:p>
    <w:p w:rsidR="00FE5442" w:rsidRPr="002E6BC6" w:rsidRDefault="00FE5442"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As this was a minor submission, the </w:t>
      </w:r>
      <w:r w:rsidR="00BA4479" w:rsidRPr="002E6BC6">
        <w:rPr>
          <w:rFonts w:asciiTheme="minorHAnsi" w:eastAsiaTheme="minorHAnsi" w:hAnsiTheme="minorHAnsi" w:cstheme="minorBidi"/>
          <w:snapToGrid/>
          <w:sz w:val="24"/>
          <w:szCs w:val="22"/>
        </w:rPr>
        <w:t>data</w:t>
      </w:r>
      <w:r w:rsidRPr="002E6BC6">
        <w:rPr>
          <w:rFonts w:asciiTheme="minorHAnsi" w:eastAsiaTheme="minorHAnsi" w:hAnsiTheme="minorHAnsi" w:cstheme="minorBidi"/>
          <w:snapToGrid/>
          <w:sz w:val="24"/>
          <w:szCs w:val="22"/>
        </w:rPr>
        <w:t xml:space="preserve"> </w:t>
      </w:r>
      <w:r w:rsidR="005C7785" w:rsidRPr="002E6BC6">
        <w:rPr>
          <w:rFonts w:asciiTheme="minorHAnsi" w:eastAsiaTheme="minorHAnsi" w:hAnsiTheme="minorHAnsi" w:cstheme="minorBidi"/>
          <w:snapToGrid/>
          <w:sz w:val="24"/>
          <w:szCs w:val="22"/>
        </w:rPr>
        <w:t xml:space="preserve">was </w:t>
      </w:r>
      <w:proofErr w:type="gramStart"/>
      <w:r w:rsidR="005C7785" w:rsidRPr="002E6BC6">
        <w:rPr>
          <w:rFonts w:asciiTheme="minorHAnsi" w:eastAsiaTheme="minorHAnsi" w:hAnsiTheme="minorHAnsi" w:cstheme="minorBidi"/>
          <w:snapToGrid/>
          <w:sz w:val="24"/>
          <w:szCs w:val="22"/>
        </w:rPr>
        <w:t>not</w:t>
      </w:r>
      <w:r w:rsidRPr="002E6BC6">
        <w:rPr>
          <w:rFonts w:asciiTheme="minorHAnsi" w:eastAsiaTheme="minorHAnsi" w:hAnsiTheme="minorHAnsi" w:cstheme="minorBidi"/>
          <w:snapToGrid/>
          <w:sz w:val="24"/>
          <w:szCs w:val="22"/>
        </w:rPr>
        <w:t xml:space="preserve"> independently</w:t>
      </w:r>
      <w:proofErr w:type="gramEnd"/>
      <w:r w:rsidRPr="002E6BC6">
        <w:rPr>
          <w:rFonts w:asciiTheme="minorHAnsi" w:eastAsiaTheme="minorHAnsi" w:hAnsiTheme="minorHAnsi" w:cstheme="minorBidi"/>
          <w:snapToGrid/>
          <w:sz w:val="24"/>
          <w:szCs w:val="22"/>
        </w:rPr>
        <w:t xml:space="preserve"> evaluated. </w:t>
      </w:r>
    </w:p>
    <w:p w:rsidR="00A21DF5" w:rsidRPr="002E6BC6" w:rsidRDefault="00A21DF5" w:rsidP="000334C9">
      <w:pPr>
        <w:pStyle w:val="Heading2"/>
        <w:keepLines/>
        <w:spacing w:before="120" w:after="120"/>
        <w:rPr>
          <w:rFonts w:asciiTheme="minorHAnsi" w:eastAsiaTheme="majorEastAsia" w:hAnsiTheme="minorHAnsi" w:cstheme="majorBidi"/>
          <w:sz w:val="28"/>
          <w:szCs w:val="28"/>
          <w:lang w:eastAsia="en-US"/>
        </w:rPr>
      </w:pPr>
      <w:r w:rsidRPr="002E6BC6">
        <w:rPr>
          <w:rFonts w:asciiTheme="minorHAnsi" w:eastAsiaTheme="majorEastAsia" w:hAnsiTheme="minorHAnsi" w:cstheme="majorBidi"/>
          <w:sz w:val="28"/>
          <w:szCs w:val="28"/>
          <w:lang w:eastAsia="en-US"/>
        </w:rPr>
        <w:t xml:space="preserve">Clinical claim </w:t>
      </w:r>
    </w:p>
    <w:p w:rsidR="00364C9B" w:rsidRPr="002E6BC6" w:rsidRDefault="00A21DF5"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The minor submission claimed that based on data from the JIGSAW 117 trial, </w:t>
      </w:r>
      <w:proofErr w:type="spellStart"/>
      <w:r w:rsidR="00467C1A" w:rsidRPr="002E6BC6">
        <w:rPr>
          <w:rFonts w:asciiTheme="minorHAnsi" w:eastAsiaTheme="minorHAnsi" w:hAnsiTheme="minorHAnsi" w:cstheme="minorBidi"/>
          <w:snapToGrid/>
          <w:sz w:val="24"/>
          <w:szCs w:val="22"/>
        </w:rPr>
        <w:t>tocilizumab</w:t>
      </w:r>
      <w:proofErr w:type="spellEnd"/>
      <w:r w:rsidR="00467C1A" w:rsidRPr="002E6BC6">
        <w:rPr>
          <w:rFonts w:asciiTheme="minorHAnsi" w:eastAsiaTheme="minorHAnsi" w:hAnsiTheme="minorHAnsi" w:cstheme="minorBidi"/>
          <w:snapToGrid/>
          <w:sz w:val="24"/>
          <w:szCs w:val="22"/>
        </w:rPr>
        <w:t xml:space="preserve"> SC is equivalent in efficacy and safety to IV </w:t>
      </w:r>
      <w:proofErr w:type="spellStart"/>
      <w:r w:rsidR="00467C1A" w:rsidRPr="002E6BC6">
        <w:rPr>
          <w:rFonts w:asciiTheme="minorHAnsi" w:eastAsiaTheme="minorHAnsi" w:hAnsiTheme="minorHAnsi" w:cstheme="minorBidi"/>
          <w:snapToGrid/>
          <w:sz w:val="24"/>
          <w:szCs w:val="22"/>
        </w:rPr>
        <w:t>tocilizumab</w:t>
      </w:r>
      <w:proofErr w:type="spellEnd"/>
      <w:r w:rsidR="00467C1A" w:rsidRPr="002E6BC6">
        <w:rPr>
          <w:rFonts w:asciiTheme="minorHAnsi" w:eastAsiaTheme="minorHAnsi" w:hAnsiTheme="minorHAnsi" w:cstheme="minorBidi"/>
          <w:snapToGrid/>
          <w:sz w:val="24"/>
          <w:szCs w:val="22"/>
        </w:rPr>
        <w:t xml:space="preserve">. </w:t>
      </w:r>
    </w:p>
    <w:p w:rsidR="005A3173" w:rsidRPr="002E6BC6" w:rsidRDefault="005A3173" w:rsidP="000334C9">
      <w:pPr>
        <w:pStyle w:val="Heading2"/>
        <w:keepLines/>
        <w:spacing w:before="120" w:after="120"/>
        <w:rPr>
          <w:rFonts w:asciiTheme="minorHAnsi" w:eastAsiaTheme="majorEastAsia" w:hAnsiTheme="minorHAnsi" w:cstheme="majorBidi"/>
          <w:sz w:val="28"/>
          <w:szCs w:val="28"/>
          <w:lang w:eastAsia="en-US"/>
        </w:rPr>
      </w:pPr>
      <w:r w:rsidRPr="002E6BC6">
        <w:rPr>
          <w:rFonts w:asciiTheme="minorHAnsi" w:eastAsiaTheme="majorEastAsia" w:hAnsiTheme="minorHAnsi" w:cstheme="majorBidi"/>
          <w:sz w:val="28"/>
          <w:szCs w:val="28"/>
          <w:lang w:eastAsia="en-US"/>
        </w:rPr>
        <w:t>Economic analysis</w:t>
      </w:r>
    </w:p>
    <w:p w:rsidR="004E4B25" w:rsidRPr="002E6BC6" w:rsidRDefault="006775F6" w:rsidP="000334C9">
      <w:pPr>
        <w:pStyle w:val="ListParagraph"/>
        <w:widowControl/>
        <w:numPr>
          <w:ilvl w:val="1"/>
          <w:numId w:val="14"/>
        </w:numPr>
        <w:spacing w:before="120" w:after="120"/>
        <w:contextualSpacing w:val="0"/>
        <w:rPr>
          <w:rFonts w:asciiTheme="minorHAnsi" w:eastAsiaTheme="minorHAnsi" w:hAnsiTheme="minorHAnsi" w:cstheme="minorBidi"/>
          <w:snapToGrid/>
          <w:color w:val="000000" w:themeColor="text1"/>
          <w:sz w:val="24"/>
          <w:szCs w:val="22"/>
        </w:rPr>
      </w:pPr>
      <w:r w:rsidRPr="002E6BC6">
        <w:rPr>
          <w:rFonts w:asciiTheme="minorHAnsi" w:hAnsiTheme="minorHAnsi"/>
          <w:color w:val="000000" w:themeColor="text1"/>
          <w:sz w:val="24"/>
          <w:szCs w:val="24"/>
        </w:rPr>
        <w:t>The minor submission</w:t>
      </w:r>
      <w:r w:rsidR="00FF2801" w:rsidRPr="002E6BC6">
        <w:rPr>
          <w:rFonts w:asciiTheme="minorHAnsi" w:hAnsiTheme="minorHAnsi"/>
          <w:color w:val="000000" w:themeColor="text1"/>
          <w:sz w:val="24"/>
          <w:szCs w:val="24"/>
        </w:rPr>
        <w:t xml:space="preserve"> </w:t>
      </w:r>
      <w:r w:rsidR="00354A67" w:rsidRPr="002E6BC6">
        <w:rPr>
          <w:rFonts w:asciiTheme="minorHAnsi" w:hAnsiTheme="minorHAnsi"/>
          <w:color w:val="000000" w:themeColor="text1"/>
          <w:sz w:val="24"/>
          <w:szCs w:val="24"/>
        </w:rPr>
        <w:t xml:space="preserve">presented a </w:t>
      </w:r>
      <w:r w:rsidR="004F2102" w:rsidRPr="002E6BC6">
        <w:rPr>
          <w:rFonts w:asciiTheme="minorHAnsi" w:hAnsiTheme="minorHAnsi"/>
          <w:color w:val="000000" w:themeColor="text1"/>
          <w:sz w:val="24"/>
          <w:szCs w:val="24"/>
        </w:rPr>
        <w:t>cost-</w:t>
      </w:r>
      <w:r w:rsidRPr="002E6BC6">
        <w:rPr>
          <w:rFonts w:asciiTheme="minorHAnsi" w:hAnsiTheme="minorHAnsi"/>
          <w:color w:val="000000" w:themeColor="text1"/>
          <w:sz w:val="24"/>
          <w:szCs w:val="24"/>
        </w:rPr>
        <w:t xml:space="preserve">minimisation analysis </w:t>
      </w:r>
      <w:r w:rsidR="00AE16F7" w:rsidRPr="002E6BC6">
        <w:rPr>
          <w:rFonts w:asciiTheme="minorHAnsi" w:hAnsiTheme="minorHAnsi"/>
          <w:color w:val="000000" w:themeColor="text1"/>
          <w:sz w:val="24"/>
          <w:szCs w:val="24"/>
        </w:rPr>
        <w:t>against</w:t>
      </w:r>
      <w:r w:rsidRPr="002E6BC6">
        <w:rPr>
          <w:rFonts w:asciiTheme="minorHAnsi" w:hAnsiTheme="minorHAnsi"/>
          <w:color w:val="000000" w:themeColor="text1"/>
          <w:sz w:val="24"/>
          <w:szCs w:val="24"/>
        </w:rPr>
        <w:t xml:space="preserve"> </w:t>
      </w:r>
      <w:proofErr w:type="spellStart"/>
      <w:r w:rsidRPr="002E6BC6">
        <w:rPr>
          <w:rFonts w:asciiTheme="minorHAnsi" w:hAnsiTheme="minorHAnsi"/>
          <w:color w:val="000000" w:themeColor="text1"/>
          <w:sz w:val="24"/>
          <w:szCs w:val="24"/>
        </w:rPr>
        <w:t>tocilizumab</w:t>
      </w:r>
      <w:proofErr w:type="spellEnd"/>
      <w:r w:rsidR="00F8165D" w:rsidRPr="002E6BC6">
        <w:rPr>
          <w:rFonts w:asciiTheme="minorHAnsi" w:hAnsiTheme="minorHAnsi"/>
          <w:color w:val="000000" w:themeColor="text1"/>
          <w:sz w:val="24"/>
          <w:szCs w:val="24"/>
        </w:rPr>
        <w:t xml:space="preserve"> </w:t>
      </w:r>
      <w:r w:rsidR="00D83DB3" w:rsidRPr="002E6BC6">
        <w:rPr>
          <w:rFonts w:asciiTheme="minorHAnsi" w:hAnsiTheme="minorHAnsi"/>
          <w:color w:val="000000" w:themeColor="text1"/>
          <w:sz w:val="24"/>
          <w:szCs w:val="24"/>
        </w:rPr>
        <w:t xml:space="preserve">IV </w:t>
      </w:r>
      <w:r w:rsidR="00F8165D" w:rsidRPr="002E6BC6">
        <w:rPr>
          <w:rFonts w:asciiTheme="minorHAnsi" w:hAnsiTheme="minorHAnsi"/>
          <w:color w:val="000000" w:themeColor="text1"/>
          <w:sz w:val="24"/>
          <w:szCs w:val="24"/>
        </w:rPr>
        <w:t>over a 52-week period (Table 1 below)</w:t>
      </w:r>
      <w:r w:rsidR="00D83DB3" w:rsidRPr="002E6BC6">
        <w:rPr>
          <w:rFonts w:asciiTheme="minorHAnsi" w:hAnsiTheme="minorHAnsi"/>
          <w:color w:val="000000" w:themeColor="text1"/>
          <w:sz w:val="24"/>
          <w:szCs w:val="24"/>
        </w:rPr>
        <w:t>.</w:t>
      </w:r>
    </w:p>
    <w:p w:rsidR="009B0F67" w:rsidRPr="002E6BC6" w:rsidRDefault="00291491" w:rsidP="000334C9">
      <w:pPr>
        <w:pStyle w:val="ListParagraph"/>
        <w:widowControl/>
        <w:numPr>
          <w:ilvl w:val="1"/>
          <w:numId w:val="14"/>
        </w:numPr>
        <w:spacing w:before="120" w:after="120"/>
        <w:contextualSpacing w:val="0"/>
        <w:rPr>
          <w:rFonts w:asciiTheme="minorHAnsi" w:eastAsiaTheme="minorHAnsi" w:hAnsiTheme="minorHAnsi" w:cstheme="minorBidi"/>
          <w:snapToGrid/>
          <w:color w:val="000000" w:themeColor="text1"/>
          <w:sz w:val="24"/>
          <w:szCs w:val="22"/>
        </w:rPr>
      </w:pPr>
      <w:r w:rsidRPr="002E6BC6">
        <w:rPr>
          <w:rFonts w:asciiTheme="minorHAnsi" w:hAnsiTheme="minorHAnsi"/>
          <w:color w:val="000000" w:themeColor="text1"/>
          <w:sz w:val="24"/>
          <w:szCs w:val="24"/>
        </w:rPr>
        <w:t xml:space="preserve"> </w:t>
      </w:r>
      <w:r w:rsidR="00016FE1" w:rsidRPr="002E6BC6">
        <w:rPr>
          <w:rFonts w:asciiTheme="minorHAnsi" w:hAnsiTheme="minorHAnsi"/>
          <w:color w:val="000000" w:themeColor="text1"/>
          <w:sz w:val="24"/>
          <w:szCs w:val="24"/>
        </w:rPr>
        <w:t xml:space="preserve">The minor submission proposed the following </w:t>
      </w:r>
      <w:proofErr w:type="spellStart"/>
      <w:r w:rsidR="00016FE1" w:rsidRPr="002E6BC6">
        <w:rPr>
          <w:rFonts w:asciiTheme="minorHAnsi" w:hAnsiTheme="minorHAnsi"/>
          <w:color w:val="000000" w:themeColor="text1"/>
          <w:sz w:val="24"/>
          <w:szCs w:val="24"/>
        </w:rPr>
        <w:t>equi</w:t>
      </w:r>
      <w:proofErr w:type="spellEnd"/>
      <w:r w:rsidR="00016FE1" w:rsidRPr="002E6BC6">
        <w:rPr>
          <w:rFonts w:asciiTheme="minorHAnsi" w:hAnsiTheme="minorHAnsi"/>
          <w:color w:val="000000" w:themeColor="text1"/>
          <w:sz w:val="24"/>
          <w:szCs w:val="24"/>
        </w:rPr>
        <w:t>-effective doses:</w:t>
      </w:r>
    </w:p>
    <w:p w:rsidR="00016FE1" w:rsidRPr="002E6BC6" w:rsidRDefault="00016FE1" w:rsidP="000334C9">
      <w:pPr>
        <w:pStyle w:val="ListParagraph"/>
        <w:widowControl/>
        <w:numPr>
          <w:ilvl w:val="0"/>
          <w:numId w:val="16"/>
        </w:numPr>
        <w:spacing w:before="120" w:after="120"/>
        <w:contextualSpacing w:val="0"/>
        <w:rPr>
          <w:rFonts w:asciiTheme="minorHAnsi" w:eastAsiaTheme="minorHAnsi" w:hAnsiTheme="minorHAnsi" w:cstheme="minorBidi"/>
          <w:snapToGrid/>
          <w:color w:val="000000" w:themeColor="text1"/>
          <w:sz w:val="24"/>
          <w:szCs w:val="22"/>
        </w:rPr>
      </w:pPr>
      <w:proofErr w:type="spellStart"/>
      <w:r w:rsidRPr="002E6BC6">
        <w:rPr>
          <w:rFonts w:asciiTheme="minorHAnsi" w:eastAsiaTheme="minorHAnsi" w:hAnsiTheme="minorHAnsi" w:cstheme="minorBidi"/>
          <w:snapToGrid/>
          <w:color w:val="000000" w:themeColor="text1"/>
          <w:sz w:val="24"/>
          <w:szCs w:val="22"/>
        </w:rPr>
        <w:t>Tocilizumab</w:t>
      </w:r>
      <w:proofErr w:type="spellEnd"/>
      <w:r w:rsidRPr="002E6BC6">
        <w:rPr>
          <w:rFonts w:asciiTheme="minorHAnsi" w:eastAsiaTheme="minorHAnsi" w:hAnsiTheme="minorHAnsi" w:cstheme="minorBidi"/>
          <w:snapToGrid/>
          <w:color w:val="000000" w:themeColor="text1"/>
          <w:sz w:val="24"/>
          <w:szCs w:val="22"/>
        </w:rPr>
        <w:t xml:space="preserve"> 162 mg administered as SC injection</w:t>
      </w:r>
      <w:r w:rsidR="000E2294" w:rsidRPr="002E6BC6">
        <w:rPr>
          <w:rFonts w:asciiTheme="minorHAnsi" w:eastAsiaTheme="minorHAnsi" w:hAnsiTheme="minorHAnsi" w:cstheme="minorBidi"/>
          <w:snapToGrid/>
          <w:color w:val="000000" w:themeColor="text1"/>
          <w:sz w:val="24"/>
          <w:szCs w:val="22"/>
        </w:rPr>
        <w:t xml:space="preserve"> (Q</w:t>
      </w:r>
      <w:r w:rsidR="00534D52" w:rsidRPr="002E6BC6">
        <w:rPr>
          <w:rFonts w:asciiTheme="minorHAnsi" w:eastAsiaTheme="minorHAnsi" w:hAnsiTheme="minorHAnsi" w:cstheme="minorBidi"/>
          <w:snapToGrid/>
          <w:color w:val="000000" w:themeColor="text1"/>
          <w:sz w:val="24"/>
          <w:szCs w:val="22"/>
        </w:rPr>
        <w:t>3</w:t>
      </w:r>
      <w:r w:rsidR="000E2294" w:rsidRPr="002E6BC6">
        <w:rPr>
          <w:rFonts w:asciiTheme="minorHAnsi" w:eastAsiaTheme="minorHAnsi" w:hAnsiTheme="minorHAnsi" w:cstheme="minorBidi"/>
          <w:snapToGrid/>
          <w:color w:val="000000" w:themeColor="text1"/>
          <w:sz w:val="24"/>
          <w:szCs w:val="22"/>
        </w:rPr>
        <w:t>W for patients &lt; 30 kg or Q</w:t>
      </w:r>
      <w:r w:rsidR="00534D52" w:rsidRPr="002E6BC6">
        <w:rPr>
          <w:rFonts w:asciiTheme="minorHAnsi" w:eastAsiaTheme="minorHAnsi" w:hAnsiTheme="minorHAnsi" w:cstheme="minorBidi"/>
          <w:snapToGrid/>
          <w:color w:val="000000" w:themeColor="text1"/>
          <w:sz w:val="24"/>
          <w:szCs w:val="22"/>
        </w:rPr>
        <w:t>2</w:t>
      </w:r>
      <w:r w:rsidR="000E2294" w:rsidRPr="002E6BC6">
        <w:rPr>
          <w:rFonts w:asciiTheme="minorHAnsi" w:eastAsiaTheme="minorHAnsi" w:hAnsiTheme="minorHAnsi" w:cstheme="minorBidi"/>
          <w:snapToGrid/>
          <w:color w:val="000000" w:themeColor="text1"/>
          <w:sz w:val="24"/>
          <w:szCs w:val="22"/>
        </w:rPr>
        <w:t xml:space="preserve">W for patients </w:t>
      </w:r>
      <w:r w:rsidR="000E2294" w:rsidRPr="002E6BC6">
        <w:rPr>
          <w:rFonts w:asciiTheme="minorHAnsi" w:eastAsiaTheme="minorHAnsi" w:hAnsiTheme="minorHAnsi" w:cstheme="minorBidi"/>
          <w:snapToGrid/>
          <w:color w:val="000000" w:themeColor="text1"/>
          <w:sz w:val="24"/>
          <w:szCs w:val="22"/>
        </w:rPr>
        <w:sym w:font="Symbol" w:char="F0B3"/>
      </w:r>
      <w:r w:rsidR="000E2294" w:rsidRPr="002E6BC6">
        <w:rPr>
          <w:rFonts w:asciiTheme="minorHAnsi" w:eastAsiaTheme="minorHAnsi" w:hAnsiTheme="minorHAnsi" w:cstheme="minorBidi"/>
          <w:snapToGrid/>
          <w:color w:val="000000" w:themeColor="text1"/>
          <w:sz w:val="24"/>
          <w:szCs w:val="22"/>
        </w:rPr>
        <w:t xml:space="preserve"> 30 kg</w:t>
      </w:r>
      <w:r w:rsidR="00354A67" w:rsidRPr="002E6BC6">
        <w:rPr>
          <w:rFonts w:asciiTheme="minorHAnsi" w:eastAsiaTheme="minorHAnsi" w:hAnsiTheme="minorHAnsi" w:cstheme="minorBidi"/>
          <w:snapToGrid/>
          <w:color w:val="000000" w:themeColor="text1"/>
          <w:sz w:val="24"/>
          <w:szCs w:val="22"/>
        </w:rPr>
        <w:t>)</w:t>
      </w:r>
      <w:r w:rsidR="000E2294" w:rsidRPr="002E6BC6">
        <w:rPr>
          <w:rFonts w:asciiTheme="minorHAnsi" w:eastAsiaTheme="minorHAnsi" w:hAnsiTheme="minorHAnsi" w:cstheme="minorBidi"/>
          <w:snapToGrid/>
          <w:color w:val="000000" w:themeColor="text1"/>
          <w:sz w:val="24"/>
          <w:szCs w:val="22"/>
        </w:rPr>
        <w:t xml:space="preserve"> </w:t>
      </w:r>
    </w:p>
    <w:p w:rsidR="000334C9" w:rsidRDefault="00016FE1" w:rsidP="000334C9">
      <w:pPr>
        <w:pStyle w:val="ListParagraph"/>
        <w:widowControl/>
        <w:numPr>
          <w:ilvl w:val="0"/>
          <w:numId w:val="16"/>
        </w:numPr>
        <w:spacing w:before="120" w:after="120"/>
        <w:contextualSpacing w:val="0"/>
        <w:rPr>
          <w:rFonts w:asciiTheme="minorHAnsi" w:eastAsiaTheme="minorHAnsi" w:hAnsiTheme="minorHAnsi" w:cstheme="minorBidi"/>
          <w:snapToGrid/>
          <w:color w:val="000000" w:themeColor="text1"/>
          <w:sz w:val="24"/>
          <w:szCs w:val="22"/>
        </w:rPr>
      </w:pPr>
      <w:proofErr w:type="spellStart"/>
      <w:r w:rsidRPr="002E6BC6">
        <w:rPr>
          <w:rFonts w:asciiTheme="minorHAnsi" w:eastAsiaTheme="minorHAnsi" w:hAnsiTheme="minorHAnsi" w:cstheme="minorBidi"/>
          <w:snapToGrid/>
          <w:color w:val="000000" w:themeColor="text1"/>
          <w:sz w:val="24"/>
          <w:szCs w:val="22"/>
        </w:rPr>
        <w:t>Tocilizumab</w:t>
      </w:r>
      <w:proofErr w:type="spellEnd"/>
      <w:r w:rsidRPr="002E6BC6">
        <w:rPr>
          <w:rFonts w:asciiTheme="minorHAnsi" w:eastAsiaTheme="minorHAnsi" w:hAnsiTheme="minorHAnsi" w:cstheme="minorBidi"/>
          <w:snapToGrid/>
          <w:color w:val="000000" w:themeColor="text1"/>
          <w:sz w:val="24"/>
          <w:szCs w:val="22"/>
        </w:rPr>
        <w:t xml:space="preserve"> </w:t>
      </w:r>
      <w:r w:rsidR="00354A67" w:rsidRPr="002E6BC6">
        <w:rPr>
          <w:rFonts w:asciiTheme="minorHAnsi" w:eastAsiaTheme="minorHAnsi" w:hAnsiTheme="minorHAnsi" w:cstheme="minorBidi"/>
          <w:snapToGrid/>
          <w:color w:val="000000" w:themeColor="text1"/>
          <w:sz w:val="24"/>
          <w:szCs w:val="22"/>
        </w:rPr>
        <w:t>administered as an IV infusion Q</w:t>
      </w:r>
      <w:r w:rsidR="004C5BED" w:rsidRPr="002E6BC6">
        <w:rPr>
          <w:rFonts w:asciiTheme="minorHAnsi" w:eastAsiaTheme="minorHAnsi" w:hAnsiTheme="minorHAnsi" w:cstheme="minorBidi"/>
          <w:snapToGrid/>
          <w:color w:val="000000" w:themeColor="text1"/>
          <w:sz w:val="24"/>
          <w:szCs w:val="22"/>
        </w:rPr>
        <w:t>3</w:t>
      </w:r>
      <w:r w:rsidR="00354A67" w:rsidRPr="002E6BC6">
        <w:rPr>
          <w:rFonts w:asciiTheme="minorHAnsi" w:eastAsiaTheme="minorHAnsi" w:hAnsiTheme="minorHAnsi" w:cstheme="minorBidi"/>
          <w:snapToGrid/>
          <w:color w:val="000000" w:themeColor="text1"/>
          <w:sz w:val="24"/>
          <w:szCs w:val="22"/>
        </w:rPr>
        <w:t xml:space="preserve">W (10 mg/kg for patients &lt; 30 kg or 8 mg/kg for patients </w:t>
      </w:r>
      <w:r w:rsidR="00354A67" w:rsidRPr="002E6BC6">
        <w:rPr>
          <w:rFonts w:asciiTheme="minorHAnsi" w:eastAsiaTheme="minorHAnsi" w:hAnsiTheme="minorHAnsi" w:cstheme="minorBidi"/>
          <w:snapToGrid/>
          <w:color w:val="000000" w:themeColor="text1"/>
          <w:sz w:val="24"/>
          <w:szCs w:val="22"/>
        </w:rPr>
        <w:sym w:font="Symbol" w:char="F0B3"/>
      </w:r>
      <w:r w:rsidR="00354A67" w:rsidRPr="002E6BC6">
        <w:rPr>
          <w:rFonts w:asciiTheme="minorHAnsi" w:eastAsiaTheme="minorHAnsi" w:hAnsiTheme="minorHAnsi" w:cstheme="minorBidi"/>
          <w:snapToGrid/>
          <w:color w:val="000000" w:themeColor="text1"/>
          <w:sz w:val="24"/>
          <w:szCs w:val="22"/>
        </w:rPr>
        <w:t xml:space="preserve"> 30 kg)</w:t>
      </w:r>
    </w:p>
    <w:p w:rsidR="000334C9" w:rsidRDefault="000334C9" w:rsidP="000334C9">
      <w:pPr>
        <w:rPr>
          <w:rFonts w:eastAsiaTheme="minorHAnsi"/>
          <w:lang w:eastAsia="en-US"/>
        </w:rPr>
      </w:pPr>
      <w:r>
        <w:rPr>
          <w:rFonts w:eastAsiaTheme="minorHAnsi"/>
        </w:rPr>
        <w:br w:type="page"/>
      </w:r>
    </w:p>
    <w:p w:rsidR="0094100A" w:rsidRPr="002E6BC6" w:rsidRDefault="00973FBD" w:rsidP="007829AC">
      <w:pPr>
        <w:rPr>
          <w:rFonts w:ascii="Arial Narrow" w:eastAsiaTheme="minorHAnsi" w:hAnsi="Arial Narrow"/>
          <w:b/>
          <w:sz w:val="20"/>
        </w:rPr>
      </w:pPr>
      <w:r w:rsidRPr="002E6BC6">
        <w:rPr>
          <w:rFonts w:ascii="Arial Narrow" w:eastAsiaTheme="minorHAnsi" w:hAnsi="Arial Narrow"/>
          <w:b/>
          <w:sz w:val="20"/>
        </w:rPr>
        <w:lastRenderedPageBreak/>
        <w:t xml:space="preserve">Table 1: Cost-minimisation analysis against IV </w:t>
      </w:r>
      <w:proofErr w:type="spellStart"/>
      <w:r w:rsidRPr="002E6BC6">
        <w:rPr>
          <w:rFonts w:ascii="Arial Narrow" w:eastAsiaTheme="minorHAnsi" w:hAnsi="Arial Narrow"/>
          <w:b/>
          <w:sz w:val="20"/>
        </w:rPr>
        <w:t>tocilizumab</w:t>
      </w:r>
      <w:proofErr w:type="spellEnd"/>
      <w:r w:rsidRPr="002E6BC6">
        <w:rPr>
          <w:rFonts w:ascii="Arial Narrow" w:eastAsiaTheme="minorHAnsi" w:hAnsi="Arial Narrow"/>
          <w:b/>
          <w:sz w:val="20"/>
        </w:rPr>
        <w:t xml:space="preserve"> over 52 weeks</w:t>
      </w:r>
      <w:r w:rsidR="008E1A7D" w:rsidRPr="002E6BC6">
        <w:rPr>
          <w:rFonts w:ascii="Arial Narrow" w:eastAsiaTheme="minorHAnsi" w:hAnsi="Arial Narrow"/>
          <w:b/>
          <w:sz w:val="20"/>
        </w:rPr>
        <w:t xml:space="preserve"> (a year)</w:t>
      </w:r>
      <w:r w:rsidRPr="002E6BC6">
        <w:rPr>
          <w:rFonts w:ascii="Arial Narrow" w:eastAsiaTheme="minorHAnsi" w:hAnsi="Arial Narrow"/>
          <w:b/>
          <w:sz w:val="20"/>
        </w:rPr>
        <w:t xml:space="preserve"> </w:t>
      </w:r>
    </w:p>
    <w:tbl>
      <w:tblPr>
        <w:tblStyle w:val="TableGrid"/>
        <w:tblW w:w="5000" w:type="pct"/>
        <w:tblLook w:val="04A0" w:firstRow="1" w:lastRow="0" w:firstColumn="1" w:lastColumn="0" w:noHBand="0" w:noVBand="1"/>
        <w:tblCaption w:val="Cost-minimisation analysis against IV tocilizumab over 52 weeks (a year) "/>
      </w:tblPr>
      <w:tblGrid>
        <w:gridCol w:w="2256"/>
        <w:gridCol w:w="2256"/>
        <w:gridCol w:w="2252"/>
        <w:gridCol w:w="2252"/>
      </w:tblGrid>
      <w:tr w:rsidR="00FB3FBB" w:rsidRPr="002E6BC6" w:rsidTr="00A04DFC">
        <w:trPr>
          <w:tblHeader/>
        </w:trPr>
        <w:tc>
          <w:tcPr>
            <w:tcW w:w="2502" w:type="pct"/>
            <w:gridSpan w:val="2"/>
            <w:shd w:val="clear" w:color="auto" w:fill="BFBFBF" w:themeFill="background1" w:themeFillShade="BF"/>
          </w:tcPr>
          <w:p w:rsidR="00F8165D" w:rsidRPr="002E6BC6" w:rsidRDefault="00285543" w:rsidP="0094100A">
            <w:pPr>
              <w:pStyle w:val="PBACHeading1"/>
              <w:numPr>
                <w:ilvl w:val="0"/>
                <w:numId w:val="0"/>
              </w:numPr>
              <w:rPr>
                <w:rFonts w:ascii="Arial Narrow" w:eastAsiaTheme="minorHAnsi" w:hAnsi="Arial Narrow"/>
                <w:snapToGrid/>
                <w:sz w:val="20"/>
              </w:rPr>
            </w:pPr>
            <w:proofErr w:type="spellStart"/>
            <w:r w:rsidRPr="002E6BC6">
              <w:rPr>
                <w:rFonts w:ascii="Arial Narrow" w:eastAsiaTheme="minorHAnsi" w:hAnsi="Arial Narrow"/>
                <w:snapToGrid/>
                <w:sz w:val="20"/>
              </w:rPr>
              <w:t>Tocilizumab</w:t>
            </w:r>
            <w:proofErr w:type="spellEnd"/>
            <w:r w:rsidRPr="002E6BC6">
              <w:rPr>
                <w:rFonts w:ascii="Arial Narrow" w:eastAsiaTheme="minorHAnsi" w:hAnsi="Arial Narrow"/>
                <w:snapToGrid/>
                <w:sz w:val="20"/>
              </w:rPr>
              <w:t xml:space="preserve"> SC </w:t>
            </w:r>
          </w:p>
        </w:tc>
        <w:tc>
          <w:tcPr>
            <w:tcW w:w="2498" w:type="pct"/>
            <w:gridSpan w:val="2"/>
            <w:shd w:val="clear" w:color="auto" w:fill="BFBFBF" w:themeFill="background1" w:themeFillShade="BF"/>
          </w:tcPr>
          <w:p w:rsidR="00F8165D" w:rsidRPr="002E6BC6" w:rsidRDefault="00285543" w:rsidP="0094100A">
            <w:pPr>
              <w:pStyle w:val="PBACHeading1"/>
              <w:numPr>
                <w:ilvl w:val="0"/>
                <w:numId w:val="0"/>
              </w:numPr>
              <w:rPr>
                <w:rFonts w:ascii="Arial Narrow" w:eastAsiaTheme="minorHAnsi" w:hAnsi="Arial Narrow"/>
                <w:snapToGrid/>
                <w:sz w:val="20"/>
              </w:rPr>
            </w:pPr>
            <w:proofErr w:type="spellStart"/>
            <w:r w:rsidRPr="002E6BC6">
              <w:rPr>
                <w:rFonts w:ascii="Arial Narrow" w:eastAsiaTheme="minorHAnsi" w:hAnsi="Arial Narrow"/>
                <w:snapToGrid/>
                <w:sz w:val="20"/>
              </w:rPr>
              <w:t>Tocilizumab</w:t>
            </w:r>
            <w:proofErr w:type="spellEnd"/>
            <w:r w:rsidRPr="002E6BC6">
              <w:rPr>
                <w:rFonts w:ascii="Arial Narrow" w:eastAsiaTheme="minorHAnsi" w:hAnsi="Arial Narrow"/>
                <w:snapToGrid/>
                <w:sz w:val="20"/>
              </w:rPr>
              <w:t xml:space="preserve"> IV </w:t>
            </w:r>
          </w:p>
        </w:tc>
      </w:tr>
      <w:tr w:rsidR="00973FBD" w:rsidRPr="002E6BC6" w:rsidTr="00A04DFC">
        <w:trPr>
          <w:tblHeader/>
        </w:trPr>
        <w:tc>
          <w:tcPr>
            <w:tcW w:w="2502" w:type="pct"/>
            <w:gridSpan w:val="2"/>
          </w:tcPr>
          <w:p w:rsidR="00285543" w:rsidRPr="002E6BC6" w:rsidRDefault="00305983" w:rsidP="0094100A">
            <w:pPr>
              <w:pStyle w:val="PBACHeading1"/>
              <w:numPr>
                <w:ilvl w:val="0"/>
                <w:numId w:val="0"/>
              </w:numPr>
              <w:rPr>
                <w:rFonts w:ascii="Arial Narrow" w:eastAsiaTheme="minorHAnsi" w:hAnsi="Arial Narrow"/>
                <w:snapToGrid/>
                <w:sz w:val="20"/>
                <w:u w:val="single"/>
              </w:rPr>
            </w:pPr>
            <w:r w:rsidRPr="002E6BC6">
              <w:rPr>
                <w:rFonts w:ascii="Arial Narrow" w:eastAsiaTheme="minorHAnsi" w:hAnsi="Arial Narrow"/>
                <w:snapToGrid/>
                <w:sz w:val="20"/>
                <w:u w:val="single"/>
              </w:rPr>
              <w:t>Cost-minimised</w:t>
            </w:r>
            <w:r w:rsidR="00B765B3" w:rsidRPr="002E6BC6">
              <w:rPr>
                <w:rFonts w:ascii="Arial Narrow" w:eastAsiaTheme="minorHAnsi" w:hAnsi="Arial Narrow"/>
                <w:snapToGrid/>
                <w:sz w:val="20"/>
                <w:u w:val="single"/>
              </w:rPr>
              <w:t xml:space="preserve"> </w:t>
            </w:r>
            <w:r w:rsidR="00285543" w:rsidRPr="002E6BC6">
              <w:rPr>
                <w:rFonts w:ascii="Arial Narrow" w:eastAsiaTheme="minorHAnsi" w:hAnsi="Arial Narrow"/>
                <w:snapToGrid/>
                <w:sz w:val="20"/>
                <w:u w:val="single"/>
              </w:rPr>
              <w:t>AEMP</w:t>
            </w:r>
          </w:p>
          <w:p w:rsidR="00285543" w:rsidRPr="002E6BC6" w:rsidRDefault="00D83DB3"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162 mg (pack of 4):</w:t>
            </w:r>
            <w:r w:rsidR="00305983" w:rsidRPr="002E6BC6">
              <w:rPr>
                <w:rFonts w:ascii="Arial Narrow" w:eastAsiaTheme="minorHAnsi" w:hAnsi="Arial Narrow"/>
                <w:b w:val="0"/>
                <w:snapToGrid/>
                <w:sz w:val="20"/>
              </w:rPr>
              <w:t xml:space="preserve"> </w:t>
            </w:r>
            <w:r w:rsidR="00285543"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p w:rsidR="00F8165D" w:rsidRPr="002E6BC6" w:rsidRDefault="00D83DB3" w:rsidP="0094100A">
            <w:pPr>
              <w:pStyle w:val="PBACHeading1"/>
              <w:numPr>
                <w:ilvl w:val="0"/>
                <w:numId w:val="0"/>
              </w:numPr>
              <w:rPr>
                <w:rFonts w:ascii="Arial Narrow" w:eastAsiaTheme="minorHAnsi" w:hAnsi="Arial Narrow"/>
                <w:snapToGrid/>
                <w:sz w:val="20"/>
              </w:rPr>
            </w:pPr>
            <w:r w:rsidRPr="002E6BC6">
              <w:rPr>
                <w:rFonts w:ascii="Arial Narrow" w:eastAsiaTheme="minorHAnsi" w:hAnsi="Arial Narrow"/>
                <w:b w:val="0"/>
                <w:snapToGrid/>
                <w:sz w:val="20"/>
              </w:rPr>
              <w:t>162 mg (single syringe/pen):</w:t>
            </w:r>
            <w:r w:rsidR="00285543" w:rsidRPr="002E6BC6">
              <w:rPr>
                <w:rFonts w:ascii="Arial Narrow" w:eastAsiaTheme="minorHAnsi" w:hAnsi="Arial Narrow"/>
                <w:b w:val="0"/>
                <w:snapToGrid/>
                <w:sz w:val="20"/>
              </w:rPr>
              <w:t xml:space="preserve"> $</w:t>
            </w:r>
            <w:r w:rsidR="003E2B64">
              <w:rPr>
                <w:rFonts w:ascii="Arial Narrow" w:eastAsiaTheme="minorHAnsi" w:hAnsi="Arial Narrow"/>
                <w:b w:val="0"/>
                <w:noProof/>
                <w:snapToGrid/>
                <w:color w:val="000000"/>
                <w:sz w:val="20"/>
                <w:highlight w:val="black"/>
              </w:rPr>
              <w:t>''''''''''''''''</w:t>
            </w:r>
            <w:r w:rsidR="00B22D88" w:rsidRPr="002E6BC6">
              <w:rPr>
                <w:rFonts w:ascii="Arial Narrow" w:eastAsiaTheme="minorHAnsi" w:hAnsi="Arial Narrow"/>
                <w:snapToGrid/>
                <w:sz w:val="20"/>
              </w:rPr>
              <w:t xml:space="preserve"> </w:t>
            </w:r>
          </w:p>
          <w:p w:rsidR="00E42918" w:rsidRPr="002E6BC6" w:rsidRDefault="00E42918" w:rsidP="0094100A">
            <w:pPr>
              <w:pStyle w:val="PBACHeading1"/>
              <w:numPr>
                <w:ilvl w:val="0"/>
                <w:numId w:val="0"/>
              </w:numPr>
              <w:rPr>
                <w:rFonts w:ascii="Arial Narrow" w:eastAsiaTheme="minorHAnsi" w:hAnsi="Arial Narrow"/>
                <w:snapToGrid/>
                <w:sz w:val="20"/>
                <w:u w:val="single"/>
              </w:rPr>
            </w:pPr>
          </w:p>
          <w:p w:rsidR="00500C3E" w:rsidRPr="002E6BC6" w:rsidRDefault="00500C3E" w:rsidP="0094100A">
            <w:pPr>
              <w:pStyle w:val="PBACHeading1"/>
              <w:numPr>
                <w:ilvl w:val="0"/>
                <w:numId w:val="0"/>
              </w:numPr>
              <w:rPr>
                <w:rFonts w:ascii="Arial Narrow" w:eastAsiaTheme="minorHAnsi" w:hAnsi="Arial Narrow"/>
                <w:snapToGrid/>
                <w:sz w:val="20"/>
                <w:u w:val="single"/>
              </w:rPr>
            </w:pPr>
            <w:r w:rsidRPr="002E6BC6">
              <w:rPr>
                <w:rFonts w:ascii="Arial Narrow" w:eastAsiaTheme="minorHAnsi" w:hAnsi="Arial Narrow"/>
                <w:snapToGrid/>
                <w:sz w:val="20"/>
                <w:u w:val="single"/>
              </w:rPr>
              <w:t>Cost-minimised DPMQ</w:t>
            </w:r>
          </w:p>
          <w:p w:rsidR="00500C3E" w:rsidRPr="002E6BC6" w:rsidRDefault="00500C3E"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2498" w:type="pct"/>
            <w:gridSpan w:val="2"/>
          </w:tcPr>
          <w:p w:rsidR="00F8165D" w:rsidRPr="002E6BC6" w:rsidRDefault="00B765B3" w:rsidP="0094100A">
            <w:pPr>
              <w:pStyle w:val="PBACHeading1"/>
              <w:numPr>
                <w:ilvl w:val="0"/>
                <w:numId w:val="0"/>
              </w:numPr>
              <w:rPr>
                <w:rFonts w:ascii="Arial Narrow" w:eastAsiaTheme="minorHAnsi" w:hAnsi="Arial Narrow"/>
                <w:snapToGrid/>
                <w:sz w:val="20"/>
                <w:u w:val="single"/>
              </w:rPr>
            </w:pPr>
            <w:r w:rsidRPr="002E6BC6">
              <w:rPr>
                <w:rFonts w:ascii="Arial Narrow" w:eastAsiaTheme="minorHAnsi" w:hAnsi="Arial Narrow"/>
                <w:snapToGrid/>
                <w:sz w:val="20"/>
                <w:u w:val="single"/>
              </w:rPr>
              <w:t xml:space="preserve">Effective </w:t>
            </w:r>
            <w:r w:rsidR="00285543" w:rsidRPr="002E6BC6">
              <w:rPr>
                <w:rFonts w:ascii="Arial Narrow" w:eastAsiaTheme="minorHAnsi" w:hAnsi="Arial Narrow"/>
                <w:snapToGrid/>
                <w:sz w:val="20"/>
                <w:u w:val="single"/>
              </w:rPr>
              <w:t>AEMP</w:t>
            </w:r>
          </w:p>
          <w:p w:rsidR="00285543" w:rsidRPr="002E6BC6" w:rsidRDefault="00D83DB3"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80 mg:</w:t>
            </w:r>
            <w:r w:rsidR="00285543" w:rsidRPr="002E6BC6">
              <w:rPr>
                <w:rFonts w:ascii="Arial Narrow" w:eastAsiaTheme="minorHAnsi" w:hAnsi="Arial Narrow"/>
                <w:b w:val="0"/>
                <w:snapToGrid/>
                <w:sz w:val="20"/>
              </w:rPr>
              <w:t xml:space="preserve"> $</w:t>
            </w:r>
            <w:r w:rsidR="003E2B64">
              <w:rPr>
                <w:rFonts w:ascii="Arial Narrow" w:eastAsiaTheme="minorHAnsi" w:hAnsi="Arial Narrow"/>
                <w:b w:val="0"/>
                <w:noProof/>
                <w:snapToGrid/>
                <w:color w:val="000000"/>
                <w:sz w:val="20"/>
                <w:highlight w:val="black"/>
              </w:rPr>
              <w:t>''''''''''''''''</w:t>
            </w:r>
          </w:p>
          <w:p w:rsidR="00285543" w:rsidRPr="002E6BC6" w:rsidRDefault="00D83DB3"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200 mg:</w:t>
            </w:r>
            <w:r w:rsidR="00285543" w:rsidRPr="002E6BC6">
              <w:rPr>
                <w:rFonts w:ascii="Arial Narrow" w:eastAsiaTheme="minorHAnsi" w:hAnsi="Arial Narrow"/>
                <w:b w:val="0"/>
                <w:snapToGrid/>
                <w:sz w:val="20"/>
              </w:rPr>
              <w:t xml:space="preserve"> $</w:t>
            </w:r>
            <w:r w:rsidR="003E2B64">
              <w:rPr>
                <w:rFonts w:ascii="Arial Narrow" w:eastAsiaTheme="minorHAnsi" w:hAnsi="Arial Narrow"/>
                <w:b w:val="0"/>
                <w:noProof/>
                <w:snapToGrid/>
                <w:color w:val="000000"/>
                <w:sz w:val="20"/>
                <w:highlight w:val="black"/>
              </w:rPr>
              <w:t>''''''''''''''''''</w:t>
            </w:r>
          </w:p>
          <w:p w:rsidR="00285543" w:rsidRPr="002E6BC6" w:rsidRDefault="00D83DB3"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400 mg:</w:t>
            </w:r>
            <w:r w:rsidR="00FB3264" w:rsidRPr="002E6BC6">
              <w:rPr>
                <w:rFonts w:ascii="Arial Narrow" w:eastAsiaTheme="minorHAnsi" w:hAnsi="Arial Narrow"/>
                <w:b w:val="0"/>
                <w:snapToGrid/>
                <w:sz w:val="20"/>
              </w:rPr>
              <w:t xml:space="preserve"> </w:t>
            </w:r>
            <w:r w:rsidR="00285543"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p w:rsidR="004D46CA" w:rsidRPr="002E6BC6" w:rsidRDefault="004D46CA" w:rsidP="0094100A">
            <w:pPr>
              <w:pStyle w:val="PBACHeading1"/>
              <w:numPr>
                <w:ilvl w:val="0"/>
                <w:numId w:val="0"/>
              </w:numPr>
              <w:rPr>
                <w:rFonts w:ascii="Arial Narrow" w:eastAsiaTheme="minorHAnsi" w:hAnsi="Arial Narrow"/>
                <w:b w:val="0"/>
                <w:snapToGrid/>
                <w:sz w:val="20"/>
              </w:rPr>
            </w:pPr>
          </w:p>
          <w:p w:rsidR="004D46CA" w:rsidRPr="002E6BC6" w:rsidRDefault="004D46CA" w:rsidP="00AC6F81">
            <w:pPr>
              <w:pStyle w:val="PBACHeading1"/>
              <w:numPr>
                <w:ilvl w:val="0"/>
                <w:numId w:val="0"/>
              </w:numPr>
              <w:rPr>
                <w:rFonts w:ascii="Arial Narrow" w:eastAsiaTheme="minorHAnsi" w:hAnsi="Arial Narrow"/>
                <w:snapToGrid/>
                <w:sz w:val="20"/>
              </w:rPr>
            </w:pPr>
            <w:r w:rsidRPr="002E6BC6">
              <w:rPr>
                <w:rFonts w:ascii="Arial Narrow" w:eastAsiaTheme="minorHAnsi" w:hAnsi="Arial Narrow"/>
                <w:b w:val="0"/>
                <w:snapToGrid/>
                <w:sz w:val="20"/>
              </w:rPr>
              <w:t>*</w:t>
            </w:r>
            <w:r w:rsidR="00AC6F81" w:rsidRPr="002E6BC6">
              <w:rPr>
                <w:rFonts w:ascii="Arial Narrow" w:eastAsiaTheme="minorHAnsi" w:hAnsi="Arial Narrow"/>
                <w:b w:val="0"/>
                <w:snapToGrid/>
                <w:sz w:val="20"/>
              </w:rPr>
              <w:t xml:space="preserve">Prices above are indication specific </w:t>
            </w:r>
            <w:r w:rsidRPr="002E6BC6">
              <w:rPr>
                <w:rFonts w:ascii="Arial Narrow" w:eastAsiaTheme="minorHAnsi" w:hAnsi="Arial Narrow"/>
                <w:b w:val="0"/>
                <w:snapToGrid/>
                <w:sz w:val="20"/>
              </w:rPr>
              <w:t xml:space="preserve"> </w:t>
            </w:r>
          </w:p>
        </w:tc>
      </w:tr>
      <w:tr w:rsidR="00285543" w:rsidRPr="002E6BC6" w:rsidTr="00A04DFC">
        <w:trPr>
          <w:tblHeader/>
        </w:trPr>
        <w:tc>
          <w:tcPr>
            <w:tcW w:w="5000" w:type="pct"/>
            <w:gridSpan w:val="4"/>
            <w:shd w:val="clear" w:color="auto" w:fill="BFBFBF" w:themeFill="background1" w:themeFillShade="BF"/>
          </w:tcPr>
          <w:p w:rsidR="00285543" w:rsidRPr="002E6BC6" w:rsidRDefault="00E052B4" w:rsidP="00F515E0">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Mean body weight of </w:t>
            </w:r>
            <w:proofErr w:type="spellStart"/>
            <w:r w:rsidRPr="002E6BC6">
              <w:rPr>
                <w:rFonts w:ascii="Arial Narrow" w:eastAsiaTheme="minorHAnsi" w:hAnsi="Arial Narrow"/>
                <w:snapToGrid/>
                <w:sz w:val="20"/>
              </w:rPr>
              <w:t>patient</w:t>
            </w:r>
            <w:r w:rsidR="008825FA" w:rsidRPr="002E6BC6">
              <w:rPr>
                <w:rFonts w:ascii="Arial Narrow" w:eastAsiaTheme="minorHAnsi" w:hAnsi="Arial Narrow"/>
                <w:snapToGrid/>
                <w:sz w:val="20"/>
                <w:vertAlign w:val="superscript"/>
              </w:rPr>
              <w:t>a</w:t>
            </w:r>
            <w:proofErr w:type="spellEnd"/>
            <w:r w:rsidRPr="002E6BC6">
              <w:rPr>
                <w:rFonts w:ascii="Arial Narrow" w:eastAsiaTheme="minorHAnsi" w:hAnsi="Arial Narrow"/>
                <w:snapToGrid/>
                <w:sz w:val="20"/>
              </w:rPr>
              <w:t xml:space="preserve"> </w:t>
            </w:r>
          </w:p>
        </w:tc>
      </w:tr>
      <w:tr w:rsidR="00E052B4" w:rsidRPr="002E6BC6" w:rsidTr="00A04DFC">
        <w:trPr>
          <w:tblHeader/>
        </w:trPr>
        <w:tc>
          <w:tcPr>
            <w:tcW w:w="1251" w:type="pct"/>
          </w:tcPr>
          <w:p w:rsidR="00E052B4" w:rsidRPr="002E6BC6" w:rsidRDefault="00E052B4" w:rsidP="0094100A">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t xml:space="preserve">&lt; 30 kg </w:t>
            </w:r>
          </w:p>
        </w:tc>
        <w:tc>
          <w:tcPr>
            <w:tcW w:w="1251" w:type="pct"/>
          </w:tcPr>
          <w:p w:rsidR="00E052B4" w:rsidRPr="002E6BC6" w:rsidRDefault="00E052B4" w:rsidP="0094100A">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c>
          <w:tcPr>
            <w:tcW w:w="1249" w:type="pct"/>
          </w:tcPr>
          <w:p w:rsidR="00E052B4" w:rsidRPr="002E6BC6" w:rsidRDefault="00E052B4" w:rsidP="0094100A">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t>&lt; 30 kg</w:t>
            </w:r>
          </w:p>
        </w:tc>
        <w:tc>
          <w:tcPr>
            <w:tcW w:w="1249" w:type="pct"/>
          </w:tcPr>
          <w:p w:rsidR="00E052B4" w:rsidRPr="002E6BC6" w:rsidRDefault="00E052B4" w:rsidP="0094100A">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r>
      <w:tr w:rsidR="00E052B4" w:rsidRPr="002E6BC6" w:rsidTr="00A04DFC">
        <w:trPr>
          <w:tblHeader/>
        </w:trPr>
        <w:tc>
          <w:tcPr>
            <w:tcW w:w="1251" w:type="pct"/>
          </w:tcPr>
          <w:p w:rsidR="00E052B4" w:rsidRPr="002E6BC6" w:rsidRDefault="00E052B4"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21.51 kg</w:t>
            </w:r>
          </w:p>
        </w:tc>
        <w:tc>
          <w:tcPr>
            <w:tcW w:w="1251" w:type="pct"/>
          </w:tcPr>
          <w:p w:rsidR="00E052B4" w:rsidRPr="002E6BC6" w:rsidRDefault="00E052B4"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50.02 kg</w:t>
            </w:r>
          </w:p>
        </w:tc>
        <w:tc>
          <w:tcPr>
            <w:tcW w:w="1249" w:type="pct"/>
          </w:tcPr>
          <w:p w:rsidR="00E052B4" w:rsidRPr="002E6BC6" w:rsidRDefault="00E052B4"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21.51 kg</w:t>
            </w:r>
          </w:p>
        </w:tc>
        <w:tc>
          <w:tcPr>
            <w:tcW w:w="1249" w:type="pct"/>
          </w:tcPr>
          <w:p w:rsidR="00E052B4" w:rsidRPr="002E6BC6" w:rsidRDefault="00E052B4" w:rsidP="0094100A">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50.02 kg</w:t>
            </w:r>
          </w:p>
        </w:tc>
      </w:tr>
      <w:tr w:rsidR="00E052B4" w:rsidRPr="002E6BC6" w:rsidTr="00A04DFC">
        <w:trPr>
          <w:tblHeader/>
        </w:trPr>
        <w:tc>
          <w:tcPr>
            <w:tcW w:w="5000" w:type="pct"/>
            <w:gridSpan w:val="4"/>
            <w:shd w:val="clear" w:color="auto" w:fill="BFBFBF" w:themeFill="background1" w:themeFillShade="BF"/>
          </w:tcPr>
          <w:p w:rsidR="00E052B4" w:rsidRPr="002E6BC6" w:rsidRDefault="00E052B4" w:rsidP="00F515E0">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Dose per administration </w:t>
            </w:r>
          </w:p>
        </w:tc>
      </w:tr>
      <w:tr w:rsidR="00E052B4" w:rsidRPr="002E6BC6" w:rsidTr="00A04DFC">
        <w:trPr>
          <w:tblHeader/>
        </w:trPr>
        <w:tc>
          <w:tcPr>
            <w:tcW w:w="1251" w:type="pct"/>
          </w:tcPr>
          <w:p w:rsidR="00E052B4" w:rsidRPr="002E6BC6" w:rsidRDefault="00E052B4" w:rsidP="00E052B4">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t>&lt; 30 kg</w:t>
            </w:r>
          </w:p>
        </w:tc>
        <w:tc>
          <w:tcPr>
            <w:tcW w:w="1251" w:type="pct"/>
          </w:tcPr>
          <w:p w:rsidR="00E052B4" w:rsidRPr="002E6BC6" w:rsidRDefault="00E052B4" w:rsidP="00E052B4">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c>
          <w:tcPr>
            <w:tcW w:w="1249" w:type="pct"/>
          </w:tcPr>
          <w:p w:rsidR="00E052B4" w:rsidRPr="002E6BC6" w:rsidRDefault="00E052B4" w:rsidP="00E052B4">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t>&lt; 30 kg</w:t>
            </w:r>
          </w:p>
        </w:tc>
        <w:tc>
          <w:tcPr>
            <w:tcW w:w="1249" w:type="pct"/>
          </w:tcPr>
          <w:p w:rsidR="00E052B4" w:rsidRPr="002E6BC6" w:rsidRDefault="00E052B4" w:rsidP="00E052B4">
            <w:pPr>
              <w:pStyle w:val="PBACHeading1"/>
              <w:numPr>
                <w:ilvl w:val="0"/>
                <w:numId w:val="0"/>
              </w:numPr>
              <w:rPr>
                <w:rFonts w:ascii="Arial Narrow" w:eastAsiaTheme="minorHAnsi" w:hAnsi="Arial Narrow"/>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r>
      <w:tr w:rsidR="00E052B4" w:rsidRPr="002E6BC6" w:rsidTr="00A04DFC">
        <w:trPr>
          <w:tblHeader/>
        </w:trPr>
        <w:tc>
          <w:tcPr>
            <w:tcW w:w="1251" w:type="pct"/>
          </w:tcPr>
          <w:p w:rsidR="00E052B4" w:rsidRPr="002E6BC6" w:rsidRDefault="0056419E"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 xml:space="preserve">162 mg </w:t>
            </w:r>
          </w:p>
        </w:tc>
        <w:tc>
          <w:tcPr>
            <w:tcW w:w="1251" w:type="pct"/>
          </w:tcPr>
          <w:p w:rsidR="00E052B4" w:rsidRPr="002E6BC6" w:rsidRDefault="0056419E"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 xml:space="preserve">162 mg </w:t>
            </w:r>
          </w:p>
        </w:tc>
        <w:tc>
          <w:tcPr>
            <w:tcW w:w="1249" w:type="pct"/>
          </w:tcPr>
          <w:p w:rsidR="00E052B4" w:rsidRPr="002E6BC6" w:rsidRDefault="00E052B4"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 xml:space="preserve">215.09 mg </w:t>
            </w:r>
          </w:p>
        </w:tc>
        <w:tc>
          <w:tcPr>
            <w:tcW w:w="1249" w:type="pct"/>
          </w:tcPr>
          <w:p w:rsidR="00E052B4" w:rsidRPr="002E6BC6" w:rsidRDefault="00E052B4"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 xml:space="preserve">400.16 mg </w:t>
            </w:r>
          </w:p>
        </w:tc>
      </w:tr>
      <w:tr w:rsidR="0056419E" w:rsidRPr="002E6BC6" w:rsidTr="00A04DFC">
        <w:trPr>
          <w:tblHeader/>
        </w:trPr>
        <w:tc>
          <w:tcPr>
            <w:tcW w:w="5000" w:type="pct"/>
            <w:gridSpan w:val="4"/>
            <w:shd w:val="clear" w:color="auto" w:fill="BFBFBF" w:themeFill="background1" w:themeFillShade="BF"/>
          </w:tcPr>
          <w:p w:rsidR="0056419E" w:rsidRPr="002E6BC6" w:rsidRDefault="0056419E" w:rsidP="00FB3FBB">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AEMP per </w:t>
            </w:r>
            <w:r w:rsidR="00FB3FBB" w:rsidRPr="002E6BC6">
              <w:rPr>
                <w:rFonts w:ascii="Arial Narrow" w:eastAsiaTheme="minorHAnsi" w:hAnsi="Arial Narrow"/>
                <w:snapToGrid/>
                <w:sz w:val="20"/>
              </w:rPr>
              <w:t>administration</w:t>
            </w:r>
          </w:p>
        </w:tc>
      </w:tr>
      <w:tr w:rsidR="0056419E" w:rsidRPr="002E6BC6" w:rsidTr="00A04DFC">
        <w:trPr>
          <w:tblHeader/>
        </w:trPr>
        <w:tc>
          <w:tcPr>
            <w:tcW w:w="1251" w:type="pct"/>
          </w:tcPr>
          <w:p w:rsidR="0056419E" w:rsidRPr="002E6BC6" w:rsidRDefault="0056419E" w:rsidP="0056419E">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t>&lt; 30 kg</w:t>
            </w:r>
          </w:p>
        </w:tc>
        <w:tc>
          <w:tcPr>
            <w:tcW w:w="1251" w:type="pct"/>
          </w:tcPr>
          <w:p w:rsidR="0056419E" w:rsidRPr="002E6BC6" w:rsidRDefault="0056419E" w:rsidP="0056419E">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c>
          <w:tcPr>
            <w:tcW w:w="1249" w:type="pct"/>
          </w:tcPr>
          <w:p w:rsidR="0056419E" w:rsidRPr="002E6BC6" w:rsidRDefault="0056419E" w:rsidP="0056419E">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t>&lt; 30 kg</w:t>
            </w:r>
          </w:p>
        </w:tc>
        <w:tc>
          <w:tcPr>
            <w:tcW w:w="1249" w:type="pct"/>
          </w:tcPr>
          <w:p w:rsidR="0056419E" w:rsidRPr="002E6BC6" w:rsidRDefault="0056419E" w:rsidP="0056419E">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r>
      <w:tr w:rsidR="0056419E" w:rsidRPr="002E6BC6" w:rsidTr="00A04DFC">
        <w:trPr>
          <w:tblHeader/>
        </w:trPr>
        <w:tc>
          <w:tcPr>
            <w:tcW w:w="1251" w:type="pct"/>
          </w:tcPr>
          <w:p w:rsidR="0056419E" w:rsidRPr="002E6BC6" w:rsidRDefault="0056419E"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1251" w:type="pct"/>
          </w:tcPr>
          <w:p w:rsidR="0056419E" w:rsidRPr="002E6BC6" w:rsidRDefault="0056419E"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1249" w:type="pct"/>
          </w:tcPr>
          <w:p w:rsidR="0056419E" w:rsidRPr="003E2B64" w:rsidRDefault="003E2B64" w:rsidP="00E052B4">
            <w:pPr>
              <w:pStyle w:val="PBACHeading1"/>
              <w:numPr>
                <w:ilvl w:val="0"/>
                <w:numId w:val="0"/>
              </w:numP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c>
          <w:tcPr>
            <w:tcW w:w="1249" w:type="pct"/>
          </w:tcPr>
          <w:p w:rsidR="0056419E" w:rsidRPr="003E2B64" w:rsidRDefault="003E2B64" w:rsidP="00E052B4">
            <w:pPr>
              <w:pStyle w:val="PBACHeading1"/>
              <w:numPr>
                <w:ilvl w:val="0"/>
                <w:numId w:val="0"/>
              </w:numP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 xml:space="preserve">''''''''''''''''''' </w:t>
            </w:r>
          </w:p>
        </w:tc>
      </w:tr>
      <w:tr w:rsidR="00F515E0" w:rsidRPr="002E6BC6" w:rsidTr="00A04DFC">
        <w:trPr>
          <w:tblHeader/>
        </w:trPr>
        <w:tc>
          <w:tcPr>
            <w:tcW w:w="5000" w:type="pct"/>
            <w:gridSpan w:val="4"/>
            <w:shd w:val="clear" w:color="auto" w:fill="BFBFBF" w:themeFill="background1" w:themeFillShade="BF"/>
          </w:tcPr>
          <w:p w:rsidR="00F515E0" w:rsidRPr="002E6BC6" w:rsidRDefault="00F515E0" w:rsidP="00F515E0">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Number of </w:t>
            </w:r>
            <w:r w:rsidR="00E70CF0" w:rsidRPr="002E6BC6">
              <w:rPr>
                <w:rFonts w:ascii="Arial Narrow" w:eastAsiaTheme="minorHAnsi" w:hAnsi="Arial Narrow"/>
                <w:snapToGrid/>
                <w:sz w:val="20"/>
              </w:rPr>
              <w:t xml:space="preserve">administrations over 52 </w:t>
            </w:r>
            <w:r w:rsidRPr="002E6BC6">
              <w:rPr>
                <w:rFonts w:ascii="Arial Narrow" w:eastAsiaTheme="minorHAnsi" w:hAnsi="Arial Narrow"/>
                <w:snapToGrid/>
                <w:sz w:val="20"/>
              </w:rPr>
              <w:t>weeks</w:t>
            </w:r>
          </w:p>
        </w:tc>
      </w:tr>
      <w:tr w:rsidR="00F515E0" w:rsidRPr="002E6BC6" w:rsidTr="00A04DFC">
        <w:trPr>
          <w:tblHeader/>
        </w:trPr>
        <w:tc>
          <w:tcPr>
            <w:tcW w:w="1251" w:type="pct"/>
          </w:tcPr>
          <w:p w:rsidR="00F515E0" w:rsidRPr="002E6BC6" w:rsidRDefault="00F515E0" w:rsidP="00F515E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t>&lt; 30 kg</w:t>
            </w:r>
          </w:p>
        </w:tc>
        <w:tc>
          <w:tcPr>
            <w:tcW w:w="1251" w:type="pct"/>
          </w:tcPr>
          <w:p w:rsidR="00F515E0" w:rsidRPr="002E6BC6" w:rsidRDefault="00F515E0" w:rsidP="00F515E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c>
          <w:tcPr>
            <w:tcW w:w="1249" w:type="pct"/>
          </w:tcPr>
          <w:p w:rsidR="00F515E0" w:rsidRPr="002E6BC6" w:rsidRDefault="00F515E0" w:rsidP="00F515E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t>&lt; 30 kg</w:t>
            </w:r>
          </w:p>
        </w:tc>
        <w:tc>
          <w:tcPr>
            <w:tcW w:w="1249" w:type="pct"/>
          </w:tcPr>
          <w:p w:rsidR="00F515E0" w:rsidRPr="002E6BC6" w:rsidRDefault="00F515E0" w:rsidP="00F515E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r>
      <w:tr w:rsidR="00F515E0" w:rsidRPr="002E6BC6" w:rsidTr="00A04DFC">
        <w:trPr>
          <w:tblHeader/>
        </w:trPr>
        <w:tc>
          <w:tcPr>
            <w:tcW w:w="1251" w:type="pct"/>
          </w:tcPr>
          <w:p w:rsidR="00F515E0" w:rsidRPr="002E6BC6" w:rsidRDefault="00F515E0"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17.33</w:t>
            </w:r>
          </w:p>
        </w:tc>
        <w:tc>
          <w:tcPr>
            <w:tcW w:w="1251" w:type="pct"/>
          </w:tcPr>
          <w:p w:rsidR="00F515E0" w:rsidRPr="002E6BC6" w:rsidRDefault="00F515E0"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26.0</w:t>
            </w:r>
          </w:p>
        </w:tc>
        <w:tc>
          <w:tcPr>
            <w:tcW w:w="1249" w:type="pct"/>
          </w:tcPr>
          <w:p w:rsidR="00F515E0" w:rsidRPr="002E6BC6" w:rsidRDefault="00F515E0"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13.0</w:t>
            </w:r>
          </w:p>
        </w:tc>
        <w:tc>
          <w:tcPr>
            <w:tcW w:w="1249" w:type="pct"/>
          </w:tcPr>
          <w:p w:rsidR="00F515E0" w:rsidRPr="002E6BC6" w:rsidRDefault="00F515E0"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13.0</w:t>
            </w:r>
          </w:p>
        </w:tc>
      </w:tr>
      <w:tr w:rsidR="00F515E0" w:rsidRPr="002E6BC6" w:rsidTr="00A04DFC">
        <w:trPr>
          <w:tblHeader/>
        </w:trPr>
        <w:tc>
          <w:tcPr>
            <w:tcW w:w="5000" w:type="pct"/>
            <w:gridSpan w:val="4"/>
            <w:shd w:val="clear" w:color="auto" w:fill="BFBFBF" w:themeFill="background1" w:themeFillShade="BF"/>
          </w:tcPr>
          <w:p w:rsidR="00F515E0" w:rsidRPr="002E6BC6" w:rsidRDefault="00F515E0" w:rsidP="008C7770">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AEMP per patient </w:t>
            </w:r>
            <w:r w:rsidR="008C7770" w:rsidRPr="002E6BC6">
              <w:rPr>
                <w:rFonts w:ascii="Arial Narrow" w:eastAsiaTheme="minorHAnsi" w:hAnsi="Arial Narrow"/>
                <w:snapToGrid/>
                <w:sz w:val="20"/>
              </w:rPr>
              <w:t>over 52 weeks</w:t>
            </w:r>
          </w:p>
        </w:tc>
      </w:tr>
      <w:tr w:rsidR="008C7770" w:rsidRPr="002E6BC6" w:rsidTr="00A04DFC">
        <w:trPr>
          <w:tblHeader/>
        </w:trPr>
        <w:tc>
          <w:tcPr>
            <w:tcW w:w="1251" w:type="pct"/>
          </w:tcPr>
          <w:p w:rsidR="008C7770" w:rsidRPr="002E6BC6" w:rsidRDefault="008C7770" w:rsidP="008C777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t>&lt; 30 kg</w:t>
            </w:r>
          </w:p>
        </w:tc>
        <w:tc>
          <w:tcPr>
            <w:tcW w:w="1251" w:type="pct"/>
          </w:tcPr>
          <w:p w:rsidR="008C7770" w:rsidRPr="002E6BC6" w:rsidRDefault="008C7770" w:rsidP="008C777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c>
          <w:tcPr>
            <w:tcW w:w="1249" w:type="pct"/>
          </w:tcPr>
          <w:p w:rsidR="008C7770" w:rsidRPr="002E6BC6" w:rsidRDefault="008C7770" w:rsidP="008C777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t>&lt; 30 kg</w:t>
            </w:r>
          </w:p>
        </w:tc>
        <w:tc>
          <w:tcPr>
            <w:tcW w:w="1249" w:type="pct"/>
          </w:tcPr>
          <w:p w:rsidR="008C7770" w:rsidRPr="002E6BC6" w:rsidRDefault="008C7770" w:rsidP="008C7770">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snapToGrid/>
                <w:sz w:val="20"/>
              </w:rPr>
              <w:sym w:font="Symbol" w:char="F0B3"/>
            </w:r>
            <w:r w:rsidRPr="002E6BC6">
              <w:rPr>
                <w:rFonts w:ascii="Arial Narrow" w:eastAsiaTheme="minorHAnsi" w:hAnsi="Arial Narrow"/>
                <w:snapToGrid/>
                <w:sz w:val="20"/>
              </w:rPr>
              <w:t xml:space="preserve"> 30 kg</w:t>
            </w:r>
          </w:p>
        </w:tc>
      </w:tr>
      <w:tr w:rsidR="008C7770" w:rsidRPr="002E6BC6" w:rsidTr="00A04DFC">
        <w:trPr>
          <w:tblHeader/>
        </w:trPr>
        <w:tc>
          <w:tcPr>
            <w:tcW w:w="1251" w:type="pct"/>
          </w:tcPr>
          <w:p w:rsidR="008C7770" w:rsidRPr="002E6BC6" w:rsidRDefault="008C7770"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1251" w:type="pct"/>
          </w:tcPr>
          <w:p w:rsidR="008C7770" w:rsidRPr="002E6BC6" w:rsidRDefault="008C7770" w:rsidP="00E052B4">
            <w:pPr>
              <w:pStyle w:val="PBACHeading1"/>
              <w:numPr>
                <w:ilvl w:val="0"/>
                <w:numId w:val="0"/>
              </w:numP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1249" w:type="pct"/>
          </w:tcPr>
          <w:p w:rsidR="008C7770" w:rsidRPr="003E2B64" w:rsidRDefault="003E2B64" w:rsidP="00E052B4">
            <w:pPr>
              <w:pStyle w:val="PBACHeading1"/>
              <w:numPr>
                <w:ilvl w:val="0"/>
                <w:numId w:val="0"/>
              </w:numP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c>
          <w:tcPr>
            <w:tcW w:w="1249" w:type="pct"/>
          </w:tcPr>
          <w:p w:rsidR="008C7770" w:rsidRPr="003E2B64" w:rsidRDefault="003E2B64" w:rsidP="00E052B4">
            <w:pPr>
              <w:pStyle w:val="PBACHeading1"/>
              <w:numPr>
                <w:ilvl w:val="0"/>
                <w:numId w:val="0"/>
              </w:numP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FB3FBB" w:rsidRPr="002E6BC6" w:rsidTr="00A04DFC">
        <w:trPr>
          <w:tblHeader/>
        </w:trPr>
        <w:tc>
          <w:tcPr>
            <w:tcW w:w="5000" w:type="pct"/>
            <w:gridSpan w:val="4"/>
            <w:shd w:val="clear" w:color="auto" w:fill="BFBFBF" w:themeFill="background1" w:themeFillShade="BF"/>
          </w:tcPr>
          <w:p w:rsidR="00FB3FBB" w:rsidRPr="002E6BC6" w:rsidRDefault="00FB3FBB" w:rsidP="00FB3FBB">
            <w:pPr>
              <w:pStyle w:val="PBACHeading1"/>
              <w:numPr>
                <w:ilvl w:val="0"/>
                <w:numId w:val="0"/>
              </w:numPr>
              <w:jc w:val="center"/>
              <w:rPr>
                <w:rFonts w:ascii="Arial Narrow" w:eastAsiaTheme="minorHAnsi" w:hAnsi="Arial Narrow"/>
                <w:snapToGrid/>
                <w:sz w:val="20"/>
                <w:vertAlign w:val="superscript"/>
              </w:rPr>
            </w:pPr>
            <w:r w:rsidRPr="002E6BC6">
              <w:rPr>
                <w:rFonts w:ascii="Arial Narrow" w:eastAsiaTheme="minorHAnsi" w:hAnsi="Arial Narrow"/>
                <w:snapToGrid/>
                <w:sz w:val="20"/>
              </w:rPr>
              <w:t xml:space="preserve">Weighted AEMP per patient over 52 </w:t>
            </w:r>
            <w:proofErr w:type="spellStart"/>
            <w:r w:rsidRPr="002E6BC6">
              <w:rPr>
                <w:rFonts w:ascii="Arial Narrow" w:eastAsiaTheme="minorHAnsi" w:hAnsi="Arial Narrow"/>
                <w:snapToGrid/>
                <w:sz w:val="20"/>
              </w:rPr>
              <w:t>weeks</w:t>
            </w:r>
            <w:r w:rsidR="00B765B3" w:rsidRPr="002E6BC6">
              <w:rPr>
                <w:rFonts w:ascii="Arial Narrow" w:eastAsiaTheme="minorHAnsi" w:hAnsi="Arial Narrow"/>
                <w:snapToGrid/>
                <w:sz w:val="20"/>
                <w:vertAlign w:val="superscript"/>
              </w:rPr>
              <w:t>b</w:t>
            </w:r>
            <w:proofErr w:type="spellEnd"/>
          </w:p>
        </w:tc>
      </w:tr>
      <w:tr w:rsidR="00F515E0" w:rsidRPr="002E6BC6" w:rsidTr="00A04DFC">
        <w:trPr>
          <w:tblHeader/>
        </w:trPr>
        <w:tc>
          <w:tcPr>
            <w:tcW w:w="2502" w:type="pct"/>
            <w:gridSpan w:val="2"/>
          </w:tcPr>
          <w:p w:rsidR="00F515E0" w:rsidRPr="002E6BC6" w:rsidRDefault="00FB3264" w:rsidP="005801EA">
            <w:pPr>
              <w:pStyle w:val="PBACHeading1"/>
              <w:numPr>
                <w:ilvl w:val="0"/>
                <w:numId w:val="0"/>
              </w:numPr>
              <w:jc w:val="cente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2498" w:type="pct"/>
            <w:gridSpan w:val="2"/>
          </w:tcPr>
          <w:p w:rsidR="008C7770" w:rsidRPr="003E2B64" w:rsidRDefault="003E2B64" w:rsidP="008C7770">
            <w:pPr>
              <w:pStyle w:val="PBACHeading1"/>
              <w:numPr>
                <w:ilvl w:val="0"/>
                <w:numId w:val="0"/>
              </w:numPr>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973FBD" w:rsidRPr="002E6BC6" w:rsidTr="00A04DFC">
        <w:trPr>
          <w:tblHeader/>
        </w:trPr>
        <w:tc>
          <w:tcPr>
            <w:tcW w:w="5000" w:type="pct"/>
            <w:gridSpan w:val="4"/>
            <w:shd w:val="clear" w:color="auto" w:fill="BFBFBF" w:themeFill="background1" w:themeFillShade="BF"/>
          </w:tcPr>
          <w:p w:rsidR="00973FBD" w:rsidRPr="002E6BC6" w:rsidRDefault="00973FBD" w:rsidP="008C7770">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AEMP per patient over 52 weeks weighted by public/private hospital </w:t>
            </w:r>
            <w:proofErr w:type="spellStart"/>
            <w:r w:rsidRPr="002E6BC6">
              <w:rPr>
                <w:rFonts w:ascii="Arial Narrow" w:eastAsiaTheme="minorHAnsi" w:hAnsi="Arial Narrow"/>
                <w:snapToGrid/>
                <w:sz w:val="20"/>
              </w:rPr>
              <w:t>usage</w:t>
            </w:r>
            <w:r w:rsidR="004D46CA" w:rsidRPr="002E6BC6">
              <w:rPr>
                <w:rFonts w:ascii="Arial Narrow" w:eastAsiaTheme="minorHAnsi" w:hAnsi="Arial Narrow"/>
                <w:snapToGrid/>
                <w:sz w:val="20"/>
                <w:vertAlign w:val="superscript"/>
              </w:rPr>
              <w:t>c</w:t>
            </w:r>
            <w:proofErr w:type="spellEnd"/>
            <w:r w:rsidRPr="002E6BC6">
              <w:rPr>
                <w:rFonts w:ascii="Arial Narrow" w:eastAsiaTheme="minorHAnsi" w:hAnsi="Arial Narrow"/>
                <w:snapToGrid/>
                <w:sz w:val="20"/>
              </w:rPr>
              <w:t xml:space="preserve"> </w:t>
            </w:r>
          </w:p>
        </w:tc>
      </w:tr>
      <w:tr w:rsidR="00973FBD" w:rsidRPr="002E6BC6" w:rsidTr="00A04DFC">
        <w:trPr>
          <w:tblHeader/>
        </w:trPr>
        <w:tc>
          <w:tcPr>
            <w:tcW w:w="2502" w:type="pct"/>
            <w:gridSpan w:val="2"/>
          </w:tcPr>
          <w:p w:rsidR="00973FBD" w:rsidRPr="002E6BC6" w:rsidRDefault="00973FBD" w:rsidP="005801EA">
            <w:pPr>
              <w:pStyle w:val="PBACHeading1"/>
              <w:numPr>
                <w:ilvl w:val="0"/>
                <w:numId w:val="0"/>
              </w:numPr>
              <w:jc w:val="center"/>
              <w:rPr>
                <w:rFonts w:ascii="Arial Narrow" w:eastAsiaTheme="minorHAnsi" w:hAnsi="Arial Narrow"/>
                <w:b w:val="0"/>
                <w:snapToGrid/>
                <w:sz w:val="20"/>
              </w:rPr>
            </w:pPr>
            <w:r w:rsidRPr="002E6BC6">
              <w:rPr>
                <w:rFonts w:ascii="Arial Narrow" w:eastAsiaTheme="minorHAnsi" w:hAnsi="Arial Narrow"/>
                <w:b w:val="0"/>
                <w:snapToGrid/>
                <w:sz w:val="20"/>
              </w:rPr>
              <w:t>-</w:t>
            </w:r>
          </w:p>
        </w:tc>
        <w:tc>
          <w:tcPr>
            <w:tcW w:w="2498" w:type="pct"/>
            <w:gridSpan w:val="2"/>
          </w:tcPr>
          <w:p w:rsidR="00973FBD" w:rsidRPr="003E2B64" w:rsidRDefault="003E2B64" w:rsidP="008C7770">
            <w:pPr>
              <w:pStyle w:val="PBACHeading1"/>
              <w:numPr>
                <w:ilvl w:val="0"/>
                <w:numId w:val="0"/>
              </w:numPr>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5801EA" w:rsidRPr="002E6BC6" w:rsidTr="00A04DFC">
        <w:trPr>
          <w:tblHeader/>
        </w:trPr>
        <w:tc>
          <w:tcPr>
            <w:tcW w:w="5000" w:type="pct"/>
            <w:gridSpan w:val="4"/>
            <w:shd w:val="clear" w:color="auto" w:fill="BFBFBF" w:themeFill="background1" w:themeFillShade="BF"/>
          </w:tcPr>
          <w:p w:rsidR="005801EA" w:rsidRPr="002E6BC6" w:rsidRDefault="005801EA" w:rsidP="005801EA">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 xml:space="preserve">Administration costs over 52 </w:t>
            </w:r>
            <w:proofErr w:type="spellStart"/>
            <w:r w:rsidRPr="002E6BC6">
              <w:rPr>
                <w:rFonts w:ascii="Arial Narrow" w:eastAsiaTheme="minorHAnsi" w:hAnsi="Arial Narrow"/>
                <w:snapToGrid/>
                <w:sz w:val="20"/>
              </w:rPr>
              <w:t>weeks</w:t>
            </w:r>
            <w:r w:rsidR="007D4484" w:rsidRPr="002E6BC6">
              <w:rPr>
                <w:rFonts w:ascii="Arial Narrow" w:eastAsiaTheme="minorHAnsi" w:hAnsi="Arial Narrow"/>
                <w:snapToGrid/>
                <w:sz w:val="20"/>
                <w:vertAlign w:val="superscript"/>
              </w:rPr>
              <w:t>d</w:t>
            </w:r>
            <w:proofErr w:type="spellEnd"/>
          </w:p>
        </w:tc>
      </w:tr>
      <w:tr w:rsidR="008C7770" w:rsidRPr="002E6BC6" w:rsidTr="00A04DFC">
        <w:trPr>
          <w:tblHeader/>
        </w:trPr>
        <w:tc>
          <w:tcPr>
            <w:tcW w:w="2502" w:type="pct"/>
            <w:gridSpan w:val="2"/>
          </w:tcPr>
          <w:p w:rsidR="008C7770" w:rsidRPr="002E6BC6" w:rsidRDefault="005801EA" w:rsidP="005801EA">
            <w:pPr>
              <w:pStyle w:val="PBACHeading1"/>
              <w:numPr>
                <w:ilvl w:val="0"/>
                <w:numId w:val="0"/>
              </w:numPr>
              <w:jc w:val="center"/>
              <w:rPr>
                <w:rFonts w:ascii="Arial Narrow" w:eastAsiaTheme="minorHAnsi" w:hAnsi="Arial Narrow"/>
                <w:b w:val="0"/>
                <w:snapToGrid/>
                <w:sz w:val="20"/>
              </w:rPr>
            </w:pPr>
            <w:r w:rsidRPr="002E6BC6">
              <w:rPr>
                <w:rFonts w:ascii="Arial Narrow" w:eastAsiaTheme="minorHAnsi" w:hAnsi="Arial Narrow"/>
                <w:b w:val="0"/>
                <w:snapToGrid/>
                <w:sz w:val="20"/>
              </w:rPr>
              <w:t>-</w:t>
            </w:r>
          </w:p>
        </w:tc>
        <w:tc>
          <w:tcPr>
            <w:tcW w:w="2498" w:type="pct"/>
            <w:gridSpan w:val="2"/>
          </w:tcPr>
          <w:p w:rsidR="008C7770" w:rsidRPr="003E2B64" w:rsidRDefault="003E2B64" w:rsidP="005801EA">
            <w:pPr>
              <w:pStyle w:val="PBACHeading1"/>
              <w:numPr>
                <w:ilvl w:val="0"/>
                <w:numId w:val="0"/>
              </w:numPr>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5801EA" w:rsidRPr="002E6BC6" w:rsidTr="00A04DFC">
        <w:trPr>
          <w:tblHeader/>
        </w:trPr>
        <w:tc>
          <w:tcPr>
            <w:tcW w:w="5000" w:type="pct"/>
            <w:gridSpan w:val="4"/>
            <w:shd w:val="clear" w:color="auto" w:fill="BFBFBF" w:themeFill="background1" w:themeFillShade="BF"/>
          </w:tcPr>
          <w:p w:rsidR="005801EA" w:rsidRPr="002E6BC6" w:rsidRDefault="005801EA" w:rsidP="005801EA">
            <w:pPr>
              <w:pStyle w:val="PBACHeading1"/>
              <w:numPr>
                <w:ilvl w:val="0"/>
                <w:numId w:val="0"/>
              </w:numPr>
              <w:jc w:val="center"/>
              <w:rPr>
                <w:rFonts w:ascii="Arial Narrow" w:eastAsiaTheme="minorHAnsi" w:hAnsi="Arial Narrow"/>
                <w:snapToGrid/>
                <w:sz w:val="20"/>
              </w:rPr>
            </w:pPr>
            <w:proofErr w:type="spellStart"/>
            <w:r w:rsidRPr="002E6BC6">
              <w:rPr>
                <w:rFonts w:ascii="Arial Narrow" w:eastAsiaTheme="minorHAnsi" w:hAnsi="Arial Narrow"/>
                <w:snapToGrid/>
                <w:sz w:val="20"/>
              </w:rPr>
              <w:t>Copayment</w:t>
            </w:r>
            <w:proofErr w:type="spellEnd"/>
            <w:r w:rsidRPr="002E6BC6">
              <w:rPr>
                <w:rFonts w:ascii="Arial Narrow" w:eastAsiaTheme="minorHAnsi" w:hAnsi="Arial Narrow"/>
                <w:snapToGrid/>
                <w:sz w:val="20"/>
              </w:rPr>
              <w:t xml:space="preserve"> over 52 weeks</w:t>
            </w:r>
          </w:p>
        </w:tc>
      </w:tr>
      <w:tr w:rsidR="005801EA" w:rsidRPr="002E6BC6" w:rsidTr="00A04DFC">
        <w:trPr>
          <w:tblHeader/>
        </w:trPr>
        <w:tc>
          <w:tcPr>
            <w:tcW w:w="2502" w:type="pct"/>
            <w:gridSpan w:val="2"/>
          </w:tcPr>
          <w:p w:rsidR="005801EA" w:rsidRPr="002E6BC6" w:rsidRDefault="005801EA" w:rsidP="005801EA">
            <w:pPr>
              <w:pStyle w:val="PBACHeading1"/>
              <w:numPr>
                <w:ilvl w:val="0"/>
                <w:numId w:val="0"/>
              </w:numPr>
              <w:jc w:val="center"/>
              <w:rPr>
                <w:rFonts w:ascii="Arial Narrow" w:eastAsiaTheme="minorHAnsi" w:hAnsi="Arial Narrow"/>
                <w:b w:val="0"/>
                <w:snapToGrid/>
                <w:sz w:val="20"/>
              </w:rPr>
            </w:pPr>
            <w:r w:rsidRPr="002E6BC6">
              <w:rPr>
                <w:rFonts w:ascii="Arial Narrow" w:eastAsiaTheme="minorHAnsi" w:hAnsi="Arial Narrow"/>
                <w:b w:val="0"/>
                <w:snapToGrid/>
                <w:sz w:val="20"/>
              </w:rPr>
              <w:t>$124.88</w:t>
            </w:r>
          </w:p>
        </w:tc>
        <w:tc>
          <w:tcPr>
            <w:tcW w:w="2498" w:type="pct"/>
            <w:gridSpan w:val="2"/>
          </w:tcPr>
          <w:p w:rsidR="005801EA" w:rsidRPr="003E2B64" w:rsidRDefault="003E2B64" w:rsidP="005801EA">
            <w:pPr>
              <w:pStyle w:val="PBACHeading1"/>
              <w:numPr>
                <w:ilvl w:val="0"/>
                <w:numId w:val="0"/>
              </w:numPr>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5801EA" w:rsidRPr="002E6BC6" w:rsidTr="00A04DFC">
        <w:trPr>
          <w:tblHeader/>
        </w:trPr>
        <w:tc>
          <w:tcPr>
            <w:tcW w:w="5000" w:type="pct"/>
            <w:gridSpan w:val="4"/>
            <w:shd w:val="clear" w:color="auto" w:fill="BFBFBF" w:themeFill="background1" w:themeFillShade="BF"/>
          </w:tcPr>
          <w:p w:rsidR="005801EA" w:rsidRPr="002E6BC6" w:rsidRDefault="00FB3FBB" w:rsidP="00FB3FBB">
            <w:pPr>
              <w:pStyle w:val="PBACHeading1"/>
              <w:numPr>
                <w:ilvl w:val="0"/>
                <w:numId w:val="0"/>
              </w:numPr>
              <w:jc w:val="center"/>
              <w:rPr>
                <w:rFonts w:ascii="Arial Narrow" w:eastAsiaTheme="minorHAnsi" w:hAnsi="Arial Narrow"/>
                <w:snapToGrid/>
                <w:sz w:val="20"/>
              </w:rPr>
            </w:pPr>
            <w:r w:rsidRPr="002E6BC6">
              <w:rPr>
                <w:rFonts w:ascii="Arial Narrow" w:eastAsiaTheme="minorHAnsi" w:hAnsi="Arial Narrow"/>
                <w:snapToGrid/>
                <w:sz w:val="20"/>
              </w:rPr>
              <w:t>Average net cost over 52 weeks</w:t>
            </w:r>
          </w:p>
        </w:tc>
      </w:tr>
      <w:tr w:rsidR="005801EA" w:rsidRPr="002E6BC6" w:rsidTr="00A04DFC">
        <w:trPr>
          <w:trHeight w:val="108"/>
          <w:tblHeader/>
        </w:trPr>
        <w:tc>
          <w:tcPr>
            <w:tcW w:w="2502" w:type="pct"/>
            <w:gridSpan w:val="2"/>
          </w:tcPr>
          <w:p w:rsidR="005801EA" w:rsidRPr="002E6BC6" w:rsidRDefault="00FB3FBB" w:rsidP="00FB3FBB">
            <w:pPr>
              <w:pStyle w:val="PBACHeading1"/>
              <w:numPr>
                <w:ilvl w:val="0"/>
                <w:numId w:val="0"/>
              </w:numPr>
              <w:jc w:val="center"/>
              <w:rPr>
                <w:rFonts w:ascii="Arial Narrow" w:eastAsiaTheme="minorHAnsi" w:hAnsi="Arial Narrow"/>
                <w:b w:val="0"/>
                <w:snapToGrid/>
                <w:sz w:val="20"/>
              </w:rPr>
            </w:pPr>
            <w:r w:rsidRPr="002E6BC6">
              <w:rPr>
                <w:rFonts w:ascii="Arial Narrow" w:eastAsiaTheme="minorHAnsi" w:hAnsi="Arial Narrow"/>
                <w:b w:val="0"/>
                <w:snapToGrid/>
                <w:sz w:val="20"/>
              </w:rPr>
              <w:t>$</w:t>
            </w:r>
            <w:r w:rsidR="003E2B64">
              <w:rPr>
                <w:rFonts w:ascii="Arial Narrow" w:eastAsiaTheme="minorHAnsi" w:hAnsi="Arial Narrow"/>
                <w:b w:val="0"/>
                <w:noProof/>
                <w:snapToGrid/>
                <w:color w:val="000000"/>
                <w:sz w:val="20"/>
                <w:highlight w:val="black"/>
              </w:rPr>
              <w:t>'''''''''''''''''''''</w:t>
            </w:r>
          </w:p>
        </w:tc>
        <w:tc>
          <w:tcPr>
            <w:tcW w:w="2498" w:type="pct"/>
            <w:gridSpan w:val="2"/>
          </w:tcPr>
          <w:p w:rsidR="005801EA" w:rsidRPr="003E2B64" w:rsidRDefault="003E2B64" w:rsidP="00FB3FBB">
            <w:pPr>
              <w:pStyle w:val="PBACHeading1"/>
              <w:numPr>
                <w:ilvl w:val="0"/>
                <w:numId w:val="0"/>
              </w:numPr>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bl>
    <w:p w:rsidR="0094100A" w:rsidRPr="002E6BC6" w:rsidRDefault="00077FC6" w:rsidP="007829AC">
      <w:pPr>
        <w:rPr>
          <w:rFonts w:ascii="Arial Narrow" w:eastAsiaTheme="minorHAnsi" w:hAnsi="Arial Narrow"/>
          <w:sz w:val="18"/>
        </w:rPr>
      </w:pPr>
      <w:r w:rsidRPr="002E6BC6">
        <w:rPr>
          <w:rFonts w:ascii="Arial Narrow" w:eastAsiaTheme="minorHAnsi" w:hAnsi="Arial Narrow"/>
          <w:sz w:val="18"/>
        </w:rPr>
        <w:t xml:space="preserve">Source: Table 3, p16 and Table 4 p17 of the minor submission </w:t>
      </w:r>
    </w:p>
    <w:p w:rsidR="00077FC6" w:rsidRPr="002E6BC6" w:rsidRDefault="00077FC6" w:rsidP="007829AC">
      <w:pPr>
        <w:rPr>
          <w:rFonts w:ascii="Arial Narrow" w:eastAsiaTheme="minorHAnsi" w:hAnsi="Arial Narrow"/>
          <w:sz w:val="18"/>
        </w:rPr>
      </w:pPr>
      <w:r w:rsidRPr="002E6BC6">
        <w:rPr>
          <w:rFonts w:ascii="Arial Narrow" w:eastAsiaTheme="minorHAnsi" w:hAnsi="Arial Narrow"/>
          <w:sz w:val="18"/>
        </w:rPr>
        <w:t>Abbreviations: AEMP: approved ex-manufacturer price, IV: intravenous, SC: subcutaneous</w:t>
      </w:r>
    </w:p>
    <w:p w:rsidR="00077FC6" w:rsidRPr="002E6BC6" w:rsidRDefault="00077FC6" w:rsidP="007829AC">
      <w:pPr>
        <w:rPr>
          <w:rFonts w:ascii="Arial Narrow" w:eastAsiaTheme="minorHAnsi" w:hAnsi="Arial Narrow"/>
          <w:sz w:val="18"/>
        </w:rPr>
      </w:pPr>
      <w:r w:rsidRPr="002E6BC6">
        <w:rPr>
          <w:rFonts w:ascii="Arial Narrow" w:eastAsiaTheme="minorHAnsi" w:hAnsi="Arial Narrow"/>
          <w:sz w:val="18"/>
        </w:rPr>
        <w:t xml:space="preserve">Notes: </w:t>
      </w:r>
      <w:r w:rsidR="008825FA" w:rsidRPr="002E6BC6">
        <w:rPr>
          <w:rFonts w:ascii="Arial Narrow" w:eastAsiaTheme="minorHAnsi" w:hAnsi="Arial Narrow"/>
          <w:sz w:val="18"/>
          <w:vertAlign w:val="superscript"/>
        </w:rPr>
        <w:t>a</w:t>
      </w:r>
      <w:r w:rsidR="008825FA" w:rsidRPr="002E6BC6">
        <w:rPr>
          <w:rFonts w:ascii="Arial Narrow" w:eastAsiaTheme="minorHAnsi" w:hAnsi="Arial Narrow"/>
          <w:sz w:val="18"/>
        </w:rPr>
        <w:t xml:space="preserve"> Based on data from the CHERISH trial comparing </w:t>
      </w:r>
      <w:proofErr w:type="spellStart"/>
      <w:r w:rsidR="008825FA" w:rsidRPr="002E6BC6">
        <w:rPr>
          <w:rFonts w:ascii="Arial Narrow" w:eastAsiaTheme="minorHAnsi" w:hAnsi="Arial Narrow"/>
          <w:sz w:val="18"/>
        </w:rPr>
        <w:t>tocilizumab</w:t>
      </w:r>
      <w:proofErr w:type="spellEnd"/>
      <w:r w:rsidR="008825FA" w:rsidRPr="002E6BC6">
        <w:rPr>
          <w:rFonts w:ascii="Arial Narrow" w:eastAsiaTheme="minorHAnsi" w:hAnsi="Arial Narrow"/>
          <w:sz w:val="18"/>
        </w:rPr>
        <w:t xml:space="preserve"> IV with placebo in patients with</w:t>
      </w:r>
      <w:r w:rsidR="00EC0BCC" w:rsidRPr="002E6BC6">
        <w:rPr>
          <w:rFonts w:ascii="Arial Narrow" w:eastAsiaTheme="minorHAnsi" w:hAnsi="Arial Narrow"/>
          <w:sz w:val="18"/>
        </w:rPr>
        <w:t xml:space="preserve"> </w:t>
      </w:r>
      <w:proofErr w:type="spellStart"/>
      <w:r w:rsidR="00EC0BCC" w:rsidRPr="002E6BC6">
        <w:rPr>
          <w:rFonts w:ascii="Arial Narrow" w:eastAsiaTheme="minorHAnsi" w:hAnsi="Arial Narrow"/>
          <w:sz w:val="18"/>
        </w:rPr>
        <w:t>polyarticular</w:t>
      </w:r>
      <w:proofErr w:type="spellEnd"/>
      <w:r w:rsidR="00EC0BCC" w:rsidRPr="002E6BC6">
        <w:rPr>
          <w:rFonts w:ascii="Arial Narrow" w:eastAsiaTheme="minorHAnsi" w:hAnsi="Arial Narrow"/>
          <w:sz w:val="18"/>
        </w:rPr>
        <w:t xml:space="preserve"> active course JIA</w:t>
      </w:r>
      <w:r w:rsidR="00467C1A" w:rsidRPr="002E6BC6">
        <w:rPr>
          <w:rFonts w:ascii="Arial Narrow" w:eastAsiaTheme="minorHAnsi" w:hAnsi="Arial Narrow"/>
          <w:sz w:val="18"/>
        </w:rPr>
        <w:t>;</w:t>
      </w:r>
      <w:r w:rsidR="00EC0BCC" w:rsidRPr="002E6BC6">
        <w:rPr>
          <w:rFonts w:ascii="Arial Narrow" w:eastAsiaTheme="minorHAnsi" w:hAnsi="Arial Narrow"/>
          <w:sz w:val="18"/>
        </w:rPr>
        <w:t xml:space="preserve"> </w:t>
      </w:r>
    </w:p>
    <w:p w:rsidR="007D4484" w:rsidRPr="002E6BC6" w:rsidRDefault="00B765B3" w:rsidP="007829AC">
      <w:pPr>
        <w:rPr>
          <w:rFonts w:ascii="Arial Narrow" w:eastAsiaTheme="minorHAnsi" w:hAnsi="Arial Narrow"/>
          <w:sz w:val="18"/>
        </w:rPr>
      </w:pPr>
      <w:proofErr w:type="gramStart"/>
      <w:r w:rsidRPr="002E6BC6">
        <w:rPr>
          <w:rFonts w:ascii="Arial Narrow" w:eastAsiaTheme="minorHAnsi" w:hAnsi="Arial Narrow"/>
          <w:sz w:val="18"/>
          <w:vertAlign w:val="superscript"/>
        </w:rPr>
        <w:t>b</w:t>
      </w:r>
      <w:proofErr w:type="gramEnd"/>
      <w:r w:rsidRPr="002E6BC6">
        <w:rPr>
          <w:rFonts w:ascii="Arial Narrow" w:eastAsiaTheme="minorHAnsi" w:hAnsi="Arial Narrow"/>
          <w:sz w:val="18"/>
        </w:rPr>
        <w:t xml:space="preserve"> Weighted </w:t>
      </w:r>
      <w:r w:rsidR="005C59BF" w:rsidRPr="002E6BC6">
        <w:rPr>
          <w:rFonts w:ascii="Arial Narrow" w:eastAsiaTheme="minorHAnsi" w:hAnsi="Arial Narrow"/>
          <w:sz w:val="18"/>
        </w:rPr>
        <w:t xml:space="preserve">AEMP </w:t>
      </w:r>
      <w:r w:rsidRPr="002E6BC6">
        <w:rPr>
          <w:rFonts w:ascii="Arial Narrow" w:eastAsiaTheme="minorHAnsi" w:hAnsi="Arial Narrow"/>
          <w:sz w:val="18"/>
        </w:rPr>
        <w:t>based on weight group pro</w:t>
      </w:r>
      <w:r w:rsidR="00467C1A" w:rsidRPr="002E6BC6">
        <w:rPr>
          <w:rFonts w:ascii="Arial Narrow" w:eastAsiaTheme="minorHAnsi" w:hAnsi="Arial Narrow"/>
          <w:sz w:val="18"/>
        </w:rPr>
        <w:t>portions from the CHERISH trial;</w:t>
      </w:r>
      <w:r w:rsidR="007D4484" w:rsidRPr="002E6BC6">
        <w:rPr>
          <w:rFonts w:ascii="Arial Narrow" w:eastAsiaTheme="minorHAnsi" w:hAnsi="Arial Narrow"/>
          <w:sz w:val="18"/>
        </w:rPr>
        <w:t xml:space="preserve"> </w:t>
      </w:r>
      <w:r w:rsidR="007D4484" w:rsidRPr="002E6BC6">
        <w:rPr>
          <w:rFonts w:ascii="Arial Narrow" w:eastAsiaTheme="minorHAnsi" w:hAnsi="Arial Narrow"/>
          <w:sz w:val="18"/>
          <w:vertAlign w:val="superscript"/>
        </w:rPr>
        <w:t>c</w:t>
      </w:r>
      <w:r w:rsidR="007D4484" w:rsidRPr="002E6BC6">
        <w:rPr>
          <w:rFonts w:ascii="Arial Narrow" w:eastAsiaTheme="minorHAnsi" w:hAnsi="Arial Narrow"/>
          <w:sz w:val="18"/>
        </w:rPr>
        <w:t xml:space="preserve"> Private/public hospital split of 18.2%/81.8% derived from </w:t>
      </w:r>
    </w:p>
    <w:p w:rsidR="007D4484" w:rsidRPr="002E6BC6" w:rsidRDefault="005C59BF" w:rsidP="009F4DCE">
      <w:pPr>
        <w:rPr>
          <w:rFonts w:eastAsiaTheme="minorHAnsi"/>
        </w:rPr>
      </w:pPr>
      <w:r w:rsidRPr="002E6BC6">
        <w:rPr>
          <w:rFonts w:ascii="Arial Narrow" w:eastAsiaTheme="minorHAnsi" w:hAnsi="Arial Narrow"/>
          <w:sz w:val="18"/>
        </w:rPr>
        <w:t>M</w:t>
      </w:r>
      <w:r w:rsidR="007D4484" w:rsidRPr="002E6BC6">
        <w:rPr>
          <w:rFonts w:ascii="Arial Narrow" w:eastAsiaTheme="minorHAnsi" w:hAnsi="Arial Narrow"/>
          <w:sz w:val="18"/>
        </w:rPr>
        <w:t>edicare statistics (PBS/RPBS items processed between September 2017 to October 2018)</w:t>
      </w:r>
      <w:r w:rsidR="00543A06" w:rsidRPr="002E6BC6">
        <w:rPr>
          <w:rFonts w:ascii="Arial Narrow" w:eastAsiaTheme="minorHAnsi" w:hAnsi="Arial Narrow"/>
          <w:sz w:val="18"/>
        </w:rPr>
        <w:t xml:space="preserve">; </w:t>
      </w:r>
      <w:r w:rsidR="007D4484" w:rsidRPr="002E6BC6">
        <w:rPr>
          <w:rFonts w:ascii="Arial Narrow" w:eastAsiaTheme="minorHAnsi" w:hAnsi="Arial Narrow"/>
          <w:sz w:val="18"/>
          <w:vertAlign w:val="superscript"/>
        </w:rPr>
        <w:t xml:space="preserve">d </w:t>
      </w:r>
      <w:r w:rsidR="00133520" w:rsidRPr="002E6BC6">
        <w:rPr>
          <w:rFonts w:ascii="Arial Narrow" w:eastAsiaTheme="minorHAnsi" w:hAnsi="Arial Narrow"/>
          <w:sz w:val="18"/>
        </w:rPr>
        <w:t>Based on MBS item 14245</w:t>
      </w:r>
    </w:p>
    <w:p w:rsidR="009559FB" w:rsidRPr="002E6BC6" w:rsidRDefault="009559FB" w:rsidP="000334C9">
      <w:pPr>
        <w:pStyle w:val="ListParagraph"/>
        <w:widowControl/>
        <w:numPr>
          <w:ilvl w:val="1"/>
          <w:numId w:val="14"/>
        </w:numPr>
        <w:spacing w:before="120" w:after="120"/>
        <w:contextualSpacing w:val="0"/>
        <w:rPr>
          <w:rFonts w:asciiTheme="minorHAnsi" w:eastAsiaTheme="minorHAnsi" w:hAnsiTheme="minorHAnsi" w:cstheme="minorBidi"/>
          <w:snapToGrid/>
          <w:color w:val="000000" w:themeColor="text1"/>
          <w:sz w:val="24"/>
          <w:szCs w:val="22"/>
        </w:rPr>
      </w:pPr>
      <w:r w:rsidRPr="002E6BC6">
        <w:rPr>
          <w:rFonts w:asciiTheme="minorHAnsi" w:hAnsiTheme="minorHAnsi"/>
          <w:color w:val="000000" w:themeColor="text1"/>
          <w:sz w:val="24"/>
          <w:szCs w:val="24"/>
        </w:rPr>
        <w:t>The minor submission utilised pati</w:t>
      </w:r>
      <w:r w:rsidR="000522FE" w:rsidRPr="002E6BC6">
        <w:rPr>
          <w:rFonts w:asciiTheme="minorHAnsi" w:hAnsiTheme="minorHAnsi"/>
          <w:color w:val="000000" w:themeColor="text1"/>
          <w:sz w:val="24"/>
          <w:szCs w:val="24"/>
        </w:rPr>
        <w:t>ent data from the CHERISH trial</w:t>
      </w:r>
      <w:r w:rsidR="00BB329B" w:rsidRPr="002E6BC6">
        <w:rPr>
          <w:rFonts w:asciiTheme="minorHAnsi" w:hAnsiTheme="minorHAnsi"/>
          <w:color w:val="000000" w:themeColor="text1"/>
          <w:sz w:val="24"/>
          <w:szCs w:val="24"/>
        </w:rPr>
        <w:t xml:space="preserve"> (which the November 2013 </w:t>
      </w:r>
      <w:proofErr w:type="spellStart"/>
      <w:r w:rsidR="00BB329B" w:rsidRPr="002E6BC6">
        <w:rPr>
          <w:rFonts w:asciiTheme="minorHAnsi" w:hAnsiTheme="minorHAnsi"/>
          <w:color w:val="000000" w:themeColor="text1"/>
          <w:sz w:val="24"/>
          <w:szCs w:val="24"/>
        </w:rPr>
        <w:t>tocilizumab</w:t>
      </w:r>
      <w:proofErr w:type="spellEnd"/>
      <w:r w:rsidR="005076C7" w:rsidRPr="002E6BC6">
        <w:rPr>
          <w:rFonts w:asciiTheme="minorHAnsi" w:hAnsiTheme="minorHAnsi"/>
          <w:color w:val="000000" w:themeColor="text1"/>
          <w:sz w:val="24"/>
          <w:szCs w:val="24"/>
        </w:rPr>
        <w:t xml:space="preserve"> IV</w:t>
      </w:r>
      <w:r w:rsidR="00BB329B" w:rsidRPr="002E6BC6">
        <w:rPr>
          <w:rFonts w:asciiTheme="minorHAnsi" w:hAnsiTheme="minorHAnsi"/>
          <w:color w:val="000000" w:themeColor="text1"/>
          <w:sz w:val="24"/>
          <w:szCs w:val="24"/>
        </w:rPr>
        <w:t xml:space="preserve"> submission was based on)</w:t>
      </w:r>
      <w:r w:rsidR="000522FE" w:rsidRPr="002E6BC6">
        <w:rPr>
          <w:rFonts w:asciiTheme="minorHAnsi" w:hAnsiTheme="minorHAnsi"/>
          <w:color w:val="000000" w:themeColor="text1"/>
          <w:sz w:val="24"/>
          <w:szCs w:val="24"/>
        </w:rPr>
        <w:t xml:space="preserve">, a phase III randomised double-blind placebo controlled trial comparing </w:t>
      </w:r>
      <w:proofErr w:type="spellStart"/>
      <w:r w:rsidR="000522FE" w:rsidRPr="002E6BC6">
        <w:rPr>
          <w:rFonts w:asciiTheme="minorHAnsi" w:hAnsiTheme="minorHAnsi"/>
          <w:color w:val="000000" w:themeColor="text1"/>
          <w:sz w:val="24"/>
          <w:szCs w:val="24"/>
        </w:rPr>
        <w:t>tocilizumab</w:t>
      </w:r>
      <w:proofErr w:type="spellEnd"/>
      <w:r w:rsidR="000522FE" w:rsidRPr="002E6BC6">
        <w:rPr>
          <w:rFonts w:asciiTheme="minorHAnsi" w:hAnsiTheme="minorHAnsi"/>
          <w:color w:val="000000" w:themeColor="text1"/>
          <w:sz w:val="24"/>
          <w:szCs w:val="24"/>
        </w:rPr>
        <w:t xml:space="preserve"> IV with placebo, to inform average body weight and </w:t>
      </w:r>
      <w:r w:rsidR="00B446A0" w:rsidRPr="002E6BC6">
        <w:rPr>
          <w:rFonts w:asciiTheme="minorHAnsi" w:hAnsiTheme="minorHAnsi"/>
          <w:color w:val="000000" w:themeColor="text1"/>
          <w:sz w:val="24"/>
          <w:szCs w:val="24"/>
        </w:rPr>
        <w:t>proportion of patients in the</w:t>
      </w:r>
      <w:r w:rsidR="000522FE" w:rsidRPr="002E6BC6">
        <w:rPr>
          <w:rFonts w:asciiTheme="minorHAnsi" w:hAnsiTheme="minorHAnsi"/>
          <w:color w:val="000000" w:themeColor="text1"/>
          <w:sz w:val="24"/>
          <w:szCs w:val="24"/>
        </w:rPr>
        <w:t xml:space="preserve"> &lt; 30 kg and </w:t>
      </w:r>
      <w:r w:rsidR="000522FE" w:rsidRPr="002E6BC6">
        <w:rPr>
          <w:rFonts w:asciiTheme="minorHAnsi" w:hAnsiTheme="minorHAnsi"/>
          <w:color w:val="000000" w:themeColor="text1"/>
          <w:sz w:val="24"/>
          <w:szCs w:val="24"/>
        </w:rPr>
        <w:sym w:font="Symbol" w:char="F0B3"/>
      </w:r>
      <w:r w:rsidR="000522FE" w:rsidRPr="002E6BC6">
        <w:rPr>
          <w:rFonts w:asciiTheme="minorHAnsi" w:hAnsiTheme="minorHAnsi"/>
          <w:color w:val="000000" w:themeColor="text1"/>
          <w:sz w:val="24"/>
          <w:szCs w:val="24"/>
        </w:rPr>
        <w:t xml:space="preserve"> 30 kg</w:t>
      </w:r>
      <w:r w:rsidR="00B446A0" w:rsidRPr="002E6BC6">
        <w:rPr>
          <w:rFonts w:asciiTheme="minorHAnsi" w:hAnsiTheme="minorHAnsi"/>
          <w:color w:val="000000" w:themeColor="text1"/>
          <w:sz w:val="24"/>
          <w:szCs w:val="24"/>
        </w:rPr>
        <w:t xml:space="preserve"> weight groups for the cost-minimisation analysis.</w:t>
      </w:r>
      <w:r w:rsidR="00E36B51" w:rsidRPr="002E6BC6">
        <w:rPr>
          <w:rFonts w:asciiTheme="minorHAnsi" w:hAnsiTheme="minorHAnsi"/>
          <w:color w:val="000000" w:themeColor="text1"/>
          <w:sz w:val="24"/>
          <w:szCs w:val="24"/>
        </w:rPr>
        <w:t xml:space="preserve"> The PBAC considered this was appropriate.</w:t>
      </w:r>
      <w:r w:rsidR="00BB329B" w:rsidRPr="002E6BC6">
        <w:rPr>
          <w:rFonts w:asciiTheme="minorHAnsi" w:hAnsiTheme="minorHAnsi"/>
          <w:i/>
          <w:color w:val="000000" w:themeColor="text1"/>
          <w:sz w:val="24"/>
          <w:szCs w:val="24"/>
        </w:rPr>
        <w:t xml:space="preserve"> </w:t>
      </w:r>
      <w:r w:rsidR="00B446A0" w:rsidRPr="002E6BC6">
        <w:rPr>
          <w:rFonts w:asciiTheme="minorHAnsi" w:hAnsiTheme="minorHAnsi"/>
          <w:color w:val="000000" w:themeColor="text1"/>
          <w:sz w:val="24"/>
          <w:szCs w:val="24"/>
        </w:rPr>
        <w:t xml:space="preserve">The minor submission deemed JIGSAW 117 insufficient to inform an economic evaluation </w:t>
      </w:r>
      <w:r w:rsidR="00BB329B" w:rsidRPr="002E6BC6">
        <w:rPr>
          <w:rFonts w:asciiTheme="minorHAnsi" w:hAnsiTheme="minorHAnsi"/>
          <w:color w:val="000000" w:themeColor="text1"/>
          <w:sz w:val="24"/>
          <w:szCs w:val="24"/>
        </w:rPr>
        <w:t xml:space="preserve">as there were less than 50 patients enrolled in the trial. </w:t>
      </w:r>
    </w:p>
    <w:p w:rsidR="00767908" w:rsidRPr="002E6BC6" w:rsidRDefault="00BB329B" w:rsidP="000334C9">
      <w:pPr>
        <w:pStyle w:val="ListParagraph"/>
        <w:widowControl/>
        <w:numPr>
          <w:ilvl w:val="1"/>
          <w:numId w:val="14"/>
        </w:numPr>
        <w:spacing w:before="120" w:after="120"/>
        <w:contextualSpacing w:val="0"/>
        <w:rPr>
          <w:rFonts w:asciiTheme="minorHAnsi" w:eastAsiaTheme="minorHAnsi" w:hAnsiTheme="minorHAnsi" w:cstheme="minorBidi"/>
          <w:snapToGrid/>
          <w:color w:val="000000" w:themeColor="text1"/>
          <w:sz w:val="24"/>
          <w:szCs w:val="22"/>
        </w:rPr>
      </w:pPr>
      <w:r w:rsidRPr="002E6BC6">
        <w:rPr>
          <w:rFonts w:asciiTheme="minorHAnsi" w:eastAsiaTheme="minorHAnsi" w:hAnsiTheme="minorHAnsi" w:cstheme="minorBidi"/>
          <w:snapToGrid/>
          <w:color w:val="000000" w:themeColor="text1"/>
          <w:sz w:val="24"/>
          <w:szCs w:val="22"/>
        </w:rPr>
        <w:t xml:space="preserve">The Product Information </w:t>
      </w:r>
      <w:r w:rsidR="005C59BF" w:rsidRPr="002E6BC6">
        <w:rPr>
          <w:rFonts w:asciiTheme="minorHAnsi" w:eastAsiaTheme="minorHAnsi" w:hAnsiTheme="minorHAnsi" w:cstheme="minorBidi"/>
          <w:snapToGrid/>
          <w:color w:val="000000" w:themeColor="text1"/>
          <w:sz w:val="24"/>
          <w:szCs w:val="22"/>
        </w:rPr>
        <w:t xml:space="preserve">(PI) </w:t>
      </w:r>
      <w:r w:rsidRPr="002E6BC6">
        <w:rPr>
          <w:rFonts w:asciiTheme="minorHAnsi" w:eastAsiaTheme="minorHAnsi" w:hAnsiTheme="minorHAnsi" w:cstheme="minorBidi"/>
          <w:snapToGrid/>
          <w:color w:val="000000" w:themeColor="text1"/>
          <w:sz w:val="24"/>
          <w:szCs w:val="22"/>
        </w:rPr>
        <w:t>specifie</w:t>
      </w:r>
      <w:r w:rsidR="005C7785" w:rsidRPr="002E6BC6">
        <w:rPr>
          <w:rFonts w:asciiTheme="minorHAnsi" w:eastAsiaTheme="minorHAnsi" w:hAnsiTheme="minorHAnsi" w:cstheme="minorBidi"/>
          <w:snapToGrid/>
          <w:color w:val="000000" w:themeColor="text1"/>
          <w:sz w:val="24"/>
          <w:szCs w:val="22"/>
        </w:rPr>
        <w:t>d</w:t>
      </w:r>
      <w:r w:rsidRPr="002E6BC6">
        <w:rPr>
          <w:rFonts w:asciiTheme="minorHAnsi" w:eastAsiaTheme="minorHAnsi" w:hAnsiTheme="minorHAnsi" w:cstheme="minorBidi"/>
          <w:snapToGrid/>
          <w:color w:val="000000" w:themeColor="text1"/>
          <w:sz w:val="24"/>
          <w:szCs w:val="22"/>
        </w:rPr>
        <w:t xml:space="preserve"> that at least the first injection of </w:t>
      </w:r>
      <w:proofErr w:type="spellStart"/>
      <w:r w:rsidRPr="002E6BC6">
        <w:rPr>
          <w:rFonts w:asciiTheme="minorHAnsi" w:eastAsiaTheme="minorHAnsi" w:hAnsiTheme="minorHAnsi" w:cstheme="minorBidi"/>
          <w:snapToGrid/>
          <w:color w:val="000000" w:themeColor="text1"/>
          <w:sz w:val="24"/>
          <w:szCs w:val="22"/>
        </w:rPr>
        <w:t>tocilizumab</w:t>
      </w:r>
      <w:proofErr w:type="spellEnd"/>
      <w:r w:rsidRPr="002E6BC6">
        <w:rPr>
          <w:rFonts w:asciiTheme="minorHAnsi" w:eastAsiaTheme="minorHAnsi" w:hAnsiTheme="minorHAnsi" w:cstheme="minorBidi"/>
          <w:snapToGrid/>
          <w:color w:val="000000" w:themeColor="text1"/>
          <w:sz w:val="24"/>
          <w:szCs w:val="22"/>
        </w:rPr>
        <w:t xml:space="preserve"> SC </w:t>
      </w:r>
      <w:r w:rsidR="009E45AD" w:rsidRPr="002E6BC6">
        <w:rPr>
          <w:rFonts w:asciiTheme="minorHAnsi" w:eastAsiaTheme="minorHAnsi" w:hAnsiTheme="minorHAnsi" w:cstheme="minorBidi"/>
          <w:snapToGrid/>
          <w:color w:val="000000" w:themeColor="text1"/>
          <w:sz w:val="24"/>
          <w:szCs w:val="22"/>
        </w:rPr>
        <w:t>must be performed under the supervision of a qualified healthcare professional, in a healthcare facility with the necessary medical treatment available (including resuscitation equipment, protocols and appropriately trained personnel) in case of the need to initiate management of serious hypersensitivity reactions, including anaphylaxis (</w:t>
      </w:r>
      <w:proofErr w:type="spellStart"/>
      <w:r w:rsidR="009E45AD" w:rsidRPr="002E6BC6">
        <w:rPr>
          <w:rFonts w:asciiTheme="minorHAnsi" w:eastAsiaTheme="minorHAnsi" w:hAnsiTheme="minorHAnsi" w:cstheme="minorBidi"/>
          <w:snapToGrid/>
          <w:color w:val="000000" w:themeColor="text1"/>
          <w:sz w:val="24"/>
          <w:szCs w:val="22"/>
        </w:rPr>
        <w:t>tocilizumab</w:t>
      </w:r>
      <w:proofErr w:type="spellEnd"/>
      <w:r w:rsidR="009E45AD" w:rsidRPr="002E6BC6">
        <w:rPr>
          <w:rFonts w:asciiTheme="minorHAnsi" w:eastAsiaTheme="minorHAnsi" w:hAnsiTheme="minorHAnsi" w:cstheme="minorBidi"/>
          <w:snapToGrid/>
          <w:color w:val="000000" w:themeColor="text1"/>
          <w:sz w:val="24"/>
          <w:szCs w:val="22"/>
        </w:rPr>
        <w:t xml:space="preserve"> PI, p3). A consultation item fee has not been included in the </w:t>
      </w:r>
      <w:proofErr w:type="spellStart"/>
      <w:r w:rsidR="009E45AD" w:rsidRPr="002E6BC6">
        <w:rPr>
          <w:rFonts w:asciiTheme="minorHAnsi" w:eastAsiaTheme="minorHAnsi" w:hAnsiTheme="minorHAnsi" w:cstheme="minorBidi"/>
          <w:snapToGrid/>
          <w:color w:val="000000" w:themeColor="text1"/>
          <w:sz w:val="24"/>
          <w:szCs w:val="22"/>
        </w:rPr>
        <w:lastRenderedPageBreak/>
        <w:t>tocilizumab</w:t>
      </w:r>
      <w:proofErr w:type="spellEnd"/>
      <w:r w:rsidR="009E45AD" w:rsidRPr="002E6BC6">
        <w:rPr>
          <w:rFonts w:asciiTheme="minorHAnsi" w:eastAsiaTheme="minorHAnsi" w:hAnsiTheme="minorHAnsi" w:cstheme="minorBidi"/>
          <w:snapToGrid/>
          <w:color w:val="000000" w:themeColor="text1"/>
          <w:sz w:val="24"/>
          <w:szCs w:val="22"/>
        </w:rPr>
        <w:t xml:space="preserve"> SC arm of the cost-minimisation analysis</w:t>
      </w:r>
      <w:r w:rsidR="00107DD6" w:rsidRPr="002E6BC6">
        <w:rPr>
          <w:rFonts w:asciiTheme="minorHAnsi" w:eastAsiaTheme="minorHAnsi" w:hAnsiTheme="minorHAnsi" w:cstheme="minorBidi"/>
          <w:snapToGrid/>
          <w:color w:val="000000" w:themeColor="text1"/>
          <w:sz w:val="24"/>
          <w:szCs w:val="22"/>
        </w:rPr>
        <w:t xml:space="preserve">. </w:t>
      </w:r>
      <w:r w:rsidR="00767908" w:rsidRPr="002E6BC6">
        <w:rPr>
          <w:rFonts w:asciiTheme="minorHAnsi" w:eastAsiaTheme="minorHAnsi" w:hAnsiTheme="minorHAnsi" w:cstheme="minorBidi"/>
          <w:snapToGrid/>
          <w:color w:val="000000" w:themeColor="text1"/>
          <w:sz w:val="24"/>
          <w:szCs w:val="22"/>
        </w:rPr>
        <w:t>T</w:t>
      </w:r>
      <w:r w:rsidR="00AD507C" w:rsidRPr="002E6BC6">
        <w:rPr>
          <w:rFonts w:asciiTheme="minorHAnsi" w:eastAsiaTheme="minorHAnsi" w:hAnsiTheme="minorHAnsi" w:cstheme="minorBidi"/>
          <w:snapToGrid/>
          <w:color w:val="000000" w:themeColor="text1"/>
          <w:sz w:val="24"/>
          <w:szCs w:val="22"/>
        </w:rPr>
        <w:t>he p</w:t>
      </w:r>
      <w:r w:rsidR="00767908" w:rsidRPr="002E6BC6">
        <w:rPr>
          <w:rFonts w:asciiTheme="minorHAnsi" w:eastAsiaTheme="minorHAnsi" w:hAnsiTheme="minorHAnsi" w:cstheme="minorBidi"/>
          <w:snapToGrid/>
          <w:color w:val="000000" w:themeColor="text1"/>
          <w:sz w:val="24"/>
          <w:szCs w:val="22"/>
        </w:rPr>
        <w:t xml:space="preserve">re-PBAC response </w:t>
      </w:r>
      <w:r w:rsidR="003B5B57" w:rsidRPr="002E6BC6">
        <w:rPr>
          <w:rFonts w:asciiTheme="minorHAnsi" w:eastAsiaTheme="minorHAnsi" w:hAnsiTheme="minorHAnsi" w:cstheme="minorBidi"/>
          <w:snapToGrid/>
          <w:color w:val="000000" w:themeColor="text1"/>
          <w:sz w:val="24"/>
          <w:szCs w:val="22"/>
        </w:rPr>
        <w:t>claimed</w:t>
      </w:r>
      <w:r w:rsidR="00767908" w:rsidRPr="002E6BC6">
        <w:rPr>
          <w:rFonts w:asciiTheme="minorHAnsi" w:eastAsiaTheme="minorHAnsi" w:hAnsiTheme="minorHAnsi" w:cstheme="minorBidi"/>
          <w:snapToGrid/>
          <w:color w:val="000000" w:themeColor="text1"/>
          <w:sz w:val="24"/>
          <w:szCs w:val="22"/>
        </w:rPr>
        <w:t xml:space="preserve"> it </w:t>
      </w:r>
      <w:r w:rsidR="003B5B57" w:rsidRPr="002E6BC6">
        <w:rPr>
          <w:rFonts w:asciiTheme="minorHAnsi" w:eastAsiaTheme="minorHAnsi" w:hAnsiTheme="minorHAnsi" w:cstheme="minorBidi"/>
          <w:snapToGrid/>
          <w:color w:val="000000" w:themeColor="text1"/>
          <w:sz w:val="24"/>
          <w:szCs w:val="22"/>
        </w:rPr>
        <w:t xml:space="preserve">is </w:t>
      </w:r>
      <w:r w:rsidR="00767908" w:rsidRPr="002E6BC6">
        <w:rPr>
          <w:rFonts w:asciiTheme="minorHAnsi" w:eastAsiaTheme="minorHAnsi" w:hAnsiTheme="minorHAnsi" w:cstheme="minorBidi"/>
          <w:snapToGrid/>
          <w:color w:val="000000" w:themeColor="text1"/>
          <w:sz w:val="24"/>
          <w:szCs w:val="22"/>
        </w:rPr>
        <w:t>standard practice to administer</w:t>
      </w:r>
      <w:r w:rsidR="00E36B51" w:rsidRPr="002E6BC6">
        <w:rPr>
          <w:rFonts w:asciiTheme="minorHAnsi" w:eastAsiaTheme="minorHAnsi" w:hAnsiTheme="minorHAnsi" w:cstheme="minorBidi"/>
          <w:snapToGrid/>
          <w:color w:val="000000" w:themeColor="text1"/>
          <w:sz w:val="24"/>
          <w:szCs w:val="22"/>
        </w:rPr>
        <w:t xml:space="preserve"> the</w:t>
      </w:r>
      <w:r w:rsidR="00767908" w:rsidRPr="002E6BC6">
        <w:rPr>
          <w:rFonts w:asciiTheme="minorHAnsi" w:eastAsiaTheme="minorHAnsi" w:hAnsiTheme="minorHAnsi" w:cstheme="minorBidi"/>
          <w:snapToGrid/>
          <w:color w:val="000000" w:themeColor="text1"/>
          <w:sz w:val="24"/>
          <w:szCs w:val="22"/>
        </w:rPr>
        <w:t xml:space="preserve"> initial dose of </w:t>
      </w:r>
      <w:proofErr w:type="spellStart"/>
      <w:r w:rsidR="00767908" w:rsidRPr="002E6BC6">
        <w:rPr>
          <w:rFonts w:asciiTheme="minorHAnsi" w:eastAsiaTheme="minorHAnsi" w:hAnsiTheme="minorHAnsi" w:cstheme="minorBidi"/>
          <w:snapToGrid/>
          <w:color w:val="000000" w:themeColor="text1"/>
          <w:sz w:val="24"/>
          <w:szCs w:val="22"/>
        </w:rPr>
        <w:t>tocilizumab</w:t>
      </w:r>
      <w:proofErr w:type="spellEnd"/>
      <w:r w:rsidR="00767908" w:rsidRPr="002E6BC6">
        <w:rPr>
          <w:rFonts w:asciiTheme="minorHAnsi" w:eastAsiaTheme="minorHAnsi" w:hAnsiTheme="minorHAnsi" w:cstheme="minorBidi"/>
          <w:snapToGrid/>
          <w:color w:val="000000" w:themeColor="text1"/>
          <w:sz w:val="24"/>
          <w:szCs w:val="22"/>
        </w:rPr>
        <w:t xml:space="preserve"> SC </w:t>
      </w:r>
      <w:r w:rsidR="003B5B57" w:rsidRPr="002E6BC6">
        <w:rPr>
          <w:rFonts w:asciiTheme="minorHAnsi" w:eastAsiaTheme="minorHAnsi" w:hAnsiTheme="minorHAnsi" w:cstheme="minorBidi"/>
          <w:snapToGrid/>
          <w:color w:val="000000" w:themeColor="text1"/>
          <w:sz w:val="24"/>
          <w:szCs w:val="22"/>
        </w:rPr>
        <w:t xml:space="preserve">at the time of prescribing and that this practice </w:t>
      </w:r>
      <w:proofErr w:type="gramStart"/>
      <w:r w:rsidR="003B5B57" w:rsidRPr="002E6BC6">
        <w:rPr>
          <w:rFonts w:asciiTheme="minorHAnsi" w:eastAsiaTheme="minorHAnsi" w:hAnsiTheme="minorHAnsi" w:cstheme="minorBidi"/>
          <w:snapToGrid/>
          <w:color w:val="000000" w:themeColor="text1"/>
          <w:sz w:val="24"/>
          <w:szCs w:val="22"/>
        </w:rPr>
        <w:t>is</w:t>
      </w:r>
      <w:r w:rsidR="00767908" w:rsidRPr="002E6BC6">
        <w:rPr>
          <w:rFonts w:asciiTheme="minorHAnsi" w:eastAsiaTheme="minorHAnsi" w:hAnsiTheme="minorHAnsi" w:cstheme="minorBidi"/>
          <w:snapToGrid/>
          <w:color w:val="000000" w:themeColor="text1"/>
          <w:sz w:val="24"/>
          <w:szCs w:val="22"/>
        </w:rPr>
        <w:t xml:space="preserve"> facilitated</w:t>
      </w:r>
      <w:proofErr w:type="gramEnd"/>
      <w:r w:rsidR="003B5B57" w:rsidRPr="002E6BC6">
        <w:rPr>
          <w:rFonts w:asciiTheme="minorHAnsi" w:eastAsiaTheme="minorHAnsi" w:hAnsiTheme="minorHAnsi" w:cstheme="minorBidi"/>
          <w:snapToGrid/>
          <w:color w:val="000000" w:themeColor="text1"/>
          <w:sz w:val="24"/>
          <w:szCs w:val="22"/>
        </w:rPr>
        <w:t xml:space="preserve"> by </w:t>
      </w:r>
      <w:r w:rsidR="00767908" w:rsidRPr="002E6BC6">
        <w:rPr>
          <w:rFonts w:asciiTheme="minorHAnsi" w:eastAsiaTheme="minorHAnsi" w:hAnsiTheme="minorHAnsi" w:cstheme="minorBidi"/>
          <w:snapToGrid/>
          <w:color w:val="000000" w:themeColor="text1"/>
          <w:sz w:val="24"/>
          <w:szCs w:val="22"/>
        </w:rPr>
        <w:t xml:space="preserve">a </w:t>
      </w:r>
      <w:r w:rsidR="003B5B57" w:rsidRPr="002E6BC6">
        <w:rPr>
          <w:rFonts w:asciiTheme="minorHAnsi" w:eastAsiaTheme="minorHAnsi" w:hAnsiTheme="minorHAnsi" w:cstheme="minorBidi"/>
          <w:snapToGrid/>
          <w:color w:val="000000" w:themeColor="text1"/>
          <w:sz w:val="24"/>
          <w:szCs w:val="22"/>
        </w:rPr>
        <w:t>S</w:t>
      </w:r>
      <w:r w:rsidR="00767908" w:rsidRPr="002E6BC6">
        <w:rPr>
          <w:rFonts w:asciiTheme="minorHAnsi" w:eastAsiaTheme="minorHAnsi" w:hAnsiTheme="minorHAnsi" w:cstheme="minorBidi"/>
          <w:snapToGrid/>
          <w:color w:val="000000" w:themeColor="text1"/>
          <w:sz w:val="24"/>
          <w:szCs w:val="22"/>
        </w:rPr>
        <w:t>ampling Program</w:t>
      </w:r>
      <w:r w:rsidR="003B5B57" w:rsidRPr="002E6BC6">
        <w:rPr>
          <w:rFonts w:asciiTheme="minorHAnsi" w:eastAsiaTheme="minorHAnsi" w:hAnsiTheme="minorHAnsi" w:cstheme="minorBidi"/>
          <w:snapToGrid/>
          <w:color w:val="000000" w:themeColor="text1"/>
          <w:sz w:val="24"/>
          <w:szCs w:val="22"/>
        </w:rPr>
        <w:t xml:space="preserve"> run by the </w:t>
      </w:r>
      <w:r w:rsidR="002E6BC6" w:rsidRPr="002E6BC6">
        <w:rPr>
          <w:rFonts w:asciiTheme="minorHAnsi" w:eastAsiaTheme="minorHAnsi" w:hAnsiTheme="minorHAnsi" w:cstheme="minorBidi"/>
          <w:snapToGrid/>
          <w:color w:val="000000" w:themeColor="text1"/>
          <w:sz w:val="24"/>
          <w:szCs w:val="22"/>
        </w:rPr>
        <w:t>sponsor that</w:t>
      </w:r>
      <w:r w:rsidR="00767908" w:rsidRPr="002E6BC6">
        <w:rPr>
          <w:rFonts w:asciiTheme="minorHAnsi" w:eastAsiaTheme="minorHAnsi" w:hAnsiTheme="minorHAnsi" w:cstheme="minorBidi"/>
          <w:snapToGrid/>
          <w:color w:val="000000" w:themeColor="text1"/>
          <w:sz w:val="24"/>
          <w:szCs w:val="22"/>
        </w:rPr>
        <w:t xml:space="preserve"> provides the prescriber with free </w:t>
      </w:r>
      <w:proofErr w:type="spellStart"/>
      <w:r w:rsidR="00767908" w:rsidRPr="002E6BC6">
        <w:rPr>
          <w:rFonts w:asciiTheme="minorHAnsi" w:eastAsiaTheme="minorHAnsi" w:hAnsiTheme="minorHAnsi" w:cstheme="minorBidi"/>
          <w:snapToGrid/>
          <w:color w:val="000000" w:themeColor="text1"/>
          <w:sz w:val="24"/>
          <w:szCs w:val="22"/>
        </w:rPr>
        <w:t>tocilizumab</w:t>
      </w:r>
      <w:proofErr w:type="spellEnd"/>
      <w:r w:rsidR="00767908" w:rsidRPr="002E6BC6">
        <w:rPr>
          <w:rFonts w:asciiTheme="minorHAnsi" w:eastAsiaTheme="minorHAnsi" w:hAnsiTheme="minorHAnsi" w:cstheme="minorBidi"/>
          <w:snapToGrid/>
          <w:color w:val="000000" w:themeColor="text1"/>
          <w:sz w:val="24"/>
          <w:szCs w:val="22"/>
        </w:rPr>
        <w:t xml:space="preserve"> SC </w:t>
      </w:r>
      <w:r w:rsidR="002E6BC6" w:rsidRPr="002E6BC6">
        <w:rPr>
          <w:rFonts w:asciiTheme="minorHAnsi" w:eastAsiaTheme="minorHAnsi" w:hAnsiTheme="minorHAnsi" w:cstheme="minorBidi"/>
          <w:snapToGrid/>
          <w:color w:val="000000" w:themeColor="text1"/>
          <w:sz w:val="24"/>
          <w:szCs w:val="22"/>
        </w:rPr>
        <w:t>that</w:t>
      </w:r>
      <w:r w:rsidR="00767908" w:rsidRPr="002E6BC6">
        <w:rPr>
          <w:rFonts w:asciiTheme="minorHAnsi" w:eastAsiaTheme="minorHAnsi" w:hAnsiTheme="minorHAnsi" w:cstheme="minorBidi"/>
          <w:snapToGrid/>
          <w:color w:val="000000" w:themeColor="text1"/>
          <w:sz w:val="24"/>
          <w:szCs w:val="22"/>
        </w:rPr>
        <w:t xml:space="preserve"> can be administered at the time of prescribing.</w:t>
      </w:r>
      <w:r w:rsidR="003B5B57" w:rsidRPr="002E6BC6">
        <w:rPr>
          <w:rFonts w:asciiTheme="minorHAnsi" w:eastAsiaTheme="minorHAnsi" w:hAnsiTheme="minorHAnsi" w:cstheme="minorBidi"/>
          <w:snapToGrid/>
          <w:color w:val="000000" w:themeColor="text1"/>
          <w:sz w:val="24"/>
          <w:szCs w:val="22"/>
        </w:rPr>
        <w:t xml:space="preserve"> As such, the </w:t>
      </w:r>
      <w:r w:rsidR="002A0B4C">
        <w:rPr>
          <w:rFonts w:asciiTheme="minorHAnsi" w:eastAsiaTheme="minorHAnsi" w:hAnsiTheme="minorHAnsi" w:cstheme="minorBidi"/>
          <w:snapToGrid/>
          <w:color w:val="000000" w:themeColor="text1"/>
          <w:sz w:val="24"/>
          <w:szCs w:val="22"/>
        </w:rPr>
        <w:t>p</w:t>
      </w:r>
      <w:r w:rsidR="002A0B4C" w:rsidRPr="002E6BC6">
        <w:rPr>
          <w:rFonts w:asciiTheme="minorHAnsi" w:eastAsiaTheme="minorHAnsi" w:hAnsiTheme="minorHAnsi" w:cstheme="minorBidi"/>
          <w:snapToGrid/>
          <w:color w:val="000000" w:themeColor="text1"/>
          <w:sz w:val="24"/>
          <w:szCs w:val="22"/>
        </w:rPr>
        <w:t>re</w:t>
      </w:r>
      <w:r w:rsidR="003B5B57" w:rsidRPr="002E6BC6">
        <w:rPr>
          <w:rFonts w:asciiTheme="minorHAnsi" w:eastAsiaTheme="minorHAnsi" w:hAnsiTheme="minorHAnsi" w:cstheme="minorBidi"/>
          <w:snapToGrid/>
          <w:color w:val="000000" w:themeColor="text1"/>
          <w:sz w:val="24"/>
          <w:szCs w:val="22"/>
        </w:rPr>
        <w:t>-PB</w:t>
      </w:r>
      <w:r w:rsidR="005F2EF4" w:rsidRPr="002E6BC6">
        <w:rPr>
          <w:rFonts w:asciiTheme="minorHAnsi" w:eastAsiaTheme="minorHAnsi" w:hAnsiTheme="minorHAnsi" w:cstheme="minorBidi"/>
          <w:snapToGrid/>
          <w:color w:val="000000" w:themeColor="text1"/>
          <w:sz w:val="24"/>
          <w:szCs w:val="22"/>
        </w:rPr>
        <w:t xml:space="preserve">AC response argued that the consultation fees applicable when prescribing both IV and SC formulations </w:t>
      </w:r>
      <w:proofErr w:type="gramStart"/>
      <w:r w:rsidR="005F2EF4" w:rsidRPr="002E6BC6">
        <w:rPr>
          <w:rFonts w:asciiTheme="minorHAnsi" w:eastAsiaTheme="minorHAnsi" w:hAnsiTheme="minorHAnsi" w:cstheme="minorBidi"/>
          <w:snapToGrid/>
          <w:color w:val="000000" w:themeColor="text1"/>
          <w:sz w:val="24"/>
          <w:szCs w:val="22"/>
        </w:rPr>
        <w:t>are effectively offset and therefore excluded from the cost-minimisation analysis</w:t>
      </w:r>
      <w:proofErr w:type="gramEnd"/>
      <w:r w:rsidR="002E6BC6">
        <w:rPr>
          <w:rFonts w:asciiTheme="minorHAnsi" w:eastAsiaTheme="minorHAnsi" w:hAnsiTheme="minorHAnsi" w:cstheme="minorBidi"/>
          <w:snapToGrid/>
          <w:color w:val="000000" w:themeColor="text1"/>
          <w:sz w:val="24"/>
          <w:szCs w:val="22"/>
        </w:rPr>
        <w:t>.</w:t>
      </w:r>
      <w:r w:rsidR="00146AD7">
        <w:rPr>
          <w:rFonts w:asciiTheme="minorHAnsi" w:eastAsiaTheme="minorHAnsi" w:hAnsiTheme="minorHAnsi" w:cstheme="minorBidi"/>
          <w:snapToGrid/>
          <w:color w:val="000000" w:themeColor="text1"/>
          <w:sz w:val="24"/>
          <w:szCs w:val="22"/>
        </w:rPr>
        <w:t xml:space="preserve"> The PBAC noted that free samples </w:t>
      </w:r>
      <w:proofErr w:type="gramStart"/>
      <w:r w:rsidR="00146AD7">
        <w:rPr>
          <w:rFonts w:asciiTheme="minorHAnsi" w:eastAsiaTheme="minorHAnsi" w:hAnsiTheme="minorHAnsi" w:cstheme="minorBidi"/>
          <w:snapToGrid/>
          <w:color w:val="000000" w:themeColor="text1"/>
          <w:sz w:val="24"/>
          <w:szCs w:val="22"/>
        </w:rPr>
        <w:t xml:space="preserve">would not be </w:t>
      </w:r>
      <w:r w:rsidR="00DC400F">
        <w:rPr>
          <w:rFonts w:asciiTheme="minorHAnsi" w:eastAsiaTheme="minorHAnsi" w:hAnsiTheme="minorHAnsi" w:cstheme="minorBidi"/>
          <w:snapToGrid/>
          <w:color w:val="000000" w:themeColor="text1"/>
          <w:sz w:val="24"/>
          <w:szCs w:val="22"/>
        </w:rPr>
        <w:t>permitted</w:t>
      </w:r>
      <w:proofErr w:type="gramEnd"/>
      <w:r w:rsidR="00DC400F">
        <w:rPr>
          <w:rFonts w:asciiTheme="minorHAnsi" w:eastAsiaTheme="minorHAnsi" w:hAnsiTheme="minorHAnsi" w:cstheme="minorBidi"/>
          <w:snapToGrid/>
          <w:color w:val="000000" w:themeColor="text1"/>
          <w:sz w:val="24"/>
          <w:szCs w:val="22"/>
        </w:rPr>
        <w:t xml:space="preserve"> in all hospitals.</w:t>
      </w:r>
    </w:p>
    <w:p w:rsidR="003C2FB5" w:rsidRPr="002E6BC6" w:rsidRDefault="00A55FEE" w:rsidP="000334C9">
      <w:pPr>
        <w:pStyle w:val="Heading2"/>
        <w:keepLines/>
        <w:spacing w:before="120" w:after="120"/>
        <w:rPr>
          <w:rFonts w:asciiTheme="minorHAnsi" w:eastAsiaTheme="majorEastAsia" w:hAnsiTheme="minorHAnsi" w:cstheme="majorBidi"/>
          <w:sz w:val="28"/>
          <w:szCs w:val="28"/>
          <w:lang w:eastAsia="en-US"/>
        </w:rPr>
      </w:pPr>
      <w:r w:rsidRPr="002E6BC6">
        <w:rPr>
          <w:rFonts w:asciiTheme="minorHAnsi" w:eastAsiaTheme="majorEastAsia" w:hAnsiTheme="minorHAnsi" w:cstheme="majorBidi"/>
          <w:sz w:val="28"/>
          <w:szCs w:val="28"/>
          <w:lang w:eastAsia="en-US"/>
        </w:rPr>
        <w:t>Drug c</w:t>
      </w:r>
      <w:r w:rsidR="004F2102" w:rsidRPr="002E6BC6">
        <w:rPr>
          <w:rFonts w:asciiTheme="minorHAnsi" w:eastAsiaTheme="majorEastAsia" w:hAnsiTheme="minorHAnsi" w:cstheme="majorBidi"/>
          <w:sz w:val="28"/>
          <w:szCs w:val="28"/>
          <w:lang w:eastAsia="en-US"/>
        </w:rPr>
        <w:t>ost/patient/year</w:t>
      </w:r>
      <w:r w:rsidR="00AD3FC2" w:rsidRPr="002E6BC6">
        <w:rPr>
          <w:rFonts w:asciiTheme="minorHAnsi" w:eastAsiaTheme="majorEastAsia" w:hAnsiTheme="minorHAnsi" w:cstheme="majorBidi"/>
          <w:sz w:val="28"/>
          <w:szCs w:val="28"/>
          <w:lang w:eastAsia="en-US"/>
        </w:rPr>
        <w:t xml:space="preserve"> (52 weeks)</w:t>
      </w:r>
      <w:r w:rsidR="004F2102" w:rsidRPr="002E6BC6">
        <w:rPr>
          <w:rFonts w:asciiTheme="minorHAnsi" w:eastAsiaTheme="majorEastAsia" w:hAnsiTheme="minorHAnsi" w:cstheme="majorBidi"/>
          <w:sz w:val="28"/>
          <w:szCs w:val="28"/>
          <w:lang w:eastAsia="en-US"/>
        </w:rPr>
        <w:t>: $</w:t>
      </w:r>
      <w:r w:rsidR="003E2B64">
        <w:rPr>
          <w:rFonts w:asciiTheme="minorHAnsi" w:eastAsiaTheme="majorEastAsia" w:hAnsiTheme="minorHAnsi" w:cstheme="majorBidi"/>
          <w:noProof/>
          <w:color w:val="000000"/>
          <w:sz w:val="28"/>
          <w:szCs w:val="28"/>
          <w:highlight w:val="black"/>
          <w:lang w:eastAsia="en-US"/>
        </w:rPr>
        <w:t xml:space="preserve">'''''''''''''''' </w:t>
      </w:r>
    </w:p>
    <w:p w:rsidR="00A55FEE" w:rsidRPr="002E6BC6" w:rsidRDefault="00A05352" w:rsidP="000334C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The </w:t>
      </w:r>
      <w:r w:rsidR="00AD3FC2" w:rsidRPr="002E6BC6">
        <w:rPr>
          <w:rFonts w:asciiTheme="minorHAnsi" w:eastAsiaTheme="minorHAnsi" w:hAnsiTheme="minorHAnsi" w:cstheme="minorBidi"/>
          <w:snapToGrid/>
          <w:sz w:val="24"/>
          <w:szCs w:val="22"/>
        </w:rPr>
        <w:t>minor submission estimated the cost of treatment over</w:t>
      </w:r>
      <w:r w:rsidRPr="002E6BC6">
        <w:rPr>
          <w:rFonts w:asciiTheme="minorHAnsi" w:eastAsiaTheme="minorHAnsi" w:hAnsiTheme="minorHAnsi" w:cstheme="minorBidi"/>
          <w:snapToGrid/>
          <w:sz w:val="24"/>
          <w:szCs w:val="22"/>
        </w:rPr>
        <w:t xml:space="preserve"> 52 week</w:t>
      </w:r>
      <w:r w:rsidR="00AD3FC2" w:rsidRPr="002E6BC6">
        <w:rPr>
          <w:rFonts w:asciiTheme="minorHAnsi" w:eastAsiaTheme="minorHAnsi" w:hAnsiTheme="minorHAnsi" w:cstheme="minorBidi"/>
          <w:snapToGrid/>
          <w:sz w:val="24"/>
          <w:szCs w:val="22"/>
        </w:rPr>
        <w:t>s</w:t>
      </w:r>
      <w:r w:rsidRPr="002E6BC6">
        <w:rPr>
          <w:rFonts w:asciiTheme="minorHAnsi" w:eastAsiaTheme="minorHAnsi" w:hAnsiTheme="minorHAnsi" w:cstheme="minorBidi"/>
          <w:snapToGrid/>
          <w:sz w:val="24"/>
          <w:szCs w:val="22"/>
        </w:rPr>
        <w:t xml:space="preserve"> </w:t>
      </w:r>
      <w:r w:rsidR="00AD3FC2" w:rsidRPr="002E6BC6">
        <w:rPr>
          <w:rFonts w:asciiTheme="minorHAnsi" w:eastAsiaTheme="minorHAnsi" w:hAnsiTheme="minorHAnsi" w:cstheme="minorBidi"/>
          <w:snapToGrid/>
          <w:sz w:val="24"/>
          <w:szCs w:val="22"/>
        </w:rPr>
        <w:t>t</w:t>
      </w:r>
      <w:r w:rsidR="000633F5" w:rsidRPr="002E6BC6">
        <w:rPr>
          <w:rFonts w:asciiTheme="minorHAnsi" w:eastAsiaTheme="minorHAnsi" w:hAnsiTheme="minorHAnsi" w:cstheme="minorBidi"/>
          <w:snapToGrid/>
          <w:sz w:val="24"/>
          <w:szCs w:val="22"/>
        </w:rPr>
        <w:t>o be $</w:t>
      </w:r>
      <w:r w:rsidR="003E2B64">
        <w:rPr>
          <w:rFonts w:asciiTheme="minorHAnsi" w:eastAsiaTheme="minorHAnsi" w:hAnsiTheme="minorHAnsi" w:cstheme="minorBidi"/>
          <w:noProof/>
          <w:snapToGrid/>
          <w:color w:val="000000"/>
          <w:sz w:val="24"/>
          <w:szCs w:val="22"/>
          <w:highlight w:val="black"/>
        </w:rPr>
        <w:t>'''''''''''''''''</w:t>
      </w:r>
      <w:r w:rsidR="000904DD" w:rsidRPr="002E6BC6">
        <w:rPr>
          <w:rFonts w:asciiTheme="minorHAnsi" w:eastAsiaTheme="minorHAnsi" w:hAnsiTheme="minorHAnsi" w:cstheme="minorBidi"/>
          <w:snapToGrid/>
          <w:sz w:val="24"/>
          <w:szCs w:val="22"/>
        </w:rPr>
        <w:t>,</w:t>
      </w:r>
      <w:r w:rsidR="000633F5" w:rsidRPr="002E6BC6">
        <w:rPr>
          <w:rFonts w:asciiTheme="minorHAnsi" w:eastAsiaTheme="minorHAnsi" w:hAnsiTheme="minorHAnsi" w:cstheme="minorBidi"/>
          <w:snapToGrid/>
          <w:sz w:val="24"/>
          <w:szCs w:val="22"/>
        </w:rPr>
        <w:t xml:space="preserve"> based on </w:t>
      </w:r>
      <w:r w:rsidR="0032132B" w:rsidRPr="002E6BC6">
        <w:rPr>
          <w:rFonts w:asciiTheme="minorHAnsi" w:eastAsiaTheme="minorHAnsi" w:hAnsiTheme="minorHAnsi" w:cstheme="minorBidi"/>
          <w:snapToGrid/>
          <w:sz w:val="24"/>
          <w:szCs w:val="22"/>
        </w:rPr>
        <w:t>the cost-minimised AEMP of $</w:t>
      </w:r>
      <w:r w:rsidR="003E2B64">
        <w:rPr>
          <w:rFonts w:asciiTheme="minorHAnsi" w:eastAsiaTheme="minorHAnsi" w:hAnsiTheme="minorHAnsi" w:cstheme="minorBidi"/>
          <w:noProof/>
          <w:snapToGrid/>
          <w:color w:val="000000"/>
          <w:sz w:val="24"/>
          <w:szCs w:val="22"/>
          <w:highlight w:val="black"/>
        </w:rPr>
        <w:t>''''''''''''''''''</w:t>
      </w:r>
      <w:r w:rsidR="0032132B" w:rsidRPr="002E6BC6">
        <w:rPr>
          <w:rFonts w:asciiTheme="minorHAnsi" w:eastAsiaTheme="minorHAnsi" w:hAnsiTheme="minorHAnsi" w:cstheme="minorBidi"/>
          <w:snapToGrid/>
          <w:sz w:val="24"/>
          <w:szCs w:val="22"/>
        </w:rPr>
        <w:t xml:space="preserve"> for a pack of </w:t>
      </w:r>
      <w:proofErr w:type="gramStart"/>
      <w:r w:rsidR="0032132B" w:rsidRPr="002E6BC6">
        <w:rPr>
          <w:rFonts w:asciiTheme="minorHAnsi" w:eastAsiaTheme="minorHAnsi" w:hAnsiTheme="minorHAnsi" w:cstheme="minorBidi"/>
          <w:snapToGrid/>
          <w:sz w:val="24"/>
          <w:szCs w:val="22"/>
        </w:rPr>
        <w:t>4</w:t>
      </w:r>
      <w:proofErr w:type="gramEnd"/>
      <w:r w:rsidR="0032132B" w:rsidRPr="002E6BC6">
        <w:rPr>
          <w:rFonts w:asciiTheme="minorHAnsi" w:eastAsiaTheme="minorHAnsi" w:hAnsiTheme="minorHAnsi" w:cstheme="minorBidi"/>
          <w:snapToGrid/>
          <w:sz w:val="24"/>
          <w:szCs w:val="22"/>
        </w:rPr>
        <w:t xml:space="preserve"> syringes/pens.</w:t>
      </w:r>
    </w:p>
    <w:p w:rsidR="005A3173" w:rsidRPr="002E6BC6" w:rsidRDefault="005A3173" w:rsidP="000334C9">
      <w:pPr>
        <w:pStyle w:val="Heading2"/>
        <w:keepLines/>
        <w:spacing w:before="120" w:after="120"/>
        <w:rPr>
          <w:rFonts w:asciiTheme="minorHAnsi" w:eastAsiaTheme="majorEastAsia" w:hAnsiTheme="minorHAnsi" w:cstheme="majorBidi"/>
          <w:sz w:val="28"/>
          <w:szCs w:val="28"/>
          <w:lang w:eastAsia="en-US"/>
        </w:rPr>
      </w:pPr>
      <w:r w:rsidRPr="002E6BC6">
        <w:rPr>
          <w:rFonts w:asciiTheme="minorHAnsi" w:eastAsiaTheme="majorEastAsia" w:hAnsiTheme="minorHAnsi" w:cstheme="majorBidi"/>
          <w:sz w:val="28"/>
          <w:szCs w:val="28"/>
          <w:lang w:eastAsia="en-US"/>
        </w:rPr>
        <w:t>Estimated PBS usage &amp; financial implications</w:t>
      </w:r>
    </w:p>
    <w:p w:rsidR="00F64CC1" w:rsidRPr="002E6BC6" w:rsidRDefault="00A93975" w:rsidP="000334C9">
      <w:pPr>
        <w:pStyle w:val="ListParagraph"/>
        <w:numPr>
          <w:ilvl w:val="1"/>
          <w:numId w:val="14"/>
        </w:numPr>
        <w:spacing w:before="120" w:after="120"/>
        <w:rPr>
          <w:rFonts w:asciiTheme="minorHAnsi" w:hAnsiTheme="minorHAnsi"/>
          <w:color w:val="000000" w:themeColor="text1"/>
          <w:sz w:val="24"/>
        </w:rPr>
      </w:pPr>
      <w:r w:rsidRPr="002E6BC6">
        <w:rPr>
          <w:rFonts w:asciiTheme="minorHAnsi" w:hAnsiTheme="minorHAnsi"/>
          <w:color w:val="000000" w:themeColor="text1"/>
          <w:sz w:val="24"/>
        </w:rPr>
        <w:t xml:space="preserve">The minor submission </w:t>
      </w:r>
      <w:r w:rsidR="00F70B96" w:rsidRPr="002E6BC6">
        <w:rPr>
          <w:rFonts w:asciiTheme="minorHAnsi" w:hAnsiTheme="minorHAnsi"/>
          <w:color w:val="000000" w:themeColor="text1"/>
          <w:sz w:val="24"/>
        </w:rPr>
        <w:t xml:space="preserve">claimed that </w:t>
      </w:r>
      <w:r w:rsidRPr="002E6BC6">
        <w:rPr>
          <w:rFonts w:asciiTheme="minorHAnsi" w:hAnsiTheme="minorHAnsi"/>
          <w:color w:val="000000" w:themeColor="text1"/>
          <w:sz w:val="24"/>
        </w:rPr>
        <w:t xml:space="preserve">the listing of </w:t>
      </w:r>
      <w:proofErr w:type="spellStart"/>
      <w:r w:rsidRPr="002E6BC6">
        <w:rPr>
          <w:rFonts w:asciiTheme="minorHAnsi" w:hAnsiTheme="minorHAnsi"/>
          <w:color w:val="000000" w:themeColor="text1"/>
          <w:sz w:val="24"/>
        </w:rPr>
        <w:t>tocilizumab</w:t>
      </w:r>
      <w:proofErr w:type="spellEnd"/>
      <w:r w:rsidRPr="002E6BC6">
        <w:rPr>
          <w:rFonts w:asciiTheme="minorHAnsi" w:hAnsiTheme="minorHAnsi"/>
          <w:color w:val="000000" w:themeColor="text1"/>
          <w:sz w:val="24"/>
        </w:rPr>
        <w:t xml:space="preserve"> for severe active JIA </w:t>
      </w:r>
      <w:r w:rsidR="00F70B96" w:rsidRPr="002E6BC6">
        <w:rPr>
          <w:rFonts w:asciiTheme="minorHAnsi" w:hAnsiTheme="minorHAnsi"/>
          <w:color w:val="000000" w:themeColor="text1"/>
          <w:sz w:val="24"/>
        </w:rPr>
        <w:t>would</w:t>
      </w:r>
      <w:r w:rsidRPr="002E6BC6">
        <w:rPr>
          <w:rFonts w:asciiTheme="minorHAnsi" w:hAnsiTheme="minorHAnsi"/>
          <w:color w:val="000000" w:themeColor="text1"/>
          <w:sz w:val="24"/>
        </w:rPr>
        <w:t xml:space="preserve"> </w:t>
      </w:r>
      <w:r w:rsidR="00F70B96" w:rsidRPr="002E6BC6">
        <w:rPr>
          <w:rFonts w:asciiTheme="minorHAnsi" w:hAnsiTheme="minorHAnsi"/>
          <w:color w:val="000000" w:themeColor="text1"/>
          <w:sz w:val="24"/>
        </w:rPr>
        <w:t xml:space="preserve">have </w:t>
      </w:r>
      <w:r w:rsidRPr="002E6BC6">
        <w:rPr>
          <w:rFonts w:asciiTheme="minorHAnsi" w:hAnsiTheme="minorHAnsi"/>
          <w:color w:val="000000" w:themeColor="text1"/>
          <w:sz w:val="24"/>
        </w:rPr>
        <w:t xml:space="preserve">no financial impact </w:t>
      </w:r>
      <w:r w:rsidR="00F70B96" w:rsidRPr="002E6BC6">
        <w:rPr>
          <w:rFonts w:asciiTheme="minorHAnsi" w:hAnsiTheme="minorHAnsi"/>
          <w:color w:val="000000" w:themeColor="text1"/>
          <w:sz w:val="24"/>
        </w:rPr>
        <w:t xml:space="preserve">to </w:t>
      </w:r>
      <w:r w:rsidRPr="002E6BC6">
        <w:rPr>
          <w:rFonts w:asciiTheme="minorHAnsi" w:hAnsiTheme="minorHAnsi"/>
          <w:color w:val="000000" w:themeColor="text1"/>
          <w:sz w:val="24"/>
        </w:rPr>
        <w:t>the PBS.</w:t>
      </w:r>
      <w:r w:rsidR="00682808" w:rsidRPr="002E6BC6">
        <w:rPr>
          <w:rFonts w:asciiTheme="minorHAnsi" w:hAnsiTheme="minorHAnsi"/>
          <w:color w:val="000000" w:themeColor="text1"/>
          <w:sz w:val="24"/>
        </w:rPr>
        <w:t xml:space="preserve"> The minor submission stated that</w:t>
      </w:r>
      <w:r w:rsidRPr="002E6BC6">
        <w:rPr>
          <w:rFonts w:asciiTheme="minorHAnsi" w:hAnsiTheme="minorHAnsi"/>
          <w:color w:val="000000" w:themeColor="text1"/>
          <w:sz w:val="24"/>
        </w:rPr>
        <w:t xml:space="preserve"> </w:t>
      </w:r>
      <w:r w:rsidR="00682808" w:rsidRPr="002E6BC6">
        <w:rPr>
          <w:rFonts w:asciiTheme="minorHAnsi" w:hAnsiTheme="minorHAnsi"/>
          <w:color w:val="000000" w:themeColor="text1"/>
          <w:sz w:val="24"/>
        </w:rPr>
        <w:t xml:space="preserve">the </w:t>
      </w:r>
      <w:r w:rsidRPr="002E6BC6">
        <w:rPr>
          <w:rFonts w:asciiTheme="minorHAnsi" w:hAnsiTheme="minorHAnsi"/>
          <w:color w:val="000000" w:themeColor="text1"/>
          <w:sz w:val="24"/>
        </w:rPr>
        <w:t xml:space="preserve">SC presentation </w:t>
      </w:r>
      <w:proofErr w:type="gramStart"/>
      <w:r w:rsidRPr="002E6BC6">
        <w:rPr>
          <w:rFonts w:asciiTheme="minorHAnsi" w:hAnsiTheme="minorHAnsi"/>
          <w:color w:val="000000" w:themeColor="text1"/>
          <w:sz w:val="24"/>
        </w:rPr>
        <w:t>was expected</w:t>
      </w:r>
      <w:proofErr w:type="gramEnd"/>
      <w:r w:rsidRPr="002E6BC6">
        <w:rPr>
          <w:rFonts w:asciiTheme="minorHAnsi" w:hAnsiTheme="minorHAnsi"/>
          <w:color w:val="000000" w:themeColor="text1"/>
          <w:sz w:val="24"/>
        </w:rPr>
        <w:t xml:space="preserve"> to substitute for the existing IV presentation and not change the number of patients accessing </w:t>
      </w:r>
      <w:proofErr w:type="spellStart"/>
      <w:r w:rsidRPr="002E6BC6">
        <w:rPr>
          <w:rFonts w:asciiTheme="minorHAnsi" w:hAnsiTheme="minorHAnsi"/>
          <w:color w:val="000000" w:themeColor="text1"/>
          <w:sz w:val="24"/>
        </w:rPr>
        <w:t>tocilizumab</w:t>
      </w:r>
      <w:proofErr w:type="spellEnd"/>
      <w:r w:rsidRPr="002E6BC6">
        <w:rPr>
          <w:rFonts w:asciiTheme="minorHAnsi" w:hAnsiTheme="minorHAnsi"/>
          <w:color w:val="000000" w:themeColor="text1"/>
          <w:sz w:val="24"/>
        </w:rPr>
        <w:t xml:space="preserve">. As such, the sponsor did not expect there to be a financial impact to Government and hence a Section 4 workbook was not completed. While it is true that the SC listing </w:t>
      </w:r>
      <w:r w:rsidR="004F0753" w:rsidRPr="002E6BC6">
        <w:rPr>
          <w:rFonts w:asciiTheme="minorHAnsi" w:hAnsiTheme="minorHAnsi"/>
          <w:color w:val="000000" w:themeColor="text1"/>
          <w:sz w:val="24"/>
        </w:rPr>
        <w:t xml:space="preserve">may </w:t>
      </w:r>
      <w:r w:rsidRPr="002E6BC6">
        <w:rPr>
          <w:rFonts w:asciiTheme="minorHAnsi" w:hAnsiTheme="minorHAnsi"/>
          <w:color w:val="000000" w:themeColor="text1"/>
          <w:sz w:val="24"/>
        </w:rPr>
        <w:t>not result in a</w:t>
      </w:r>
      <w:r w:rsidR="004F0753" w:rsidRPr="002E6BC6">
        <w:rPr>
          <w:rFonts w:asciiTheme="minorHAnsi" w:hAnsiTheme="minorHAnsi"/>
          <w:color w:val="000000" w:themeColor="text1"/>
          <w:sz w:val="24"/>
        </w:rPr>
        <w:t xml:space="preserve"> net</w:t>
      </w:r>
      <w:r w:rsidRPr="002E6BC6">
        <w:rPr>
          <w:rFonts w:asciiTheme="minorHAnsi" w:hAnsiTheme="minorHAnsi"/>
          <w:color w:val="000000" w:themeColor="text1"/>
          <w:sz w:val="24"/>
        </w:rPr>
        <w:t xml:space="preserve"> financial impact for </w:t>
      </w:r>
      <w:r w:rsidR="004F0753" w:rsidRPr="002E6BC6">
        <w:rPr>
          <w:rFonts w:asciiTheme="minorHAnsi" w:hAnsiTheme="minorHAnsi"/>
          <w:color w:val="000000" w:themeColor="text1"/>
          <w:sz w:val="24"/>
        </w:rPr>
        <w:t>Government</w:t>
      </w:r>
      <w:r w:rsidRPr="002E6BC6">
        <w:rPr>
          <w:rFonts w:asciiTheme="minorHAnsi" w:hAnsiTheme="minorHAnsi"/>
          <w:color w:val="000000" w:themeColor="text1"/>
          <w:sz w:val="24"/>
        </w:rPr>
        <w:t xml:space="preserve">, there </w:t>
      </w:r>
      <w:r w:rsidR="004F0753" w:rsidRPr="002E6BC6">
        <w:rPr>
          <w:rFonts w:asciiTheme="minorHAnsi" w:hAnsiTheme="minorHAnsi"/>
          <w:color w:val="000000" w:themeColor="text1"/>
          <w:sz w:val="24"/>
        </w:rPr>
        <w:t xml:space="preserve">would </w:t>
      </w:r>
      <w:r w:rsidRPr="002E6BC6">
        <w:rPr>
          <w:rFonts w:asciiTheme="minorHAnsi" w:hAnsiTheme="minorHAnsi"/>
          <w:color w:val="000000" w:themeColor="text1"/>
          <w:sz w:val="24"/>
        </w:rPr>
        <w:t>likely to be an impact to the MBS with a reduction in the number of infusions required</w:t>
      </w:r>
      <w:r w:rsidR="00EC5B79" w:rsidRPr="002E6BC6">
        <w:rPr>
          <w:rFonts w:asciiTheme="minorHAnsi" w:hAnsiTheme="minorHAnsi"/>
          <w:color w:val="000000" w:themeColor="text1"/>
          <w:sz w:val="24"/>
        </w:rPr>
        <w:t xml:space="preserve"> and the PBS/RPBS with displacement of </w:t>
      </w:r>
      <w:r w:rsidR="006546F1" w:rsidRPr="002E6BC6">
        <w:rPr>
          <w:rFonts w:asciiTheme="minorHAnsi" w:hAnsiTheme="minorHAnsi"/>
          <w:color w:val="000000" w:themeColor="text1"/>
          <w:sz w:val="24"/>
        </w:rPr>
        <w:t xml:space="preserve">IV </w:t>
      </w:r>
      <w:proofErr w:type="spellStart"/>
      <w:r w:rsidR="006546F1" w:rsidRPr="002E6BC6">
        <w:rPr>
          <w:rFonts w:asciiTheme="minorHAnsi" w:hAnsiTheme="minorHAnsi"/>
          <w:color w:val="000000" w:themeColor="text1"/>
          <w:sz w:val="24"/>
        </w:rPr>
        <w:t>tocilizumab</w:t>
      </w:r>
      <w:proofErr w:type="spellEnd"/>
      <w:r w:rsidR="00EC5B79" w:rsidRPr="002E6BC6">
        <w:rPr>
          <w:rFonts w:asciiTheme="minorHAnsi" w:hAnsiTheme="minorHAnsi"/>
          <w:color w:val="000000" w:themeColor="text1"/>
          <w:sz w:val="24"/>
        </w:rPr>
        <w:t xml:space="preserve"> by </w:t>
      </w:r>
      <w:proofErr w:type="spellStart"/>
      <w:r w:rsidR="00EC5B79" w:rsidRPr="002E6BC6">
        <w:rPr>
          <w:rFonts w:asciiTheme="minorHAnsi" w:hAnsiTheme="minorHAnsi"/>
          <w:color w:val="000000" w:themeColor="text1"/>
          <w:sz w:val="24"/>
        </w:rPr>
        <w:t>tocilizumab</w:t>
      </w:r>
      <w:proofErr w:type="spellEnd"/>
      <w:r w:rsidR="00EC5B79" w:rsidRPr="002E6BC6">
        <w:rPr>
          <w:rFonts w:asciiTheme="minorHAnsi" w:hAnsiTheme="minorHAnsi"/>
          <w:color w:val="000000" w:themeColor="text1"/>
          <w:sz w:val="24"/>
        </w:rPr>
        <w:t xml:space="preserve"> SC</w:t>
      </w:r>
      <w:r w:rsidRPr="002E6BC6">
        <w:rPr>
          <w:rFonts w:asciiTheme="minorHAnsi" w:hAnsiTheme="minorHAnsi"/>
          <w:color w:val="000000" w:themeColor="text1"/>
          <w:sz w:val="24"/>
        </w:rPr>
        <w:t>.</w:t>
      </w:r>
      <w:r w:rsidRPr="002E6BC6">
        <w:rPr>
          <w:rFonts w:asciiTheme="minorHAnsi" w:hAnsiTheme="minorHAnsi"/>
          <w:i/>
          <w:iCs/>
          <w:color w:val="000000" w:themeColor="text1"/>
          <w:sz w:val="24"/>
        </w:rPr>
        <w:t xml:space="preserve"> </w:t>
      </w:r>
    </w:p>
    <w:p w:rsidR="006546F1" w:rsidRPr="002E6BC6" w:rsidRDefault="006546F1" w:rsidP="000334C9">
      <w:pPr>
        <w:pStyle w:val="ListParagraph"/>
        <w:spacing w:before="120" w:after="120"/>
        <w:rPr>
          <w:rFonts w:asciiTheme="minorHAnsi" w:hAnsiTheme="minorHAnsi"/>
          <w:color w:val="000000" w:themeColor="text1"/>
          <w:sz w:val="24"/>
        </w:rPr>
      </w:pPr>
    </w:p>
    <w:p w:rsidR="0067091F" w:rsidRPr="002E6BC6" w:rsidRDefault="006546F1" w:rsidP="000334C9">
      <w:pPr>
        <w:pStyle w:val="ListParagraph"/>
        <w:numPr>
          <w:ilvl w:val="1"/>
          <w:numId w:val="14"/>
        </w:numPr>
        <w:spacing w:before="120" w:after="120"/>
        <w:rPr>
          <w:rFonts w:asciiTheme="minorHAnsi" w:hAnsiTheme="minorHAnsi"/>
          <w:color w:val="000000" w:themeColor="text1"/>
          <w:sz w:val="24"/>
        </w:rPr>
      </w:pPr>
      <w:r w:rsidRPr="002E6BC6">
        <w:rPr>
          <w:rFonts w:asciiTheme="minorHAnsi" w:hAnsiTheme="minorHAnsi"/>
          <w:color w:val="000000" w:themeColor="text1"/>
          <w:sz w:val="24"/>
        </w:rPr>
        <w:t xml:space="preserve">The pre-PBAC </w:t>
      </w:r>
      <w:r w:rsidR="002A0B4C">
        <w:rPr>
          <w:rFonts w:asciiTheme="minorHAnsi" w:hAnsiTheme="minorHAnsi"/>
          <w:color w:val="000000" w:themeColor="text1"/>
          <w:sz w:val="24"/>
        </w:rPr>
        <w:t>r</w:t>
      </w:r>
      <w:r w:rsidRPr="002E6BC6">
        <w:rPr>
          <w:rFonts w:asciiTheme="minorHAnsi" w:hAnsiTheme="minorHAnsi"/>
          <w:color w:val="000000" w:themeColor="text1"/>
          <w:sz w:val="24"/>
        </w:rPr>
        <w:t xml:space="preserve">esponse </w:t>
      </w:r>
      <w:r w:rsidR="00856829" w:rsidRPr="002E6BC6">
        <w:rPr>
          <w:rFonts w:asciiTheme="minorHAnsi" w:hAnsiTheme="minorHAnsi"/>
          <w:color w:val="000000" w:themeColor="text1"/>
          <w:sz w:val="24"/>
        </w:rPr>
        <w:t xml:space="preserve">provided estimates of the change in number of MBS services from switching to </w:t>
      </w:r>
      <w:proofErr w:type="spellStart"/>
      <w:r w:rsidR="00856829" w:rsidRPr="002E6BC6">
        <w:rPr>
          <w:rFonts w:asciiTheme="minorHAnsi" w:hAnsiTheme="minorHAnsi"/>
          <w:color w:val="000000" w:themeColor="text1"/>
          <w:sz w:val="24"/>
        </w:rPr>
        <w:t>tocilizumab</w:t>
      </w:r>
      <w:proofErr w:type="spellEnd"/>
      <w:r w:rsidR="00856829" w:rsidRPr="002E6BC6">
        <w:rPr>
          <w:rFonts w:asciiTheme="minorHAnsi" w:hAnsiTheme="minorHAnsi"/>
          <w:color w:val="000000" w:themeColor="text1"/>
          <w:sz w:val="24"/>
        </w:rPr>
        <w:t xml:space="preserve"> SC (Table </w:t>
      </w:r>
      <w:r w:rsidR="0067091F" w:rsidRPr="002E6BC6">
        <w:rPr>
          <w:rFonts w:asciiTheme="minorHAnsi" w:hAnsiTheme="minorHAnsi"/>
          <w:color w:val="000000" w:themeColor="text1"/>
          <w:sz w:val="24"/>
        </w:rPr>
        <w:t xml:space="preserve">2) based on an assumed 55% uptake of </w:t>
      </w:r>
      <w:proofErr w:type="spellStart"/>
      <w:r w:rsidR="0067091F" w:rsidRPr="002E6BC6">
        <w:rPr>
          <w:rFonts w:asciiTheme="minorHAnsi" w:hAnsiTheme="minorHAnsi"/>
          <w:color w:val="000000" w:themeColor="text1"/>
          <w:sz w:val="24"/>
        </w:rPr>
        <w:t>tocilizumab</w:t>
      </w:r>
      <w:proofErr w:type="spellEnd"/>
      <w:r w:rsidR="0067091F" w:rsidRPr="002E6BC6">
        <w:rPr>
          <w:rFonts w:asciiTheme="minorHAnsi" w:hAnsiTheme="minorHAnsi"/>
          <w:color w:val="000000" w:themeColor="text1"/>
          <w:sz w:val="24"/>
        </w:rPr>
        <w:t xml:space="preserve"> SC in year 1 of listing increasing to 85% on the basis the adoption rate of SC formulations in the treatment of rheumatoid arthritis has reached approximately 85% in Australia. </w:t>
      </w:r>
    </w:p>
    <w:p w:rsidR="008D4253" w:rsidRDefault="008D4253" w:rsidP="000334C9">
      <w:pPr>
        <w:spacing w:before="120" w:after="120"/>
        <w:rPr>
          <w:rFonts w:asciiTheme="minorHAnsi" w:hAnsiTheme="minorHAnsi" w:cs="Arial"/>
          <w:snapToGrid w:val="0"/>
          <w:color w:val="000000" w:themeColor="text1"/>
          <w:szCs w:val="20"/>
          <w:lang w:eastAsia="en-US"/>
        </w:rPr>
      </w:pPr>
      <w:r>
        <w:rPr>
          <w:rFonts w:asciiTheme="minorHAnsi" w:hAnsiTheme="minorHAnsi"/>
          <w:color w:val="000000" w:themeColor="text1"/>
        </w:rPr>
        <w:br w:type="page"/>
      </w:r>
    </w:p>
    <w:p w:rsidR="0067091F" w:rsidRPr="00DC4EE1" w:rsidRDefault="004D49C5" w:rsidP="00DC4EE1">
      <w:pPr>
        <w:rPr>
          <w:rFonts w:ascii="Arial Narrow" w:hAnsi="Arial Narrow"/>
          <w:b/>
          <w:color w:val="000000" w:themeColor="text1"/>
          <w:sz w:val="16"/>
        </w:rPr>
      </w:pPr>
      <w:r w:rsidRPr="00DC4EE1">
        <w:rPr>
          <w:rFonts w:ascii="Arial Narrow" w:hAnsi="Arial Narrow"/>
          <w:b/>
          <w:color w:val="000000" w:themeColor="text1"/>
          <w:sz w:val="20"/>
        </w:rPr>
        <w:lastRenderedPageBreak/>
        <w:t xml:space="preserve">Table 2: Estimated </w:t>
      </w:r>
      <w:r w:rsidR="00E936F2" w:rsidRPr="00DC4EE1">
        <w:rPr>
          <w:rFonts w:ascii="Arial Narrow" w:hAnsi="Arial Narrow"/>
          <w:b/>
          <w:color w:val="000000" w:themeColor="text1"/>
          <w:sz w:val="20"/>
        </w:rPr>
        <w:t xml:space="preserve">number of patients and change in MBS services </w:t>
      </w:r>
    </w:p>
    <w:tbl>
      <w:tblPr>
        <w:tblStyle w:val="TableGrid"/>
        <w:tblW w:w="0" w:type="auto"/>
        <w:tblLook w:val="04A0" w:firstRow="1" w:lastRow="0" w:firstColumn="1" w:lastColumn="0" w:noHBand="0" w:noVBand="1"/>
        <w:tblCaption w:val="Estimated number of patients and change in MBS services "/>
      </w:tblPr>
      <w:tblGrid>
        <w:gridCol w:w="1288"/>
        <w:gridCol w:w="1288"/>
        <w:gridCol w:w="1288"/>
        <w:gridCol w:w="1288"/>
        <w:gridCol w:w="1288"/>
        <w:gridCol w:w="1288"/>
        <w:gridCol w:w="1288"/>
      </w:tblGrid>
      <w:tr w:rsidR="00936E54" w:rsidRPr="002E6BC6" w:rsidTr="00A04DFC">
        <w:trPr>
          <w:tblHeader/>
        </w:trPr>
        <w:tc>
          <w:tcPr>
            <w:tcW w:w="1288" w:type="dxa"/>
          </w:tcPr>
          <w:p w:rsidR="0067091F" w:rsidRPr="002E6BC6" w:rsidRDefault="0067091F" w:rsidP="0067091F">
            <w:pPr>
              <w:pStyle w:val="ListParagraph"/>
              <w:ind w:left="0"/>
              <w:rPr>
                <w:rFonts w:ascii="Arial Narrow" w:hAnsi="Arial Narrow"/>
                <w:color w:val="000000" w:themeColor="text1"/>
                <w:sz w:val="20"/>
              </w:rPr>
            </w:pPr>
          </w:p>
        </w:tc>
        <w:tc>
          <w:tcPr>
            <w:tcW w:w="1288" w:type="dxa"/>
            <w:vAlign w:val="center"/>
          </w:tcPr>
          <w:p w:rsidR="0067091F" w:rsidRPr="002E6BC6" w:rsidRDefault="0067091F" w:rsidP="00DC4EE1">
            <w:pPr>
              <w:pStyle w:val="ListParagraph"/>
              <w:ind w:left="0"/>
              <w:jc w:val="center"/>
              <w:rPr>
                <w:rFonts w:ascii="Arial Narrow" w:hAnsi="Arial Narrow"/>
                <w:b/>
                <w:color w:val="000000" w:themeColor="text1"/>
                <w:sz w:val="20"/>
              </w:rPr>
            </w:pPr>
            <w:r w:rsidRPr="002E6BC6">
              <w:rPr>
                <w:rFonts w:ascii="Arial Narrow" w:hAnsi="Arial Narrow"/>
                <w:b/>
                <w:color w:val="000000" w:themeColor="text1"/>
                <w:sz w:val="20"/>
              </w:rPr>
              <w:t>Year 1</w:t>
            </w:r>
          </w:p>
        </w:tc>
        <w:tc>
          <w:tcPr>
            <w:tcW w:w="1288" w:type="dxa"/>
            <w:vAlign w:val="center"/>
          </w:tcPr>
          <w:p w:rsidR="0067091F" w:rsidRPr="002E6BC6" w:rsidRDefault="00936E54" w:rsidP="00DC4EE1">
            <w:pPr>
              <w:pStyle w:val="ListParagraph"/>
              <w:ind w:left="0"/>
              <w:jc w:val="center"/>
              <w:rPr>
                <w:rFonts w:ascii="Arial Narrow" w:hAnsi="Arial Narrow"/>
                <w:b/>
                <w:color w:val="000000" w:themeColor="text1"/>
                <w:sz w:val="20"/>
              </w:rPr>
            </w:pPr>
            <w:r w:rsidRPr="002E6BC6">
              <w:rPr>
                <w:rFonts w:ascii="Arial Narrow" w:hAnsi="Arial Narrow"/>
                <w:b/>
                <w:color w:val="000000" w:themeColor="text1"/>
                <w:sz w:val="20"/>
              </w:rPr>
              <w:t>Year 2</w:t>
            </w:r>
          </w:p>
        </w:tc>
        <w:tc>
          <w:tcPr>
            <w:tcW w:w="1288" w:type="dxa"/>
            <w:vAlign w:val="center"/>
          </w:tcPr>
          <w:p w:rsidR="0067091F" w:rsidRPr="002E6BC6" w:rsidRDefault="00936E54" w:rsidP="00DC4EE1">
            <w:pPr>
              <w:pStyle w:val="ListParagraph"/>
              <w:ind w:left="0"/>
              <w:jc w:val="center"/>
              <w:rPr>
                <w:rFonts w:ascii="Arial Narrow" w:hAnsi="Arial Narrow"/>
                <w:b/>
                <w:color w:val="000000" w:themeColor="text1"/>
                <w:sz w:val="20"/>
              </w:rPr>
            </w:pPr>
            <w:r w:rsidRPr="002E6BC6">
              <w:rPr>
                <w:rFonts w:ascii="Arial Narrow" w:hAnsi="Arial Narrow"/>
                <w:b/>
                <w:color w:val="000000" w:themeColor="text1"/>
                <w:sz w:val="20"/>
              </w:rPr>
              <w:t>Year 3</w:t>
            </w:r>
          </w:p>
        </w:tc>
        <w:tc>
          <w:tcPr>
            <w:tcW w:w="1288" w:type="dxa"/>
            <w:vAlign w:val="center"/>
          </w:tcPr>
          <w:p w:rsidR="0067091F" w:rsidRPr="002E6BC6" w:rsidRDefault="00936E54" w:rsidP="00DC4EE1">
            <w:pPr>
              <w:pStyle w:val="ListParagraph"/>
              <w:ind w:left="0"/>
              <w:jc w:val="center"/>
              <w:rPr>
                <w:rFonts w:ascii="Arial Narrow" w:hAnsi="Arial Narrow"/>
                <w:b/>
                <w:color w:val="000000" w:themeColor="text1"/>
                <w:sz w:val="20"/>
              </w:rPr>
            </w:pPr>
            <w:r w:rsidRPr="002E6BC6">
              <w:rPr>
                <w:rFonts w:ascii="Arial Narrow" w:hAnsi="Arial Narrow"/>
                <w:b/>
                <w:color w:val="000000" w:themeColor="text1"/>
                <w:sz w:val="20"/>
              </w:rPr>
              <w:t>Year 4</w:t>
            </w:r>
          </w:p>
        </w:tc>
        <w:tc>
          <w:tcPr>
            <w:tcW w:w="1288" w:type="dxa"/>
            <w:vAlign w:val="center"/>
          </w:tcPr>
          <w:p w:rsidR="0067091F" w:rsidRPr="002E6BC6" w:rsidRDefault="00936E54" w:rsidP="00DC4EE1">
            <w:pPr>
              <w:pStyle w:val="ListParagraph"/>
              <w:ind w:left="0"/>
              <w:jc w:val="center"/>
              <w:rPr>
                <w:rFonts w:ascii="Arial Narrow" w:hAnsi="Arial Narrow"/>
                <w:b/>
                <w:color w:val="000000" w:themeColor="text1"/>
                <w:sz w:val="20"/>
              </w:rPr>
            </w:pPr>
            <w:r w:rsidRPr="002E6BC6">
              <w:rPr>
                <w:rFonts w:ascii="Arial Narrow" w:hAnsi="Arial Narrow"/>
                <w:b/>
                <w:color w:val="000000" w:themeColor="text1"/>
                <w:sz w:val="20"/>
              </w:rPr>
              <w:t>Year 5</w:t>
            </w:r>
          </w:p>
        </w:tc>
        <w:tc>
          <w:tcPr>
            <w:tcW w:w="1288" w:type="dxa"/>
            <w:vAlign w:val="center"/>
          </w:tcPr>
          <w:p w:rsidR="0067091F" w:rsidRPr="002E6BC6" w:rsidRDefault="00936E54" w:rsidP="00DC4EE1">
            <w:pPr>
              <w:pStyle w:val="ListParagraph"/>
              <w:ind w:left="0"/>
              <w:jc w:val="center"/>
              <w:rPr>
                <w:rFonts w:ascii="Arial Narrow" w:hAnsi="Arial Narrow"/>
                <w:b/>
                <w:color w:val="000000" w:themeColor="text1"/>
                <w:sz w:val="20"/>
              </w:rPr>
            </w:pPr>
            <w:r w:rsidRPr="002E6BC6">
              <w:rPr>
                <w:rFonts w:ascii="Arial Narrow" w:hAnsi="Arial Narrow"/>
                <w:b/>
                <w:color w:val="000000" w:themeColor="text1"/>
                <w:sz w:val="20"/>
              </w:rPr>
              <w:t>Year 6</w:t>
            </w:r>
          </w:p>
        </w:tc>
      </w:tr>
      <w:tr w:rsidR="00936E54" w:rsidRPr="002E6BC6" w:rsidTr="00A04DFC">
        <w:trPr>
          <w:tblHeader/>
        </w:trPr>
        <w:tc>
          <w:tcPr>
            <w:tcW w:w="1288" w:type="dxa"/>
          </w:tcPr>
          <w:p w:rsidR="0067091F" w:rsidRPr="002E6BC6" w:rsidRDefault="00C7441A" w:rsidP="0019460A">
            <w:pPr>
              <w:pStyle w:val="ListParagraph"/>
              <w:ind w:left="11" w:hanging="11"/>
              <w:rPr>
                <w:rFonts w:ascii="Arial Narrow" w:hAnsi="Arial Narrow"/>
                <w:color w:val="000000" w:themeColor="text1"/>
                <w:sz w:val="20"/>
              </w:rPr>
            </w:pPr>
            <w:r w:rsidRPr="002E6BC6">
              <w:rPr>
                <w:rFonts w:ascii="Arial Narrow" w:hAnsi="Arial Narrow"/>
                <w:color w:val="000000" w:themeColor="text1"/>
                <w:sz w:val="20"/>
              </w:rPr>
              <w:t xml:space="preserve">Patients with </w:t>
            </w:r>
            <w:proofErr w:type="spellStart"/>
            <w:r w:rsidRPr="002E6BC6">
              <w:rPr>
                <w:rFonts w:ascii="Arial Narrow" w:hAnsi="Arial Narrow"/>
                <w:color w:val="000000" w:themeColor="text1"/>
                <w:sz w:val="20"/>
              </w:rPr>
              <w:t>JIA</w:t>
            </w:r>
            <w:r w:rsidR="008E0E62" w:rsidRPr="002E6BC6">
              <w:rPr>
                <w:rFonts w:ascii="Arial Narrow" w:hAnsi="Arial Narrow"/>
                <w:color w:val="000000" w:themeColor="text1"/>
                <w:sz w:val="20"/>
                <w:vertAlign w:val="superscript"/>
              </w:rPr>
              <w:t>a</w:t>
            </w:r>
            <w:proofErr w:type="spellEnd"/>
            <w:r w:rsidRPr="002E6BC6">
              <w:rPr>
                <w:rFonts w:ascii="Arial Narrow" w:hAnsi="Arial Narrow"/>
                <w:color w:val="000000" w:themeColor="text1"/>
                <w:sz w:val="20"/>
              </w:rPr>
              <w:t xml:space="preserve"> </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r>
      <w:tr w:rsidR="00936E54" w:rsidRPr="002E6BC6" w:rsidTr="00A04DFC">
        <w:trPr>
          <w:tblHeader/>
        </w:trPr>
        <w:tc>
          <w:tcPr>
            <w:tcW w:w="1288" w:type="dxa"/>
          </w:tcPr>
          <w:p w:rsidR="0067091F" w:rsidRPr="002E6BC6" w:rsidRDefault="00C7441A" w:rsidP="0067091F">
            <w:pPr>
              <w:pStyle w:val="ListParagraph"/>
              <w:ind w:left="0"/>
              <w:rPr>
                <w:rFonts w:ascii="Arial Narrow" w:hAnsi="Arial Narrow"/>
                <w:color w:val="000000" w:themeColor="text1"/>
                <w:sz w:val="20"/>
              </w:rPr>
            </w:pPr>
            <w:r w:rsidRPr="002E6BC6">
              <w:rPr>
                <w:rFonts w:ascii="Arial Narrow" w:hAnsi="Arial Narrow"/>
                <w:color w:val="000000" w:themeColor="text1"/>
                <w:sz w:val="20"/>
              </w:rPr>
              <w:t xml:space="preserve">Patients with </w:t>
            </w:r>
            <w:proofErr w:type="spellStart"/>
            <w:r w:rsidRPr="002E6BC6">
              <w:rPr>
                <w:rFonts w:ascii="Arial Narrow" w:hAnsi="Arial Narrow"/>
                <w:color w:val="000000" w:themeColor="text1"/>
                <w:sz w:val="20"/>
              </w:rPr>
              <w:t>polyarticular</w:t>
            </w:r>
            <w:proofErr w:type="spellEnd"/>
            <w:r w:rsidRPr="002E6BC6">
              <w:rPr>
                <w:rFonts w:ascii="Arial Narrow" w:hAnsi="Arial Narrow"/>
                <w:color w:val="000000" w:themeColor="text1"/>
                <w:sz w:val="20"/>
              </w:rPr>
              <w:t xml:space="preserve"> </w:t>
            </w:r>
            <w:proofErr w:type="spellStart"/>
            <w:r w:rsidRPr="002E6BC6">
              <w:rPr>
                <w:rFonts w:ascii="Arial Narrow" w:hAnsi="Arial Narrow"/>
                <w:color w:val="000000" w:themeColor="text1"/>
                <w:sz w:val="20"/>
              </w:rPr>
              <w:t>JIA</w:t>
            </w:r>
            <w:r w:rsidR="00014405" w:rsidRPr="002E6BC6">
              <w:rPr>
                <w:rFonts w:ascii="Arial Narrow" w:hAnsi="Arial Narrow"/>
                <w:color w:val="000000" w:themeColor="text1"/>
                <w:sz w:val="20"/>
                <w:vertAlign w:val="superscript"/>
              </w:rPr>
              <w:t>b</w:t>
            </w:r>
            <w:proofErr w:type="spellEnd"/>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r>
      <w:tr w:rsidR="00936E54" w:rsidRPr="002E6BC6" w:rsidTr="00A04DFC">
        <w:trPr>
          <w:tblHeader/>
        </w:trPr>
        <w:tc>
          <w:tcPr>
            <w:tcW w:w="1288" w:type="dxa"/>
          </w:tcPr>
          <w:p w:rsidR="0067091F" w:rsidRPr="002E6BC6" w:rsidRDefault="00A52800" w:rsidP="0067091F">
            <w:pPr>
              <w:pStyle w:val="ListParagraph"/>
              <w:ind w:left="0"/>
              <w:rPr>
                <w:rFonts w:ascii="Arial Narrow" w:hAnsi="Arial Narrow"/>
                <w:color w:val="000000" w:themeColor="text1"/>
                <w:sz w:val="20"/>
              </w:rPr>
            </w:pPr>
            <w:proofErr w:type="spellStart"/>
            <w:r w:rsidRPr="002E6BC6">
              <w:rPr>
                <w:rFonts w:ascii="Arial Narrow" w:hAnsi="Arial Narrow"/>
                <w:color w:val="000000" w:themeColor="text1"/>
                <w:sz w:val="20"/>
              </w:rPr>
              <w:t>Tocilizumab</w:t>
            </w:r>
            <w:proofErr w:type="spellEnd"/>
            <w:r w:rsidRPr="002E6BC6">
              <w:rPr>
                <w:rFonts w:ascii="Arial Narrow" w:hAnsi="Arial Narrow"/>
                <w:color w:val="000000" w:themeColor="text1"/>
                <w:sz w:val="20"/>
              </w:rPr>
              <w:t xml:space="preserve"> SC uptake (%)</w:t>
            </w:r>
          </w:p>
        </w:tc>
        <w:tc>
          <w:tcPr>
            <w:tcW w:w="1288" w:type="dxa"/>
            <w:vAlign w:val="center"/>
          </w:tcPr>
          <w:p w:rsidR="0067091F" w:rsidRPr="002E6BC6" w:rsidRDefault="00A52800" w:rsidP="00DC4EE1">
            <w:pPr>
              <w:pStyle w:val="ListParagraph"/>
              <w:ind w:left="0"/>
              <w:jc w:val="center"/>
              <w:rPr>
                <w:rFonts w:ascii="Arial Narrow" w:hAnsi="Arial Narrow"/>
                <w:color w:val="000000" w:themeColor="text1"/>
                <w:sz w:val="20"/>
              </w:rPr>
            </w:pPr>
            <w:r w:rsidRPr="002E6BC6">
              <w:rPr>
                <w:rFonts w:ascii="Arial Narrow" w:hAnsi="Arial Narrow"/>
                <w:color w:val="000000" w:themeColor="text1"/>
                <w:sz w:val="20"/>
              </w:rPr>
              <w:t>55%</w:t>
            </w:r>
          </w:p>
        </w:tc>
        <w:tc>
          <w:tcPr>
            <w:tcW w:w="1288" w:type="dxa"/>
            <w:vAlign w:val="center"/>
          </w:tcPr>
          <w:p w:rsidR="0067091F" w:rsidRPr="002E6BC6" w:rsidRDefault="00A52800" w:rsidP="00DC4EE1">
            <w:pPr>
              <w:pStyle w:val="ListParagraph"/>
              <w:ind w:left="0"/>
              <w:jc w:val="center"/>
              <w:rPr>
                <w:rFonts w:ascii="Arial Narrow" w:hAnsi="Arial Narrow"/>
                <w:color w:val="000000" w:themeColor="text1"/>
                <w:sz w:val="20"/>
              </w:rPr>
            </w:pPr>
            <w:r w:rsidRPr="002E6BC6">
              <w:rPr>
                <w:rFonts w:ascii="Arial Narrow" w:hAnsi="Arial Narrow"/>
                <w:color w:val="000000" w:themeColor="text1"/>
                <w:sz w:val="20"/>
              </w:rPr>
              <w:t>65%</w:t>
            </w:r>
          </w:p>
        </w:tc>
        <w:tc>
          <w:tcPr>
            <w:tcW w:w="1288" w:type="dxa"/>
            <w:vAlign w:val="center"/>
          </w:tcPr>
          <w:p w:rsidR="0067091F" w:rsidRPr="002E6BC6" w:rsidRDefault="00A52800" w:rsidP="00DC4EE1">
            <w:pPr>
              <w:pStyle w:val="ListParagraph"/>
              <w:ind w:left="0"/>
              <w:jc w:val="center"/>
              <w:rPr>
                <w:rFonts w:ascii="Arial Narrow" w:hAnsi="Arial Narrow"/>
                <w:color w:val="000000" w:themeColor="text1"/>
                <w:sz w:val="20"/>
              </w:rPr>
            </w:pPr>
            <w:r w:rsidRPr="002E6BC6">
              <w:rPr>
                <w:rFonts w:ascii="Arial Narrow" w:hAnsi="Arial Narrow"/>
                <w:color w:val="000000" w:themeColor="text1"/>
                <w:sz w:val="20"/>
              </w:rPr>
              <w:t>75%</w:t>
            </w:r>
          </w:p>
        </w:tc>
        <w:tc>
          <w:tcPr>
            <w:tcW w:w="1288" w:type="dxa"/>
            <w:vAlign w:val="center"/>
          </w:tcPr>
          <w:p w:rsidR="0067091F" w:rsidRPr="002E6BC6" w:rsidRDefault="00A52800" w:rsidP="00DC4EE1">
            <w:pPr>
              <w:pStyle w:val="ListParagraph"/>
              <w:ind w:left="0"/>
              <w:jc w:val="center"/>
              <w:rPr>
                <w:rFonts w:ascii="Arial Narrow" w:hAnsi="Arial Narrow"/>
                <w:color w:val="000000" w:themeColor="text1"/>
                <w:sz w:val="20"/>
              </w:rPr>
            </w:pPr>
            <w:r w:rsidRPr="002E6BC6">
              <w:rPr>
                <w:rFonts w:ascii="Arial Narrow" w:hAnsi="Arial Narrow"/>
                <w:color w:val="000000" w:themeColor="text1"/>
                <w:sz w:val="20"/>
              </w:rPr>
              <w:t>85%</w:t>
            </w:r>
          </w:p>
        </w:tc>
        <w:tc>
          <w:tcPr>
            <w:tcW w:w="1288" w:type="dxa"/>
            <w:vAlign w:val="center"/>
          </w:tcPr>
          <w:p w:rsidR="0067091F" w:rsidRPr="002E6BC6" w:rsidRDefault="00A52800" w:rsidP="00DC4EE1">
            <w:pPr>
              <w:pStyle w:val="ListParagraph"/>
              <w:ind w:left="0"/>
              <w:jc w:val="center"/>
              <w:rPr>
                <w:rFonts w:ascii="Arial Narrow" w:hAnsi="Arial Narrow"/>
                <w:color w:val="000000" w:themeColor="text1"/>
                <w:sz w:val="20"/>
              </w:rPr>
            </w:pPr>
            <w:r w:rsidRPr="002E6BC6">
              <w:rPr>
                <w:rFonts w:ascii="Arial Narrow" w:hAnsi="Arial Narrow"/>
                <w:color w:val="000000" w:themeColor="text1"/>
                <w:sz w:val="20"/>
              </w:rPr>
              <w:t>85%</w:t>
            </w:r>
          </w:p>
        </w:tc>
        <w:tc>
          <w:tcPr>
            <w:tcW w:w="1288" w:type="dxa"/>
            <w:vAlign w:val="center"/>
          </w:tcPr>
          <w:p w:rsidR="0067091F" w:rsidRPr="002E6BC6" w:rsidRDefault="00A52800" w:rsidP="00DC4EE1">
            <w:pPr>
              <w:pStyle w:val="ListParagraph"/>
              <w:ind w:left="0"/>
              <w:jc w:val="center"/>
              <w:rPr>
                <w:rFonts w:ascii="Arial Narrow" w:hAnsi="Arial Narrow"/>
                <w:color w:val="000000" w:themeColor="text1"/>
                <w:sz w:val="20"/>
              </w:rPr>
            </w:pPr>
            <w:r w:rsidRPr="002E6BC6">
              <w:rPr>
                <w:rFonts w:ascii="Arial Narrow" w:hAnsi="Arial Narrow"/>
                <w:color w:val="000000" w:themeColor="text1"/>
                <w:sz w:val="20"/>
              </w:rPr>
              <w:t>85%</w:t>
            </w:r>
          </w:p>
        </w:tc>
      </w:tr>
      <w:tr w:rsidR="00936E54" w:rsidRPr="002E6BC6" w:rsidTr="00A04DFC">
        <w:trPr>
          <w:tblHeader/>
        </w:trPr>
        <w:tc>
          <w:tcPr>
            <w:tcW w:w="1288" w:type="dxa"/>
          </w:tcPr>
          <w:p w:rsidR="0067091F" w:rsidRPr="002E6BC6" w:rsidRDefault="00A52800" w:rsidP="0067091F">
            <w:pPr>
              <w:pStyle w:val="ListParagraph"/>
              <w:ind w:left="0"/>
              <w:rPr>
                <w:rFonts w:ascii="Arial Narrow" w:hAnsi="Arial Narrow"/>
                <w:color w:val="000000" w:themeColor="text1"/>
                <w:sz w:val="20"/>
              </w:rPr>
            </w:pPr>
            <w:proofErr w:type="spellStart"/>
            <w:r w:rsidRPr="002E6BC6">
              <w:rPr>
                <w:rFonts w:ascii="Arial Narrow" w:hAnsi="Arial Narrow"/>
                <w:color w:val="000000" w:themeColor="text1"/>
                <w:sz w:val="20"/>
              </w:rPr>
              <w:t>Tocilizumab</w:t>
            </w:r>
            <w:proofErr w:type="spellEnd"/>
            <w:r w:rsidRPr="002E6BC6">
              <w:rPr>
                <w:rFonts w:ascii="Arial Narrow" w:hAnsi="Arial Narrow"/>
                <w:color w:val="000000" w:themeColor="text1"/>
                <w:sz w:val="20"/>
              </w:rPr>
              <w:t xml:space="preserve"> SC patients </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r>
      <w:tr w:rsidR="00936E54" w:rsidRPr="002E6BC6" w:rsidTr="00A04DFC">
        <w:trPr>
          <w:tblHeader/>
        </w:trPr>
        <w:tc>
          <w:tcPr>
            <w:tcW w:w="1288" w:type="dxa"/>
          </w:tcPr>
          <w:p w:rsidR="0067091F" w:rsidRPr="002E6BC6" w:rsidRDefault="00A52800" w:rsidP="0067091F">
            <w:pPr>
              <w:pStyle w:val="ListParagraph"/>
              <w:ind w:left="0"/>
              <w:rPr>
                <w:rFonts w:ascii="Arial Narrow" w:hAnsi="Arial Narrow"/>
                <w:color w:val="000000" w:themeColor="text1"/>
                <w:sz w:val="20"/>
              </w:rPr>
            </w:pPr>
            <w:r w:rsidRPr="002E6BC6">
              <w:rPr>
                <w:rFonts w:ascii="Arial Narrow" w:hAnsi="Arial Narrow"/>
                <w:color w:val="000000" w:themeColor="text1"/>
                <w:sz w:val="20"/>
              </w:rPr>
              <w:t xml:space="preserve">Volume of MBS services </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c>
          <w:tcPr>
            <w:tcW w:w="1288" w:type="dxa"/>
            <w:vAlign w:val="center"/>
          </w:tcPr>
          <w:p w:rsidR="0067091F" w:rsidRPr="003E2B64" w:rsidRDefault="003E2B64" w:rsidP="00DC4EE1">
            <w:pPr>
              <w:pStyle w:val="ListParagraph"/>
              <w:ind w:left="0"/>
              <w:jc w:val="center"/>
              <w:rPr>
                <w:rFonts w:ascii="Arial Narrow" w:hAnsi="Arial Narrow"/>
                <w:color w:val="000000" w:themeColor="text1"/>
                <w:sz w:val="20"/>
                <w:highlight w:val="black"/>
              </w:rPr>
            </w:pPr>
            <w:r>
              <w:rPr>
                <w:rFonts w:ascii="Arial Narrow" w:hAnsi="Arial Narrow"/>
                <w:noProof/>
                <w:color w:val="000000"/>
                <w:sz w:val="20"/>
                <w:highlight w:val="black"/>
              </w:rPr>
              <w:t>'''''''''''''''</w:t>
            </w:r>
          </w:p>
        </w:tc>
      </w:tr>
    </w:tbl>
    <w:p w:rsidR="008E00F2" w:rsidRPr="00DC4EE1" w:rsidRDefault="008E00F2" w:rsidP="00DC4EE1">
      <w:pPr>
        <w:rPr>
          <w:rFonts w:ascii="Arial Narrow" w:hAnsi="Arial Narrow"/>
          <w:color w:val="000000" w:themeColor="text1"/>
          <w:sz w:val="18"/>
        </w:rPr>
      </w:pPr>
      <w:r w:rsidRPr="00DC4EE1">
        <w:rPr>
          <w:rFonts w:ascii="Arial Narrow" w:hAnsi="Arial Narrow"/>
          <w:color w:val="000000" w:themeColor="text1"/>
          <w:sz w:val="18"/>
        </w:rPr>
        <w:t xml:space="preserve">Source: 6.19 </w:t>
      </w:r>
      <w:proofErr w:type="spellStart"/>
      <w:r w:rsidRPr="00DC4EE1">
        <w:rPr>
          <w:rFonts w:ascii="Arial Narrow" w:hAnsi="Arial Narrow"/>
          <w:color w:val="000000" w:themeColor="text1"/>
          <w:sz w:val="18"/>
        </w:rPr>
        <w:t>Tocilizumab</w:t>
      </w:r>
      <w:proofErr w:type="spellEnd"/>
      <w:r w:rsidRPr="00DC4EE1">
        <w:rPr>
          <w:rFonts w:ascii="Arial Narrow" w:hAnsi="Arial Narrow"/>
          <w:color w:val="000000" w:themeColor="text1"/>
          <w:sz w:val="18"/>
        </w:rPr>
        <w:t xml:space="preserve"> S </w:t>
      </w:r>
      <w:proofErr w:type="spellStart"/>
      <w:r w:rsidRPr="00DC4EE1">
        <w:rPr>
          <w:rFonts w:ascii="Arial Narrow" w:hAnsi="Arial Narrow"/>
          <w:color w:val="000000" w:themeColor="text1"/>
          <w:sz w:val="18"/>
        </w:rPr>
        <w:t>pJIA</w:t>
      </w:r>
      <w:proofErr w:type="spellEnd"/>
      <w:r w:rsidRPr="00DC4EE1">
        <w:rPr>
          <w:rFonts w:ascii="Arial Narrow" w:hAnsi="Arial Narrow"/>
          <w:color w:val="000000" w:themeColor="text1"/>
          <w:sz w:val="18"/>
        </w:rPr>
        <w:t xml:space="preserve"> Section 4 </w:t>
      </w:r>
      <w:proofErr w:type="spellStart"/>
      <w:r w:rsidRPr="00DC4EE1">
        <w:rPr>
          <w:rFonts w:ascii="Arial Narrow" w:hAnsi="Arial Narrow"/>
          <w:color w:val="000000" w:themeColor="text1"/>
          <w:sz w:val="18"/>
        </w:rPr>
        <w:t>workbook.xlsl</w:t>
      </w:r>
      <w:proofErr w:type="spellEnd"/>
      <w:r w:rsidRPr="00DC4EE1">
        <w:rPr>
          <w:rFonts w:ascii="Arial Narrow" w:hAnsi="Arial Narrow"/>
          <w:color w:val="000000" w:themeColor="text1"/>
          <w:sz w:val="18"/>
        </w:rPr>
        <w:t xml:space="preserve"> and p2 of the </w:t>
      </w:r>
      <w:r w:rsidR="002A0B4C">
        <w:rPr>
          <w:rFonts w:ascii="Arial Narrow" w:hAnsi="Arial Narrow"/>
          <w:color w:val="000000" w:themeColor="text1"/>
          <w:sz w:val="18"/>
        </w:rPr>
        <w:t>p</w:t>
      </w:r>
      <w:r w:rsidRPr="00DC4EE1">
        <w:rPr>
          <w:rFonts w:ascii="Arial Narrow" w:hAnsi="Arial Narrow"/>
          <w:color w:val="000000" w:themeColor="text1"/>
          <w:sz w:val="18"/>
        </w:rPr>
        <w:t xml:space="preserve">re-PBAC </w:t>
      </w:r>
      <w:r w:rsidR="002A0B4C">
        <w:rPr>
          <w:rFonts w:ascii="Arial Narrow" w:hAnsi="Arial Narrow"/>
          <w:color w:val="000000" w:themeColor="text1"/>
          <w:sz w:val="18"/>
        </w:rPr>
        <w:t>r</w:t>
      </w:r>
      <w:r w:rsidR="002A0B4C" w:rsidRPr="00DC4EE1">
        <w:rPr>
          <w:rFonts w:ascii="Arial Narrow" w:hAnsi="Arial Narrow"/>
          <w:color w:val="000000" w:themeColor="text1"/>
          <w:sz w:val="18"/>
        </w:rPr>
        <w:t>esponse</w:t>
      </w:r>
    </w:p>
    <w:p w:rsidR="00EC5B79" w:rsidRPr="00DC4EE1" w:rsidRDefault="008E00F2" w:rsidP="00DC4EE1">
      <w:pPr>
        <w:rPr>
          <w:rFonts w:ascii="Arial Narrow" w:hAnsi="Arial Narrow"/>
          <w:color w:val="000000" w:themeColor="text1"/>
          <w:sz w:val="18"/>
        </w:rPr>
      </w:pPr>
      <w:r w:rsidRPr="00DC4EE1">
        <w:rPr>
          <w:rFonts w:ascii="Arial Narrow" w:hAnsi="Arial Narrow"/>
          <w:color w:val="000000" w:themeColor="text1"/>
          <w:sz w:val="18"/>
        </w:rPr>
        <w:t>Abbreviations: JIA, juvenile idiopathic arthritis; SC, subcutaneous</w:t>
      </w:r>
    </w:p>
    <w:p w:rsidR="00E32EC6" w:rsidRPr="00DC4EE1" w:rsidRDefault="008E00F2" w:rsidP="00DC4EE1">
      <w:pPr>
        <w:rPr>
          <w:rFonts w:ascii="Arial Narrow" w:hAnsi="Arial Narrow"/>
          <w:color w:val="000000" w:themeColor="text1"/>
          <w:sz w:val="18"/>
        </w:rPr>
      </w:pPr>
      <w:r w:rsidRPr="00DC4EE1">
        <w:rPr>
          <w:rFonts w:ascii="Arial Narrow" w:hAnsi="Arial Narrow"/>
          <w:color w:val="000000" w:themeColor="text1"/>
          <w:sz w:val="18"/>
        </w:rPr>
        <w:t xml:space="preserve">Notes: </w:t>
      </w:r>
      <w:r w:rsidR="008E0E62" w:rsidRPr="00DC4EE1">
        <w:rPr>
          <w:rFonts w:ascii="Arial Narrow" w:hAnsi="Arial Narrow"/>
          <w:color w:val="000000" w:themeColor="text1"/>
          <w:sz w:val="18"/>
          <w:vertAlign w:val="superscript"/>
        </w:rPr>
        <w:t>a</w:t>
      </w:r>
      <w:r w:rsidR="008E0E62" w:rsidRPr="00DC4EE1">
        <w:rPr>
          <w:rFonts w:ascii="Arial Narrow" w:hAnsi="Arial Narrow"/>
          <w:color w:val="000000" w:themeColor="text1"/>
          <w:sz w:val="18"/>
        </w:rPr>
        <w:t xml:space="preserve"> </w:t>
      </w:r>
      <w:proofErr w:type="gramStart"/>
      <w:r w:rsidR="00014405" w:rsidRPr="00DC4EE1">
        <w:rPr>
          <w:rFonts w:ascii="Arial Narrow" w:hAnsi="Arial Narrow"/>
          <w:color w:val="000000" w:themeColor="text1"/>
          <w:sz w:val="18"/>
        </w:rPr>
        <w:t>Projected</w:t>
      </w:r>
      <w:proofErr w:type="gramEnd"/>
      <w:r w:rsidR="00014405" w:rsidRPr="00DC4EE1">
        <w:rPr>
          <w:rFonts w:ascii="Arial Narrow" w:hAnsi="Arial Narrow"/>
          <w:color w:val="000000" w:themeColor="text1"/>
          <w:sz w:val="18"/>
        </w:rPr>
        <w:t xml:space="preserve"> number of patients based on 10% PBS sample of number of </w:t>
      </w:r>
      <w:proofErr w:type="spellStart"/>
      <w:r w:rsidR="00014405" w:rsidRPr="00DC4EE1">
        <w:rPr>
          <w:rFonts w:ascii="Arial Narrow" w:hAnsi="Arial Narrow"/>
          <w:color w:val="000000" w:themeColor="text1"/>
          <w:sz w:val="18"/>
        </w:rPr>
        <w:t>tocilizumab</w:t>
      </w:r>
      <w:proofErr w:type="spellEnd"/>
      <w:r w:rsidR="00014405" w:rsidRPr="00DC4EE1">
        <w:rPr>
          <w:rFonts w:ascii="Arial Narrow" w:hAnsi="Arial Narrow"/>
          <w:color w:val="000000" w:themeColor="text1"/>
          <w:sz w:val="18"/>
        </w:rPr>
        <w:t xml:space="preserve"> scripts</w:t>
      </w:r>
      <w:r w:rsidR="00E32EC6" w:rsidRPr="00DC4EE1">
        <w:rPr>
          <w:rFonts w:ascii="Arial Narrow" w:hAnsi="Arial Narrow"/>
          <w:color w:val="000000" w:themeColor="text1"/>
          <w:sz w:val="18"/>
        </w:rPr>
        <w:t>;</w:t>
      </w:r>
    </w:p>
    <w:p w:rsidR="008E00F2" w:rsidRPr="00DC4EE1" w:rsidRDefault="00E32EC6" w:rsidP="00DC4EE1">
      <w:pPr>
        <w:rPr>
          <w:rFonts w:ascii="Arial Narrow" w:hAnsi="Arial Narrow"/>
          <w:color w:val="000000" w:themeColor="text1"/>
          <w:sz w:val="18"/>
        </w:rPr>
      </w:pPr>
      <w:proofErr w:type="gramStart"/>
      <w:r w:rsidRPr="00DC4EE1">
        <w:rPr>
          <w:rFonts w:ascii="Arial Narrow" w:hAnsi="Arial Narrow"/>
          <w:color w:val="000000" w:themeColor="text1"/>
          <w:sz w:val="18"/>
          <w:vertAlign w:val="superscript"/>
        </w:rPr>
        <w:t>b</w:t>
      </w:r>
      <w:proofErr w:type="gramEnd"/>
      <w:r w:rsidRPr="00DC4EE1">
        <w:rPr>
          <w:rFonts w:ascii="Arial Narrow" w:hAnsi="Arial Narrow"/>
          <w:color w:val="000000" w:themeColor="text1"/>
          <w:sz w:val="18"/>
        </w:rPr>
        <w:t xml:space="preserve"> </w:t>
      </w:r>
      <w:r w:rsidR="00C269A0" w:rsidRPr="00DC4EE1">
        <w:rPr>
          <w:rFonts w:ascii="Arial Narrow" w:hAnsi="Arial Narrow"/>
          <w:color w:val="000000" w:themeColor="text1"/>
          <w:sz w:val="18"/>
        </w:rPr>
        <w:t xml:space="preserve">Based on assumption that 90% of patients with JIA have </w:t>
      </w:r>
      <w:proofErr w:type="spellStart"/>
      <w:r w:rsidR="00C269A0" w:rsidRPr="00DC4EE1">
        <w:rPr>
          <w:rFonts w:ascii="Arial Narrow" w:hAnsi="Arial Narrow"/>
          <w:color w:val="000000" w:themeColor="text1"/>
          <w:sz w:val="18"/>
        </w:rPr>
        <w:t>polyarticular</w:t>
      </w:r>
      <w:proofErr w:type="spellEnd"/>
      <w:r w:rsidR="00C269A0" w:rsidRPr="00DC4EE1">
        <w:rPr>
          <w:rFonts w:ascii="Arial Narrow" w:hAnsi="Arial Narrow"/>
          <w:color w:val="000000" w:themeColor="text1"/>
          <w:sz w:val="18"/>
        </w:rPr>
        <w:t xml:space="preserve"> JIA. </w:t>
      </w:r>
    </w:p>
    <w:p w:rsidR="006043AE" w:rsidRPr="00D25B85" w:rsidRDefault="006043AE" w:rsidP="00357A48">
      <w:pPr>
        <w:spacing w:before="120" w:after="120"/>
        <w:rPr>
          <w:rFonts w:asciiTheme="minorHAnsi" w:eastAsiaTheme="minorHAnsi" w:hAnsiTheme="minorHAnsi" w:cstheme="minorBidi"/>
          <w:szCs w:val="22"/>
        </w:rPr>
      </w:pPr>
      <w:r w:rsidRPr="00D25B85">
        <w:rPr>
          <w:rFonts w:asciiTheme="minorHAnsi" w:eastAsiaTheme="minorHAnsi" w:hAnsiTheme="minorHAnsi" w:cstheme="minorBidi"/>
          <w:szCs w:val="22"/>
        </w:rPr>
        <w:t xml:space="preserve">The redacted table shows that </w:t>
      </w:r>
      <w:r w:rsidR="00F73290" w:rsidRPr="00D25B85">
        <w:rPr>
          <w:rFonts w:asciiTheme="minorHAnsi" w:eastAsiaTheme="minorHAnsi" w:hAnsiTheme="minorHAnsi" w:cstheme="minorBidi"/>
          <w:szCs w:val="22"/>
        </w:rPr>
        <w:t>at</w:t>
      </w:r>
      <w:r w:rsidRPr="00D25B85">
        <w:rPr>
          <w:rFonts w:asciiTheme="minorHAnsi" w:eastAsiaTheme="minorHAnsi" w:hAnsiTheme="minorHAnsi" w:cstheme="minorBidi"/>
          <w:szCs w:val="22"/>
        </w:rPr>
        <w:t xml:space="preserve"> Year 6, the estimated number of </w:t>
      </w:r>
      <w:proofErr w:type="spellStart"/>
      <w:r w:rsidRPr="00D25B85">
        <w:rPr>
          <w:rFonts w:asciiTheme="minorHAnsi" w:eastAsiaTheme="minorHAnsi" w:hAnsiTheme="minorHAnsi" w:cstheme="minorBidi"/>
          <w:szCs w:val="22"/>
        </w:rPr>
        <w:t>tocilizumab</w:t>
      </w:r>
      <w:proofErr w:type="spellEnd"/>
      <w:r w:rsidRPr="00D25B85">
        <w:rPr>
          <w:rFonts w:asciiTheme="minorHAnsi" w:eastAsiaTheme="minorHAnsi" w:hAnsiTheme="minorHAnsi" w:cstheme="minorBidi"/>
          <w:szCs w:val="22"/>
        </w:rPr>
        <w:t xml:space="preserve"> SC patients </w:t>
      </w:r>
      <w:r w:rsidR="00937185" w:rsidRPr="00D25B85">
        <w:rPr>
          <w:rFonts w:asciiTheme="minorHAnsi" w:eastAsiaTheme="minorHAnsi" w:hAnsiTheme="minorHAnsi" w:cstheme="minorBidi"/>
          <w:szCs w:val="22"/>
        </w:rPr>
        <w:t>would</w:t>
      </w:r>
      <w:r w:rsidRPr="00D25B85">
        <w:rPr>
          <w:rFonts w:asciiTheme="minorHAnsi" w:eastAsiaTheme="minorHAnsi" w:hAnsiTheme="minorHAnsi" w:cstheme="minorBidi"/>
          <w:szCs w:val="22"/>
        </w:rPr>
        <w:t xml:space="preserve"> be less than 10,000.</w:t>
      </w:r>
    </w:p>
    <w:p w:rsidR="00731D9F" w:rsidRPr="002E6BC6" w:rsidRDefault="00731D9F" w:rsidP="00357A48">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2E6BC6">
        <w:rPr>
          <w:rFonts w:asciiTheme="minorHAnsi" w:eastAsiaTheme="minorHAnsi" w:hAnsiTheme="minorHAnsi" w:cstheme="minorBidi"/>
          <w:snapToGrid/>
          <w:sz w:val="24"/>
          <w:szCs w:val="22"/>
        </w:rPr>
        <w:t xml:space="preserve">As this was a minor submission, the estimates have </w:t>
      </w:r>
      <w:proofErr w:type="gramStart"/>
      <w:r w:rsidRPr="002E6BC6">
        <w:rPr>
          <w:rFonts w:asciiTheme="minorHAnsi" w:eastAsiaTheme="minorHAnsi" w:hAnsiTheme="minorHAnsi" w:cstheme="minorBidi"/>
          <w:snapToGrid/>
          <w:sz w:val="24"/>
          <w:szCs w:val="22"/>
        </w:rPr>
        <w:t>not been independently</w:t>
      </w:r>
      <w:proofErr w:type="gramEnd"/>
      <w:r w:rsidRPr="002E6BC6">
        <w:rPr>
          <w:rFonts w:asciiTheme="minorHAnsi" w:eastAsiaTheme="minorHAnsi" w:hAnsiTheme="minorHAnsi" w:cstheme="minorBidi"/>
          <w:snapToGrid/>
          <w:sz w:val="24"/>
          <w:szCs w:val="22"/>
        </w:rPr>
        <w:t xml:space="preserve"> evaluated. </w:t>
      </w:r>
    </w:p>
    <w:p w:rsidR="00A85C8B" w:rsidRPr="002E6BC6" w:rsidRDefault="00B16D9C" w:rsidP="00357A48">
      <w:pPr>
        <w:pStyle w:val="ListParagraph"/>
        <w:spacing w:before="120" w:after="120"/>
        <w:ind w:left="709"/>
        <w:rPr>
          <w:rFonts w:asciiTheme="minorHAnsi" w:hAnsiTheme="minorHAnsi"/>
          <w:i/>
          <w:sz w:val="24"/>
        </w:rPr>
      </w:pPr>
      <w:r w:rsidRPr="002E6BC6">
        <w:rPr>
          <w:rFonts w:asciiTheme="minorHAnsi" w:hAnsiTheme="minorHAnsi"/>
          <w:i/>
          <w:sz w:val="24"/>
        </w:rPr>
        <w:t>For more deta</w:t>
      </w:r>
      <w:r w:rsidR="00047632" w:rsidRPr="002E6BC6">
        <w:rPr>
          <w:rFonts w:asciiTheme="minorHAnsi" w:hAnsiTheme="minorHAnsi"/>
          <w:i/>
          <w:sz w:val="24"/>
        </w:rPr>
        <w:t>il on PBAC’s view, see section 6</w:t>
      </w:r>
      <w:r w:rsidRPr="002E6BC6">
        <w:rPr>
          <w:rFonts w:asciiTheme="minorHAnsi" w:hAnsiTheme="minorHAnsi"/>
          <w:i/>
          <w:sz w:val="24"/>
        </w:rPr>
        <w:t xml:space="preserve"> PBAC outcome.</w:t>
      </w:r>
    </w:p>
    <w:p w:rsidR="00364C9B" w:rsidRPr="002E6BC6" w:rsidRDefault="00A85C8B" w:rsidP="00357A48">
      <w:pPr>
        <w:pStyle w:val="PBACHeading1"/>
        <w:spacing w:before="120" w:after="120"/>
        <w:rPr>
          <w:rFonts w:asciiTheme="minorHAnsi" w:hAnsiTheme="minorHAnsi" w:cstheme="minorHAnsi"/>
          <w:sz w:val="32"/>
        </w:rPr>
      </w:pPr>
      <w:r w:rsidRPr="002E6BC6">
        <w:rPr>
          <w:rFonts w:asciiTheme="minorHAnsi" w:hAnsiTheme="minorHAnsi" w:cstheme="minorHAnsi"/>
          <w:sz w:val="32"/>
        </w:rPr>
        <w:t xml:space="preserve">PBAC Outcome </w:t>
      </w:r>
    </w:p>
    <w:p w:rsidR="00364C9B" w:rsidRPr="00A74ECF" w:rsidRDefault="00364C9B"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The PBAC recommended the</w:t>
      </w:r>
      <w:r w:rsidR="003471CC" w:rsidRPr="00A74ECF">
        <w:rPr>
          <w:rFonts w:asciiTheme="minorHAnsi" w:hAnsiTheme="minorHAnsi" w:cs="Arial"/>
          <w:bCs/>
          <w:snapToGrid w:val="0"/>
          <w:lang w:eastAsia="en-US"/>
        </w:rPr>
        <w:t xml:space="preserve"> Authority </w:t>
      </w:r>
      <w:proofErr w:type="gramStart"/>
      <w:r w:rsidR="003471CC" w:rsidRPr="00A74ECF">
        <w:rPr>
          <w:rFonts w:asciiTheme="minorHAnsi" w:hAnsiTheme="minorHAnsi" w:cs="Arial"/>
          <w:bCs/>
          <w:snapToGrid w:val="0"/>
          <w:lang w:eastAsia="en-US"/>
        </w:rPr>
        <w:t>Required</w:t>
      </w:r>
      <w:proofErr w:type="gramEnd"/>
      <w:r w:rsidRPr="00A74ECF">
        <w:rPr>
          <w:rFonts w:asciiTheme="minorHAnsi" w:hAnsiTheme="minorHAnsi" w:cs="Arial"/>
          <w:bCs/>
          <w:snapToGrid w:val="0"/>
          <w:lang w:eastAsia="en-US"/>
        </w:rPr>
        <w:t xml:space="preserve"> listing of </w:t>
      </w:r>
      <w:r w:rsidR="003471CC" w:rsidRPr="00A74ECF">
        <w:rPr>
          <w:rFonts w:asciiTheme="minorHAnsi" w:hAnsiTheme="minorHAnsi" w:cs="Arial"/>
          <w:bCs/>
          <w:snapToGrid w:val="0"/>
          <w:lang w:eastAsia="en-US"/>
        </w:rPr>
        <w:t>subcutaneous (</w:t>
      </w:r>
      <w:r w:rsidR="0031675A" w:rsidRPr="00A74ECF">
        <w:rPr>
          <w:rFonts w:asciiTheme="minorHAnsi" w:hAnsiTheme="minorHAnsi" w:cs="Arial"/>
          <w:bCs/>
          <w:snapToGrid w:val="0"/>
          <w:lang w:eastAsia="en-US"/>
        </w:rPr>
        <w:t>SC</w:t>
      </w:r>
      <w:r w:rsidR="003471CC" w:rsidRPr="00A74ECF">
        <w:rPr>
          <w:rFonts w:asciiTheme="minorHAnsi" w:hAnsiTheme="minorHAnsi" w:cs="Arial"/>
          <w:bCs/>
          <w:snapToGrid w:val="0"/>
          <w:lang w:eastAsia="en-US"/>
        </w:rPr>
        <w:t xml:space="preserve">) presentations of </w:t>
      </w:r>
      <w:proofErr w:type="spellStart"/>
      <w:r w:rsidR="003471CC" w:rsidRPr="00A74ECF">
        <w:rPr>
          <w:rFonts w:asciiTheme="minorHAnsi" w:hAnsiTheme="minorHAnsi" w:cs="Arial"/>
          <w:bCs/>
          <w:snapToGrid w:val="0"/>
          <w:lang w:eastAsia="en-US"/>
        </w:rPr>
        <w:t>tocilizumab</w:t>
      </w:r>
      <w:proofErr w:type="spellEnd"/>
      <w:r w:rsidR="003471CC" w:rsidRPr="00A74ECF">
        <w:rPr>
          <w:rFonts w:asciiTheme="minorHAnsi" w:hAnsiTheme="minorHAnsi" w:cs="Arial"/>
          <w:bCs/>
          <w:snapToGrid w:val="0"/>
          <w:lang w:eastAsia="en-US"/>
        </w:rPr>
        <w:t xml:space="preserve"> </w:t>
      </w:r>
      <w:r w:rsidR="0031675A" w:rsidRPr="00A74ECF">
        <w:rPr>
          <w:rFonts w:asciiTheme="minorHAnsi" w:hAnsiTheme="minorHAnsi" w:cs="Arial"/>
          <w:bCs/>
          <w:snapToGrid w:val="0"/>
          <w:lang w:eastAsia="en-US"/>
        </w:rPr>
        <w:t>for the</w:t>
      </w:r>
      <w:r w:rsidR="0031675A" w:rsidRPr="002E6BC6">
        <w:rPr>
          <w:rFonts w:asciiTheme="minorHAnsi" w:hAnsiTheme="minorHAnsi" w:cs="Arial"/>
          <w:bCs/>
          <w:snapToGrid w:val="0"/>
          <w:lang w:eastAsia="en-US"/>
        </w:rPr>
        <w:t xml:space="preserve"> treatment of severe active </w:t>
      </w:r>
      <w:proofErr w:type="spellStart"/>
      <w:r w:rsidR="0031675A" w:rsidRPr="002E6BC6">
        <w:rPr>
          <w:rFonts w:asciiTheme="minorHAnsi" w:hAnsiTheme="minorHAnsi" w:cs="Arial"/>
          <w:bCs/>
          <w:snapToGrid w:val="0"/>
          <w:lang w:eastAsia="en-US"/>
        </w:rPr>
        <w:t>polyarticular</w:t>
      </w:r>
      <w:proofErr w:type="spellEnd"/>
      <w:r w:rsidR="0031675A" w:rsidRPr="002E6BC6">
        <w:rPr>
          <w:rFonts w:asciiTheme="minorHAnsi" w:hAnsiTheme="minorHAnsi" w:cs="Arial"/>
          <w:bCs/>
          <w:snapToGrid w:val="0"/>
          <w:lang w:eastAsia="en-US"/>
        </w:rPr>
        <w:t xml:space="preserve"> juvenile idiopathic arthritis (JIA) </w:t>
      </w:r>
      <w:r w:rsidR="003471CC" w:rsidRPr="00A74ECF">
        <w:rPr>
          <w:rFonts w:asciiTheme="minorHAnsi" w:hAnsiTheme="minorHAnsi" w:cs="Arial"/>
          <w:bCs/>
          <w:snapToGrid w:val="0"/>
          <w:lang w:eastAsia="en-US"/>
        </w:rPr>
        <w:t xml:space="preserve">on a cost-minimisation basis to IV (intravenous) </w:t>
      </w:r>
      <w:proofErr w:type="spellStart"/>
      <w:r w:rsidR="003471CC" w:rsidRPr="00A74ECF">
        <w:rPr>
          <w:rFonts w:asciiTheme="minorHAnsi" w:hAnsiTheme="minorHAnsi" w:cs="Arial"/>
          <w:bCs/>
          <w:snapToGrid w:val="0"/>
          <w:lang w:eastAsia="en-US"/>
        </w:rPr>
        <w:t>tocilizumab</w:t>
      </w:r>
      <w:proofErr w:type="spellEnd"/>
      <w:r w:rsidR="003471CC" w:rsidRPr="00A74ECF">
        <w:rPr>
          <w:rFonts w:asciiTheme="minorHAnsi" w:hAnsiTheme="minorHAnsi" w:cs="Arial"/>
          <w:bCs/>
          <w:snapToGrid w:val="0"/>
          <w:lang w:eastAsia="en-US"/>
        </w:rPr>
        <w:t xml:space="preserve">. The PBAC considered that </w:t>
      </w:r>
      <w:proofErr w:type="spellStart"/>
      <w:r w:rsidR="003471CC" w:rsidRPr="00A74ECF">
        <w:rPr>
          <w:rFonts w:asciiTheme="minorHAnsi" w:hAnsiTheme="minorHAnsi" w:cs="Arial"/>
          <w:bCs/>
          <w:snapToGrid w:val="0"/>
          <w:lang w:eastAsia="en-US"/>
        </w:rPr>
        <w:t>tocilizumab</w:t>
      </w:r>
      <w:proofErr w:type="spellEnd"/>
      <w:r w:rsidR="003471CC" w:rsidRPr="00A74ECF">
        <w:rPr>
          <w:rFonts w:asciiTheme="minorHAnsi" w:hAnsiTheme="minorHAnsi" w:cs="Arial"/>
          <w:bCs/>
          <w:snapToGrid w:val="0"/>
          <w:lang w:eastAsia="en-US"/>
        </w:rPr>
        <w:t xml:space="preserve"> SC was likely to be equivalent in efficacy and safety to IV </w:t>
      </w:r>
      <w:proofErr w:type="spellStart"/>
      <w:r w:rsidR="003471CC" w:rsidRPr="00A74ECF">
        <w:rPr>
          <w:rFonts w:asciiTheme="minorHAnsi" w:hAnsiTheme="minorHAnsi" w:cs="Arial"/>
          <w:bCs/>
          <w:snapToGrid w:val="0"/>
          <w:lang w:eastAsia="en-US"/>
        </w:rPr>
        <w:t>tocilizumab</w:t>
      </w:r>
      <w:proofErr w:type="spellEnd"/>
      <w:r w:rsidR="002E6BC6">
        <w:rPr>
          <w:rFonts w:asciiTheme="minorHAnsi" w:hAnsiTheme="minorHAnsi" w:cs="Arial"/>
          <w:bCs/>
          <w:snapToGrid w:val="0"/>
          <w:lang w:eastAsia="en-US"/>
        </w:rPr>
        <w:t xml:space="preserve">. </w:t>
      </w:r>
    </w:p>
    <w:p w:rsidR="00364C9B" w:rsidRPr="00A74ECF" w:rsidRDefault="003471CC"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 xml:space="preserve">Based on the evidence presented in the submission, </w:t>
      </w:r>
      <w:r w:rsidR="00B859CF" w:rsidRPr="00A74ECF">
        <w:rPr>
          <w:rFonts w:asciiTheme="minorHAnsi" w:hAnsiTheme="minorHAnsi" w:cs="Arial"/>
          <w:bCs/>
          <w:snapToGrid w:val="0"/>
          <w:lang w:eastAsia="en-US"/>
        </w:rPr>
        <w:t>t</w:t>
      </w:r>
      <w:r w:rsidRPr="00A74ECF">
        <w:rPr>
          <w:rFonts w:asciiTheme="minorHAnsi" w:hAnsiTheme="minorHAnsi" w:cs="Arial"/>
          <w:bCs/>
          <w:snapToGrid w:val="0"/>
          <w:lang w:eastAsia="en-US"/>
        </w:rPr>
        <w:t>he</w:t>
      </w:r>
      <w:r w:rsidR="00C9339B" w:rsidRPr="00A74ECF">
        <w:rPr>
          <w:rFonts w:asciiTheme="minorHAnsi" w:hAnsiTheme="minorHAnsi" w:cs="Arial"/>
          <w:bCs/>
          <w:snapToGrid w:val="0"/>
          <w:lang w:eastAsia="en-US"/>
        </w:rPr>
        <w:t xml:space="preserve"> PBAC</w:t>
      </w:r>
      <w:r w:rsidR="000E21D3" w:rsidRPr="00A74ECF">
        <w:rPr>
          <w:rFonts w:asciiTheme="minorHAnsi" w:hAnsiTheme="minorHAnsi" w:cs="Arial"/>
          <w:bCs/>
          <w:snapToGrid w:val="0"/>
          <w:lang w:eastAsia="en-US"/>
        </w:rPr>
        <w:t xml:space="preserve"> </w:t>
      </w:r>
      <w:r w:rsidR="00B859CF" w:rsidRPr="00A74ECF">
        <w:rPr>
          <w:rFonts w:asciiTheme="minorHAnsi" w:hAnsiTheme="minorHAnsi" w:cs="Arial"/>
          <w:bCs/>
          <w:snapToGrid w:val="0"/>
          <w:lang w:eastAsia="en-US"/>
        </w:rPr>
        <w:t xml:space="preserve">considered the </w:t>
      </w:r>
      <w:proofErr w:type="spellStart"/>
      <w:r w:rsidR="000E21D3" w:rsidRPr="00A74ECF">
        <w:rPr>
          <w:rFonts w:asciiTheme="minorHAnsi" w:hAnsiTheme="minorHAnsi" w:cs="Arial"/>
          <w:bCs/>
          <w:snapToGrid w:val="0"/>
          <w:lang w:eastAsia="en-US"/>
        </w:rPr>
        <w:t>equi</w:t>
      </w:r>
      <w:proofErr w:type="spellEnd"/>
      <w:r w:rsidR="000E21D3" w:rsidRPr="00A74ECF">
        <w:rPr>
          <w:rFonts w:asciiTheme="minorHAnsi" w:hAnsiTheme="minorHAnsi" w:cs="Arial"/>
          <w:bCs/>
          <w:snapToGrid w:val="0"/>
          <w:lang w:eastAsia="en-US"/>
        </w:rPr>
        <w:t>-effective doses</w:t>
      </w:r>
      <w:r w:rsidR="00B859CF" w:rsidRPr="00A74ECF">
        <w:rPr>
          <w:rFonts w:asciiTheme="minorHAnsi" w:hAnsiTheme="minorHAnsi" w:cs="Arial"/>
          <w:bCs/>
          <w:snapToGrid w:val="0"/>
          <w:lang w:eastAsia="en-US"/>
        </w:rPr>
        <w:t xml:space="preserve"> were</w:t>
      </w:r>
      <w:r w:rsidR="000E21D3" w:rsidRPr="00A74ECF">
        <w:rPr>
          <w:rFonts w:asciiTheme="minorHAnsi" w:hAnsiTheme="minorHAnsi" w:cs="Arial"/>
          <w:bCs/>
          <w:snapToGrid w:val="0"/>
          <w:lang w:eastAsia="en-US"/>
        </w:rPr>
        <w:t xml:space="preserve"> </w:t>
      </w:r>
      <w:proofErr w:type="spellStart"/>
      <w:r w:rsidR="000E21D3" w:rsidRPr="00A74ECF">
        <w:rPr>
          <w:rFonts w:asciiTheme="minorHAnsi" w:hAnsiTheme="minorHAnsi" w:cs="Arial"/>
          <w:bCs/>
          <w:snapToGrid w:val="0"/>
          <w:lang w:eastAsia="en-US"/>
        </w:rPr>
        <w:t>tocilizumab</w:t>
      </w:r>
      <w:proofErr w:type="spellEnd"/>
      <w:r w:rsidR="000E21D3" w:rsidRPr="00A74ECF">
        <w:rPr>
          <w:rFonts w:asciiTheme="minorHAnsi" w:hAnsiTheme="minorHAnsi" w:cs="Arial"/>
          <w:bCs/>
          <w:snapToGrid w:val="0"/>
          <w:lang w:eastAsia="en-US"/>
        </w:rPr>
        <w:t xml:space="preserve"> SC 162 mg </w:t>
      </w:r>
      <w:r w:rsidR="00B859CF" w:rsidRPr="00A74ECF">
        <w:rPr>
          <w:rFonts w:asciiTheme="minorHAnsi" w:hAnsiTheme="minorHAnsi" w:cs="Arial"/>
          <w:bCs/>
          <w:snapToGrid w:val="0"/>
          <w:lang w:eastAsia="en-US"/>
        </w:rPr>
        <w:t>Q3W</w:t>
      </w:r>
      <w:r w:rsidR="000E21D3" w:rsidRPr="00A74ECF">
        <w:rPr>
          <w:rFonts w:asciiTheme="minorHAnsi" w:hAnsiTheme="minorHAnsi" w:cs="Arial"/>
          <w:bCs/>
          <w:snapToGrid w:val="0"/>
          <w:lang w:eastAsia="en-US"/>
        </w:rPr>
        <w:t xml:space="preserve"> for the patients </w:t>
      </w:r>
      <w:r w:rsidR="00B859CF" w:rsidRPr="00A74ECF">
        <w:rPr>
          <w:rFonts w:asciiTheme="minorHAnsi" w:hAnsiTheme="minorHAnsi" w:cs="Arial"/>
          <w:bCs/>
          <w:snapToGrid w:val="0"/>
          <w:lang w:eastAsia="en-US"/>
        </w:rPr>
        <w:t>&lt;</w:t>
      </w:r>
      <w:r w:rsidR="000E21D3" w:rsidRPr="00A74ECF">
        <w:rPr>
          <w:rFonts w:asciiTheme="minorHAnsi" w:hAnsiTheme="minorHAnsi" w:cs="Arial"/>
          <w:bCs/>
          <w:snapToGrid w:val="0"/>
          <w:lang w:eastAsia="en-US"/>
        </w:rPr>
        <w:t xml:space="preserve">30 kg and </w:t>
      </w:r>
      <w:r w:rsidR="00B859CF" w:rsidRPr="00A74ECF">
        <w:rPr>
          <w:rFonts w:asciiTheme="minorHAnsi" w:hAnsiTheme="minorHAnsi" w:cs="Arial"/>
          <w:bCs/>
          <w:snapToGrid w:val="0"/>
          <w:lang w:eastAsia="en-US"/>
        </w:rPr>
        <w:t>Q</w:t>
      </w:r>
      <w:r w:rsidR="004C5BED" w:rsidRPr="00A74ECF">
        <w:rPr>
          <w:rFonts w:asciiTheme="minorHAnsi" w:hAnsiTheme="minorHAnsi" w:cs="Arial"/>
          <w:bCs/>
          <w:snapToGrid w:val="0"/>
          <w:lang w:eastAsia="en-US"/>
        </w:rPr>
        <w:t>2</w:t>
      </w:r>
      <w:r w:rsidR="00B859CF" w:rsidRPr="00A74ECF">
        <w:rPr>
          <w:rFonts w:asciiTheme="minorHAnsi" w:hAnsiTheme="minorHAnsi" w:cs="Arial"/>
          <w:bCs/>
          <w:snapToGrid w:val="0"/>
          <w:lang w:eastAsia="en-US"/>
        </w:rPr>
        <w:t>W</w:t>
      </w:r>
      <w:r w:rsidR="000E21D3" w:rsidRPr="00A74ECF">
        <w:rPr>
          <w:rFonts w:asciiTheme="minorHAnsi" w:hAnsiTheme="minorHAnsi" w:cs="Arial"/>
          <w:bCs/>
          <w:snapToGrid w:val="0"/>
          <w:lang w:eastAsia="en-US"/>
        </w:rPr>
        <w:t xml:space="preserve"> for patients </w:t>
      </w:r>
      <w:r w:rsidR="00B859CF" w:rsidRPr="002E6BC6">
        <w:rPr>
          <w:rFonts w:asciiTheme="minorHAnsi" w:eastAsiaTheme="minorHAnsi" w:hAnsiTheme="minorHAnsi" w:cstheme="minorBidi"/>
          <w:color w:val="000000" w:themeColor="text1"/>
          <w:szCs w:val="22"/>
        </w:rPr>
        <w:sym w:font="Symbol" w:char="F0B3"/>
      </w:r>
      <w:r w:rsidR="00B859CF" w:rsidRPr="002E6BC6">
        <w:rPr>
          <w:rFonts w:asciiTheme="minorHAnsi" w:eastAsiaTheme="minorHAnsi" w:hAnsiTheme="minorHAnsi" w:cstheme="minorBidi"/>
          <w:color w:val="000000" w:themeColor="text1"/>
          <w:szCs w:val="22"/>
        </w:rPr>
        <w:t xml:space="preserve"> </w:t>
      </w:r>
      <w:r w:rsidR="000E21D3" w:rsidRPr="00A74ECF">
        <w:rPr>
          <w:rFonts w:asciiTheme="minorHAnsi" w:hAnsiTheme="minorHAnsi" w:cs="Arial"/>
          <w:bCs/>
          <w:snapToGrid w:val="0"/>
          <w:lang w:eastAsia="en-US"/>
        </w:rPr>
        <w:t xml:space="preserve">30 kg </w:t>
      </w:r>
      <w:r w:rsidR="00B859CF" w:rsidRPr="00A74ECF">
        <w:rPr>
          <w:rFonts w:asciiTheme="minorHAnsi" w:hAnsiTheme="minorHAnsi" w:cs="Arial"/>
          <w:bCs/>
          <w:snapToGrid w:val="0"/>
          <w:lang w:eastAsia="en-US"/>
        </w:rPr>
        <w:t>and IV</w:t>
      </w:r>
      <w:r w:rsidR="000E21D3" w:rsidRPr="00A74ECF">
        <w:rPr>
          <w:rFonts w:asciiTheme="minorHAnsi" w:hAnsiTheme="minorHAnsi" w:cs="Arial"/>
          <w:bCs/>
          <w:snapToGrid w:val="0"/>
          <w:lang w:eastAsia="en-US"/>
        </w:rPr>
        <w:t xml:space="preserve"> </w:t>
      </w:r>
      <w:proofErr w:type="spellStart"/>
      <w:r w:rsidR="000E21D3" w:rsidRPr="00A74ECF">
        <w:rPr>
          <w:rFonts w:asciiTheme="minorHAnsi" w:hAnsiTheme="minorHAnsi" w:cs="Arial"/>
          <w:bCs/>
          <w:snapToGrid w:val="0"/>
          <w:lang w:eastAsia="en-US"/>
        </w:rPr>
        <w:t>tocilizumab</w:t>
      </w:r>
      <w:proofErr w:type="spellEnd"/>
      <w:r w:rsidR="000E21D3" w:rsidRPr="00A74ECF">
        <w:rPr>
          <w:rFonts w:asciiTheme="minorHAnsi" w:hAnsiTheme="minorHAnsi" w:cs="Arial"/>
          <w:bCs/>
          <w:snapToGrid w:val="0"/>
          <w:lang w:eastAsia="en-US"/>
        </w:rPr>
        <w:t xml:space="preserve"> 10 mg/kg for patients </w:t>
      </w:r>
      <w:r w:rsidR="00B859CF" w:rsidRPr="00A74ECF">
        <w:rPr>
          <w:rFonts w:asciiTheme="minorHAnsi" w:hAnsiTheme="minorHAnsi" w:cs="Arial"/>
          <w:bCs/>
          <w:snapToGrid w:val="0"/>
          <w:lang w:eastAsia="en-US"/>
        </w:rPr>
        <w:t>&lt;</w:t>
      </w:r>
      <w:r w:rsidR="000E21D3" w:rsidRPr="00A74ECF">
        <w:rPr>
          <w:rFonts w:asciiTheme="minorHAnsi" w:hAnsiTheme="minorHAnsi" w:cs="Arial"/>
          <w:bCs/>
          <w:snapToGrid w:val="0"/>
          <w:lang w:eastAsia="en-US"/>
        </w:rPr>
        <w:t xml:space="preserve"> 30 kg and 8 mg/kg for patients </w:t>
      </w:r>
      <w:r w:rsidR="00B859CF" w:rsidRPr="002E6BC6">
        <w:rPr>
          <w:rFonts w:asciiTheme="minorHAnsi" w:eastAsiaTheme="minorHAnsi" w:hAnsiTheme="minorHAnsi" w:cstheme="minorBidi"/>
          <w:color w:val="000000" w:themeColor="text1"/>
          <w:szCs w:val="22"/>
        </w:rPr>
        <w:sym w:font="Symbol" w:char="F0B3"/>
      </w:r>
      <w:r w:rsidR="00B859CF" w:rsidRPr="002E6BC6">
        <w:rPr>
          <w:rFonts w:asciiTheme="minorHAnsi" w:eastAsiaTheme="minorHAnsi" w:hAnsiTheme="minorHAnsi" w:cstheme="minorBidi"/>
          <w:color w:val="000000" w:themeColor="text1"/>
          <w:szCs w:val="22"/>
        </w:rPr>
        <w:t xml:space="preserve"> </w:t>
      </w:r>
      <w:r w:rsidR="000E21D3" w:rsidRPr="00A74ECF">
        <w:rPr>
          <w:rFonts w:asciiTheme="minorHAnsi" w:hAnsiTheme="minorHAnsi" w:cs="Arial"/>
          <w:bCs/>
          <w:snapToGrid w:val="0"/>
          <w:lang w:eastAsia="en-US"/>
        </w:rPr>
        <w:t xml:space="preserve">30 kg. </w:t>
      </w:r>
    </w:p>
    <w:p w:rsidR="00364C9B" w:rsidRPr="00A74ECF" w:rsidRDefault="0009282D"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For paediatric patients &lt;30 kg, t</w:t>
      </w:r>
      <w:r w:rsidR="00FF7BA2" w:rsidRPr="00A74ECF">
        <w:rPr>
          <w:rFonts w:asciiTheme="minorHAnsi" w:hAnsiTheme="minorHAnsi" w:cs="Arial"/>
          <w:bCs/>
          <w:snapToGrid w:val="0"/>
          <w:lang w:eastAsia="en-US"/>
        </w:rPr>
        <w:t xml:space="preserve">he PBAC recommended </w:t>
      </w:r>
      <w:r w:rsidRPr="00A74ECF">
        <w:rPr>
          <w:rFonts w:asciiTheme="minorHAnsi" w:hAnsiTheme="minorHAnsi" w:cs="Arial"/>
          <w:bCs/>
          <w:snapToGrid w:val="0"/>
          <w:lang w:eastAsia="en-US"/>
        </w:rPr>
        <w:t xml:space="preserve">a maximum quantity of </w:t>
      </w:r>
      <w:r w:rsidR="002E6BC6">
        <w:rPr>
          <w:rFonts w:asciiTheme="minorHAnsi" w:hAnsiTheme="minorHAnsi" w:cs="Arial"/>
          <w:bCs/>
          <w:snapToGrid w:val="0"/>
          <w:lang w:eastAsia="en-US"/>
        </w:rPr>
        <w:t xml:space="preserve">one </w:t>
      </w:r>
      <w:r w:rsidRPr="00A74ECF">
        <w:rPr>
          <w:rFonts w:asciiTheme="minorHAnsi" w:hAnsiTheme="minorHAnsi" w:cs="Arial"/>
          <w:bCs/>
          <w:snapToGrid w:val="0"/>
          <w:lang w:eastAsia="en-US"/>
        </w:rPr>
        <w:t xml:space="preserve">with </w:t>
      </w:r>
      <w:r w:rsidR="002E6BC6">
        <w:rPr>
          <w:rFonts w:asciiTheme="minorHAnsi" w:hAnsiTheme="minorHAnsi" w:cs="Arial"/>
          <w:bCs/>
          <w:snapToGrid w:val="0"/>
          <w:lang w:eastAsia="en-US"/>
        </w:rPr>
        <w:t xml:space="preserve">one </w:t>
      </w:r>
      <w:r w:rsidRPr="00A74ECF">
        <w:rPr>
          <w:rFonts w:asciiTheme="minorHAnsi" w:hAnsiTheme="minorHAnsi" w:cs="Arial"/>
          <w:bCs/>
          <w:snapToGrid w:val="0"/>
          <w:lang w:eastAsia="en-US"/>
        </w:rPr>
        <w:t>repeat for both initial and continuing treatment</w:t>
      </w:r>
      <w:r w:rsidR="00912C8B" w:rsidRPr="00A74ECF">
        <w:rPr>
          <w:rFonts w:asciiTheme="minorHAnsi" w:hAnsiTheme="minorHAnsi" w:cs="Arial"/>
          <w:bCs/>
          <w:snapToGrid w:val="0"/>
          <w:lang w:eastAsia="en-US"/>
        </w:rPr>
        <w:t xml:space="preserve">. For paediatric patients </w:t>
      </w:r>
      <w:r w:rsidR="00912C8B" w:rsidRPr="002E6BC6">
        <w:rPr>
          <w:rFonts w:asciiTheme="minorHAnsi" w:eastAsiaTheme="minorHAnsi" w:hAnsiTheme="minorHAnsi" w:cstheme="minorBidi"/>
          <w:color w:val="000000" w:themeColor="text1"/>
          <w:szCs w:val="22"/>
        </w:rPr>
        <w:sym w:font="Symbol" w:char="F0B3"/>
      </w:r>
      <w:r w:rsidR="00912C8B" w:rsidRPr="002E6BC6">
        <w:rPr>
          <w:rFonts w:asciiTheme="minorHAnsi" w:eastAsiaTheme="minorHAnsi" w:hAnsiTheme="minorHAnsi" w:cstheme="minorBidi"/>
          <w:color w:val="000000" w:themeColor="text1"/>
          <w:szCs w:val="22"/>
        </w:rPr>
        <w:t xml:space="preserve"> 30 kg, the PBAC recommended a maximum quantity of </w:t>
      </w:r>
      <w:r w:rsidR="002E6BC6">
        <w:rPr>
          <w:rFonts w:asciiTheme="minorHAnsi" w:eastAsiaTheme="minorHAnsi" w:hAnsiTheme="minorHAnsi" w:cstheme="minorBidi"/>
          <w:color w:val="000000" w:themeColor="text1"/>
          <w:szCs w:val="22"/>
        </w:rPr>
        <w:t xml:space="preserve">one </w:t>
      </w:r>
      <w:r w:rsidR="00912C8B" w:rsidRPr="002E6BC6">
        <w:rPr>
          <w:rFonts w:asciiTheme="minorHAnsi" w:eastAsiaTheme="minorHAnsi" w:hAnsiTheme="minorHAnsi" w:cstheme="minorBidi"/>
          <w:color w:val="000000" w:themeColor="text1"/>
          <w:szCs w:val="22"/>
        </w:rPr>
        <w:t xml:space="preserve">with </w:t>
      </w:r>
      <w:r w:rsidR="002E6BC6">
        <w:rPr>
          <w:rFonts w:asciiTheme="minorHAnsi" w:eastAsiaTheme="minorHAnsi" w:hAnsiTheme="minorHAnsi" w:cstheme="minorBidi"/>
          <w:color w:val="000000" w:themeColor="text1"/>
          <w:szCs w:val="22"/>
        </w:rPr>
        <w:t xml:space="preserve">one </w:t>
      </w:r>
      <w:r w:rsidR="00912C8B" w:rsidRPr="002E6BC6">
        <w:rPr>
          <w:rFonts w:asciiTheme="minorHAnsi" w:eastAsiaTheme="minorHAnsi" w:hAnsiTheme="minorHAnsi" w:cstheme="minorBidi"/>
          <w:color w:val="000000" w:themeColor="text1"/>
          <w:szCs w:val="22"/>
        </w:rPr>
        <w:t>repeat for</w:t>
      </w:r>
      <w:r w:rsidR="00897E04" w:rsidRPr="002E6BC6">
        <w:rPr>
          <w:rFonts w:asciiTheme="minorHAnsi" w:eastAsiaTheme="minorHAnsi" w:hAnsiTheme="minorHAnsi" w:cstheme="minorBidi"/>
          <w:color w:val="000000" w:themeColor="text1"/>
          <w:szCs w:val="22"/>
        </w:rPr>
        <w:t xml:space="preserve"> initial treatment and </w:t>
      </w:r>
      <w:r w:rsidR="002E6BC6">
        <w:rPr>
          <w:rFonts w:asciiTheme="minorHAnsi" w:eastAsiaTheme="minorHAnsi" w:hAnsiTheme="minorHAnsi" w:cstheme="minorBidi"/>
          <w:color w:val="000000" w:themeColor="text1"/>
          <w:szCs w:val="22"/>
        </w:rPr>
        <w:t xml:space="preserve">one </w:t>
      </w:r>
      <w:r w:rsidR="00897E04" w:rsidRPr="002E6BC6">
        <w:rPr>
          <w:rFonts w:asciiTheme="minorHAnsi" w:eastAsiaTheme="minorHAnsi" w:hAnsiTheme="minorHAnsi" w:cstheme="minorBidi"/>
          <w:color w:val="000000" w:themeColor="text1"/>
          <w:szCs w:val="22"/>
        </w:rPr>
        <w:t xml:space="preserve">with </w:t>
      </w:r>
      <w:r w:rsidR="002E6BC6">
        <w:rPr>
          <w:rFonts w:asciiTheme="minorHAnsi" w:eastAsiaTheme="minorHAnsi" w:hAnsiTheme="minorHAnsi" w:cstheme="minorBidi"/>
          <w:color w:val="000000" w:themeColor="text1"/>
          <w:szCs w:val="22"/>
        </w:rPr>
        <w:t xml:space="preserve">two </w:t>
      </w:r>
      <w:r w:rsidR="00897E04" w:rsidRPr="002E6BC6">
        <w:rPr>
          <w:rFonts w:asciiTheme="minorHAnsi" w:eastAsiaTheme="minorHAnsi" w:hAnsiTheme="minorHAnsi" w:cstheme="minorBidi"/>
          <w:color w:val="000000" w:themeColor="text1"/>
          <w:szCs w:val="22"/>
        </w:rPr>
        <w:t>repeats for continuing</w:t>
      </w:r>
      <w:r w:rsidR="00912C8B" w:rsidRPr="002E6BC6">
        <w:rPr>
          <w:rFonts w:asciiTheme="minorHAnsi" w:eastAsiaTheme="minorHAnsi" w:hAnsiTheme="minorHAnsi" w:cstheme="minorBidi"/>
          <w:color w:val="000000" w:themeColor="text1"/>
          <w:szCs w:val="22"/>
        </w:rPr>
        <w:t xml:space="preserve"> </w:t>
      </w:r>
      <w:r w:rsidR="00EE764D" w:rsidRPr="002E6BC6">
        <w:rPr>
          <w:rFonts w:asciiTheme="minorHAnsi" w:eastAsiaTheme="minorHAnsi" w:hAnsiTheme="minorHAnsi" w:cstheme="minorBidi"/>
          <w:color w:val="000000" w:themeColor="text1"/>
          <w:szCs w:val="22"/>
        </w:rPr>
        <w:t>treatment.</w:t>
      </w:r>
      <w:r w:rsidR="009A02EF" w:rsidRPr="002E6BC6">
        <w:rPr>
          <w:rFonts w:asciiTheme="minorHAnsi" w:eastAsiaTheme="minorHAnsi" w:hAnsiTheme="minorHAnsi" w:cstheme="minorBidi"/>
          <w:color w:val="000000" w:themeColor="text1"/>
          <w:szCs w:val="22"/>
        </w:rPr>
        <w:t xml:space="preserve"> For adult patients, the PBAC recommended a maximum quantity of </w:t>
      </w:r>
      <w:r w:rsidR="002E6BC6">
        <w:rPr>
          <w:rFonts w:asciiTheme="minorHAnsi" w:eastAsiaTheme="minorHAnsi" w:hAnsiTheme="minorHAnsi" w:cstheme="minorBidi"/>
          <w:color w:val="000000" w:themeColor="text1"/>
          <w:szCs w:val="22"/>
        </w:rPr>
        <w:t xml:space="preserve">one </w:t>
      </w:r>
      <w:r w:rsidR="009A02EF" w:rsidRPr="002E6BC6">
        <w:rPr>
          <w:rFonts w:asciiTheme="minorHAnsi" w:eastAsiaTheme="minorHAnsi" w:hAnsiTheme="minorHAnsi" w:cstheme="minorBidi"/>
          <w:color w:val="000000" w:themeColor="text1"/>
          <w:szCs w:val="22"/>
        </w:rPr>
        <w:t xml:space="preserve">with </w:t>
      </w:r>
      <w:r w:rsidR="002E6BC6">
        <w:rPr>
          <w:rFonts w:asciiTheme="minorHAnsi" w:eastAsiaTheme="minorHAnsi" w:hAnsiTheme="minorHAnsi" w:cstheme="minorBidi"/>
          <w:color w:val="000000" w:themeColor="text1"/>
          <w:szCs w:val="22"/>
        </w:rPr>
        <w:t xml:space="preserve">three </w:t>
      </w:r>
      <w:r w:rsidR="009A02EF" w:rsidRPr="002E6BC6">
        <w:rPr>
          <w:rFonts w:asciiTheme="minorHAnsi" w:eastAsiaTheme="minorHAnsi" w:hAnsiTheme="minorHAnsi" w:cstheme="minorBidi"/>
          <w:color w:val="000000" w:themeColor="text1"/>
          <w:szCs w:val="22"/>
        </w:rPr>
        <w:t xml:space="preserve">repeats for initial treatment and </w:t>
      </w:r>
      <w:r w:rsidR="002E6BC6">
        <w:rPr>
          <w:rFonts w:asciiTheme="minorHAnsi" w:eastAsiaTheme="minorHAnsi" w:hAnsiTheme="minorHAnsi" w:cstheme="minorBidi"/>
          <w:color w:val="000000" w:themeColor="text1"/>
          <w:szCs w:val="22"/>
        </w:rPr>
        <w:t xml:space="preserve">one </w:t>
      </w:r>
      <w:r w:rsidR="009A02EF" w:rsidRPr="002E6BC6">
        <w:rPr>
          <w:rFonts w:asciiTheme="minorHAnsi" w:eastAsiaTheme="minorHAnsi" w:hAnsiTheme="minorHAnsi" w:cstheme="minorBidi"/>
          <w:color w:val="000000" w:themeColor="text1"/>
          <w:szCs w:val="22"/>
        </w:rPr>
        <w:t xml:space="preserve">with </w:t>
      </w:r>
      <w:r w:rsidR="002E6BC6">
        <w:rPr>
          <w:rFonts w:asciiTheme="minorHAnsi" w:eastAsiaTheme="minorHAnsi" w:hAnsiTheme="minorHAnsi" w:cstheme="minorBidi"/>
          <w:color w:val="000000" w:themeColor="text1"/>
          <w:szCs w:val="22"/>
        </w:rPr>
        <w:t xml:space="preserve">five </w:t>
      </w:r>
      <w:r w:rsidR="009A02EF" w:rsidRPr="002E6BC6">
        <w:rPr>
          <w:rFonts w:asciiTheme="minorHAnsi" w:eastAsiaTheme="minorHAnsi" w:hAnsiTheme="minorHAnsi" w:cstheme="minorBidi"/>
          <w:color w:val="000000" w:themeColor="text1"/>
          <w:szCs w:val="22"/>
        </w:rPr>
        <w:t>repeats for continuing treatment</w:t>
      </w:r>
      <w:r w:rsidR="00362CE8" w:rsidRPr="002E6BC6">
        <w:rPr>
          <w:rFonts w:asciiTheme="minorHAnsi" w:eastAsiaTheme="minorHAnsi" w:hAnsiTheme="minorHAnsi" w:cstheme="minorBidi"/>
          <w:color w:val="000000" w:themeColor="text1"/>
          <w:szCs w:val="22"/>
        </w:rPr>
        <w:t>.</w:t>
      </w:r>
      <w:r w:rsidR="00B21362" w:rsidRPr="002E6BC6">
        <w:rPr>
          <w:rFonts w:asciiTheme="minorHAnsi" w:eastAsiaTheme="minorHAnsi" w:hAnsiTheme="minorHAnsi" w:cstheme="minorBidi"/>
          <w:color w:val="000000" w:themeColor="text1"/>
          <w:szCs w:val="22"/>
        </w:rPr>
        <w:t xml:space="preserve"> This would provide</w:t>
      </w:r>
      <w:r w:rsidR="000C6691" w:rsidRPr="002E6BC6">
        <w:rPr>
          <w:rFonts w:asciiTheme="minorHAnsi" w:eastAsiaTheme="minorHAnsi" w:hAnsiTheme="minorHAnsi" w:cstheme="minorBidi"/>
          <w:color w:val="000000" w:themeColor="text1"/>
          <w:szCs w:val="22"/>
        </w:rPr>
        <w:t xml:space="preserve"> most</w:t>
      </w:r>
      <w:r w:rsidR="00B21362" w:rsidRPr="002E6BC6">
        <w:rPr>
          <w:rFonts w:asciiTheme="minorHAnsi" w:eastAsiaTheme="minorHAnsi" w:hAnsiTheme="minorHAnsi" w:cstheme="minorBidi"/>
          <w:color w:val="000000" w:themeColor="text1"/>
          <w:szCs w:val="22"/>
        </w:rPr>
        <w:t xml:space="preserve"> patients (except for </w:t>
      </w:r>
      <w:r w:rsidR="002B62F8" w:rsidRPr="002E6BC6">
        <w:rPr>
          <w:rFonts w:asciiTheme="minorHAnsi" w:eastAsiaTheme="minorHAnsi" w:hAnsiTheme="minorHAnsi" w:cstheme="minorBidi"/>
          <w:color w:val="000000" w:themeColor="text1"/>
          <w:szCs w:val="22"/>
        </w:rPr>
        <w:t>patients</w:t>
      </w:r>
      <w:r w:rsidR="00B21362" w:rsidRPr="002E6BC6">
        <w:rPr>
          <w:rFonts w:asciiTheme="minorHAnsi" w:eastAsiaTheme="minorHAnsi" w:hAnsiTheme="minorHAnsi" w:cstheme="minorBidi"/>
          <w:color w:val="000000" w:themeColor="text1"/>
          <w:szCs w:val="22"/>
        </w:rPr>
        <w:t xml:space="preserve"> &lt;30 kg) with</w:t>
      </w:r>
      <w:r w:rsidR="004502C2" w:rsidRPr="002E6BC6">
        <w:rPr>
          <w:rFonts w:asciiTheme="minorHAnsi" w:eastAsiaTheme="minorHAnsi" w:hAnsiTheme="minorHAnsi" w:cstheme="minorBidi"/>
          <w:color w:val="000000" w:themeColor="text1"/>
          <w:szCs w:val="22"/>
        </w:rPr>
        <w:t xml:space="preserve"> up to</w:t>
      </w:r>
      <w:r w:rsidR="00B21362" w:rsidRPr="002E6BC6">
        <w:rPr>
          <w:rFonts w:asciiTheme="minorHAnsi" w:eastAsiaTheme="minorHAnsi" w:hAnsiTheme="minorHAnsi" w:cstheme="minorBidi"/>
          <w:color w:val="000000" w:themeColor="text1"/>
          <w:szCs w:val="22"/>
        </w:rPr>
        <w:t xml:space="preserve"> 16 weeks of initial treatment and 24 weeks </w:t>
      </w:r>
      <w:r w:rsidR="000C6691" w:rsidRPr="002E6BC6">
        <w:rPr>
          <w:rFonts w:asciiTheme="minorHAnsi" w:eastAsiaTheme="minorHAnsi" w:hAnsiTheme="minorHAnsi" w:cstheme="minorBidi"/>
          <w:color w:val="000000" w:themeColor="text1"/>
          <w:szCs w:val="22"/>
        </w:rPr>
        <w:t>of</w:t>
      </w:r>
      <w:r w:rsidR="00B21362" w:rsidRPr="002E6BC6">
        <w:rPr>
          <w:rFonts w:asciiTheme="minorHAnsi" w:eastAsiaTheme="minorHAnsi" w:hAnsiTheme="minorHAnsi" w:cstheme="minorBidi"/>
          <w:color w:val="000000" w:themeColor="text1"/>
          <w:szCs w:val="22"/>
        </w:rPr>
        <w:t xml:space="preserve"> continuing treatment</w:t>
      </w:r>
      <w:r w:rsidR="000F1245" w:rsidRPr="002E6BC6">
        <w:rPr>
          <w:rFonts w:asciiTheme="minorHAnsi" w:eastAsiaTheme="minorHAnsi" w:hAnsiTheme="minorHAnsi" w:cstheme="minorBidi"/>
          <w:color w:val="000000" w:themeColor="text1"/>
          <w:szCs w:val="22"/>
        </w:rPr>
        <w:t xml:space="preserve"> consistent with other </w:t>
      </w:r>
      <w:proofErr w:type="spellStart"/>
      <w:r w:rsidR="000F1245" w:rsidRPr="002E6BC6">
        <w:rPr>
          <w:rFonts w:asciiTheme="minorHAnsi" w:eastAsiaTheme="minorHAnsi" w:hAnsiTheme="minorHAnsi" w:cstheme="minorBidi"/>
          <w:color w:val="000000" w:themeColor="text1"/>
          <w:szCs w:val="22"/>
        </w:rPr>
        <w:t>b</w:t>
      </w:r>
      <w:r w:rsidR="00B21362" w:rsidRPr="002E6BC6">
        <w:rPr>
          <w:rFonts w:asciiTheme="minorHAnsi" w:eastAsiaTheme="minorHAnsi" w:hAnsiTheme="minorHAnsi" w:cstheme="minorBidi"/>
          <w:color w:val="000000" w:themeColor="text1"/>
          <w:szCs w:val="22"/>
        </w:rPr>
        <w:t>DMARD</w:t>
      </w:r>
      <w:proofErr w:type="spellEnd"/>
      <w:r w:rsidR="00B21362" w:rsidRPr="002E6BC6">
        <w:rPr>
          <w:rFonts w:asciiTheme="minorHAnsi" w:eastAsiaTheme="minorHAnsi" w:hAnsiTheme="minorHAnsi" w:cstheme="minorBidi"/>
          <w:color w:val="000000" w:themeColor="text1"/>
          <w:szCs w:val="22"/>
        </w:rPr>
        <w:t xml:space="preserve"> listings</w:t>
      </w:r>
      <w:r w:rsidR="000C6691" w:rsidRPr="002E6BC6">
        <w:rPr>
          <w:rFonts w:asciiTheme="minorHAnsi" w:eastAsiaTheme="minorHAnsi" w:hAnsiTheme="minorHAnsi" w:cstheme="minorBidi"/>
          <w:color w:val="000000" w:themeColor="text1"/>
          <w:szCs w:val="22"/>
        </w:rPr>
        <w:t xml:space="preserve"> in this indication</w:t>
      </w:r>
      <w:r w:rsidR="00B21362" w:rsidRPr="002E6BC6">
        <w:rPr>
          <w:rFonts w:asciiTheme="minorHAnsi" w:eastAsiaTheme="minorHAnsi" w:hAnsiTheme="minorHAnsi" w:cstheme="minorBidi"/>
          <w:color w:val="000000" w:themeColor="text1"/>
          <w:szCs w:val="22"/>
        </w:rPr>
        <w:t>.</w:t>
      </w:r>
      <w:r w:rsidR="00362CE8" w:rsidRPr="002E6BC6">
        <w:rPr>
          <w:rFonts w:asciiTheme="minorHAnsi" w:eastAsiaTheme="minorHAnsi" w:hAnsiTheme="minorHAnsi" w:cstheme="minorBidi"/>
          <w:color w:val="000000" w:themeColor="text1"/>
          <w:szCs w:val="22"/>
        </w:rPr>
        <w:t xml:space="preserve"> The PBAC noted </w:t>
      </w:r>
      <w:r w:rsidR="00780B75" w:rsidRPr="002E6BC6">
        <w:rPr>
          <w:rFonts w:asciiTheme="minorHAnsi" w:eastAsiaTheme="minorHAnsi" w:hAnsiTheme="minorHAnsi" w:cstheme="minorBidi"/>
          <w:color w:val="000000" w:themeColor="text1"/>
          <w:szCs w:val="22"/>
        </w:rPr>
        <w:t xml:space="preserve">that a maximum quantity of </w:t>
      </w:r>
      <w:r w:rsidR="002E6BC6">
        <w:rPr>
          <w:rFonts w:asciiTheme="minorHAnsi" w:eastAsiaTheme="minorHAnsi" w:hAnsiTheme="minorHAnsi" w:cstheme="minorBidi"/>
          <w:color w:val="000000" w:themeColor="text1"/>
          <w:szCs w:val="22"/>
        </w:rPr>
        <w:t xml:space="preserve">one </w:t>
      </w:r>
      <w:r w:rsidR="00780B75" w:rsidRPr="002E6BC6">
        <w:rPr>
          <w:rFonts w:asciiTheme="minorHAnsi" w:eastAsiaTheme="minorHAnsi" w:hAnsiTheme="minorHAnsi" w:cstheme="minorBidi"/>
          <w:color w:val="000000" w:themeColor="text1"/>
          <w:szCs w:val="22"/>
        </w:rPr>
        <w:t xml:space="preserve">with </w:t>
      </w:r>
      <w:r w:rsidR="002E6BC6">
        <w:rPr>
          <w:rFonts w:asciiTheme="minorHAnsi" w:eastAsiaTheme="minorHAnsi" w:hAnsiTheme="minorHAnsi" w:cstheme="minorBidi"/>
          <w:color w:val="000000" w:themeColor="text1"/>
          <w:szCs w:val="22"/>
        </w:rPr>
        <w:t xml:space="preserve">one </w:t>
      </w:r>
      <w:r w:rsidR="00780B75" w:rsidRPr="002E6BC6">
        <w:rPr>
          <w:rFonts w:asciiTheme="minorHAnsi" w:eastAsiaTheme="minorHAnsi" w:hAnsiTheme="minorHAnsi" w:cstheme="minorBidi"/>
          <w:color w:val="000000" w:themeColor="text1"/>
          <w:szCs w:val="22"/>
        </w:rPr>
        <w:t>repeat</w:t>
      </w:r>
      <w:r w:rsidR="0031435C" w:rsidRPr="002E6BC6">
        <w:rPr>
          <w:rFonts w:asciiTheme="minorHAnsi" w:eastAsiaTheme="minorHAnsi" w:hAnsiTheme="minorHAnsi" w:cstheme="minorBidi"/>
          <w:color w:val="000000" w:themeColor="text1"/>
          <w:szCs w:val="22"/>
        </w:rPr>
        <w:t xml:space="preserve"> for paediatric patients &lt;30 kg would</w:t>
      </w:r>
      <w:r w:rsidR="004502C2" w:rsidRPr="002E6BC6">
        <w:rPr>
          <w:rFonts w:asciiTheme="minorHAnsi" w:eastAsiaTheme="minorHAnsi" w:hAnsiTheme="minorHAnsi" w:cstheme="minorBidi"/>
          <w:color w:val="000000" w:themeColor="text1"/>
          <w:szCs w:val="22"/>
        </w:rPr>
        <w:t xml:space="preserve"> instead</w:t>
      </w:r>
      <w:r w:rsidR="0031435C" w:rsidRPr="002E6BC6">
        <w:rPr>
          <w:rFonts w:asciiTheme="minorHAnsi" w:eastAsiaTheme="minorHAnsi" w:hAnsiTheme="minorHAnsi" w:cstheme="minorBidi"/>
          <w:color w:val="000000" w:themeColor="text1"/>
          <w:szCs w:val="22"/>
        </w:rPr>
        <w:t xml:space="preserve"> provide</w:t>
      </w:r>
      <w:r w:rsidR="004502C2" w:rsidRPr="002E6BC6">
        <w:rPr>
          <w:rFonts w:asciiTheme="minorHAnsi" w:eastAsiaTheme="minorHAnsi" w:hAnsiTheme="minorHAnsi" w:cstheme="minorBidi"/>
          <w:color w:val="000000" w:themeColor="text1"/>
          <w:szCs w:val="22"/>
        </w:rPr>
        <w:t xml:space="preserve"> up to</w:t>
      </w:r>
      <w:r w:rsidR="0031435C" w:rsidRPr="002E6BC6">
        <w:rPr>
          <w:rFonts w:asciiTheme="minorHAnsi" w:eastAsiaTheme="minorHAnsi" w:hAnsiTheme="minorHAnsi" w:cstheme="minorBidi"/>
          <w:color w:val="000000" w:themeColor="text1"/>
          <w:szCs w:val="22"/>
        </w:rPr>
        <w:t xml:space="preserve"> 24 weeks of</w:t>
      </w:r>
      <w:r w:rsidR="004502C2" w:rsidRPr="002E6BC6">
        <w:rPr>
          <w:rFonts w:asciiTheme="minorHAnsi" w:eastAsiaTheme="minorHAnsi" w:hAnsiTheme="minorHAnsi" w:cstheme="minorBidi"/>
          <w:color w:val="000000" w:themeColor="text1"/>
          <w:szCs w:val="22"/>
        </w:rPr>
        <w:t xml:space="preserve"> initial</w:t>
      </w:r>
      <w:r w:rsidR="0031435C" w:rsidRPr="002E6BC6">
        <w:rPr>
          <w:rFonts w:asciiTheme="minorHAnsi" w:eastAsiaTheme="minorHAnsi" w:hAnsiTheme="minorHAnsi" w:cstheme="minorBidi"/>
          <w:color w:val="000000" w:themeColor="text1"/>
          <w:szCs w:val="22"/>
        </w:rPr>
        <w:t xml:space="preserve"> treatment</w:t>
      </w:r>
      <w:r w:rsidR="00157500" w:rsidRPr="002E6BC6">
        <w:rPr>
          <w:rFonts w:asciiTheme="minorHAnsi" w:eastAsiaTheme="minorHAnsi" w:hAnsiTheme="minorHAnsi" w:cstheme="minorBidi"/>
          <w:color w:val="000000" w:themeColor="text1"/>
          <w:szCs w:val="22"/>
        </w:rPr>
        <w:t>. However, the</w:t>
      </w:r>
      <w:r w:rsidR="00780B75" w:rsidRPr="002E6BC6">
        <w:rPr>
          <w:rFonts w:asciiTheme="minorHAnsi" w:eastAsiaTheme="minorHAnsi" w:hAnsiTheme="minorHAnsi" w:cstheme="minorBidi"/>
          <w:color w:val="000000" w:themeColor="text1"/>
          <w:szCs w:val="22"/>
        </w:rPr>
        <w:t xml:space="preserve"> PBAC considered that</w:t>
      </w:r>
      <w:r w:rsidR="000C6691" w:rsidRPr="002E6BC6">
        <w:rPr>
          <w:rFonts w:asciiTheme="minorHAnsi" w:eastAsiaTheme="minorHAnsi" w:hAnsiTheme="minorHAnsi" w:cstheme="minorBidi"/>
          <w:color w:val="000000" w:themeColor="text1"/>
          <w:szCs w:val="22"/>
        </w:rPr>
        <w:t xml:space="preserve">, despite this being inconsistent with other </w:t>
      </w:r>
      <w:proofErr w:type="spellStart"/>
      <w:r w:rsidR="002E6BC6" w:rsidRPr="002E6BC6">
        <w:rPr>
          <w:rFonts w:asciiTheme="minorHAnsi" w:eastAsiaTheme="minorHAnsi" w:hAnsiTheme="minorHAnsi" w:cstheme="minorBidi"/>
          <w:color w:val="000000" w:themeColor="text1"/>
          <w:szCs w:val="22"/>
        </w:rPr>
        <w:t>bDMARDs</w:t>
      </w:r>
      <w:proofErr w:type="spellEnd"/>
      <w:r w:rsidR="000C6691" w:rsidRPr="002E6BC6">
        <w:rPr>
          <w:rFonts w:asciiTheme="minorHAnsi" w:eastAsiaTheme="minorHAnsi" w:hAnsiTheme="minorHAnsi" w:cstheme="minorBidi"/>
          <w:color w:val="000000" w:themeColor="text1"/>
          <w:szCs w:val="22"/>
        </w:rPr>
        <w:t xml:space="preserve"> in this indication and the recommendation for patients </w:t>
      </w:r>
      <w:r w:rsidR="000C6691" w:rsidRPr="002E6BC6">
        <w:rPr>
          <w:rFonts w:asciiTheme="minorHAnsi" w:eastAsiaTheme="minorHAnsi" w:hAnsiTheme="minorHAnsi" w:cstheme="minorBidi"/>
          <w:color w:val="000000" w:themeColor="text1"/>
          <w:szCs w:val="22"/>
        </w:rPr>
        <w:sym w:font="Symbol" w:char="F0B3"/>
      </w:r>
      <w:r w:rsidR="000C6691" w:rsidRPr="002E6BC6">
        <w:rPr>
          <w:rFonts w:asciiTheme="minorHAnsi" w:eastAsiaTheme="minorHAnsi" w:hAnsiTheme="minorHAnsi" w:cstheme="minorBidi"/>
          <w:color w:val="000000" w:themeColor="text1"/>
          <w:szCs w:val="22"/>
        </w:rPr>
        <w:t xml:space="preserve"> 30 kg,</w:t>
      </w:r>
      <w:r w:rsidR="00780B75" w:rsidRPr="002E6BC6">
        <w:rPr>
          <w:rFonts w:asciiTheme="minorHAnsi" w:eastAsiaTheme="minorHAnsi" w:hAnsiTheme="minorHAnsi" w:cstheme="minorBidi"/>
          <w:color w:val="000000" w:themeColor="text1"/>
          <w:szCs w:val="22"/>
        </w:rPr>
        <w:t xml:space="preserve"> given the </w:t>
      </w:r>
      <w:r w:rsidR="000C6691" w:rsidRPr="002E6BC6">
        <w:rPr>
          <w:rFonts w:asciiTheme="minorHAnsi" w:eastAsiaTheme="minorHAnsi" w:hAnsiTheme="minorHAnsi" w:cstheme="minorBidi"/>
          <w:color w:val="000000" w:themeColor="text1"/>
          <w:szCs w:val="22"/>
        </w:rPr>
        <w:t xml:space="preserve">available </w:t>
      </w:r>
      <w:r w:rsidR="00780B75" w:rsidRPr="002E6BC6">
        <w:rPr>
          <w:rFonts w:asciiTheme="minorHAnsi" w:eastAsiaTheme="minorHAnsi" w:hAnsiTheme="minorHAnsi" w:cstheme="minorBidi"/>
          <w:color w:val="000000" w:themeColor="text1"/>
          <w:szCs w:val="22"/>
        </w:rPr>
        <w:t>pack size of 4 and the Q3W dosing</w:t>
      </w:r>
      <w:r w:rsidR="003E7107" w:rsidRPr="002E6BC6">
        <w:rPr>
          <w:rFonts w:asciiTheme="minorHAnsi" w:eastAsiaTheme="minorHAnsi" w:hAnsiTheme="minorHAnsi" w:cstheme="minorBidi"/>
          <w:color w:val="000000" w:themeColor="text1"/>
          <w:szCs w:val="22"/>
        </w:rPr>
        <w:t xml:space="preserve"> regimen</w:t>
      </w:r>
      <w:r w:rsidR="00780B75" w:rsidRPr="002E6BC6">
        <w:rPr>
          <w:rFonts w:asciiTheme="minorHAnsi" w:eastAsiaTheme="minorHAnsi" w:hAnsiTheme="minorHAnsi" w:cstheme="minorBidi"/>
          <w:color w:val="000000" w:themeColor="text1"/>
          <w:szCs w:val="22"/>
        </w:rPr>
        <w:t xml:space="preserve"> for patients &lt;30 kg, a treatment </w:t>
      </w:r>
      <w:r w:rsidR="00780B75" w:rsidRPr="002E6BC6">
        <w:rPr>
          <w:rFonts w:asciiTheme="minorHAnsi" w:eastAsiaTheme="minorHAnsi" w:hAnsiTheme="minorHAnsi" w:cstheme="minorBidi"/>
          <w:color w:val="000000" w:themeColor="text1"/>
          <w:szCs w:val="22"/>
        </w:rPr>
        <w:lastRenderedPageBreak/>
        <w:t>period of 24 weeks</w:t>
      </w:r>
      <w:r w:rsidR="003E7107" w:rsidRPr="002E6BC6">
        <w:rPr>
          <w:rFonts w:asciiTheme="minorHAnsi" w:eastAsiaTheme="minorHAnsi" w:hAnsiTheme="minorHAnsi" w:cstheme="minorBidi"/>
          <w:color w:val="000000" w:themeColor="text1"/>
          <w:szCs w:val="22"/>
        </w:rPr>
        <w:t xml:space="preserve"> (corresponding to 2 packs) </w:t>
      </w:r>
      <w:r w:rsidR="00780B75" w:rsidRPr="002E6BC6">
        <w:rPr>
          <w:rFonts w:asciiTheme="minorHAnsi" w:eastAsiaTheme="minorHAnsi" w:hAnsiTheme="minorHAnsi" w:cstheme="minorBidi"/>
          <w:color w:val="000000" w:themeColor="text1"/>
          <w:szCs w:val="22"/>
        </w:rPr>
        <w:t>would be required to</w:t>
      </w:r>
      <w:r w:rsidR="003E7107" w:rsidRPr="002E6BC6">
        <w:rPr>
          <w:rFonts w:asciiTheme="minorHAnsi" w:eastAsiaTheme="minorHAnsi" w:hAnsiTheme="minorHAnsi" w:cstheme="minorBidi"/>
          <w:color w:val="000000" w:themeColor="text1"/>
          <w:szCs w:val="22"/>
        </w:rPr>
        <w:t xml:space="preserve"> allow for adequate assessment of treatment response</w:t>
      </w:r>
      <w:r w:rsidR="00780B75" w:rsidRPr="002E6BC6">
        <w:rPr>
          <w:rFonts w:asciiTheme="minorHAnsi" w:eastAsiaTheme="minorHAnsi" w:hAnsiTheme="minorHAnsi" w:cstheme="minorBidi"/>
          <w:color w:val="000000" w:themeColor="text1"/>
          <w:szCs w:val="22"/>
        </w:rPr>
        <w:t>.</w:t>
      </w:r>
      <w:r w:rsidR="00FB4837" w:rsidRPr="00A74ECF">
        <w:rPr>
          <w:rFonts w:asciiTheme="minorHAnsi" w:hAnsiTheme="minorHAnsi" w:cs="Arial"/>
          <w:bCs/>
          <w:snapToGrid w:val="0"/>
          <w:lang w:eastAsia="en-US"/>
        </w:rPr>
        <w:t xml:space="preserve"> </w:t>
      </w:r>
    </w:p>
    <w:p w:rsidR="00FB4837" w:rsidRPr="00A74ECF" w:rsidRDefault="00FB4837"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The PBAC considered it would be appropriate</w:t>
      </w:r>
      <w:r w:rsidR="009D4C74" w:rsidRPr="00A74ECF">
        <w:rPr>
          <w:rFonts w:asciiTheme="minorHAnsi" w:hAnsiTheme="minorHAnsi" w:cs="Arial"/>
          <w:bCs/>
          <w:snapToGrid w:val="0"/>
          <w:lang w:eastAsia="en-US"/>
        </w:rPr>
        <w:t xml:space="preserve"> </w:t>
      </w:r>
      <w:r w:rsidR="00590549" w:rsidRPr="00A74ECF">
        <w:rPr>
          <w:rFonts w:asciiTheme="minorHAnsi" w:hAnsiTheme="minorHAnsi" w:cs="Arial"/>
          <w:bCs/>
          <w:snapToGrid w:val="0"/>
          <w:lang w:eastAsia="en-US"/>
        </w:rPr>
        <w:t xml:space="preserve">to </w:t>
      </w:r>
      <w:r w:rsidR="009D4C74" w:rsidRPr="00A74ECF">
        <w:rPr>
          <w:rFonts w:asciiTheme="minorHAnsi" w:hAnsiTheme="minorHAnsi" w:cs="Arial"/>
          <w:bCs/>
          <w:snapToGrid w:val="0"/>
          <w:lang w:eastAsia="en-US"/>
        </w:rPr>
        <w:t xml:space="preserve">write to the </w:t>
      </w:r>
      <w:r w:rsidRPr="00A74ECF">
        <w:rPr>
          <w:rFonts w:asciiTheme="minorHAnsi" w:hAnsiTheme="minorHAnsi" w:cs="Arial"/>
          <w:bCs/>
          <w:snapToGrid w:val="0"/>
          <w:lang w:eastAsia="en-US"/>
        </w:rPr>
        <w:t xml:space="preserve">Australian Rheumatology Association (ARA) </w:t>
      </w:r>
      <w:r w:rsidR="009D4C74" w:rsidRPr="00A74ECF">
        <w:rPr>
          <w:rFonts w:asciiTheme="minorHAnsi" w:hAnsiTheme="minorHAnsi" w:cs="Arial"/>
          <w:bCs/>
          <w:snapToGrid w:val="0"/>
          <w:lang w:eastAsia="en-US"/>
        </w:rPr>
        <w:t xml:space="preserve">prior to the listing of </w:t>
      </w:r>
      <w:proofErr w:type="spellStart"/>
      <w:r w:rsidR="009D4C74" w:rsidRPr="00A74ECF">
        <w:rPr>
          <w:rFonts w:asciiTheme="minorHAnsi" w:hAnsiTheme="minorHAnsi" w:cs="Arial"/>
          <w:bCs/>
          <w:snapToGrid w:val="0"/>
          <w:lang w:eastAsia="en-US"/>
        </w:rPr>
        <w:t>tocilizumab</w:t>
      </w:r>
      <w:proofErr w:type="spellEnd"/>
      <w:r w:rsidR="009D4C74" w:rsidRPr="00A74ECF">
        <w:rPr>
          <w:rFonts w:asciiTheme="minorHAnsi" w:hAnsiTheme="minorHAnsi" w:cs="Arial"/>
          <w:bCs/>
          <w:snapToGrid w:val="0"/>
          <w:lang w:eastAsia="en-US"/>
        </w:rPr>
        <w:t xml:space="preserve"> SC for severe active JIA </w:t>
      </w:r>
      <w:r w:rsidR="00590549" w:rsidRPr="00A74ECF">
        <w:rPr>
          <w:rFonts w:asciiTheme="minorHAnsi" w:hAnsiTheme="minorHAnsi" w:cs="Arial"/>
          <w:bCs/>
          <w:snapToGrid w:val="0"/>
          <w:lang w:eastAsia="en-US"/>
        </w:rPr>
        <w:t xml:space="preserve">so that the ARA may notify prescribers of the upcoming listing. The PBAC considered it would be beneficial for prescribers to become familiar with the restrictions prior to the PBS listing date given the differences to the current restrictions for IV </w:t>
      </w:r>
      <w:proofErr w:type="spellStart"/>
      <w:r w:rsidR="00590549" w:rsidRPr="00A74ECF">
        <w:rPr>
          <w:rFonts w:asciiTheme="minorHAnsi" w:hAnsiTheme="minorHAnsi" w:cs="Arial"/>
          <w:bCs/>
          <w:snapToGrid w:val="0"/>
          <w:lang w:eastAsia="en-US"/>
        </w:rPr>
        <w:t>tocilizumab</w:t>
      </w:r>
      <w:proofErr w:type="spellEnd"/>
      <w:r w:rsidR="00590549" w:rsidRPr="00A74ECF">
        <w:rPr>
          <w:rFonts w:asciiTheme="minorHAnsi" w:hAnsiTheme="minorHAnsi" w:cs="Arial"/>
          <w:bCs/>
          <w:snapToGrid w:val="0"/>
          <w:lang w:eastAsia="en-US"/>
        </w:rPr>
        <w:t xml:space="preserve"> for the same indication. </w:t>
      </w:r>
    </w:p>
    <w:p w:rsidR="00C44397" w:rsidRDefault="00FF7BA2"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The PBAC</w:t>
      </w:r>
      <w:r w:rsidR="00423F5C" w:rsidRPr="00A74ECF">
        <w:rPr>
          <w:rFonts w:asciiTheme="minorHAnsi" w:hAnsiTheme="minorHAnsi" w:cs="Arial"/>
          <w:bCs/>
          <w:snapToGrid w:val="0"/>
          <w:lang w:eastAsia="en-US"/>
        </w:rPr>
        <w:t xml:space="preserve"> noted the cost-minimisation analysis of </w:t>
      </w:r>
      <w:proofErr w:type="spellStart"/>
      <w:r w:rsidR="00423F5C" w:rsidRPr="00A74ECF">
        <w:rPr>
          <w:rFonts w:asciiTheme="minorHAnsi" w:hAnsiTheme="minorHAnsi" w:cs="Arial"/>
          <w:bCs/>
          <w:snapToGrid w:val="0"/>
          <w:lang w:eastAsia="en-US"/>
        </w:rPr>
        <w:t>tocilizumab</w:t>
      </w:r>
      <w:proofErr w:type="spellEnd"/>
      <w:r w:rsidR="00423F5C" w:rsidRPr="00A74ECF">
        <w:rPr>
          <w:rFonts w:asciiTheme="minorHAnsi" w:hAnsiTheme="minorHAnsi" w:cs="Arial"/>
          <w:bCs/>
          <w:snapToGrid w:val="0"/>
          <w:lang w:eastAsia="en-US"/>
        </w:rPr>
        <w:t xml:space="preserve"> SC versus IV </w:t>
      </w:r>
      <w:proofErr w:type="spellStart"/>
      <w:r w:rsidR="00423F5C" w:rsidRPr="00A74ECF">
        <w:rPr>
          <w:rFonts w:asciiTheme="minorHAnsi" w:hAnsiTheme="minorHAnsi" w:cs="Arial"/>
          <w:bCs/>
          <w:snapToGrid w:val="0"/>
          <w:lang w:eastAsia="en-US"/>
        </w:rPr>
        <w:t>tocilizumab</w:t>
      </w:r>
      <w:proofErr w:type="spellEnd"/>
      <w:r w:rsidR="00423F5C" w:rsidRPr="00A74ECF">
        <w:rPr>
          <w:rFonts w:asciiTheme="minorHAnsi" w:hAnsiTheme="minorHAnsi" w:cs="Arial"/>
          <w:bCs/>
          <w:snapToGrid w:val="0"/>
          <w:lang w:eastAsia="en-US"/>
        </w:rPr>
        <w:t xml:space="preserve">. The PBAC considered </w:t>
      </w:r>
      <w:proofErr w:type="spellStart"/>
      <w:r w:rsidR="00423F5C" w:rsidRPr="00A74ECF">
        <w:rPr>
          <w:rFonts w:asciiTheme="minorHAnsi" w:hAnsiTheme="minorHAnsi" w:cs="Arial"/>
          <w:bCs/>
          <w:snapToGrid w:val="0"/>
          <w:lang w:eastAsia="en-US"/>
        </w:rPr>
        <w:t>etanercept</w:t>
      </w:r>
      <w:proofErr w:type="spellEnd"/>
      <w:r w:rsidR="00423F5C" w:rsidRPr="00A74ECF">
        <w:rPr>
          <w:rFonts w:asciiTheme="minorHAnsi" w:hAnsiTheme="minorHAnsi" w:cs="Arial"/>
          <w:bCs/>
          <w:snapToGrid w:val="0"/>
          <w:lang w:eastAsia="en-US"/>
        </w:rPr>
        <w:t xml:space="preserve"> and </w:t>
      </w:r>
      <w:proofErr w:type="spellStart"/>
      <w:r w:rsidR="00423F5C" w:rsidRPr="00A74ECF">
        <w:rPr>
          <w:rFonts w:asciiTheme="minorHAnsi" w:hAnsiTheme="minorHAnsi" w:cs="Arial"/>
          <w:bCs/>
          <w:snapToGrid w:val="0"/>
          <w:lang w:eastAsia="en-US"/>
        </w:rPr>
        <w:t>adalimumab</w:t>
      </w:r>
      <w:proofErr w:type="spellEnd"/>
      <w:r w:rsidR="00423F5C" w:rsidRPr="00A74ECF">
        <w:rPr>
          <w:rFonts w:asciiTheme="minorHAnsi" w:hAnsiTheme="minorHAnsi" w:cs="Arial"/>
          <w:bCs/>
          <w:snapToGrid w:val="0"/>
          <w:lang w:eastAsia="en-US"/>
        </w:rPr>
        <w:t xml:space="preserve"> were also appropriate comparators however noted that </w:t>
      </w:r>
      <w:proofErr w:type="spellStart"/>
      <w:r w:rsidR="00757CDA" w:rsidRPr="00A74ECF">
        <w:rPr>
          <w:rFonts w:asciiTheme="minorHAnsi" w:hAnsiTheme="minorHAnsi" w:cs="Arial"/>
          <w:bCs/>
          <w:snapToGrid w:val="0"/>
          <w:lang w:eastAsia="en-US"/>
        </w:rPr>
        <w:t>tocilizumab</w:t>
      </w:r>
      <w:proofErr w:type="spellEnd"/>
      <w:r w:rsidR="00757CDA" w:rsidRPr="00A74ECF">
        <w:rPr>
          <w:rFonts w:asciiTheme="minorHAnsi" w:hAnsiTheme="minorHAnsi" w:cs="Arial"/>
          <w:bCs/>
          <w:snapToGrid w:val="0"/>
          <w:lang w:eastAsia="en-US"/>
        </w:rPr>
        <w:t xml:space="preserve"> IV </w:t>
      </w:r>
      <w:r w:rsidR="00423F5C" w:rsidRPr="00A74ECF">
        <w:rPr>
          <w:rFonts w:asciiTheme="minorHAnsi" w:hAnsiTheme="minorHAnsi" w:cs="Arial"/>
          <w:bCs/>
          <w:snapToGrid w:val="0"/>
          <w:lang w:eastAsia="en-US"/>
        </w:rPr>
        <w:t>was the lowest cost</w:t>
      </w:r>
      <w:r w:rsidR="00757CDA" w:rsidRPr="00A74ECF">
        <w:rPr>
          <w:rFonts w:asciiTheme="minorHAnsi" w:hAnsiTheme="minorHAnsi" w:cs="Arial"/>
          <w:bCs/>
          <w:snapToGrid w:val="0"/>
          <w:lang w:eastAsia="en-US"/>
        </w:rPr>
        <w:t xml:space="preserve"> comparator.</w:t>
      </w:r>
    </w:p>
    <w:p w:rsidR="00757CDA" w:rsidRPr="00A74ECF" w:rsidRDefault="00C44397" w:rsidP="00357A48">
      <w:pPr>
        <w:widowControl w:val="0"/>
        <w:numPr>
          <w:ilvl w:val="1"/>
          <w:numId w:val="5"/>
        </w:numPr>
        <w:spacing w:before="120" w:after="120"/>
        <w:jc w:val="both"/>
        <w:rPr>
          <w:rFonts w:asciiTheme="minorHAnsi" w:hAnsiTheme="minorHAnsi" w:cs="Arial"/>
          <w:bCs/>
          <w:snapToGrid w:val="0"/>
          <w:lang w:eastAsia="en-US"/>
        </w:rPr>
      </w:pPr>
      <w:r>
        <w:rPr>
          <w:rFonts w:asciiTheme="minorHAnsi" w:hAnsiTheme="minorHAnsi" w:cs="Arial"/>
          <w:bCs/>
          <w:snapToGrid w:val="0"/>
          <w:lang w:eastAsia="en-US"/>
        </w:rPr>
        <w:t>The PBAC noted the argument presented in the pre-PBAC response</w:t>
      </w:r>
      <w:r w:rsidR="00AE6AC8">
        <w:rPr>
          <w:rFonts w:asciiTheme="minorHAnsi" w:hAnsiTheme="minorHAnsi" w:cs="Arial"/>
          <w:bCs/>
          <w:snapToGrid w:val="0"/>
          <w:lang w:eastAsia="en-US"/>
        </w:rPr>
        <w:t xml:space="preserve"> that the sponsor facilitates administration of </w:t>
      </w:r>
      <w:proofErr w:type="spellStart"/>
      <w:r w:rsidR="00AE6AC8">
        <w:rPr>
          <w:rFonts w:asciiTheme="minorHAnsi" w:hAnsiTheme="minorHAnsi" w:cs="Arial"/>
          <w:bCs/>
          <w:snapToGrid w:val="0"/>
          <w:lang w:eastAsia="en-US"/>
        </w:rPr>
        <w:t>tocilizumab</w:t>
      </w:r>
      <w:proofErr w:type="spellEnd"/>
      <w:r w:rsidR="00AE6AC8">
        <w:rPr>
          <w:rFonts w:asciiTheme="minorHAnsi" w:hAnsiTheme="minorHAnsi" w:cs="Arial"/>
          <w:bCs/>
          <w:snapToGrid w:val="0"/>
          <w:lang w:eastAsia="en-US"/>
        </w:rPr>
        <w:t xml:space="preserve"> SC at the time of prescribing through a sampling program</w:t>
      </w:r>
      <w:r>
        <w:rPr>
          <w:rFonts w:asciiTheme="minorHAnsi" w:hAnsiTheme="minorHAnsi" w:cs="Arial"/>
          <w:bCs/>
          <w:snapToGrid w:val="0"/>
          <w:lang w:eastAsia="en-US"/>
        </w:rPr>
        <w:t xml:space="preserve"> </w:t>
      </w:r>
      <w:r w:rsidR="00AE6AC8">
        <w:rPr>
          <w:rFonts w:asciiTheme="minorHAnsi" w:hAnsiTheme="minorHAnsi" w:cs="Arial"/>
          <w:bCs/>
          <w:snapToGrid w:val="0"/>
          <w:lang w:eastAsia="en-US"/>
        </w:rPr>
        <w:t>regarding</w:t>
      </w:r>
      <w:r>
        <w:rPr>
          <w:rFonts w:asciiTheme="minorHAnsi" w:hAnsiTheme="minorHAnsi" w:cs="Arial"/>
          <w:bCs/>
          <w:snapToGrid w:val="0"/>
          <w:lang w:eastAsia="en-US"/>
        </w:rPr>
        <w:t xml:space="preserve"> the exclusion of a consultation item fee</w:t>
      </w:r>
      <w:r w:rsidR="00AE6AC8">
        <w:rPr>
          <w:rFonts w:asciiTheme="minorHAnsi" w:hAnsiTheme="minorHAnsi" w:cs="Arial"/>
          <w:bCs/>
          <w:snapToGrid w:val="0"/>
          <w:lang w:eastAsia="en-US"/>
        </w:rPr>
        <w:t xml:space="preserve"> from the cost-minimisation analysis</w:t>
      </w:r>
      <w:r>
        <w:rPr>
          <w:rFonts w:asciiTheme="minorHAnsi" w:hAnsiTheme="minorHAnsi" w:cs="Arial"/>
          <w:bCs/>
          <w:snapToGrid w:val="0"/>
          <w:lang w:eastAsia="en-US"/>
        </w:rPr>
        <w:t xml:space="preserve"> for the</w:t>
      </w:r>
      <w:r w:rsidR="00AE6AC8">
        <w:rPr>
          <w:rFonts w:asciiTheme="minorHAnsi" w:hAnsiTheme="minorHAnsi" w:cs="Arial"/>
          <w:bCs/>
          <w:snapToGrid w:val="0"/>
          <w:lang w:eastAsia="en-US"/>
        </w:rPr>
        <w:t xml:space="preserve"> administration of the</w:t>
      </w:r>
      <w:r>
        <w:rPr>
          <w:rFonts w:asciiTheme="minorHAnsi" w:hAnsiTheme="minorHAnsi" w:cs="Arial"/>
          <w:bCs/>
          <w:snapToGrid w:val="0"/>
          <w:lang w:eastAsia="en-US"/>
        </w:rPr>
        <w:t xml:space="preserve"> first dose of </w:t>
      </w:r>
      <w:proofErr w:type="spellStart"/>
      <w:r>
        <w:rPr>
          <w:rFonts w:asciiTheme="minorHAnsi" w:hAnsiTheme="minorHAnsi" w:cs="Arial"/>
          <w:bCs/>
          <w:snapToGrid w:val="0"/>
          <w:lang w:eastAsia="en-US"/>
        </w:rPr>
        <w:t>tocilizumab</w:t>
      </w:r>
      <w:proofErr w:type="spellEnd"/>
      <w:r>
        <w:rPr>
          <w:rFonts w:asciiTheme="minorHAnsi" w:hAnsiTheme="minorHAnsi" w:cs="Arial"/>
          <w:bCs/>
          <w:snapToGrid w:val="0"/>
          <w:lang w:eastAsia="en-US"/>
        </w:rPr>
        <w:t xml:space="preserve"> SC</w:t>
      </w:r>
      <w:r w:rsidR="00AE6AC8">
        <w:rPr>
          <w:rFonts w:asciiTheme="minorHAnsi" w:hAnsiTheme="minorHAnsi" w:cs="Arial"/>
          <w:bCs/>
          <w:snapToGrid w:val="0"/>
          <w:lang w:eastAsia="en-US"/>
        </w:rPr>
        <w:t xml:space="preserve"> </w:t>
      </w:r>
      <w:r>
        <w:rPr>
          <w:rFonts w:asciiTheme="minorHAnsi" w:hAnsiTheme="minorHAnsi" w:cs="Arial"/>
          <w:bCs/>
          <w:snapToGrid w:val="0"/>
          <w:lang w:eastAsia="en-US"/>
        </w:rPr>
        <w:t>(see paragraph 5.9)</w:t>
      </w:r>
      <w:r w:rsidR="00AE6AC8">
        <w:rPr>
          <w:rFonts w:asciiTheme="minorHAnsi" w:hAnsiTheme="minorHAnsi" w:cs="Arial"/>
          <w:bCs/>
          <w:snapToGrid w:val="0"/>
          <w:lang w:eastAsia="en-US"/>
        </w:rPr>
        <w:t xml:space="preserve">. However, the PBAC considered that the exclusion of the consultation item fee from the cost-minimisation analysis was not </w:t>
      </w:r>
      <w:proofErr w:type="gramStart"/>
      <w:r w:rsidR="00AE6AC8">
        <w:rPr>
          <w:rFonts w:asciiTheme="minorHAnsi" w:hAnsiTheme="minorHAnsi" w:cs="Arial"/>
          <w:bCs/>
          <w:snapToGrid w:val="0"/>
          <w:lang w:eastAsia="en-US"/>
        </w:rPr>
        <w:t>appropriate</w:t>
      </w:r>
      <w:proofErr w:type="gramEnd"/>
      <w:r w:rsidR="00AE6AC8">
        <w:rPr>
          <w:rFonts w:asciiTheme="minorHAnsi" w:hAnsiTheme="minorHAnsi" w:cs="Arial"/>
          <w:bCs/>
          <w:snapToGrid w:val="0"/>
          <w:lang w:eastAsia="en-US"/>
        </w:rPr>
        <w:t xml:space="preserve"> as a significant proportion of hospitals do not permit free samples of medicines. </w:t>
      </w:r>
    </w:p>
    <w:p w:rsidR="00423F5C" w:rsidRPr="00A74ECF" w:rsidRDefault="00423F5C"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 xml:space="preserve">The PBAC considered that </w:t>
      </w:r>
      <w:proofErr w:type="spellStart"/>
      <w:r w:rsidRPr="00A74ECF">
        <w:rPr>
          <w:rFonts w:asciiTheme="minorHAnsi" w:hAnsiTheme="minorHAnsi" w:cs="Arial"/>
          <w:bCs/>
          <w:snapToGrid w:val="0"/>
          <w:lang w:eastAsia="en-US"/>
        </w:rPr>
        <w:t>tocilizumab</w:t>
      </w:r>
      <w:proofErr w:type="spellEnd"/>
      <w:r w:rsidRPr="00A74ECF">
        <w:rPr>
          <w:rFonts w:asciiTheme="minorHAnsi" w:hAnsiTheme="minorHAnsi" w:cs="Arial"/>
          <w:bCs/>
          <w:snapToGrid w:val="0"/>
          <w:lang w:eastAsia="en-US"/>
        </w:rPr>
        <w:t xml:space="preserve"> SC </w:t>
      </w:r>
      <w:r w:rsidR="00F24F0C" w:rsidRPr="00A74ECF">
        <w:rPr>
          <w:rFonts w:asciiTheme="minorHAnsi" w:hAnsiTheme="minorHAnsi" w:cs="Arial"/>
          <w:bCs/>
          <w:snapToGrid w:val="0"/>
          <w:lang w:eastAsia="en-US"/>
        </w:rPr>
        <w:t>would provide an additional treatment option with greater convenience</w:t>
      </w:r>
      <w:r w:rsidR="002E6BC6">
        <w:rPr>
          <w:rFonts w:asciiTheme="minorHAnsi" w:hAnsiTheme="minorHAnsi" w:cs="Arial"/>
          <w:bCs/>
          <w:snapToGrid w:val="0"/>
          <w:lang w:eastAsia="en-US"/>
        </w:rPr>
        <w:t>,</w:t>
      </w:r>
      <w:r w:rsidR="00F24F0C" w:rsidRPr="00A74ECF">
        <w:rPr>
          <w:rFonts w:asciiTheme="minorHAnsi" w:hAnsiTheme="minorHAnsi" w:cs="Arial"/>
          <w:bCs/>
          <w:snapToGrid w:val="0"/>
          <w:lang w:eastAsia="en-US"/>
        </w:rPr>
        <w:t xml:space="preserve"> </w:t>
      </w:r>
      <w:proofErr w:type="gramStart"/>
      <w:r w:rsidR="00F24F0C" w:rsidRPr="00A74ECF">
        <w:rPr>
          <w:rFonts w:asciiTheme="minorHAnsi" w:hAnsiTheme="minorHAnsi" w:cs="Arial"/>
          <w:bCs/>
          <w:snapToGrid w:val="0"/>
          <w:lang w:eastAsia="en-US"/>
        </w:rPr>
        <w:t xml:space="preserve">particularly for patients in </w:t>
      </w:r>
      <w:r w:rsidR="000F1245" w:rsidRPr="00A74ECF">
        <w:rPr>
          <w:rFonts w:asciiTheme="minorHAnsi" w:hAnsiTheme="minorHAnsi" w:cs="Arial"/>
          <w:bCs/>
          <w:snapToGrid w:val="0"/>
          <w:lang w:eastAsia="en-US"/>
        </w:rPr>
        <w:t xml:space="preserve">rural </w:t>
      </w:r>
      <w:r w:rsidR="00F24F0C" w:rsidRPr="00A74ECF">
        <w:rPr>
          <w:rFonts w:asciiTheme="minorHAnsi" w:hAnsiTheme="minorHAnsi" w:cs="Arial"/>
          <w:bCs/>
          <w:snapToGrid w:val="0"/>
          <w:lang w:eastAsia="en-US"/>
        </w:rPr>
        <w:t xml:space="preserve">areas without </w:t>
      </w:r>
      <w:r w:rsidR="000F1245" w:rsidRPr="00A74ECF">
        <w:rPr>
          <w:rFonts w:asciiTheme="minorHAnsi" w:hAnsiTheme="minorHAnsi" w:cs="Arial"/>
          <w:bCs/>
          <w:snapToGrid w:val="0"/>
          <w:lang w:eastAsia="en-US"/>
        </w:rPr>
        <w:t>access to a</w:t>
      </w:r>
      <w:r w:rsidR="00F24F0C" w:rsidRPr="00A74ECF">
        <w:rPr>
          <w:rFonts w:asciiTheme="minorHAnsi" w:hAnsiTheme="minorHAnsi" w:cs="Arial"/>
          <w:bCs/>
          <w:snapToGrid w:val="0"/>
          <w:lang w:eastAsia="en-US"/>
        </w:rPr>
        <w:t xml:space="preserve"> nearby hospital</w:t>
      </w:r>
      <w:proofErr w:type="gramEnd"/>
      <w:r w:rsidR="002E6BC6">
        <w:rPr>
          <w:rFonts w:asciiTheme="minorHAnsi" w:hAnsiTheme="minorHAnsi" w:cs="Arial"/>
          <w:bCs/>
          <w:snapToGrid w:val="0"/>
          <w:lang w:eastAsia="en-US"/>
        </w:rPr>
        <w:t xml:space="preserve">. </w:t>
      </w:r>
      <w:r w:rsidR="00F24F0C" w:rsidRPr="00A74ECF">
        <w:rPr>
          <w:rFonts w:asciiTheme="minorHAnsi" w:hAnsiTheme="minorHAnsi" w:cs="Arial"/>
          <w:bCs/>
          <w:snapToGrid w:val="0"/>
          <w:lang w:eastAsia="en-US"/>
        </w:rPr>
        <w:t xml:space="preserve"> </w:t>
      </w:r>
    </w:p>
    <w:p w:rsidR="00D11867" w:rsidRPr="00A74ECF" w:rsidRDefault="00D11867" w:rsidP="00357A48">
      <w:pPr>
        <w:widowControl w:val="0"/>
        <w:numPr>
          <w:ilvl w:val="1"/>
          <w:numId w:val="5"/>
        </w:numPr>
        <w:spacing w:before="120" w:after="120"/>
        <w:jc w:val="both"/>
        <w:rPr>
          <w:rFonts w:ascii="Arial" w:hAnsi="Arial" w:cs="Arial"/>
          <w:snapToGrid w:val="0"/>
          <w:sz w:val="22"/>
          <w:szCs w:val="20"/>
        </w:rPr>
      </w:pPr>
      <w:r w:rsidRPr="002E6BC6">
        <w:rPr>
          <w:rFonts w:asciiTheme="minorHAnsi" w:eastAsiaTheme="minorHAnsi" w:hAnsiTheme="minorHAnsi" w:cstheme="minorBidi"/>
          <w:szCs w:val="22"/>
        </w:rPr>
        <w:t>The PBAC recommended that</w:t>
      </w:r>
      <w:r w:rsidR="00C5082C" w:rsidRPr="002E6BC6">
        <w:rPr>
          <w:rFonts w:asciiTheme="minorHAnsi" w:eastAsiaTheme="minorHAnsi" w:hAnsiTheme="minorHAnsi" w:cstheme="minorBidi"/>
          <w:szCs w:val="22"/>
        </w:rPr>
        <w:t xml:space="preserve"> IV </w:t>
      </w:r>
      <w:proofErr w:type="spellStart"/>
      <w:r w:rsidR="00C5082C" w:rsidRPr="002E6BC6">
        <w:rPr>
          <w:rFonts w:asciiTheme="minorHAnsi" w:eastAsiaTheme="minorHAnsi" w:hAnsiTheme="minorHAnsi" w:cstheme="minorBidi"/>
          <w:szCs w:val="22"/>
        </w:rPr>
        <w:t>tocilizumab</w:t>
      </w:r>
      <w:proofErr w:type="spellEnd"/>
      <w:r w:rsidR="00C5082C" w:rsidRPr="002E6BC6">
        <w:rPr>
          <w:rFonts w:asciiTheme="minorHAnsi" w:eastAsiaTheme="minorHAnsi" w:hAnsiTheme="minorHAnsi" w:cstheme="minorBidi"/>
          <w:szCs w:val="22"/>
        </w:rPr>
        <w:t xml:space="preserve"> and</w:t>
      </w:r>
      <w:r w:rsidRPr="002E6BC6">
        <w:rPr>
          <w:rFonts w:asciiTheme="minorHAnsi" w:eastAsiaTheme="minorHAnsi" w:hAnsiTheme="minorHAnsi" w:cstheme="minorBidi"/>
          <w:szCs w:val="22"/>
        </w:rPr>
        <w:t xml:space="preserve"> the 162 mg in 0.9 mL </w:t>
      </w:r>
      <w:r w:rsidR="00C5082C" w:rsidRPr="002E6BC6">
        <w:rPr>
          <w:rFonts w:asciiTheme="minorHAnsi" w:eastAsiaTheme="minorHAnsi" w:hAnsiTheme="minorHAnsi" w:cstheme="minorBidi"/>
          <w:szCs w:val="22"/>
        </w:rPr>
        <w:t>SC</w:t>
      </w:r>
      <w:r w:rsidRPr="002E6BC6">
        <w:rPr>
          <w:rFonts w:asciiTheme="minorHAnsi" w:eastAsiaTheme="minorHAnsi" w:hAnsiTheme="minorHAnsi" w:cstheme="minorBidi"/>
          <w:szCs w:val="22"/>
        </w:rPr>
        <w:t xml:space="preserve"> forms of </w:t>
      </w:r>
      <w:proofErr w:type="spellStart"/>
      <w:r w:rsidRPr="002E6BC6">
        <w:rPr>
          <w:rFonts w:asciiTheme="minorHAnsi" w:eastAsiaTheme="minorHAnsi" w:hAnsiTheme="minorHAnsi" w:cstheme="minorBidi"/>
          <w:szCs w:val="22"/>
        </w:rPr>
        <w:t>tocilizumab</w:t>
      </w:r>
      <w:proofErr w:type="spellEnd"/>
      <w:r w:rsidRPr="002E6BC6">
        <w:rPr>
          <w:rFonts w:asciiTheme="minorHAnsi" w:eastAsiaTheme="minorHAnsi" w:hAnsiTheme="minorHAnsi" w:cstheme="minorBidi"/>
          <w:szCs w:val="22"/>
        </w:rPr>
        <w:t xml:space="preserve"> should not be considered equivalent for the purposes of substitution (i.e., ‘a’ flagged in the Schedule). </w:t>
      </w:r>
    </w:p>
    <w:p w:rsidR="00364C9B" w:rsidRPr="00A74ECF" w:rsidRDefault="00364C9B"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 xml:space="preserve">The PBAC advised </w:t>
      </w:r>
      <w:r w:rsidR="00A06821">
        <w:rPr>
          <w:rFonts w:asciiTheme="minorHAnsi" w:hAnsiTheme="minorHAnsi" w:cs="Arial"/>
          <w:bCs/>
          <w:snapToGrid w:val="0"/>
          <w:lang w:eastAsia="en-US"/>
        </w:rPr>
        <w:t>that</w:t>
      </w:r>
      <w:r w:rsidR="00C5082C" w:rsidRPr="00A74ECF">
        <w:rPr>
          <w:rFonts w:asciiTheme="minorHAnsi" w:hAnsiTheme="minorHAnsi" w:cs="Arial"/>
          <w:bCs/>
          <w:snapToGrid w:val="0"/>
          <w:lang w:eastAsia="en-US"/>
        </w:rPr>
        <w:t xml:space="preserve"> </w:t>
      </w:r>
      <w:proofErr w:type="spellStart"/>
      <w:r w:rsidR="00C5082C" w:rsidRPr="00A74ECF">
        <w:rPr>
          <w:rFonts w:asciiTheme="minorHAnsi" w:hAnsiTheme="minorHAnsi" w:cs="Arial"/>
          <w:bCs/>
          <w:snapToGrid w:val="0"/>
          <w:lang w:eastAsia="en-US"/>
        </w:rPr>
        <w:t>tocilizumab</w:t>
      </w:r>
      <w:proofErr w:type="spellEnd"/>
      <w:r w:rsidR="00994892" w:rsidRPr="00A74ECF">
        <w:rPr>
          <w:rFonts w:asciiTheme="minorHAnsi" w:hAnsiTheme="minorHAnsi" w:cs="Arial"/>
          <w:bCs/>
          <w:snapToGrid w:val="0"/>
          <w:lang w:eastAsia="en-US"/>
        </w:rPr>
        <w:t xml:space="preserve"> SC</w:t>
      </w:r>
      <w:r w:rsidRPr="00A74ECF">
        <w:rPr>
          <w:rFonts w:asciiTheme="minorHAnsi" w:hAnsiTheme="minorHAnsi" w:cs="Arial"/>
          <w:bCs/>
          <w:snapToGrid w:val="0"/>
          <w:lang w:eastAsia="en-US"/>
        </w:rPr>
        <w:t xml:space="preserve"> </w:t>
      </w:r>
      <w:r w:rsidR="00A06821">
        <w:rPr>
          <w:rFonts w:asciiTheme="minorHAnsi" w:hAnsiTheme="minorHAnsi" w:cs="Arial"/>
          <w:bCs/>
          <w:snapToGrid w:val="0"/>
          <w:lang w:eastAsia="en-US"/>
        </w:rPr>
        <w:t xml:space="preserve">is </w:t>
      </w:r>
      <w:r w:rsidRPr="00A74ECF">
        <w:rPr>
          <w:rFonts w:asciiTheme="minorHAnsi" w:hAnsiTheme="minorHAnsi" w:cs="Arial"/>
          <w:bCs/>
          <w:snapToGrid w:val="0"/>
          <w:lang w:eastAsia="en-US"/>
        </w:rPr>
        <w:t>not suitable for prescribing by nurse practitioners</w:t>
      </w:r>
      <w:r w:rsidR="002E6BC6">
        <w:rPr>
          <w:rFonts w:asciiTheme="minorHAnsi" w:hAnsiTheme="minorHAnsi" w:cs="Arial"/>
          <w:bCs/>
          <w:snapToGrid w:val="0"/>
          <w:lang w:eastAsia="en-US"/>
        </w:rPr>
        <w:t xml:space="preserve">. </w:t>
      </w:r>
    </w:p>
    <w:p w:rsidR="00364C9B" w:rsidRDefault="00364C9B" w:rsidP="00357A48">
      <w:pPr>
        <w:widowControl w:val="0"/>
        <w:numPr>
          <w:ilvl w:val="1"/>
          <w:numId w:val="5"/>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The PBAC recommended that the Early Supply Rule should apply</w:t>
      </w:r>
      <w:r w:rsidR="000F1245" w:rsidRPr="00A74ECF">
        <w:rPr>
          <w:rFonts w:asciiTheme="minorHAnsi" w:hAnsiTheme="minorHAnsi" w:cs="Arial"/>
          <w:bCs/>
          <w:snapToGrid w:val="0"/>
          <w:lang w:eastAsia="en-US"/>
        </w:rPr>
        <w:t xml:space="preserve"> to the continuing treatment phase listings</w:t>
      </w:r>
      <w:r w:rsidRPr="00A74ECF">
        <w:rPr>
          <w:rFonts w:asciiTheme="minorHAnsi" w:hAnsiTheme="minorHAnsi" w:cs="Arial"/>
          <w:bCs/>
          <w:snapToGrid w:val="0"/>
          <w:lang w:eastAsia="en-US"/>
        </w:rPr>
        <w:t xml:space="preserve">. </w:t>
      </w:r>
    </w:p>
    <w:p w:rsidR="00146AD7" w:rsidRPr="00A74ECF" w:rsidRDefault="00146AD7" w:rsidP="00357A48">
      <w:pPr>
        <w:widowControl w:val="0"/>
        <w:numPr>
          <w:ilvl w:val="1"/>
          <w:numId w:val="5"/>
        </w:numPr>
        <w:spacing w:before="120" w:after="120"/>
        <w:jc w:val="both"/>
        <w:rPr>
          <w:rFonts w:asciiTheme="minorHAnsi" w:hAnsiTheme="minorHAnsi" w:cs="Arial"/>
          <w:bCs/>
          <w:snapToGrid w:val="0"/>
          <w:lang w:eastAsia="en-US"/>
        </w:rPr>
      </w:pPr>
      <w:r>
        <w:rPr>
          <w:rFonts w:asciiTheme="minorHAnsi" w:hAnsiTheme="minorHAnsi" w:cs="Arial"/>
          <w:bCs/>
          <w:snapToGrid w:val="0"/>
          <w:lang w:eastAsia="en-US"/>
        </w:rPr>
        <w:t xml:space="preserve">The PBAC noted that this submission is not eligible for an Independent review, as it received a positive recommendation.  </w:t>
      </w:r>
    </w:p>
    <w:p w:rsidR="00364C9B" w:rsidRPr="00A74ECF" w:rsidRDefault="00364C9B" w:rsidP="00357A48">
      <w:pPr>
        <w:spacing w:before="120" w:after="120"/>
        <w:jc w:val="both"/>
        <w:rPr>
          <w:rFonts w:asciiTheme="minorHAnsi" w:hAnsiTheme="minorHAnsi" w:cs="Arial"/>
          <w:b/>
          <w:bCs/>
          <w:snapToGrid w:val="0"/>
          <w:lang w:eastAsia="en-US"/>
        </w:rPr>
      </w:pPr>
      <w:r w:rsidRPr="00A74ECF">
        <w:rPr>
          <w:rFonts w:asciiTheme="minorHAnsi" w:hAnsiTheme="minorHAnsi" w:cs="Arial"/>
          <w:b/>
          <w:bCs/>
          <w:snapToGrid w:val="0"/>
          <w:lang w:eastAsia="en-US"/>
        </w:rPr>
        <w:t>Outcome:</w:t>
      </w:r>
    </w:p>
    <w:p w:rsidR="00DC4EE1" w:rsidRDefault="00364C9B" w:rsidP="00357A48">
      <w:p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 xml:space="preserve">Recommended </w:t>
      </w:r>
    </w:p>
    <w:p w:rsidR="00F24F0C" w:rsidRPr="002E6BC6" w:rsidRDefault="00DC4EE1" w:rsidP="005A5959">
      <w:pPr>
        <w:pStyle w:val="PBACHeading1"/>
        <w:spacing w:before="120" w:after="120"/>
        <w:rPr>
          <w:rFonts w:asciiTheme="minorHAnsi" w:hAnsiTheme="minorHAnsi"/>
          <w:bCs/>
          <w:sz w:val="24"/>
          <w:szCs w:val="24"/>
        </w:rPr>
      </w:pPr>
      <w:r>
        <w:rPr>
          <w:rFonts w:asciiTheme="minorHAnsi" w:hAnsiTheme="minorHAnsi"/>
          <w:bCs/>
        </w:rPr>
        <w:br w:type="column"/>
      </w:r>
      <w:r w:rsidR="00F24F0C" w:rsidRPr="002E6BC6">
        <w:rPr>
          <w:rFonts w:asciiTheme="minorHAnsi" w:hAnsiTheme="minorHAnsi" w:cstheme="minorHAnsi"/>
          <w:sz w:val="32"/>
        </w:rPr>
        <w:lastRenderedPageBreak/>
        <w:t xml:space="preserve">Recommended listing </w:t>
      </w:r>
    </w:p>
    <w:p w:rsidR="00C407EA" w:rsidRPr="00A74ECF" w:rsidRDefault="00C407EA" w:rsidP="00357A48">
      <w:pPr>
        <w:widowControl w:val="0"/>
        <w:numPr>
          <w:ilvl w:val="1"/>
          <w:numId w:val="14"/>
        </w:numPr>
        <w:spacing w:before="120" w:after="120"/>
        <w:jc w:val="both"/>
        <w:rPr>
          <w:rFonts w:asciiTheme="minorHAnsi" w:hAnsiTheme="minorHAnsi" w:cs="Arial"/>
          <w:bCs/>
          <w:snapToGrid w:val="0"/>
          <w:lang w:eastAsia="en-US"/>
        </w:rPr>
      </w:pPr>
      <w:r w:rsidRPr="00A74ECF">
        <w:rPr>
          <w:rFonts w:asciiTheme="minorHAnsi" w:hAnsiTheme="minorHAnsi" w:cs="Arial"/>
          <w:bCs/>
          <w:snapToGrid w:val="0"/>
          <w:lang w:eastAsia="en-US"/>
        </w:rPr>
        <w:t>Add new item:</w:t>
      </w:r>
    </w:p>
    <w:p w:rsidR="007E3879" w:rsidRPr="002E6BC6" w:rsidRDefault="00E971CF" w:rsidP="00357A48">
      <w:pPr>
        <w:keepNext/>
        <w:spacing w:before="120" w:after="120"/>
        <w:rPr>
          <w:rFonts w:asciiTheme="minorHAnsi" w:eastAsiaTheme="minorHAnsi" w:hAnsiTheme="minorHAnsi" w:cstheme="minorHAnsi"/>
          <w:i/>
          <w:szCs w:val="22"/>
        </w:rPr>
      </w:pPr>
      <w:r w:rsidRPr="002E6BC6">
        <w:rPr>
          <w:rFonts w:asciiTheme="minorHAnsi" w:eastAsiaTheme="minorHAnsi" w:hAnsiTheme="minorHAnsi" w:cstheme="minorHAnsi"/>
          <w:i/>
          <w:szCs w:val="22"/>
        </w:rPr>
        <w:t xml:space="preserve">Amendments to the General statement for Treatment of Patients with Severe Active Juvenile Idiopathic Arthritis </w:t>
      </w:r>
      <w:proofErr w:type="gramStart"/>
      <w:r w:rsidRPr="002E6BC6">
        <w:rPr>
          <w:rFonts w:asciiTheme="minorHAnsi" w:eastAsiaTheme="minorHAnsi" w:hAnsiTheme="minorHAnsi" w:cstheme="minorHAnsi"/>
          <w:i/>
          <w:szCs w:val="22"/>
        </w:rPr>
        <w:t>are shown</w:t>
      </w:r>
      <w:proofErr w:type="gramEnd"/>
      <w:r w:rsidRPr="002E6BC6">
        <w:rPr>
          <w:rFonts w:asciiTheme="minorHAnsi" w:eastAsiaTheme="minorHAnsi" w:hAnsiTheme="minorHAnsi" w:cstheme="minorHAnsi"/>
          <w:i/>
          <w:szCs w:val="22"/>
        </w:rPr>
        <w:t xml:space="preserve"> separately </w:t>
      </w:r>
      <w:r w:rsidR="004D5247" w:rsidRPr="002E6BC6">
        <w:rPr>
          <w:rFonts w:asciiTheme="minorHAnsi" w:eastAsiaTheme="minorHAnsi" w:hAnsiTheme="minorHAnsi" w:cstheme="minorHAnsi"/>
          <w:i/>
          <w:szCs w:val="22"/>
        </w:rPr>
        <w:t xml:space="preserve">below the tables. </w:t>
      </w:r>
    </w:p>
    <w:tbl>
      <w:tblPr>
        <w:tblW w:w="5000" w:type="pct"/>
        <w:tblLook w:val="0000" w:firstRow="0" w:lastRow="0" w:firstColumn="0" w:lastColumn="0" w:noHBand="0" w:noVBand="0"/>
      </w:tblPr>
      <w:tblGrid>
        <w:gridCol w:w="2873"/>
        <w:gridCol w:w="616"/>
        <w:gridCol w:w="1009"/>
        <w:gridCol w:w="1009"/>
        <w:gridCol w:w="1401"/>
        <w:gridCol w:w="827"/>
        <w:gridCol w:w="1291"/>
      </w:tblGrid>
      <w:tr w:rsidR="00CA14CD" w:rsidRPr="002E6BC6" w:rsidTr="00E62807">
        <w:trPr>
          <w:trHeight w:val="465"/>
        </w:trPr>
        <w:tc>
          <w:tcPr>
            <w:tcW w:w="1592" w:type="pct"/>
            <w:tcBorders>
              <w:bottom w:val="single" w:sz="4" w:space="0" w:color="auto"/>
            </w:tcBorders>
          </w:tcPr>
          <w:p w:rsidR="00CA14CD" w:rsidRPr="002E6BC6" w:rsidRDefault="00CA14CD"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CA14CD" w:rsidRPr="002E6BC6" w:rsidRDefault="00CA14CD"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1" w:type="pct"/>
            <w:tcBorders>
              <w:bottom w:val="single" w:sz="4" w:space="0" w:color="auto"/>
            </w:tcBorders>
          </w:tcPr>
          <w:p w:rsidR="00CA14CD" w:rsidRPr="002E6BC6" w:rsidRDefault="00CA14CD"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CA14CD" w:rsidRPr="002E6BC6" w:rsidRDefault="00CA14CD"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59" w:type="pct"/>
            <w:tcBorders>
              <w:bottom w:val="single" w:sz="4" w:space="0" w:color="auto"/>
            </w:tcBorders>
          </w:tcPr>
          <w:p w:rsidR="00CA14CD" w:rsidRPr="002E6BC6" w:rsidRDefault="00CA14CD" w:rsidP="005E11C2">
            <w:pPr>
              <w:keepNext/>
              <w:spacing w:before="40" w:after="40"/>
              <w:jc w:val="both"/>
              <w:rPr>
                <w:rFonts w:ascii="Arial Narrow" w:hAnsi="Arial Narrow" w:cs="Arial"/>
                <w:b/>
                <w:sz w:val="20"/>
                <w:szCs w:val="20"/>
              </w:rPr>
            </w:pPr>
          </w:p>
        </w:tc>
        <w:tc>
          <w:tcPr>
            <w:tcW w:w="559" w:type="pct"/>
            <w:tcBorders>
              <w:bottom w:val="single" w:sz="4" w:space="0" w:color="auto"/>
            </w:tcBorders>
          </w:tcPr>
          <w:p w:rsidR="00CA14CD" w:rsidRPr="002E6BC6" w:rsidRDefault="00CA14CD"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CA14CD" w:rsidRPr="002E6BC6" w:rsidRDefault="00CA14CD"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6" w:type="pct"/>
            <w:tcBorders>
              <w:bottom w:val="single" w:sz="4" w:space="0" w:color="auto"/>
            </w:tcBorders>
          </w:tcPr>
          <w:p w:rsidR="00CA14CD" w:rsidRPr="002E6BC6" w:rsidRDefault="00CA14CD" w:rsidP="005E11C2">
            <w:pPr>
              <w:keepNext/>
              <w:spacing w:before="40" w:after="40"/>
              <w:jc w:val="both"/>
              <w:rPr>
                <w:rFonts w:ascii="Arial Narrow" w:hAnsi="Arial Narrow" w:cs="Arial"/>
                <w:b/>
                <w:sz w:val="20"/>
                <w:szCs w:val="20"/>
              </w:rPr>
            </w:pPr>
          </w:p>
        </w:tc>
        <w:tc>
          <w:tcPr>
            <w:tcW w:w="1173" w:type="pct"/>
            <w:gridSpan w:val="2"/>
            <w:tcBorders>
              <w:bottom w:val="single" w:sz="4" w:space="0" w:color="auto"/>
            </w:tcBorders>
          </w:tcPr>
          <w:p w:rsidR="00CA14CD" w:rsidRPr="005346BB" w:rsidRDefault="00CA14CD"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CA14CD" w:rsidRPr="002E6BC6" w:rsidTr="00E62807">
        <w:trPr>
          <w:trHeight w:val="567"/>
        </w:trPr>
        <w:tc>
          <w:tcPr>
            <w:tcW w:w="1592" w:type="pct"/>
          </w:tcPr>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1" w:type="pct"/>
          </w:tcPr>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tc>
        <w:tc>
          <w:tcPr>
            <w:tcW w:w="559" w:type="pct"/>
          </w:tcPr>
          <w:p w:rsidR="00CA14CD" w:rsidRPr="002E6BC6" w:rsidRDefault="00CA14CD" w:rsidP="005E11C2">
            <w:pPr>
              <w:keepNext/>
              <w:spacing w:before="40" w:after="40"/>
              <w:jc w:val="both"/>
              <w:rPr>
                <w:rFonts w:ascii="Arial Narrow" w:hAnsi="Arial Narrow" w:cs="Arial"/>
                <w:sz w:val="20"/>
                <w:szCs w:val="20"/>
              </w:rPr>
            </w:pPr>
          </w:p>
        </w:tc>
        <w:tc>
          <w:tcPr>
            <w:tcW w:w="559" w:type="pct"/>
          </w:tcPr>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tc>
        <w:tc>
          <w:tcPr>
            <w:tcW w:w="776" w:type="pct"/>
          </w:tcPr>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p>
        </w:tc>
        <w:tc>
          <w:tcPr>
            <w:tcW w:w="458" w:type="pct"/>
          </w:tcPr>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5" w:type="pct"/>
          </w:tcPr>
          <w:p w:rsidR="00CA14CD" w:rsidRPr="002E6BC6" w:rsidRDefault="00CA14CD" w:rsidP="005E11C2">
            <w:pPr>
              <w:keepNext/>
              <w:spacing w:before="40" w:after="40"/>
              <w:jc w:val="both"/>
              <w:rPr>
                <w:rFonts w:ascii="Arial Narrow" w:hAnsi="Arial Narrow" w:cs="Arial"/>
                <w:sz w:val="20"/>
                <w:szCs w:val="20"/>
              </w:rPr>
            </w:pPr>
          </w:p>
          <w:p w:rsidR="00CA14CD" w:rsidRPr="002E6BC6" w:rsidRDefault="00CA14CD" w:rsidP="005E11C2">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CA14CD" w:rsidRPr="002E6BC6" w:rsidRDefault="00CA14CD" w:rsidP="00F457C8"/>
    <w:p w:rsidR="0001130B" w:rsidRPr="002E6BC6" w:rsidRDefault="0001130B" w:rsidP="00F457C8">
      <w:pPr>
        <w:rPr>
          <w:rFonts w:asciiTheme="minorHAnsi" w:hAnsiTheme="minorHAnsi" w:cstheme="minorHAnsi"/>
        </w:rPr>
      </w:pPr>
      <w:r w:rsidRPr="002E6BC6">
        <w:rPr>
          <w:rFonts w:asciiTheme="minorHAnsi" w:hAnsiTheme="minorHAnsi" w:cstheme="minorHAnsi"/>
        </w:rPr>
        <w:t xml:space="preserve">Initial treatment   (patients &lt; 30 kg &amp; ≥ 30 kg) </w:t>
      </w:r>
    </w:p>
    <w:p w:rsidR="0001130B" w:rsidRPr="002E6BC6" w:rsidRDefault="0001130B" w:rsidP="00F457C8"/>
    <w:tbl>
      <w:tblPr>
        <w:tblW w:w="5000" w:type="pct"/>
        <w:tblLook w:val="0000" w:firstRow="0" w:lastRow="0" w:firstColumn="0" w:lastColumn="0" w:noHBand="0" w:noVBand="0"/>
      </w:tblPr>
      <w:tblGrid>
        <w:gridCol w:w="1917"/>
        <w:gridCol w:w="7099"/>
      </w:tblGrid>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203621" w:rsidRPr="002E6BC6" w:rsidRDefault="00203621" w:rsidP="005E11C2">
            <w:pPr>
              <w:spacing w:before="40" w:after="40"/>
              <w:rPr>
                <w:rFonts w:ascii="Arial Narrow" w:hAnsi="Arial Narrow" w:cs="Arial"/>
                <w:sz w:val="20"/>
                <w:szCs w:val="20"/>
              </w:rPr>
            </w:pP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 xml:space="preserve">Dental  </w:t>
            </w:r>
            <w:r w:rsidRPr="005346BB">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5346BB">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5346BB">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Optometrists</w:t>
            </w:r>
          </w:p>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Midwives</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203621" w:rsidRPr="002E6BC6" w:rsidRDefault="00203621" w:rsidP="005E11C2">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Initial treatment - Initial 1 (new patient or patient recommencing treatment after a break of more than 12 months)</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203621" w:rsidRPr="002E6BC6" w:rsidRDefault="00203621" w:rsidP="005E11C2">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Restricted benefit</w:t>
            </w:r>
          </w:p>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Authority Required - In Writing</w:t>
            </w:r>
          </w:p>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Authority Required - Telephone</w:t>
            </w:r>
          </w:p>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Authority Required – Emergency</w:t>
            </w:r>
          </w:p>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Authority Required - Electronic</w:t>
            </w:r>
          </w:p>
          <w:p w:rsidR="00203621" w:rsidRPr="002E6BC6" w:rsidRDefault="00203621" w:rsidP="005E11C2">
            <w:pPr>
              <w:spacing w:before="40" w:after="40"/>
              <w:rPr>
                <w:rFonts w:ascii="Arial Narrow" w:hAnsi="Arial Narrow" w:cs="Arial"/>
                <w:sz w:val="20"/>
                <w:szCs w:val="20"/>
              </w:rPr>
            </w:pPr>
            <w:r w:rsidRPr="005346BB">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5346BB">
              <w:rPr>
                <w:rFonts w:ascii="Arial Narrow" w:hAnsi="Arial Narrow" w:cs="Arial"/>
                <w:sz w:val="20"/>
                <w:szCs w:val="20"/>
              </w:rPr>
              <w:fldChar w:fldCharType="end"/>
            </w:r>
            <w:r w:rsidRPr="002E6BC6">
              <w:rPr>
                <w:rFonts w:ascii="Arial Narrow" w:hAnsi="Arial Narrow" w:cs="Arial"/>
                <w:sz w:val="20"/>
                <w:szCs w:val="20"/>
              </w:rPr>
              <w:t>Streamlined</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203621"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Clinical criteria:</w:t>
            </w:r>
          </w:p>
          <w:p w:rsidR="00203621" w:rsidRPr="002E6BC6" w:rsidRDefault="00203621"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DA41D3" w:rsidRPr="002E6BC6" w:rsidRDefault="00203621" w:rsidP="005E11C2">
            <w:pPr>
              <w:spacing w:before="40" w:after="40"/>
              <w:rPr>
                <w:rFonts w:ascii="Arial Narrow" w:hAnsi="Arial Narrow" w:cs="Arial"/>
                <w:sz w:val="20"/>
                <w:szCs w:val="20"/>
              </w:rPr>
            </w:pPr>
            <w:r w:rsidRPr="002E6BC6">
              <w:rPr>
                <w:rFonts w:ascii="Arial Narrow" w:hAnsi="Arial Narrow" w:cs="Arial"/>
                <w:sz w:val="20"/>
                <w:szCs w:val="20"/>
              </w:rPr>
              <w:t>Patient must have severe active juvenile idiopathic arthritis</w:t>
            </w:r>
            <w:r w:rsidR="00796E72" w:rsidRPr="002E6BC6">
              <w:rPr>
                <w:rFonts w:ascii="Arial Narrow" w:hAnsi="Arial Narrow" w:cs="Arial"/>
                <w:sz w:val="20"/>
                <w:szCs w:val="20"/>
              </w:rPr>
              <w:t xml:space="preserve">; </w:t>
            </w:r>
          </w:p>
          <w:p w:rsidR="00203621"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AND </w:t>
            </w:r>
          </w:p>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Patient must have received no prior PBS-subsidised treatment with a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for this condition; or</w:t>
            </w:r>
          </w:p>
          <w:p w:rsidR="00DA789C"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not have received PBS-subsidised treatment with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for this condition in the previous 12 months;</w:t>
            </w:r>
          </w:p>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 AND</w:t>
            </w:r>
          </w:p>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Patient must have demonstrated severe intolerance of, or toxicity due to, methotrexate; or</w:t>
            </w:r>
          </w:p>
          <w:p w:rsidR="00203621" w:rsidRPr="002E6BC6" w:rsidRDefault="00796E72" w:rsidP="00DC7055">
            <w:pPr>
              <w:spacing w:before="40" w:after="40"/>
              <w:rPr>
                <w:rFonts w:ascii="Arial Narrow" w:hAnsi="Arial Narrow" w:cs="Arial"/>
                <w:sz w:val="20"/>
                <w:szCs w:val="20"/>
              </w:rPr>
            </w:pPr>
            <w:proofErr w:type="gramStart"/>
            <w:r w:rsidRPr="002E6BC6">
              <w:rPr>
                <w:rFonts w:ascii="Arial Narrow" w:hAnsi="Arial Narrow" w:cs="Arial"/>
                <w:sz w:val="20"/>
                <w:szCs w:val="20"/>
              </w:rPr>
              <w:t>Patient must have demonstrated failure to achieve an adequate response to 1 or more of the following treatment regimens: (</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w:t>
            </w:r>
            <w:r w:rsidR="00DA789C" w:rsidRPr="002E6BC6">
              <w:rPr>
                <w:rFonts w:ascii="Arial Narrow" w:hAnsi="Arial Narrow" w:cs="Arial"/>
                <w:sz w:val="20"/>
                <w:szCs w:val="20"/>
              </w:rPr>
              <w:t>.</w:t>
            </w:r>
            <w:proofErr w:type="gramEnd"/>
            <w:r w:rsidRPr="002E6BC6">
              <w:rPr>
                <w:rFonts w:ascii="Arial Narrow" w:hAnsi="Arial Narrow" w:cs="Arial"/>
                <w:sz w:val="20"/>
                <w:szCs w:val="20"/>
              </w:rPr>
              <w:t xml:space="preserve"> </w:t>
            </w:r>
          </w:p>
        </w:tc>
      </w:tr>
      <w:tr w:rsidR="00796E72"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796E72" w:rsidRPr="002E6BC6" w:rsidRDefault="00796E72"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Population criteria: </w:t>
            </w:r>
          </w:p>
        </w:tc>
        <w:tc>
          <w:tcPr>
            <w:tcW w:w="3937" w:type="pct"/>
            <w:tcBorders>
              <w:top w:val="single" w:sz="4" w:space="0" w:color="auto"/>
              <w:left w:val="single" w:sz="4" w:space="0" w:color="auto"/>
              <w:bottom w:val="single" w:sz="4" w:space="0" w:color="auto"/>
              <w:right w:val="single" w:sz="4" w:space="0" w:color="auto"/>
            </w:tcBorders>
          </w:tcPr>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be under 18 years of age and a parent or authorised guardian must have signed a patient acknowledgement. </w:t>
            </w:r>
          </w:p>
        </w:tc>
      </w:tr>
      <w:tr w:rsidR="0020362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03621" w:rsidRPr="002E6BC6" w:rsidRDefault="00203621"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203621" w:rsidRPr="002E6BC6" w:rsidRDefault="00203621"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p>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Toxicity due to methotrexate </w:t>
            </w:r>
            <w:proofErr w:type="gramStart"/>
            <w:r w:rsidRPr="002E6BC6">
              <w:rPr>
                <w:rFonts w:ascii="Arial Narrow" w:hAnsi="Arial Narrow" w:cs="Arial"/>
                <w:sz w:val="20"/>
                <w:szCs w:val="20"/>
              </w:rPr>
              <w:t>is defined</w:t>
            </w:r>
            <w:proofErr w:type="gramEnd"/>
            <w:r w:rsidRPr="002E6BC6">
              <w:rPr>
                <w:rFonts w:ascii="Arial Narrow" w:hAnsi="Arial Narrow" w:cs="Arial"/>
                <w:sz w:val="20"/>
                <w:szCs w:val="20"/>
              </w:rPr>
              <w:t xml:space="preserve"> as evidence of hepatotoxicity with repeated elevations of transaminases, bone marrow suppression temporally related to methotrexate use, pneumonitis, or serious sepsis.</w:t>
            </w:r>
          </w:p>
          <w:p w:rsidR="00796E72" w:rsidRPr="002E6BC6" w:rsidRDefault="00796E72" w:rsidP="005E11C2">
            <w:pPr>
              <w:spacing w:before="40" w:after="40"/>
              <w:rPr>
                <w:rFonts w:ascii="Arial Narrow" w:hAnsi="Arial Narrow" w:cs="Arial"/>
                <w:sz w:val="20"/>
                <w:szCs w:val="20"/>
              </w:rPr>
            </w:pPr>
            <w:r w:rsidRPr="002E6BC6">
              <w:rPr>
                <w:rFonts w:ascii="Arial Narrow" w:hAnsi="Arial Narrow" w:cs="Arial"/>
                <w:sz w:val="20"/>
                <w:szCs w:val="20"/>
              </w:rPr>
              <w:t xml:space="preserve">If treatment with methotrexate alone or in combination with another DMARD </w:t>
            </w:r>
            <w:proofErr w:type="gramStart"/>
            <w:r w:rsidRPr="002E6BC6">
              <w:rPr>
                <w:rFonts w:ascii="Arial Narrow" w:hAnsi="Arial Narrow" w:cs="Arial"/>
                <w:sz w:val="20"/>
                <w:szCs w:val="20"/>
              </w:rPr>
              <w:t>is contraindicated</w:t>
            </w:r>
            <w:proofErr w:type="gramEnd"/>
            <w:r w:rsidRPr="002E6BC6">
              <w:rPr>
                <w:rFonts w:ascii="Arial Narrow" w:hAnsi="Arial Narrow" w:cs="Arial"/>
                <w:sz w:val="20"/>
                <w:szCs w:val="20"/>
              </w:rPr>
              <w:t xml:space="preserve"> according to the relevant TGA-approved Product Information, details must be provided at the time of application. </w:t>
            </w:r>
          </w:p>
          <w:p w:rsidR="009978F5" w:rsidRPr="002E6BC6" w:rsidRDefault="009978F5" w:rsidP="005E11C2">
            <w:pPr>
              <w:spacing w:before="40" w:after="40"/>
              <w:rPr>
                <w:rFonts w:ascii="Arial Narrow" w:hAnsi="Arial Narrow" w:cs="Arial"/>
                <w:sz w:val="20"/>
                <w:szCs w:val="20"/>
              </w:rPr>
            </w:pPr>
            <w:r w:rsidRPr="002E6BC6">
              <w:rPr>
                <w:rFonts w:ascii="Arial Narrow" w:hAnsi="Arial Narrow" w:cs="Arial"/>
                <w:sz w:val="20"/>
                <w:szCs w:val="20"/>
              </w:rPr>
              <w:t xml:space="preserve">If intolerance to treatment develops during the relevant period of use, which is of a severity necessitating permanent treatment withdrawal, details of this toxicity </w:t>
            </w:r>
            <w:proofErr w:type="gramStart"/>
            <w:r w:rsidRPr="002E6BC6">
              <w:rPr>
                <w:rFonts w:ascii="Arial Narrow" w:hAnsi="Arial Narrow" w:cs="Arial"/>
                <w:sz w:val="20"/>
                <w:szCs w:val="20"/>
              </w:rPr>
              <w:t>must be provided</w:t>
            </w:r>
            <w:proofErr w:type="gramEnd"/>
            <w:r w:rsidRPr="002E6BC6">
              <w:rPr>
                <w:rFonts w:ascii="Arial Narrow" w:hAnsi="Arial Narrow" w:cs="Arial"/>
                <w:sz w:val="20"/>
                <w:szCs w:val="20"/>
              </w:rPr>
              <w:t xml:space="preserve"> at the time of application.</w:t>
            </w:r>
          </w:p>
          <w:p w:rsidR="009978F5" w:rsidRPr="002E6BC6" w:rsidRDefault="009978F5" w:rsidP="005E11C2">
            <w:pPr>
              <w:spacing w:before="40" w:after="40"/>
              <w:rPr>
                <w:rFonts w:ascii="Arial Narrow" w:hAnsi="Arial Narrow" w:cs="Arial"/>
                <w:sz w:val="20"/>
                <w:szCs w:val="20"/>
              </w:rPr>
            </w:pP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 xml:space="preserve">The following criteria indicate failure to achieve an adequate response and must be demonstrated in all patients at the time of the initial application: </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(a) an active joint count of at least 20 active (swollen and tender) joints; OR</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(b) at least 4 active joints from the following list:</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796E72" w:rsidRPr="002E6BC6" w:rsidRDefault="009978F5" w:rsidP="005E11C2">
            <w:pPr>
              <w:spacing w:before="40" w:after="40"/>
              <w:rPr>
                <w:rFonts w:ascii="Arial Narrow" w:hAnsi="Arial Narrow" w:cs="Arial"/>
                <w:sz w:val="20"/>
                <w:szCs w:val="20"/>
              </w:rPr>
            </w:pPr>
            <w:r w:rsidRPr="002E6BC6">
              <w:rPr>
                <w:rFonts w:ascii="Arial Narrow" w:hAnsi="Arial Narrow" w:cs="Arial"/>
                <w:sz w:val="20"/>
                <w:szCs w:val="20"/>
              </w:rPr>
              <w:t xml:space="preserve">The joint count assessment </w:t>
            </w:r>
            <w:proofErr w:type="gramStart"/>
            <w:r w:rsidRPr="002E6BC6">
              <w:rPr>
                <w:rFonts w:ascii="Arial Narrow" w:hAnsi="Arial Narrow" w:cs="Arial"/>
                <w:sz w:val="20"/>
                <w:szCs w:val="20"/>
              </w:rPr>
              <w:t>must be performed</w:t>
            </w:r>
            <w:proofErr w:type="gramEnd"/>
            <w:r w:rsidRPr="002E6BC6">
              <w:rPr>
                <w:rFonts w:ascii="Arial Narrow" w:hAnsi="Arial Narrow" w:cs="Arial"/>
                <w:sz w:val="20"/>
                <w:szCs w:val="20"/>
              </w:rPr>
              <w:t xml:space="preserve"> preferably whilst still on DMARD treatment, but no longer than 4 weeks following cessation of the most recent prior treatment.</w:t>
            </w:r>
          </w:p>
          <w:p w:rsidR="009978F5" w:rsidRPr="002E6BC6" w:rsidRDefault="009978F5" w:rsidP="005E11C2">
            <w:pPr>
              <w:spacing w:before="40" w:after="40"/>
              <w:rPr>
                <w:rFonts w:ascii="Arial Narrow" w:hAnsi="Arial Narrow" w:cs="Arial"/>
                <w:sz w:val="20"/>
                <w:szCs w:val="20"/>
              </w:rPr>
            </w:pP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 xml:space="preserve">(2) a completed Juvenile Idiopathic Arthritis PBS Authority Application - Supporting Information Form; and </w:t>
            </w:r>
          </w:p>
          <w:p w:rsidR="009978F5" w:rsidRPr="002E6BC6" w:rsidRDefault="009978F5" w:rsidP="009978F5">
            <w:pPr>
              <w:spacing w:before="40" w:after="40"/>
              <w:rPr>
                <w:rFonts w:ascii="Arial Narrow" w:hAnsi="Arial Narrow" w:cs="Arial"/>
                <w:sz w:val="20"/>
                <w:szCs w:val="20"/>
              </w:rPr>
            </w:pPr>
            <w:r w:rsidRPr="002E6BC6">
              <w:rPr>
                <w:rFonts w:ascii="Arial Narrow" w:hAnsi="Arial Narrow" w:cs="Arial"/>
                <w:sz w:val="20"/>
                <w:szCs w:val="20"/>
              </w:rPr>
              <w:t xml:space="preserve">(3) </w:t>
            </w:r>
            <w:proofErr w:type="gramStart"/>
            <w:r w:rsidRPr="002E6BC6">
              <w:rPr>
                <w:rFonts w:ascii="Arial Narrow" w:hAnsi="Arial Narrow" w:cs="Arial"/>
                <w:sz w:val="20"/>
                <w:szCs w:val="20"/>
              </w:rPr>
              <w:t>an</w:t>
            </w:r>
            <w:proofErr w:type="gramEnd"/>
            <w:r w:rsidRPr="002E6BC6">
              <w:rPr>
                <w:rFonts w:ascii="Arial Narrow" w:hAnsi="Arial Narrow" w:cs="Arial"/>
                <w:sz w:val="20"/>
                <w:szCs w:val="20"/>
              </w:rPr>
              <w:t xml:space="preserve"> acknowledgement signed by a parent or authorised guardian.</w:t>
            </w:r>
          </w:p>
          <w:p w:rsidR="00203621" w:rsidRPr="002E6BC6" w:rsidRDefault="00203621" w:rsidP="005E11C2">
            <w:pPr>
              <w:spacing w:before="40" w:after="40"/>
              <w:rPr>
                <w:rFonts w:ascii="Arial Narrow" w:hAnsi="Arial Narrow" w:cs="Arial"/>
                <w:sz w:val="20"/>
                <w:szCs w:val="20"/>
              </w:rPr>
            </w:pPr>
          </w:p>
          <w:p w:rsidR="00203621" w:rsidRPr="002E6BC6" w:rsidRDefault="00CD219F" w:rsidP="005E11C2">
            <w:pPr>
              <w:spacing w:before="40" w:after="40"/>
              <w:rPr>
                <w:rFonts w:ascii="Arial Narrow" w:hAnsi="Arial Narrow" w:cs="Arial"/>
                <w:sz w:val="20"/>
                <w:szCs w:val="20"/>
              </w:rPr>
            </w:pPr>
            <w:r w:rsidRPr="002E6BC6">
              <w:rPr>
                <w:rFonts w:ascii="Arial Narrow" w:hAnsi="Arial Narrow" w:cs="Arial"/>
                <w:sz w:val="20"/>
                <w:szCs w:val="20"/>
              </w:rPr>
              <w:t>P</w:t>
            </w:r>
            <w:r w:rsidR="00203621" w:rsidRPr="002E6BC6">
              <w:rPr>
                <w:rFonts w:ascii="Arial Narrow" w:hAnsi="Arial Narrow" w:cs="Arial"/>
                <w:sz w:val="20"/>
                <w:szCs w:val="20"/>
              </w:rPr>
              <w:t xml:space="preserve">atients under 30 kg </w:t>
            </w:r>
            <w:r w:rsidRPr="002E6BC6">
              <w:rPr>
                <w:rFonts w:ascii="Arial Narrow" w:hAnsi="Arial Narrow" w:cs="Arial"/>
                <w:sz w:val="20"/>
                <w:szCs w:val="20"/>
              </w:rPr>
              <w:t>may receive</w:t>
            </w:r>
            <w:r w:rsidR="00203621" w:rsidRPr="002E6BC6">
              <w:rPr>
                <w:rFonts w:ascii="Arial Narrow" w:hAnsi="Arial Narrow" w:cs="Arial"/>
                <w:sz w:val="20"/>
                <w:szCs w:val="20"/>
              </w:rPr>
              <w:t xml:space="preserve"> up to </w:t>
            </w:r>
            <w:r w:rsidRPr="002E6BC6">
              <w:rPr>
                <w:rFonts w:ascii="Arial Narrow" w:hAnsi="Arial Narrow" w:cs="Arial"/>
                <w:sz w:val="20"/>
                <w:szCs w:val="20"/>
              </w:rPr>
              <w:t>24</w:t>
            </w:r>
            <w:r w:rsidR="00203621" w:rsidRPr="002E6BC6">
              <w:rPr>
                <w:rFonts w:ascii="Arial Narrow" w:hAnsi="Arial Narrow" w:cs="Arial"/>
                <w:sz w:val="20"/>
                <w:szCs w:val="20"/>
              </w:rPr>
              <w:t xml:space="preserve"> weeks of treatment</w:t>
            </w:r>
            <w:r w:rsidRPr="002E6BC6">
              <w:rPr>
                <w:rFonts w:ascii="Arial Narrow" w:hAnsi="Arial Narrow" w:cs="Arial"/>
                <w:sz w:val="20"/>
                <w:szCs w:val="20"/>
              </w:rPr>
              <w:t xml:space="preserve"> under this restriction</w:t>
            </w:r>
            <w:r w:rsidR="00203621" w:rsidRPr="002E6BC6">
              <w:rPr>
                <w:rFonts w:ascii="Arial Narrow" w:hAnsi="Arial Narrow" w:cs="Arial"/>
                <w:sz w:val="20"/>
                <w:szCs w:val="20"/>
              </w:rPr>
              <w:t xml:space="preserve">. </w:t>
            </w:r>
            <w:r w:rsidRPr="002E6BC6">
              <w:rPr>
                <w:rFonts w:ascii="Arial Narrow" w:hAnsi="Arial Narrow" w:cs="Arial"/>
                <w:sz w:val="20"/>
                <w:szCs w:val="20"/>
              </w:rPr>
              <w:t>P</w:t>
            </w:r>
            <w:r w:rsidR="00203621" w:rsidRPr="002E6BC6">
              <w:rPr>
                <w:rFonts w:ascii="Arial Narrow" w:hAnsi="Arial Narrow" w:cs="Arial"/>
                <w:sz w:val="20"/>
                <w:szCs w:val="20"/>
              </w:rPr>
              <w:t>atients 30 kg</w:t>
            </w:r>
            <w:r w:rsidR="000C6691" w:rsidRPr="002E6BC6">
              <w:rPr>
                <w:rFonts w:ascii="Arial Narrow" w:hAnsi="Arial Narrow" w:cs="Arial"/>
                <w:sz w:val="20"/>
                <w:szCs w:val="20"/>
              </w:rPr>
              <w:t xml:space="preserve"> and over</w:t>
            </w:r>
            <w:r w:rsidR="00203621" w:rsidRPr="002E6BC6">
              <w:rPr>
                <w:rFonts w:ascii="Arial Narrow" w:hAnsi="Arial Narrow" w:cs="Arial"/>
                <w:sz w:val="20"/>
                <w:szCs w:val="20"/>
              </w:rPr>
              <w:t xml:space="preserve"> </w:t>
            </w:r>
            <w:r w:rsidRPr="002E6BC6">
              <w:rPr>
                <w:rFonts w:ascii="Arial Narrow" w:hAnsi="Arial Narrow" w:cs="Arial"/>
                <w:sz w:val="20"/>
                <w:szCs w:val="20"/>
              </w:rPr>
              <w:t>may receive up to</w:t>
            </w:r>
            <w:r w:rsidR="00203621" w:rsidRPr="002E6BC6">
              <w:rPr>
                <w:rFonts w:ascii="Arial Narrow" w:hAnsi="Arial Narrow" w:cs="Arial"/>
                <w:sz w:val="20"/>
                <w:szCs w:val="20"/>
              </w:rPr>
              <w:t xml:space="preserve"> </w:t>
            </w:r>
            <w:r w:rsidRPr="002E6BC6">
              <w:rPr>
                <w:rFonts w:ascii="Arial Narrow" w:hAnsi="Arial Narrow" w:cs="Arial"/>
                <w:sz w:val="20"/>
                <w:szCs w:val="20"/>
              </w:rPr>
              <w:t>16</w:t>
            </w:r>
            <w:r w:rsidR="00203621" w:rsidRPr="002E6BC6">
              <w:rPr>
                <w:rFonts w:ascii="Arial Narrow" w:hAnsi="Arial Narrow" w:cs="Arial"/>
                <w:sz w:val="20"/>
                <w:szCs w:val="20"/>
              </w:rPr>
              <w:t xml:space="preserve"> weeks of treatment</w:t>
            </w:r>
            <w:r w:rsidRPr="002E6BC6">
              <w:rPr>
                <w:rFonts w:ascii="Arial Narrow" w:hAnsi="Arial Narrow" w:cs="Arial"/>
                <w:sz w:val="20"/>
                <w:szCs w:val="20"/>
              </w:rPr>
              <w:t xml:space="preserve"> under this restriction</w:t>
            </w:r>
            <w:r w:rsidR="00203621" w:rsidRPr="002E6BC6">
              <w:rPr>
                <w:rFonts w:ascii="Arial Narrow" w:hAnsi="Arial Narrow" w:cs="Arial"/>
                <w:sz w:val="20"/>
                <w:szCs w:val="20"/>
              </w:rPr>
              <w:t xml:space="preserve">. </w:t>
            </w:r>
          </w:p>
          <w:p w:rsidR="000130F1" w:rsidRPr="002E6BC6" w:rsidRDefault="000130F1" w:rsidP="005E11C2">
            <w:pPr>
              <w:spacing w:before="40" w:after="40"/>
              <w:rPr>
                <w:rFonts w:ascii="Arial Narrow" w:hAnsi="Arial Narrow" w:cs="Arial"/>
                <w:i/>
                <w:sz w:val="20"/>
                <w:szCs w:val="20"/>
              </w:rPr>
            </w:pPr>
          </w:p>
          <w:p w:rsidR="000130F1" w:rsidRPr="002E6BC6" w:rsidRDefault="000130F1" w:rsidP="005E11C2">
            <w:pPr>
              <w:spacing w:before="40" w:after="40"/>
              <w:rPr>
                <w:rFonts w:ascii="Arial Narrow" w:hAnsi="Arial Narrow" w:cs="Arial"/>
                <w:sz w:val="20"/>
                <w:szCs w:val="20"/>
              </w:rPr>
            </w:pPr>
            <w:r w:rsidRPr="002E6BC6">
              <w:rPr>
                <w:rFonts w:ascii="Arial Narrow" w:hAnsi="Arial Narrow" w:cs="Arial"/>
                <w:sz w:val="20"/>
                <w:szCs w:val="20"/>
              </w:rPr>
              <w:t xml:space="preserve">If a patient fails to respond to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w:t>
            </w:r>
            <w:proofErr w:type="gramStart"/>
            <w:r w:rsidRPr="002E6BC6">
              <w:rPr>
                <w:rFonts w:ascii="Arial Narrow" w:hAnsi="Arial Narrow" w:cs="Arial"/>
                <w:sz w:val="20"/>
                <w:szCs w:val="20"/>
              </w:rPr>
              <w:t>agent)</w:t>
            </w:r>
            <w:proofErr w:type="gramEnd"/>
            <w:r w:rsidRPr="002E6BC6">
              <w:rPr>
                <w:rFonts w:ascii="Arial Narrow" w:hAnsi="Arial Narrow" w:cs="Arial"/>
                <w:sz w:val="20"/>
                <w:szCs w:val="20"/>
              </w:rPr>
              <w:t xml:space="preserve"> they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 A </w:t>
            </w:r>
            <w:proofErr w:type="gramStart"/>
            <w:r w:rsidRPr="002E6BC6">
              <w:rPr>
                <w:rFonts w:ascii="Arial Narrow" w:hAnsi="Arial Narrow" w:cs="Arial"/>
                <w:sz w:val="20"/>
                <w:szCs w:val="20"/>
              </w:rPr>
              <w:t xml:space="preserve">patient may re-trial </w:t>
            </w:r>
            <w:proofErr w:type="spellStart"/>
            <w:r w:rsidRPr="002E6BC6">
              <w:rPr>
                <w:rFonts w:ascii="Arial Narrow" w:hAnsi="Arial Narrow" w:cs="Arial"/>
                <w:sz w:val="20"/>
                <w:szCs w:val="20"/>
              </w:rPr>
              <w:t>tocilizumab</w:t>
            </w:r>
            <w:proofErr w:type="spellEnd"/>
            <w:proofErr w:type="gramEnd"/>
            <w:r w:rsidRPr="002E6BC6">
              <w:rPr>
                <w:rFonts w:ascii="Arial Narrow" w:hAnsi="Arial Narrow" w:cs="Arial"/>
                <w:sz w:val="20"/>
                <w:szCs w:val="20"/>
              </w:rPr>
              <w:t xml:space="preserve"> after a minimum of 12 months have elapsed between the date the last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was stopped and the date of the first application under a new treatment cycle.</w:t>
            </w:r>
          </w:p>
        </w:tc>
      </w:tr>
      <w:tr w:rsidR="000130F1"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0130F1" w:rsidRPr="002E6BC6" w:rsidRDefault="000130F1"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Administrative Advice:</w:t>
            </w:r>
          </w:p>
          <w:p w:rsidR="000130F1" w:rsidRPr="002E6BC6" w:rsidRDefault="000130F1"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0130F1" w:rsidRPr="002E6BC6" w:rsidRDefault="000130F1" w:rsidP="005E11C2">
            <w:pPr>
              <w:spacing w:before="40" w:after="40"/>
              <w:rPr>
                <w:rFonts w:ascii="Arial Narrow" w:hAnsi="Arial Narrow" w:cs="Arial"/>
                <w:sz w:val="20"/>
                <w:szCs w:val="20"/>
              </w:rPr>
            </w:pPr>
            <w:r w:rsidRPr="002E6BC6">
              <w:rPr>
                <w:rFonts w:ascii="Arial Narrow" w:hAnsi="Arial Narrow" w:cs="Arial"/>
                <w:sz w:val="20"/>
                <w:szCs w:val="20"/>
              </w:rPr>
              <w:t>Use of alternative DMARDs in children is dependent on approval by the Therapeutic Goods Administration as age restrictions may apply.</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 xml:space="preserve">Applications for authority to prescribe should be forwarded to: </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 xml:space="preserve">Complex Drugs </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 xml:space="preserve">Reply Paid 9826 </w:t>
            </w:r>
          </w:p>
          <w:p w:rsidR="000130F1" w:rsidRPr="002E6BC6" w:rsidRDefault="000130F1" w:rsidP="000130F1">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CA14CD" w:rsidRPr="002E6BC6" w:rsidRDefault="00CA14CD" w:rsidP="006A4AE2"/>
    <w:tbl>
      <w:tblPr>
        <w:tblW w:w="5000" w:type="pct"/>
        <w:tblLook w:val="0000" w:firstRow="0" w:lastRow="0" w:firstColumn="0" w:lastColumn="0" w:noHBand="0" w:noVBand="0"/>
      </w:tblPr>
      <w:tblGrid>
        <w:gridCol w:w="1917"/>
        <w:gridCol w:w="7099"/>
      </w:tblGrid>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9E578C" w:rsidRPr="002E6BC6" w:rsidRDefault="009E578C" w:rsidP="005E11C2">
            <w:pPr>
              <w:spacing w:before="40" w:after="40"/>
              <w:rPr>
                <w:rFonts w:ascii="Arial Narrow" w:hAnsi="Arial Narrow" w:cs="Arial"/>
                <w:sz w:val="20"/>
                <w:szCs w:val="20"/>
              </w:rPr>
            </w:pP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 xml:space="preserve">Dental  </w:t>
            </w:r>
            <w:r w:rsidRPr="00783D5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783D5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783D5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Optometrists</w:t>
            </w:r>
          </w:p>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Midwives</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9E578C" w:rsidRPr="002E6BC6" w:rsidRDefault="009E578C" w:rsidP="005E11C2">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Initial treatment - Initial 2 (new patient or patient recommencing treatment after a break of less than 12 months)</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9E578C" w:rsidRPr="002E6BC6" w:rsidRDefault="009E578C" w:rsidP="005E11C2">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Restricted benefit</w:t>
            </w:r>
          </w:p>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Authority Required - In Writing</w:t>
            </w:r>
          </w:p>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Authority Required - Telephone</w:t>
            </w:r>
          </w:p>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Authority Required – Emergency</w:t>
            </w:r>
          </w:p>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9E578C" w:rsidRPr="002E6BC6" w:rsidRDefault="009E578C" w:rsidP="005E11C2">
            <w:pPr>
              <w:spacing w:before="40" w:after="40"/>
              <w:rPr>
                <w:rFonts w:ascii="Arial Narrow" w:hAnsi="Arial Narrow" w:cs="Arial"/>
                <w:sz w:val="20"/>
                <w:szCs w:val="20"/>
              </w:rPr>
            </w:pPr>
            <w:r w:rsidRPr="00783D5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783D58">
              <w:rPr>
                <w:rFonts w:ascii="Arial Narrow" w:hAnsi="Arial Narrow" w:cs="Arial"/>
                <w:sz w:val="20"/>
                <w:szCs w:val="20"/>
              </w:rPr>
              <w:fldChar w:fldCharType="end"/>
            </w:r>
            <w:r w:rsidRPr="002E6BC6">
              <w:rPr>
                <w:rFonts w:ascii="Arial Narrow" w:hAnsi="Arial Narrow" w:cs="Arial"/>
                <w:sz w:val="20"/>
                <w:szCs w:val="20"/>
              </w:rPr>
              <w:t>Streamlined</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9E578C" w:rsidRPr="002E6BC6" w:rsidRDefault="009E578C"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have a documented history of severe active juvenile idiopathic arthritis; AND </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prior PBS-subsidised treatment with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for this condition in this treatment cycle; AND</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not have failed PBS-subsidised therapy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for this condition in the current treatment cycle; AND</w:t>
            </w:r>
          </w:p>
          <w:p w:rsidR="009E578C" w:rsidRPr="002E6BC6" w:rsidRDefault="009E578C" w:rsidP="009E578C">
            <w:pPr>
              <w:spacing w:before="40" w:after="40"/>
              <w:rPr>
                <w:rFonts w:ascii="Arial Narrow" w:hAnsi="Arial Narrow" w:cs="Arial"/>
                <w:strike/>
                <w:sz w:val="20"/>
                <w:szCs w:val="20"/>
              </w:rPr>
            </w:pP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Population criteria: </w:t>
            </w: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Patient must be under 18 years of age </w:t>
            </w: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9E578C" w:rsidRPr="002E6BC6" w:rsidRDefault="009E578C"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(2) </w:t>
            </w:r>
            <w:proofErr w:type="gramStart"/>
            <w:r w:rsidRPr="002E6BC6">
              <w:rPr>
                <w:rFonts w:ascii="Arial Narrow" w:hAnsi="Arial Narrow" w:cs="Arial"/>
                <w:sz w:val="20"/>
                <w:szCs w:val="20"/>
              </w:rPr>
              <w:t>a</w:t>
            </w:r>
            <w:proofErr w:type="gramEnd"/>
            <w:r w:rsidRPr="002E6BC6">
              <w:rPr>
                <w:rFonts w:ascii="Arial Narrow" w:hAnsi="Arial Narrow" w:cs="Arial"/>
                <w:sz w:val="20"/>
                <w:szCs w:val="20"/>
              </w:rPr>
              <w:t xml:space="preserve"> completed Juvenile Idiopathic Arthritis PBS Authority Application - Supporting Information Form.</w:t>
            </w:r>
          </w:p>
          <w:p w:rsidR="00F13837" w:rsidRPr="002E6BC6" w:rsidRDefault="00F13837" w:rsidP="009E578C">
            <w:pPr>
              <w:spacing w:before="40" w:after="40"/>
              <w:rPr>
                <w:rFonts w:ascii="Arial Narrow" w:hAnsi="Arial Narrow" w:cs="Arial"/>
                <w:sz w:val="20"/>
                <w:szCs w:val="20"/>
              </w:rPr>
            </w:pPr>
          </w:p>
          <w:p w:rsidR="00F13837" w:rsidRPr="002E6BC6" w:rsidRDefault="00F13837" w:rsidP="00F13837">
            <w:pPr>
              <w:spacing w:before="40" w:after="40"/>
              <w:rPr>
                <w:rFonts w:ascii="Arial Narrow" w:hAnsi="Arial Narrow" w:cs="Arial"/>
                <w:sz w:val="20"/>
                <w:szCs w:val="20"/>
              </w:rPr>
            </w:pPr>
            <w:r w:rsidRPr="002E6BC6">
              <w:rPr>
                <w:rFonts w:ascii="Arial Narrow" w:hAnsi="Arial Narrow" w:cs="Arial"/>
                <w:sz w:val="20"/>
                <w:szCs w:val="20"/>
              </w:rPr>
              <w:t xml:space="preserve">Patients under 30 kg may receive up to 24 weeks of treatment under this restriction. Patients 30 kg and over may receive up to 16 weeks of treatment under this restriction. </w:t>
            </w:r>
          </w:p>
          <w:p w:rsidR="009E578C" w:rsidRPr="002E6BC6" w:rsidRDefault="009E578C" w:rsidP="005E11C2">
            <w:pPr>
              <w:spacing w:before="40" w:after="40"/>
              <w:rPr>
                <w:rFonts w:ascii="Arial Narrow" w:hAnsi="Arial Narrow" w:cs="Arial"/>
                <w:i/>
                <w:sz w:val="20"/>
                <w:szCs w:val="20"/>
              </w:rPr>
            </w:pP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Applications for a patient who has received PBS-subsidised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in this treatment cycle and who wishes to recommence therapy with this </w:t>
            </w:r>
            <w:proofErr w:type="gramStart"/>
            <w:r w:rsidRPr="002E6BC6">
              <w:rPr>
                <w:rFonts w:ascii="Arial Narrow" w:hAnsi="Arial Narrow" w:cs="Arial"/>
                <w:sz w:val="20"/>
                <w:szCs w:val="20"/>
              </w:rPr>
              <w:t>drug,</w:t>
            </w:r>
            <w:proofErr w:type="gramEnd"/>
            <w:r w:rsidRPr="002E6BC6">
              <w:rPr>
                <w:rFonts w:ascii="Arial Narrow" w:hAnsi="Arial Narrow" w:cs="Arial"/>
                <w:sz w:val="20"/>
                <w:szCs w:val="20"/>
              </w:rPr>
              <w:t xml:space="preserve"> must be accompanied by evidence of a response to the patient's most recent course of PBS-subsidised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treatment, within the timeframes specified below.</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Where the most recent course of PBS-subsidised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treatment </w:t>
            </w:r>
            <w:proofErr w:type="gramStart"/>
            <w:r w:rsidRPr="002E6BC6">
              <w:rPr>
                <w:rFonts w:ascii="Arial Narrow" w:hAnsi="Arial Narrow" w:cs="Arial"/>
                <w:sz w:val="20"/>
                <w:szCs w:val="20"/>
              </w:rPr>
              <w:t>was approved</w:t>
            </w:r>
            <w:proofErr w:type="gramEnd"/>
            <w:r w:rsidRPr="002E6BC6">
              <w:rPr>
                <w:rFonts w:ascii="Arial Narrow" w:hAnsi="Arial Narrow" w:cs="Arial"/>
                <w:sz w:val="20"/>
                <w:szCs w:val="20"/>
              </w:rPr>
              <w:t xml:space="preserve"> under either of the Initial 1 or 2 treatment restrictions, the patient must have been assessed for response following a minimum of 12 weeks of therapy. This assessment </w:t>
            </w:r>
            <w:proofErr w:type="gramStart"/>
            <w:r w:rsidRPr="002E6BC6">
              <w:rPr>
                <w:rFonts w:ascii="Arial Narrow" w:hAnsi="Arial Narrow" w:cs="Arial"/>
                <w:sz w:val="20"/>
                <w:szCs w:val="20"/>
              </w:rPr>
              <w:t>must be submitted</w:t>
            </w:r>
            <w:proofErr w:type="gramEnd"/>
            <w:r w:rsidRPr="002E6BC6">
              <w:rPr>
                <w:rFonts w:ascii="Arial Narrow" w:hAnsi="Arial Narrow" w:cs="Arial"/>
                <w:sz w:val="20"/>
                <w:szCs w:val="20"/>
              </w:rPr>
              <w:t xml:space="preserve"> no later than 4 weeks from the date that course was ceased. </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Where the most recent course of PBS-subsidised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treatment </w:t>
            </w:r>
            <w:proofErr w:type="gramStart"/>
            <w:r w:rsidRPr="002E6BC6">
              <w:rPr>
                <w:rFonts w:ascii="Arial Narrow" w:hAnsi="Arial Narrow" w:cs="Arial"/>
                <w:sz w:val="20"/>
                <w:szCs w:val="20"/>
              </w:rPr>
              <w:t>was approved</w:t>
            </w:r>
            <w:proofErr w:type="gramEnd"/>
            <w:r w:rsidRPr="002E6BC6">
              <w:rPr>
                <w:rFonts w:ascii="Arial Narrow" w:hAnsi="Arial Narrow" w:cs="Arial"/>
                <w:sz w:val="20"/>
                <w:szCs w:val="20"/>
              </w:rPr>
              <w:t xml:space="preserve"> under the continuing treatment criteria, the patient must have been assessed for response, and the assessment must be submitted no later than 4 weeks from the date that course was ceased.</w:t>
            </w:r>
          </w:p>
          <w:p w:rsidR="009E578C" w:rsidRPr="002E6BC6" w:rsidRDefault="009E578C" w:rsidP="009E578C">
            <w:pPr>
              <w:spacing w:before="40" w:after="40"/>
              <w:rPr>
                <w:rFonts w:ascii="Arial Narrow" w:hAnsi="Arial Narrow" w:cs="Arial"/>
                <w:sz w:val="20"/>
                <w:szCs w:val="20"/>
              </w:rPr>
            </w:pP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Where a response assessment </w:t>
            </w:r>
            <w:proofErr w:type="gramStart"/>
            <w:r w:rsidRPr="002E6BC6">
              <w:rPr>
                <w:rFonts w:ascii="Arial Narrow" w:hAnsi="Arial Narrow" w:cs="Arial"/>
                <w:sz w:val="20"/>
                <w:szCs w:val="20"/>
              </w:rPr>
              <w:t>is not undertaken and submitted within these timeframes, the patient</w:t>
            </w:r>
            <w:proofErr w:type="gramEnd"/>
            <w:r w:rsidRPr="002E6BC6">
              <w:rPr>
                <w:rFonts w:ascii="Arial Narrow" w:hAnsi="Arial Narrow" w:cs="Arial"/>
                <w:sz w:val="20"/>
                <w:szCs w:val="20"/>
              </w:rPr>
              <w:t xml:space="preserve"> will be deemed to have failed to respond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9E578C" w:rsidRPr="002E6BC6" w:rsidRDefault="009E578C" w:rsidP="009E578C">
            <w:pPr>
              <w:spacing w:before="40" w:after="40"/>
              <w:rPr>
                <w:rFonts w:ascii="Arial Narrow" w:hAnsi="Arial Narrow" w:cs="Arial"/>
                <w:sz w:val="20"/>
                <w:szCs w:val="20"/>
              </w:rPr>
            </w:pP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If a patient fails to respond to PBS-subsidised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agent) </w:t>
            </w:r>
            <w:proofErr w:type="gramStart"/>
            <w:r w:rsidRPr="002E6BC6">
              <w:rPr>
                <w:rFonts w:ascii="Arial Narrow" w:hAnsi="Arial Narrow" w:cs="Arial"/>
                <w:sz w:val="20"/>
                <w:szCs w:val="20"/>
              </w:rPr>
              <w:t>they</w:t>
            </w:r>
            <w:proofErr w:type="gramEnd"/>
            <w:r w:rsidRPr="002E6BC6">
              <w:rPr>
                <w:rFonts w:ascii="Arial Narrow" w:hAnsi="Arial Narrow" w:cs="Arial"/>
                <w:sz w:val="20"/>
                <w:szCs w:val="20"/>
              </w:rPr>
              <w:t xml:space="preserve">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w:t>
            </w:r>
          </w:p>
          <w:p w:rsidR="009E578C" w:rsidRPr="002E6BC6" w:rsidRDefault="009E578C" w:rsidP="009E578C">
            <w:pPr>
              <w:spacing w:before="40" w:after="40"/>
              <w:rPr>
                <w:rFonts w:ascii="Arial Narrow" w:hAnsi="Arial Narrow" w:cs="Arial"/>
                <w:sz w:val="20"/>
                <w:szCs w:val="20"/>
              </w:rPr>
            </w:pP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An adequate response to treatment is defined as:</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(a) a reduction in the total active (swollen and tender) joint count by at least 50% from baseline, where baseline is at least 20 active joints; or </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(b) a reduction in the number of the following active joints, from at least 4, by at least 50%:</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9E578C" w:rsidRPr="002E6BC6" w:rsidRDefault="009E578C" w:rsidP="009E578C">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9E578C" w:rsidRPr="002E6BC6" w:rsidRDefault="009E578C" w:rsidP="005E11C2">
            <w:pPr>
              <w:spacing w:before="40" w:after="40"/>
              <w:rPr>
                <w:rFonts w:ascii="Arial Narrow" w:hAnsi="Arial Narrow" w:cs="Arial"/>
                <w:sz w:val="20"/>
                <w:szCs w:val="20"/>
              </w:rPr>
            </w:pPr>
          </w:p>
        </w:tc>
      </w:tr>
      <w:tr w:rsidR="009E578C"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9E578C" w:rsidRPr="002E6BC6" w:rsidRDefault="009E578C"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Use of alternative DMARDs in children is dependent on approval by the Therapeutic Goods Administration as age restrictions may apply.</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Applications for authority to prescribe should be forwarded to: </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Complex Drugs </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 xml:space="preserve">Reply Paid 9826 </w:t>
            </w:r>
          </w:p>
          <w:p w:rsidR="009E578C" w:rsidRPr="002E6BC6" w:rsidRDefault="009E578C" w:rsidP="005E11C2">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CA14CD" w:rsidRPr="002E6BC6" w:rsidRDefault="00CA14CD" w:rsidP="00F457C8"/>
    <w:tbl>
      <w:tblPr>
        <w:tblW w:w="5000" w:type="pct"/>
        <w:tblLook w:val="0000" w:firstRow="0" w:lastRow="0" w:firstColumn="0" w:lastColumn="0" w:noHBand="0" w:noVBand="0"/>
      </w:tblPr>
      <w:tblGrid>
        <w:gridCol w:w="1917"/>
        <w:gridCol w:w="7099"/>
      </w:tblGrid>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 xml:space="preserve">Category / </w:t>
            </w:r>
          </w:p>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B114BA" w:rsidRPr="002E6BC6" w:rsidRDefault="00B114BA" w:rsidP="00376873">
            <w:pPr>
              <w:spacing w:before="40" w:after="40"/>
              <w:rPr>
                <w:rFonts w:ascii="Arial Narrow" w:hAnsi="Arial Narrow" w:cs="Arial"/>
                <w:sz w:val="20"/>
                <w:szCs w:val="20"/>
              </w:rPr>
            </w:pP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 xml:space="preserve">Dental  </w:t>
            </w:r>
            <w:r w:rsidRPr="001423E5">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1423E5">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1423E5">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Optometrists</w:t>
            </w:r>
          </w:p>
          <w:p w:rsidR="00B114BA" w:rsidRPr="002E6BC6" w:rsidRDefault="00B114BA"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Midwives</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B114BA" w:rsidRPr="002E6BC6" w:rsidRDefault="00B114BA" w:rsidP="00376873">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Initial T</w:t>
            </w:r>
            <w:r w:rsidR="00340CA4" w:rsidRPr="002E6BC6">
              <w:rPr>
                <w:rFonts w:ascii="Arial Narrow" w:hAnsi="Arial Narrow" w:cs="Arial"/>
                <w:sz w:val="20"/>
                <w:szCs w:val="20"/>
              </w:rPr>
              <w:t>reatment - Initial 1 (new patient or patient recommencing treatment after a break of more than 12 months) or Initial 2 (change or recommencement of treatment after break of less than 12 months) – balance of supply.</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B114BA" w:rsidRPr="002E6BC6" w:rsidRDefault="00B114BA" w:rsidP="0037687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Restricted benefit</w:t>
            </w:r>
          </w:p>
          <w:p w:rsidR="00B114BA" w:rsidRPr="002E6BC6" w:rsidRDefault="001423E5"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B114BA" w:rsidRPr="002E6BC6">
              <w:rPr>
                <w:rFonts w:ascii="Arial Narrow" w:hAnsi="Arial Narrow" w:cs="Arial"/>
                <w:sz w:val="20"/>
                <w:szCs w:val="20"/>
              </w:rPr>
              <w:t>Authority Required - In Writing</w:t>
            </w:r>
          </w:p>
          <w:p w:rsidR="00B114BA" w:rsidRPr="002E6BC6" w:rsidRDefault="001423E5"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w:instrText>
            </w:r>
            <w:bookmarkStart w:id="0" w:name="Check3"/>
            <w:r>
              <w:rPr>
                <w:rFonts w:ascii="Arial Narrow" w:hAnsi="Arial Narrow" w:cs="Arial"/>
                <w:sz w:val="20"/>
                <w:szCs w:val="20"/>
              </w:rPr>
              <w:instrText xml:space="preserve">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bookmarkEnd w:id="0"/>
            <w:r w:rsidR="00B114BA" w:rsidRPr="002E6BC6">
              <w:rPr>
                <w:rFonts w:ascii="Arial Narrow" w:hAnsi="Arial Narrow" w:cs="Arial"/>
                <w:sz w:val="20"/>
                <w:szCs w:val="20"/>
              </w:rPr>
              <w:t>Authority Required - Telephone</w:t>
            </w:r>
          </w:p>
          <w:p w:rsidR="00B114BA" w:rsidRPr="002E6BC6" w:rsidRDefault="00B114BA"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Authority Required – Emergency</w:t>
            </w:r>
          </w:p>
          <w:p w:rsidR="00B114BA" w:rsidRPr="002E6BC6" w:rsidRDefault="00B114BA"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Authority Required - Electronic</w:t>
            </w:r>
          </w:p>
          <w:p w:rsidR="00B114BA" w:rsidRPr="002E6BC6" w:rsidRDefault="00B114BA"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Streamlined</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B114BA" w:rsidRPr="002E6BC6" w:rsidRDefault="00B114BA"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B114BA" w:rsidRPr="002E6BC6" w:rsidRDefault="00B114BA"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340CA4" w:rsidRPr="002E6BC6" w:rsidRDefault="00340CA4"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Initial 1 (new patient or patient recommencing treatment after break of more than 12 months) restriction to complete 16</w:t>
            </w:r>
            <w:r w:rsidR="00E21A2F" w:rsidRPr="002E6BC6">
              <w:rPr>
                <w:rFonts w:ascii="Arial Narrow" w:hAnsi="Arial Narrow" w:cs="Arial"/>
                <w:sz w:val="20"/>
                <w:szCs w:val="20"/>
              </w:rPr>
              <w:t xml:space="preserve"> or 24</w:t>
            </w:r>
            <w:r w:rsidRPr="002E6BC6">
              <w:rPr>
                <w:rFonts w:ascii="Arial Narrow" w:hAnsi="Arial Narrow" w:cs="Arial"/>
                <w:sz w:val="20"/>
                <w:szCs w:val="20"/>
              </w:rPr>
              <w:t xml:space="preserve"> weeks treatment; or</w:t>
            </w:r>
          </w:p>
          <w:p w:rsidR="00B114BA" w:rsidRPr="002E6BC6" w:rsidRDefault="00340CA4"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Initial 2 (change or recommencement of treatment after break of less than 12 months) restriction to complete 16 </w:t>
            </w:r>
            <w:r w:rsidR="00E21A2F" w:rsidRPr="002E6BC6">
              <w:rPr>
                <w:rFonts w:ascii="Arial Narrow" w:hAnsi="Arial Narrow" w:cs="Arial"/>
                <w:sz w:val="20"/>
                <w:szCs w:val="20"/>
              </w:rPr>
              <w:t xml:space="preserve">or 24 </w:t>
            </w:r>
            <w:r w:rsidRPr="002E6BC6">
              <w:rPr>
                <w:rFonts w:ascii="Arial Narrow" w:hAnsi="Arial Narrow" w:cs="Arial"/>
                <w:sz w:val="20"/>
                <w:szCs w:val="20"/>
              </w:rPr>
              <w:t>weeks treatment</w:t>
            </w:r>
            <w:r w:rsidR="00E21A2F" w:rsidRPr="002E6BC6">
              <w:rPr>
                <w:rFonts w:ascii="Arial Narrow" w:hAnsi="Arial Narrow" w:cs="Arial"/>
                <w:sz w:val="20"/>
                <w:szCs w:val="20"/>
              </w:rPr>
              <w:t>;</w:t>
            </w:r>
          </w:p>
          <w:p w:rsidR="00E21A2F" w:rsidRPr="002E6BC6" w:rsidRDefault="00E21A2F" w:rsidP="00376873">
            <w:pPr>
              <w:spacing w:before="40" w:after="40"/>
              <w:rPr>
                <w:rFonts w:ascii="Arial Narrow" w:hAnsi="Arial Narrow" w:cs="Arial"/>
                <w:sz w:val="20"/>
                <w:szCs w:val="20"/>
              </w:rPr>
            </w:pPr>
            <w:r w:rsidRPr="002E6BC6">
              <w:rPr>
                <w:rFonts w:ascii="Arial Narrow" w:hAnsi="Arial Narrow" w:cs="Arial"/>
                <w:sz w:val="20"/>
                <w:szCs w:val="20"/>
              </w:rPr>
              <w:t>AND</w:t>
            </w:r>
          </w:p>
          <w:p w:rsidR="00E21A2F" w:rsidRPr="002E6BC6" w:rsidRDefault="00E21A2F" w:rsidP="00376873">
            <w:pPr>
              <w:spacing w:before="40" w:after="40"/>
              <w:rPr>
                <w:rFonts w:ascii="Arial Narrow" w:hAnsi="Arial Narrow" w:cs="Arial"/>
                <w:sz w:val="20"/>
                <w:szCs w:val="20"/>
              </w:rPr>
            </w:pPr>
            <w:r w:rsidRPr="002E6BC6">
              <w:rPr>
                <w:rFonts w:ascii="Arial Narrow" w:hAnsi="Arial Narrow" w:cs="Arial"/>
                <w:sz w:val="20"/>
                <w:szCs w:val="20"/>
              </w:rPr>
              <w:t>The treatment must provide no more than the balance of up to 16 weeks treatment available under the above restrictions for patients 30 kg or over;</w:t>
            </w:r>
            <w:r w:rsidR="00A06821">
              <w:rPr>
                <w:rFonts w:ascii="Arial Narrow" w:hAnsi="Arial Narrow" w:cs="Arial"/>
                <w:sz w:val="20"/>
                <w:szCs w:val="20"/>
              </w:rPr>
              <w:t xml:space="preserve"> </w:t>
            </w:r>
            <w:r w:rsidRPr="002E6BC6">
              <w:rPr>
                <w:rFonts w:ascii="Arial Narrow" w:hAnsi="Arial Narrow" w:cs="Arial"/>
                <w:sz w:val="20"/>
                <w:szCs w:val="20"/>
              </w:rPr>
              <w:t>or</w:t>
            </w:r>
          </w:p>
          <w:p w:rsidR="00E21A2F" w:rsidRPr="002E6BC6" w:rsidRDefault="00E21A2F" w:rsidP="00E21A2F">
            <w:pPr>
              <w:spacing w:before="40" w:after="40"/>
              <w:rPr>
                <w:rFonts w:ascii="Arial Narrow" w:hAnsi="Arial Narrow" w:cs="Arial"/>
                <w:sz w:val="20"/>
                <w:szCs w:val="20"/>
              </w:rPr>
            </w:pPr>
            <w:r w:rsidRPr="002E6BC6">
              <w:rPr>
                <w:rFonts w:ascii="Arial Narrow" w:hAnsi="Arial Narrow" w:cs="Arial"/>
                <w:sz w:val="20"/>
                <w:szCs w:val="20"/>
              </w:rPr>
              <w:t>The treatment must provide no more than the balance of up to 24 weeks treatment available under the above restrictions for patients under 30 kg.</w:t>
            </w:r>
          </w:p>
        </w:tc>
      </w:tr>
      <w:tr w:rsidR="00B114B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B114BA" w:rsidRPr="002E6BC6" w:rsidRDefault="00B114BA" w:rsidP="00376873">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B114BA" w:rsidRPr="002E6BC6" w:rsidRDefault="00B114BA" w:rsidP="00376873">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F457C8">
            <w:pPr>
              <w:spacing w:before="40" w:after="40"/>
              <w:rPr>
                <w:rFonts w:ascii="Arial Narrow" w:hAnsi="Arial Narrow" w:cs="Arial"/>
                <w:sz w:val="20"/>
                <w:szCs w:val="20"/>
              </w:rPr>
            </w:pPr>
            <w:r w:rsidRPr="002E6BC6">
              <w:rPr>
                <w:rFonts w:ascii="Arial Narrow" w:hAnsi="Arial Narrow" w:cs="Arial"/>
                <w:sz w:val="20"/>
                <w:szCs w:val="20"/>
              </w:rPr>
              <w:t>Authority approval for sufficient therapy to complete a maximum of 16 weeks of treatment may be requested by telephone by contacting the Department of Human Services on 1800 700 270 (hours of operation 8 a.m. to 5 p.m. EST Monday to Friday).</w:t>
            </w:r>
          </w:p>
          <w:p w:rsidR="00F457C8" w:rsidRPr="002E6BC6" w:rsidRDefault="00F457C8" w:rsidP="00F457C8">
            <w:pPr>
              <w:spacing w:before="40" w:after="40"/>
              <w:rPr>
                <w:rFonts w:ascii="Arial Narrow" w:hAnsi="Arial Narrow" w:cs="Arial"/>
                <w:sz w:val="20"/>
                <w:szCs w:val="20"/>
              </w:rPr>
            </w:pPr>
            <w:r w:rsidRPr="002E6BC6">
              <w:rPr>
                <w:rFonts w:ascii="Arial Narrow" w:hAnsi="Arial Narrow" w:cs="Arial"/>
                <w:sz w:val="20"/>
                <w:szCs w:val="20"/>
              </w:rPr>
              <w:t>Written application for authority approval for sufficient therapy to complete a maximum of 16 weeks of treatment should be forwarded to:</w:t>
            </w:r>
          </w:p>
          <w:p w:rsidR="00F457C8" w:rsidRPr="002E6BC6" w:rsidRDefault="00F457C8" w:rsidP="00F457C8">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F457C8" w:rsidRPr="002E6BC6" w:rsidRDefault="00F457C8" w:rsidP="00F457C8">
            <w:pPr>
              <w:spacing w:before="40" w:after="40"/>
              <w:rPr>
                <w:rFonts w:ascii="Arial Narrow" w:hAnsi="Arial Narrow" w:cs="Arial"/>
                <w:sz w:val="20"/>
                <w:szCs w:val="20"/>
              </w:rPr>
            </w:pPr>
            <w:r w:rsidRPr="002E6BC6">
              <w:rPr>
                <w:rFonts w:ascii="Arial Narrow" w:hAnsi="Arial Narrow" w:cs="Arial"/>
                <w:sz w:val="20"/>
                <w:szCs w:val="20"/>
              </w:rPr>
              <w:t>Complex Drugs</w:t>
            </w:r>
          </w:p>
          <w:p w:rsidR="00F457C8" w:rsidRPr="002E6BC6" w:rsidRDefault="00F457C8" w:rsidP="00F457C8">
            <w:pPr>
              <w:spacing w:before="40" w:after="40"/>
              <w:rPr>
                <w:rFonts w:ascii="Arial Narrow" w:hAnsi="Arial Narrow" w:cs="Arial"/>
                <w:sz w:val="20"/>
                <w:szCs w:val="20"/>
              </w:rPr>
            </w:pPr>
            <w:r w:rsidRPr="002E6BC6">
              <w:rPr>
                <w:rFonts w:ascii="Arial Narrow" w:hAnsi="Arial Narrow" w:cs="Arial"/>
                <w:sz w:val="20"/>
                <w:szCs w:val="20"/>
              </w:rPr>
              <w:t>Reply Paid 9826</w:t>
            </w:r>
          </w:p>
          <w:p w:rsidR="00B114BA"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E62807" w:rsidRDefault="00E62807" w:rsidP="00441E9F">
      <w:pPr>
        <w:rPr>
          <w:rFonts w:asciiTheme="minorHAnsi" w:hAnsiTheme="minorHAnsi" w:cstheme="minorHAnsi"/>
        </w:rPr>
      </w:pPr>
    </w:p>
    <w:p w:rsidR="00E62807" w:rsidRDefault="00E62807" w:rsidP="00E62807">
      <w:r>
        <w:br w:type="page"/>
      </w:r>
    </w:p>
    <w:p w:rsidR="00441E9F" w:rsidRPr="002E6BC6" w:rsidRDefault="00441E9F" w:rsidP="00441E9F">
      <w:pPr>
        <w:rPr>
          <w:rFonts w:asciiTheme="minorHAnsi" w:hAnsiTheme="minorHAnsi" w:cstheme="minorHAnsi"/>
        </w:rPr>
      </w:pPr>
      <w:r w:rsidRPr="002E6BC6">
        <w:rPr>
          <w:rFonts w:asciiTheme="minorHAnsi" w:hAnsiTheme="minorHAnsi" w:cstheme="minorHAnsi"/>
        </w:rPr>
        <w:lastRenderedPageBreak/>
        <w:t xml:space="preserve">Continuing treatment   (paediatric patients &lt; 30 kg) </w:t>
      </w:r>
    </w:p>
    <w:p w:rsidR="00B114BA" w:rsidRPr="002E6BC6" w:rsidRDefault="00B114BA" w:rsidP="00AE2D8C"/>
    <w:tbl>
      <w:tblPr>
        <w:tblW w:w="5000" w:type="pct"/>
        <w:tblLook w:val="0000" w:firstRow="0" w:lastRow="0" w:firstColumn="0" w:lastColumn="0" w:noHBand="0" w:noVBand="0"/>
      </w:tblPr>
      <w:tblGrid>
        <w:gridCol w:w="1917"/>
        <w:gridCol w:w="7099"/>
      </w:tblGrid>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F457C8" w:rsidRPr="002E6BC6" w:rsidRDefault="00F457C8" w:rsidP="00376873">
            <w:pPr>
              <w:spacing w:before="40" w:after="40"/>
              <w:rPr>
                <w:rFonts w:ascii="Arial Narrow" w:hAnsi="Arial Narrow" w:cs="Arial"/>
                <w:sz w:val="20"/>
                <w:szCs w:val="20"/>
              </w:rPr>
            </w:pP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 xml:space="preserve">Dental  </w:t>
            </w:r>
            <w:r w:rsidRPr="001423E5">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1423E5">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1423E5">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Optometrists</w:t>
            </w:r>
          </w:p>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Midwives</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Continuing</w:t>
            </w:r>
            <w:r w:rsidR="00AE2D8C" w:rsidRPr="002E6BC6">
              <w:rPr>
                <w:rFonts w:ascii="Arial Narrow" w:hAnsi="Arial Narrow" w:cs="Arial"/>
                <w:sz w:val="20"/>
                <w:szCs w:val="20"/>
              </w:rPr>
              <w:t xml:space="preserve"> T</w:t>
            </w:r>
            <w:r w:rsidRPr="002E6BC6">
              <w:rPr>
                <w:rFonts w:ascii="Arial Narrow" w:hAnsi="Arial Narrow" w:cs="Arial"/>
                <w:sz w:val="20"/>
                <w:szCs w:val="20"/>
              </w:rPr>
              <w:t xml:space="preserve">reatment </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F457C8" w:rsidRPr="002E6BC6" w:rsidRDefault="00F457C8" w:rsidP="0037687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Restricted benefit</w:t>
            </w:r>
          </w:p>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Authority Required - In Writing</w:t>
            </w:r>
          </w:p>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Authority Required - Telephone</w:t>
            </w:r>
          </w:p>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Authority Required – Emergency</w:t>
            </w:r>
          </w:p>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Authority Required - Electronic</w:t>
            </w:r>
          </w:p>
          <w:p w:rsidR="00F457C8" w:rsidRPr="002E6BC6" w:rsidRDefault="00F457C8" w:rsidP="00376873">
            <w:pPr>
              <w:spacing w:before="40" w:after="40"/>
              <w:rPr>
                <w:rFonts w:ascii="Arial Narrow" w:hAnsi="Arial Narrow" w:cs="Arial"/>
                <w:sz w:val="20"/>
                <w:szCs w:val="20"/>
              </w:rPr>
            </w:pPr>
            <w:r w:rsidRPr="001423E5">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1423E5">
              <w:rPr>
                <w:rFonts w:ascii="Arial Narrow" w:hAnsi="Arial Narrow" w:cs="Arial"/>
                <w:sz w:val="20"/>
                <w:szCs w:val="20"/>
              </w:rPr>
              <w:fldChar w:fldCharType="end"/>
            </w:r>
            <w:r w:rsidRPr="002E6BC6">
              <w:rPr>
                <w:rFonts w:ascii="Arial Narrow" w:hAnsi="Arial Narrow" w:cs="Arial"/>
                <w:sz w:val="20"/>
                <w:szCs w:val="20"/>
              </w:rPr>
              <w:t>Streamlined</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F457C8" w:rsidRPr="002E6BC6" w:rsidRDefault="00F457C8"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3A717A"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Patient must have a documented history of severe active juvenile idiopathic arthritis;</w:t>
            </w:r>
          </w:p>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 xml:space="preserve">AND </w:t>
            </w:r>
          </w:p>
          <w:p w:rsidR="003A717A"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demonstrated an adequate response to treatment with </w:t>
            </w:r>
            <w:proofErr w:type="spellStart"/>
            <w:r w:rsidRPr="002E6BC6">
              <w:rPr>
                <w:rFonts w:ascii="Arial Narrow" w:hAnsi="Arial Narrow" w:cs="Arial"/>
                <w:sz w:val="20"/>
                <w:szCs w:val="20"/>
              </w:rPr>
              <w:t>tocilizumab</w:t>
            </w:r>
            <w:proofErr w:type="spellEnd"/>
            <w:r w:rsidR="00F457C8" w:rsidRPr="002E6BC6">
              <w:rPr>
                <w:rFonts w:ascii="Arial Narrow" w:hAnsi="Arial Narrow" w:cs="Arial"/>
                <w:sz w:val="20"/>
                <w:szCs w:val="20"/>
              </w:rPr>
              <w:t>;</w:t>
            </w:r>
          </w:p>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AND</w:t>
            </w:r>
          </w:p>
          <w:p w:rsidR="00F457C8"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as their most recent course of PBS-subsidised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treatment in this treatment cycle</w:t>
            </w:r>
            <w:r w:rsidR="00F457C8" w:rsidRPr="002E6BC6">
              <w:rPr>
                <w:rFonts w:ascii="Arial Narrow" w:hAnsi="Arial Narrow" w:cs="Arial"/>
                <w:sz w:val="20"/>
                <w:szCs w:val="20"/>
              </w:rPr>
              <w:t>; AND</w:t>
            </w:r>
          </w:p>
          <w:p w:rsidR="000C6691" w:rsidRPr="002E6BC6" w:rsidRDefault="000C6691"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 30kg </w:t>
            </w:r>
          </w:p>
          <w:p w:rsidR="000C6691" w:rsidRPr="002E6BC6" w:rsidRDefault="000C6691" w:rsidP="00376873">
            <w:pPr>
              <w:spacing w:before="40" w:after="40"/>
              <w:rPr>
                <w:rFonts w:ascii="Arial Narrow" w:hAnsi="Arial Narrow" w:cs="Arial"/>
                <w:sz w:val="20"/>
                <w:szCs w:val="20"/>
              </w:rPr>
            </w:pPr>
            <w:r w:rsidRPr="002E6BC6">
              <w:rPr>
                <w:rFonts w:ascii="Arial Narrow" w:hAnsi="Arial Narrow" w:cs="Arial"/>
                <w:sz w:val="20"/>
                <w:szCs w:val="20"/>
              </w:rPr>
              <w:t>AND</w:t>
            </w:r>
          </w:p>
          <w:p w:rsidR="00F457C8"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Patient must not receive more than 24 weeks of treatment per continuing treatment course authorised under this restriction.</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F457C8" w:rsidRPr="002E6BC6" w:rsidRDefault="00F457C8"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An adequate response to treatment is defined as:</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(a) a reduction in the total active (swollen and tender) joint count by at least 50% from baseline, where baseline is at least 20 active joints; or</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(b) a reduction in the number of the following active joints, from at least 4, by at least 50%:</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3A717A" w:rsidRPr="002E6BC6" w:rsidRDefault="003A717A" w:rsidP="00376873">
            <w:pPr>
              <w:spacing w:before="40" w:after="40"/>
              <w:rPr>
                <w:rFonts w:ascii="Arial Narrow" w:hAnsi="Arial Narrow" w:cs="Arial"/>
                <w:sz w:val="20"/>
                <w:szCs w:val="20"/>
              </w:rPr>
            </w:pPr>
          </w:p>
          <w:p w:rsidR="003A717A"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 xml:space="preserve">Determination of whether a response </w:t>
            </w:r>
            <w:proofErr w:type="gramStart"/>
            <w:r w:rsidRPr="002E6BC6">
              <w:rPr>
                <w:rFonts w:ascii="Arial Narrow" w:hAnsi="Arial Narrow" w:cs="Arial"/>
                <w:sz w:val="20"/>
                <w:szCs w:val="20"/>
              </w:rPr>
              <w:t>has been demonstrated</w:t>
            </w:r>
            <w:proofErr w:type="gramEnd"/>
            <w:r w:rsidRPr="002E6BC6">
              <w:rPr>
                <w:rFonts w:ascii="Arial Narrow" w:hAnsi="Arial Narrow" w:cs="Arial"/>
                <w:sz w:val="20"/>
                <w:szCs w:val="20"/>
              </w:rPr>
              <w:t xml:space="preserve"> to initial and subsequent courses of treatment will be based on the baseline measurement of joint count submitted with the initial treatment application.</w:t>
            </w:r>
          </w:p>
          <w:p w:rsidR="003A717A" w:rsidRPr="002E6BC6" w:rsidRDefault="003A717A" w:rsidP="00376873">
            <w:pPr>
              <w:spacing w:before="40" w:after="40"/>
              <w:rPr>
                <w:rFonts w:ascii="Arial Narrow" w:hAnsi="Arial Narrow" w:cs="Arial"/>
                <w:sz w:val="20"/>
                <w:szCs w:val="20"/>
              </w:rPr>
            </w:pP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 xml:space="preserve">(2) </w:t>
            </w:r>
            <w:proofErr w:type="gramStart"/>
            <w:r w:rsidRPr="002E6BC6">
              <w:rPr>
                <w:rFonts w:ascii="Arial Narrow" w:hAnsi="Arial Narrow" w:cs="Arial"/>
                <w:sz w:val="20"/>
                <w:szCs w:val="20"/>
              </w:rPr>
              <w:t>a</w:t>
            </w:r>
            <w:proofErr w:type="gramEnd"/>
            <w:r w:rsidRPr="002E6BC6">
              <w:rPr>
                <w:rFonts w:ascii="Arial Narrow" w:hAnsi="Arial Narrow" w:cs="Arial"/>
                <w:sz w:val="20"/>
                <w:szCs w:val="20"/>
              </w:rPr>
              <w:t xml:space="preserve"> completed Juvenile Idiopathic Arthritis PBS Authority Applicat</w:t>
            </w:r>
            <w:r w:rsidR="00C80C84" w:rsidRPr="002E6BC6">
              <w:rPr>
                <w:rFonts w:ascii="Arial Narrow" w:hAnsi="Arial Narrow" w:cs="Arial"/>
                <w:sz w:val="20"/>
                <w:szCs w:val="20"/>
              </w:rPr>
              <w:t>ion - Supporting Information Form.</w:t>
            </w:r>
          </w:p>
          <w:p w:rsidR="003A717A" w:rsidRPr="002E6BC6" w:rsidRDefault="003A717A" w:rsidP="00376873">
            <w:pPr>
              <w:spacing w:before="40" w:after="40"/>
              <w:rPr>
                <w:rFonts w:ascii="Arial Narrow" w:hAnsi="Arial Narrow" w:cs="Arial"/>
                <w:sz w:val="20"/>
                <w:szCs w:val="20"/>
              </w:rPr>
            </w:pPr>
          </w:p>
          <w:p w:rsidR="003A717A"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 xml:space="preserve">All applications for continuing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must include a measurement of response to the prior course of therapy. This assessment </w:t>
            </w:r>
            <w:proofErr w:type="gramStart"/>
            <w:r w:rsidRPr="002E6BC6">
              <w:rPr>
                <w:rFonts w:ascii="Arial Narrow" w:hAnsi="Arial Narrow" w:cs="Arial"/>
                <w:sz w:val="20"/>
                <w:szCs w:val="20"/>
              </w:rPr>
              <w:t>must be submitted</w:t>
            </w:r>
            <w:proofErr w:type="gramEnd"/>
            <w:r w:rsidRPr="002E6BC6">
              <w:rPr>
                <w:rFonts w:ascii="Arial Narrow" w:hAnsi="Arial Narrow" w:cs="Arial"/>
                <w:sz w:val="20"/>
                <w:szCs w:val="20"/>
              </w:rPr>
              <w:t xml:space="preserve"> no later than 4 weeks from the cessation of that treatment course. If the application is the first application for continuing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it </w:t>
            </w:r>
            <w:proofErr w:type="gramStart"/>
            <w:r w:rsidRPr="002E6BC6">
              <w:rPr>
                <w:rFonts w:ascii="Arial Narrow" w:hAnsi="Arial Narrow" w:cs="Arial"/>
                <w:sz w:val="20"/>
                <w:szCs w:val="20"/>
              </w:rPr>
              <w:t>must be accompanied</w:t>
            </w:r>
            <w:proofErr w:type="gramEnd"/>
            <w:r w:rsidRPr="002E6BC6">
              <w:rPr>
                <w:rFonts w:ascii="Arial Narrow" w:hAnsi="Arial Narrow" w:cs="Arial"/>
                <w:sz w:val="20"/>
                <w:szCs w:val="20"/>
              </w:rPr>
              <w:t xml:space="preserve"> by an assessment of response to a minimum of 12 weeks of treatment with an initial treatment course.</w:t>
            </w:r>
          </w:p>
          <w:p w:rsidR="003A717A" w:rsidRPr="002E6BC6" w:rsidRDefault="003A717A" w:rsidP="00376873">
            <w:pPr>
              <w:spacing w:before="40" w:after="40"/>
              <w:rPr>
                <w:rFonts w:ascii="Arial Narrow" w:hAnsi="Arial Narrow" w:cs="Arial"/>
                <w:sz w:val="20"/>
                <w:szCs w:val="20"/>
              </w:rPr>
            </w:pPr>
          </w:p>
          <w:p w:rsidR="003A717A"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 xml:space="preserve">Where a response assessment </w:t>
            </w:r>
            <w:proofErr w:type="gramStart"/>
            <w:r w:rsidRPr="002E6BC6">
              <w:rPr>
                <w:rFonts w:ascii="Arial Narrow" w:hAnsi="Arial Narrow" w:cs="Arial"/>
                <w:sz w:val="20"/>
                <w:szCs w:val="20"/>
              </w:rPr>
              <w:t>is not undertaken and submitted within these timeframes, the patient</w:t>
            </w:r>
            <w:proofErr w:type="gramEnd"/>
            <w:r w:rsidRPr="002E6BC6">
              <w:rPr>
                <w:rFonts w:ascii="Arial Narrow" w:hAnsi="Arial Narrow" w:cs="Arial"/>
                <w:sz w:val="20"/>
                <w:szCs w:val="20"/>
              </w:rPr>
              <w:t xml:space="preserve"> will be deemed to have failed to respond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3A717A" w:rsidRPr="002E6BC6" w:rsidRDefault="003A717A" w:rsidP="00376873">
            <w:pPr>
              <w:spacing w:before="40" w:after="40"/>
              <w:rPr>
                <w:rFonts w:ascii="Arial Narrow" w:hAnsi="Arial Narrow" w:cs="Arial"/>
                <w:sz w:val="20"/>
                <w:szCs w:val="20"/>
              </w:rPr>
            </w:pPr>
          </w:p>
          <w:p w:rsidR="00F457C8"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 xml:space="preserve">If a patient fails to respond to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w:t>
            </w:r>
            <w:proofErr w:type="gramStart"/>
            <w:r w:rsidRPr="002E6BC6">
              <w:rPr>
                <w:rFonts w:ascii="Arial Narrow" w:hAnsi="Arial Narrow" w:cs="Arial"/>
                <w:sz w:val="20"/>
                <w:szCs w:val="20"/>
              </w:rPr>
              <w:t>agent)</w:t>
            </w:r>
            <w:proofErr w:type="gramEnd"/>
            <w:r w:rsidRPr="002E6BC6">
              <w:rPr>
                <w:rFonts w:ascii="Arial Narrow" w:hAnsi="Arial Narrow" w:cs="Arial"/>
                <w:sz w:val="20"/>
                <w:szCs w:val="20"/>
              </w:rPr>
              <w:t xml:space="preserve"> they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w:t>
            </w:r>
          </w:p>
        </w:tc>
      </w:tr>
      <w:tr w:rsidR="00F457C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F457C8" w:rsidRPr="002E6BC6" w:rsidRDefault="00F457C8" w:rsidP="00376873">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F457C8" w:rsidRPr="002E6BC6" w:rsidRDefault="00F457C8" w:rsidP="00376873">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Applications for authority to prescribe should be forwarded to:</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Complex Drugs</w:t>
            </w:r>
          </w:p>
          <w:p w:rsidR="003A717A" w:rsidRPr="002E6BC6" w:rsidRDefault="003A717A" w:rsidP="003A717A">
            <w:pPr>
              <w:spacing w:before="40" w:after="40"/>
              <w:rPr>
                <w:rFonts w:ascii="Arial Narrow" w:hAnsi="Arial Narrow" w:cs="Arial"/>
                <w:sz w:val="20"/>
                <w:szCs w:val="20"/>
              </w:rPr>
            </w:pPr>
            <w:r w:rsidRPr="002E6BC6">
              <w:rPr>
                <w:rFonts w:ascii="Arial Narrow" w:hAnsi="Arial Narrow" w:cs="Arial"/>
                <w:sz w:val="20"/>
                <w:szCs w:val="20"/>
              </w:rPr>
              <w:t>Reply Paid 9826</w:t>
            </w:r>
          </w:p>
          <w:p w:rsidR="00F457C8" w:rsidRPr="002E6BC6" w:rsidRDefault="003A717A" w:rsidP="00376873">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E62807" w:rsidRDefault="00E62807" w:rsidP="00DC1927"/>
    <w:p w:rsidR="00E62807" w:rsidRDefault="00E62807" w:rsidP="00E62807">
      <w:r>
        <w:br w:type="page"/>
      </w:r>
    </w:p>
    <w:tbl>
      <w:tblPr>
        <w:tblW w:w="5000" w:type="pct"/>
        <w:tblLook w:val="0000" w:firstRow="0" w:lastRow="0" w:firstColumn="0" w:lastColumn="0" w:noHBand="0" w:noVBand="0"/>
      </w:tblPr>
      <w:tblGrid>
        <w:gridCol w:w="1917"/>
        <w:gridCol w:w="7099"/>
      </w:tblGrid>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 xml:space="preserve">Category / </w:t>
            </w:r>
          </w:p>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AE2D8C" w:rsidRPr="002E6BC6" w:rsidRDefault="00AE2D8C" w:rsidP="00376873">
            <w:pPr>
              <w:spacing w:before="40" w:after="40"/>
              <w:rPr>
                <w:rFonts w:ascii="Arial Narrow" w:hAnsi="Arial Narrow" w:cs="Arial"/>
                <w:sz w:val="20"/>
                <w:szCs w:val="20"/>
              </w:rPr>
            </w:pP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 xml:space="preserve">Dental  </w:t>
            </w:r>
            <w:r w:rsidRPr="00CE5614">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CE5614">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CE5614">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Optometrists</w:t>
            </w:r>
          </w:p>
          <w:p w:rsidR="00AE2D8C" w:rsidRPr="002E6BC6" w:rsidRDefault="00AE2D8C" w:rsidP="00376873">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Midwives</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Continuing Treatment – balance of supply</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AE2D8C" w:rsidRPr="002E6BC6" w:rsidRDefault="00AE2D8C" w:rsidP="0037687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Restricted benefit</w:t>
            </w:r>
          </w:p>
          <w:p w:rsidR="00AE2D8C" w:rsidRPr="002E6BC6" w:rsidRDefault="00CE5614"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AE2D8C" w:rsidRPr="002E6BC6">
              <w:rPr>
                <w:rFonts w:ascii="Arial Narrow" w:hAnsi="Arial Narrow" w:cs="Arial"/>
                <w:sz w:val="20"/>
                <w:szCs w:val="20"/>
              </w:rPr>
              <w:t>Authority Required - In Writing</w:t>
            </w:r>
          </w:p>
          <w:p w:rsidR="00AE2D8C" w:rsidRPr="002E6BC6" w:rsidRDefault="00CE5614"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AE2D8C" w:rsidRPr="002E6BC6">
              <w:rPr>
                <w:rFonts w:ascii="Arial Narrow" w:hAnsi="Arial Narrow" w:cs="Arial"/>
                <w:sz w:val="20"/>
                <w:szCs w:val="20"/>
              </w:rPr>
              <w:t>Authority Required - Telephone</w:t>
            </w:r>
          </w:p>
          <w:p w:rsidR="00AE2D8C" w:rsidRPr="002E6BC6" w:rsidRDefault="00AE2D8C" w:rsidP="00376873">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Authority Required – Emergency</w:t>
            </w:r>
          </w:p>
          <w:p w:rsidR="00AE2D8C" w:rsidRPr="002E6BC6" w:rsidRDefault="00AE2D8C" w:rsidP="00376873">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Authority Required - Electronic</w:t>
            </w:r>
          </w:p>
          <w:p w:rsidR="00AE2D8C" w:rsidRPr="002E6BC6" w:rsidRDefault="00AE2D8C" w:rsidP="00376873">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Streamlined</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AE2D8C" w:rsidRPr="002E6BC6" w:rsidRDefault="00AE2D8C"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Continuing Treatment restriction to complete 24 weeks treatment;</w:t>
            </w:r>
          </w:p>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AND</w:t>
            </w:r>
          </w:p>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The treatment must provide no more than the balance of up to 24 weeks treatment available under the above restriction.</w:t>
            </w:r>
          </w:p>
        </w:tc>
      </w:tr>
      <w:tr w:rsidR="00AE2D8C"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E2D8C" w:rsidRPr="002E6BC6" w:rsidRDefault="00AE2D8C" w:rsidP="00376873">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AE2D8C" w:rsidRPr="002E6BC6" w:rsidRDefault="00AE2D8C" w:rsidP="00376873">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AE2D8C" w:rsidRPr="002E6BC6" w:rsidRDefault="00AE2D8C" w:rsidP="00AE2D8C">
            <w:pPr>
              <w:spacing w:before="40" w:after="40"/>
              <w:rPr>
                <w:rFonts w:ascii="Arial Narrow" w:hAnsi="Arial Narrow" w:cs="Arial"/>
                <w:sz w:val="20"/>
                <w:szCs w:val="20"/>
              </w:rPr>
            </w:pPr>
            <w:r w:rsidRPr="002E6BC6">
              <w:rPr>
                <w:rFonts w:ascii="Arial Narrow" w:hAnsi="Arial Narrow" w:cs="Arial"/>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AE2D8C" w:rsidRPr="002E6BC6" w:rsidRDefault="00AE2D8C" w:rsidP="00AE2D8C">
            <w:pPr>
              <w:spacing w:before="40" w:after="40"/>
              <w:rPr>
                <w:rFonts w:ascii="Arial Narrow" w:hAnsi="Arial Narrow" w:cs="Arial"/>
                <w:sz w:val="20"/>
                <w:szCs w:val="20"/>
              </w:rPr>
            </w:pPr>
            <w:r w:rsidRPr="002E6BC6">
              <w:rPr>
                <w:rFonts w:ascii="Arial Narrow" w:hAnsi="Arial Narrow" w:cs="Arial"/>
                <w:sz w:val="20"/>
                <w:szCs w:val="20"/>
              </w:rPr>
              <w:t>Written application for authority approval for sufficient therapy to complete a maximum of 24 weeks of treatment should be forwarded to:</w:t>
            </w:r>
          </w:p>
          <w:p w:rsidR="00AE2D8C" w:rsidRPr="002E6BC6" w:rsidRDefault="00AE2D8C" w:rsidP="00AE2D8C">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AE2D8C" w:rsidRPr="002E6BC6" w:rsidRDefault="00AE2D8C" w:rsidP="00AE2D8C">
            <w:pPr>
              <w:spacing w:before="40" w:after="40"/>
              <w:rPr>
                <w:rFonts w:ascii="Arial Narrow" w:hAnsi="Arial Narrow" w:cs="Arial"/>
                <w:sz w:val="20"/>
                <w:szCs w:val="20"/>
              </w:rPr>
            </w:pPr>
            <w:r w:rsidRPr="002E6BC6">
              <w:rPr>
                <w:rFonts w:ascii="Arial Narrow" w:hAnsi="Arial Narrow" w:cs="Arial"/>
                <w:sz w:val="20"/>
                <w:szCs w:val="20"/>
              </w:rPr>
              <w:t>Complex Drugs</w:t>
            </w:r>
          </w:p>
          <w:p w:rsidR="00AE2D8C" w:rsidRPr="002E6BC6" w:rsidRDefault="00AE2D8C" w:rsidP="00AE2D8C">
            <w:pPr>
              <w:spacing w:before="40" w:after="40"/>
              <w:rPr>
                <w:rFonts w:ascii="Arial Narrow" w:hAnsi="Arial Narrow" w:cs="Arial"/>
                <w:sz w:val="20"/>
                <w:szCs w:val="20"/>
              </w:rPr>
            </w:pPr>
            <w:r w:rsidRPr="002E6BC6">
              <w:rPr>
                <w:rFonts w:ascii="Arial Narrow" w:hAnsi="Arial Narrow" w:cs="Arial"/>
                <w:sz w:val="20"/>
                <w:szCs w:val="20"/>
              </w:rPr>
              <w:t>Reply Paid 9826</w:t>
            </w:r>
          </w:p>
          <w:p w:rsidR="00AE2D8C" w:rsidRPr="002E6BC6" w:rsidRDefault="00AE2D8C" w:rsidP="00376873">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8F39C1" w:rsidRDefault="008F39C1" w:rsidP="006A4AE2"/>
    <w:p w:rsidR="008F39C1" w:rsidRDefault="008F39C1" w:rsidP="008F39C1">
      <w:r>
        <w:br w:type="page"/>
      </w:r>
    </w:p>
    <w:tbl>
      <w:tblPr>
        <w:tblW w:w="5000" w:type="pct"/>
        <w:tblLook w:val="0000" w:firstRow="0" w:lastRow="0" w:firstColumn="0" w:lastColumn="0" w:noHBand="0" w:noVBand="0"/>
      </w:tblPr>
      <w:tblGrid>
        <w:gridCol w:w="2873"/>
        <w:gridCol w:w="616"/>
        <w:gridCol w:w="1009"/>
        <w:gridCol w:w="1009"/>
        <w:gridCol w:w="1401"/>
        <w:gridCol w:w="827"/>
        <w:gridCol w:w="1291"/>
      </w:tblGrid>
      <w:tr w:rsidR="004A6054" w:rsidRPr="002E6BC6" w:rsidTr="00EC081A">
        <w:trPr>
          <w:trHeight w:val="465"/>
        </w:trPr>
        <w:tc>
          <w:tcPr>
            <w:tcW w:w="1592"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lastRenderedPageBreak/>
              <w:t>Name, Restriction,</w:t>
            </w:r>
          </w:p>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1"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4A6054" w:rsidRPr="002E6BC6" w:rsidRDefault="004A6054"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59"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p>
        </w:tc>
        <w:tc>
          <w:tcPr>
            <w:tcW w:w="559"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4A6054" w:rsidRPr="002E6BC6" w:rsidRDefault="004A6054"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6"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p>
        </w:tc>
        <w:tc>
          <w:tcPr>
            <w:tcW w:w="1173" w:type="pct"/>
            <w:gridSpan w:val="2"/>
            <w:tcBorders>
              <w:bottom w:val="single" w:sz="4" w:space="0" w:color="auto"/>
            </w:tcBorders>
          </w:tcPr>
          <w:p w:rsidR="004A6054" w:rsidRPr="00CE5614"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4A6054" w:rsidRPr="002E6BC6" w:rsidTr="00EC081A">
        <w:trPr>
          <w:trHeight w:val="567"/>
        </w:trPr>
        <w:tc>
          <w:tcPr>
            <w:tcW w:w="1592" w:type="pct"/>
          </w:tcPr>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1"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tc>
        <w:tc>
          <w:tcPr>
            <w:tcW w:w="559" w:type="pct"/>
          </w:tcPr>
          <w:p w:rsidR="004A6054" w:rsidRPr="002E6BC6" w:rsidRDefault="004A6054" w:rsidP="005E11C2">
            <w:pPr>
              <w:keepNext/>
              <w:spacing w:before="40" w:after="40"/>
              <w:jc w:val="both"/>
              <w:rPr>
                <w:rFonts w:ascii="Arial Narrow" w:hAnsi="Arial Narrow" w:cs="Arial"/>
                <w:sz w:val="20"/>
                <w:szCs w:val="20"/>
              </w:rPr>
            </w:pPr>
          </w:p>
        </w:tc>
        <w:tc>
          <w:tcPr>
            <w:tcW w:w="559"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2</w:t>
            </w:r>
          </w:p>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2</w:t>
            </w:r>
          </w:p>
        </w:tc>
        <w:tc>
          <w:tcPr>
            <w:tcW w:w="776"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p>
        </w:tc>
        <w:tc>
          <w:tcPr>
            <w:tcW w:w="458"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5"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E62807" w:rsidRDefault="00E62807" w:rsidP="00DC1927">
      <w:pPr>
        <w:rPr>
          <w:rFonts w:asciiTheme="minorHAnsi" w:hAnsiTheme="minorHAnsi" w:cstheme="minorHAnsi"/>
        </w:rPr>
      </w:pPr>
    </w:p>
    <w:p w:rsidR="000C7502" w:rsidRPr="002E6BC6" w:rsidRDefault="000C7502" w:rsidP="00DC1927">
      <w:pPr>
        <w:rPr>
          <w:rFonts w:asciiTheme="minorHAnsi" w:hAnsiTheme="minorHAnsi" w:cstheme="minorHAnsi"/>
        </w:rPr>
      </w:pPr>
      <w:r w:rsidRPr="002E6BC6">
        <w:rPr>
          <w:rFonts w:asciiTheme="minorHAnsi" w:hAnsiTheme="minorHAnsi" w:cstheme="minorHAnsi"/>
        </w:rPr>
        <w:t xml:space="preserve">Continuing treatment   (paediatric patients ≥ 30 kg) </w:t>
      </w:r>
    </w:p>
    <w:p w:rsidR="000C7502" w:rsidRPr="002E6BC6" w:rsidRDefault="000C7502" w:rsidP="00DC1927"/>
    <w:tbl>
      <w:tblPr>
        <w:tblW w:w="5000" w:type="pct"/>
        <w:tblLook w:val="0000" w:firstRow="0" w:lastRow="0" w:firstColumn="0" w:lastColumn="0" w:noHBand="0" w:noVBand="0"/>
      </w:tblPr>
      <w:tblGrid>
        <w:gridCol w:w="1917"/>
        <w:gridCol w:w="7099"/>
      </w:tblGrid>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281060" w:rsidRPr="002E6BC6" w:rsidRDefault="00281060" w:rsidP="005E11C2">
            <w:pPr>
              <w:spacing w:before="40" w:after="40"/>
              <w:rPr>
                <w:rFonts w:ascii="Arial Narrow" w:hAnsi="Arial Narrow" w:cs="Arial"/>
                <w:sz w:val="20"/>
                <w:szCs w:val="20"/>
              </w:rPr>
            </w:pP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 xml:space="preserve">Dental  </w:t>
            </w:r>
            <w:r w:rsidRPr="00CE5614">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CE5614">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CE5614">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Optometrists</w:t>
            </w:r>
          </w:p>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Midwives</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Continuing </w:t>
            </w:r>
            <w:r w:rsidR="000F32D0" w:rsidRPr="002E6BC6">
              <w:rPr>
                <w:rFonts w:ascii="Arial Narrow" w:hAnsi="Arial Narrow" w:cs="Arial"/>
                <w:sz w:val="20"/>
                <w:szCs w:val="20"/>
              </w:rPr>
              <w:t>T</w:t>
            </w:r>
            <w:r w:rsidRPr="002E6BC6">
              <w:rPr>
                <w:rFonts w:ascii="Arial Narrow" w:hAnsi="Arial Narrow" w:cs="Arial"/>
                <w:sz w:val="20"/>
                <w:szCs w:val="20"/>
              </w:rPr>
              <w:t>reatment</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281060" w:rsidRPr="002E6BC6" w:rsidRDefault="00281060" w:rsidP="005E11C2">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Restricted benefit</w:t>
            </w:r>
          </w:p>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Authority Required - In Writing</w:t>
            </w:r>
          </w:p>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Authority Required - Telephone</w:t>
            </w:r>
          </w:p>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Authority Required – Emergency</w:t>
            </w:r>
          </w:p>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Authority Required - Electronic</w:t>
            </w:r>
          </w:p>
          <w:p w:rsidR="00281060" w:rsidRPr="002E6BC6" w:rsidRDefault="00281060" w:rsidP="005E11C2">
            <w:pPr>
              <w:spacing w:before="40" w:after="40"/>
              <w:rPr>
                <w:rFonts w:ascii="Arial Narrow" w:hAnsi="Arial Narrow" w:cs="Arial"/>
                <w:sz w:val="20"/>
                <w:szCs w:val="20"/>
              </w:rPr>
            </w:pPr>
            <w:r w:rsidRPr="00CE5614">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CE5614">
              <w:rPr>
                <w:rFonts w:ascii="Arial Narrow" w:hAnsi="Arial Narrow" w:cs="Arial"/>
                <w:sz w:val="20"/>
                <w:szCs w:val="20"/>
              </w:rPr>
              <w:fldChar w:fldCharType="end"/>
            </w:r>
            <w:r w:rsidRPr="002E6BC6">
              <w:rPr>
                <w:rFonts w:ascii="Arial Narrow" w:hAnsi="Arial Narrow" w:cs="Arial"/>
                <w:sz w:val="20"/>
                <w:szCs w:val="20"/>
              </w:rPr>
              <w:t>Streamlined</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281060" w:rsidRPr="002E6BC6" w:rsidRDefault="00281060"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Patient must have a documented history of severe active juvenile idiopathic arthritis; AND</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have demonstrated an adequate response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AND</w:t>
            </w:r>
            <w:r w:rsidRPr="002E6BC6">
              <w:rPr>
                <w:rFonts w:ascii="Arial Narrow" w:hAnsi="Arial Narrow" w:cs="Arial"/>
                <w:sz w:val="20"/>
                <w:szCs w:val="20"/>
              </w:rPr>
              <w:br/>
              <w:t xml:space="preserve">Patient must have received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as their most recent course of PBS-subsidised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treatment in this treatment cycle; AND</w:t>
            </w:r>
          </w:p>
          <w:p w:rsidR="000C6691" w:rsidRPr="002E6BC6" w:rsidRDefault="000C6691"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be 30kg or over </w:t>
            </w:r>
          </w:p>
          <w:p w:rsidR="000C6691" w:rsidRPr="002E6BC6" w:rsidRDefault="000C6691" w:rsidP="005E11C2">
            <w:pPr>
              <w:spacing w:before="40" w:after="40"/>
              <w:rPr>
                <w:rFonts w:ascii="Arial Narrow" w:hAnsi="Arial Narrow" w:cs="Arial"/>
                <w:sz w:val="20"/>
                <w:szCs w:val="20"/>
              </w:rPr>
            </w:pPr>
            <w:r w:rsidRPr="002E6BC6">
              <w:rPr>
                <w:rFonts w:ascii="Arial Narrow" w:hAnsi="Arial Narrow" w:cs="Arial"/>
                <w:sz w:val="20"/>
                <w:szCs w:val="20"/>
              </w:rPr>
              <w:t xml:space="preserve">AND </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Patient must not receive more than 24 weeks of treatment per continuing treatment course authorised under this restriction</w:t>
            </w:r>
            <w:r w:rsidR="001774C1" w:rsidRPr="002E6BC6">
              <w:rPr>
                <w:rFonts w:ascii="Arial Narrow" w:hAnsi="Arial Narrow" w:cs="Arial"/>
                <w:sz w:val="20"/>
                <w:szCs w:val="20"/>
              </w:rPr>
              <w:t>.</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281060" w:rsidRPr="002E6BC6" w:rsidRDefault="00281060"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1774C1" w:rsidRPr="002E6BC6" w:rsidRDefault="001774C1" w:rsidP="00307902">
            <w:pPr>
              <w:spacing w:before="40" w:after="40"/>
              <w:rPr>
                <w:rFonts w:ascii="Arial Narrow" w:hAnsi="Arial Narrow" w:cs="Arial"/>
                <w:sz w:val="20"/>
                <w:szCs w:val="20"/>
              </w:rPr>
            </w:pP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An adequate response to treatment is defined as:</w:t>
            </w: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(a) a reduction in the total active (swollen and tender) joint count by at least 50% from baseline, where baseline is at least 20 active joints; or </w:t>
            </w: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(b) a reduction in the number of the following active joints, from at least 4, by at least 50%:</w:t>
            </w: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307902" w:rsidRPr="002E6BC6" w:rsidRDefault="00307902" w:rsidP="00307902">
            <w:pPr>
              <w:spacing w:before="40" w:after="40"/>
              <w:rPr>
                <w:rFonts w:ascii="Arial Narrow" w:hAnsi="Arial Narrow" w:cs="Arial"/>
                <w:sz w:val="20"/>
                <w:szCs w:val="20"/>
              </w:rPr>
            </w:pP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Determination of whether a response </w:t>
            </w:r>
            <w:proofErr w:type="gramStart"/>
            <w:r w:rsidRPr="002E6BC6">
              <w:rPr>
                <w:rFonts w:ascii="Arial Narrow" w:hAnsi="Arial Narrow" w:cs="Arial"/>
                <w:sz w:val="20"/>
                <w:szCs w:val="20"/>
              </w:rPr>
              <w:t>has been demonstrated</w:t>
            </w:r>
            <w:proofErr w:type="gramEnd"/>
            <w:r w:rsidRPr="002E6BC6">
              <w:rPr>
                <w:rFonts w:ascii="Arial Narrow" w:hAnsi="Arial Narrow" w:cs="Arial"/>
                <w:sz w:val="20"/>
                <w:szCs w:val="20"/>
              </w:rPr>
              <w:t xml:space="preserve"> to initial and subsequent courses of treatment will be based on the baseline measurement of joint count submitted with the initial treatment application.</w:t>
            </w:r>
          </w:p>
          <w:p w:rsidR="00307902" w:rsidRPr="002E6BC6" w:rsidRDefault="00307902" w:rsidP="00307902">
            <w:pPr>
              <w:spacing w:before="40" w:after="40"/>
              <w:rPr>
                <w:rFonts w:ascii="Arial Narrow" w:hAnsi="Arial Narrow" w:cs="Arial"/>
                <w:sz w:val="20"/>
                <w:szCs w:val="20"/>
              </w:rPr>
            </w:pP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(2) </w:t>
            </w:r>
            <w:proofErr w:type="gramStart"/>
            <w:r w:rsidRPr="002E6BC6">
              <w:rPr>
                <w:rFonts w:ascii="Arial Narrow" w:hAnsi="Arial Narrow" w:cs="Arial"/>
                <w:sz w:val="20"/>
                <w:szCs w:val="20"/>
              </w:rPr>
              <w:t>a</w:t>
            </w:r>
            <w:proofErr w:type="gramEnd"/>
            <w:r w:rsidRPr="002E6BC6">
              <w:rPr>
                <w:rFonts w:ascii="Arial Narrow" w:hAnsi="Arial Narrow" w:cs="Arial"/>
                <w:sz w:val="20"/>
                <w:szCs w:val="20"/>
              </w:rPr>
              <w:t xml:space="preserve"> completed Juvenile Idiopathic Arthritis PBS Authority Application - Supporting Information Form.</w:t>
            </w:r>
          </w:p>
          <w:p w:rsidR="001774C1" w:rsidRPr="002E6BC6" w:rsidRDefault="001774C1" w:rsidP="00307902">
            <w:pPr>
              <w:spacing w:before="40" w:after="40"/>
              <w:rPr>
                <w:rFonts w:ascii="Arial Narrow" w:hAnsi="Arial Narrow" w:cs="Arial"/>
                <w:i/>
                <w:sz w:val="20"/>
                <w:szCs w:val="20"/>
              </w:rPr>
            </w:pP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All applications for continuing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must include a measurement of response to the prior course of therapy. This assessment </w:t>
            </w:r>
            <w:proofErr w:type="gramStart"/>
            <w:r w:rsidRPr="002E6BC6">
              <w:rPr>
                <w:rFonts w:ascii="Arial Narrow" w:hAnsi="Arial Narrow" w:cs="Arial"/>
                <w:sz w:val="20"/>
                <w:szCs w:val="20"/>
              </w:rPr>
              <w:t>must be submitted</w:t>
            </w:r>
            <w:proofErr w:type="gramEnd"/>
            <w:r w:rsidRPr="002E6BC6">
              <w:rPr>
                <w:rFonts w:ascii="Arial Narrow" w:hAnsi="Arial Narrow" w:cs="Arial"/>
                <w:sz w:val="20"/>
                <w:szCs w:val="20"/>
              </w:rPr>
              <w:t xml:space="preserve"> no later than 4 weeks from the cessation of that treatment course. If the application is the first application for continuing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it </w:t>
            </w:r>
            <w:proofErr w:type="gramStart"/>
            <w:r w:rsidRPr="002E6BC6">
              <w:rPr>
                <w:rFonts w:ascii="Arial Narrow" w:hAnsi="Arial Narrow" w:cs="Arial"/>
                <w:sz w:val="20"/>
                <w:szCs w:val="20"/>
              </w:rPr>
              <w:t>must be accompanied</w:t>
            </w:r>
            <w:proofErr w:type="gramEnd"/>
            <w:r w:rsidRPr="002E6BC6">
              <w:rPr>
                <w:rFonts w:ascii="Arial Narrow" w:hAnsi="Arial Narrow" w:cs="Arial"/>
                <w:sz w:val="20"/>
                <w:szCs w:val="20"/>
              </w:rPr>
              <w:t xml:space="preserve"> by an assessment of response to a minimum of 12 weeks of treatment with an initial treatment course.</w:t>
            </w:r>
          </w:p>
          <w:p w:rsidR="001774C1" w:rsidRPr="002E6BC6" w:rsidRDefault="001774C1" w:rsidP="00307902">
            <w:pPr>
              <w:spacing w:before="40" w:after="40"/>
              <w:rPr>
                <w:rFonts w:ascii="Arial Narrow" w:hAnsi="Arial Narrow" w:cs="Arial"/>
                <w:sz w:val="20"/>
                <w:szCs w:val="20"/>
              </w:rPr>
            </w:pP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Where a response assessment </w:t>
            </w:r>
            <w:proofErr w:type="gramStart"/>
            <w:r w:rsidRPr="002E6BC6">
              <w:rPr>
                <w:rFonts w:ascii="Arial Narrow" w:hAnsi="Arial Narrow" w:cs="Arial"/>
                <w:sz w:val="20"/>
                <w:szCs w:val="20"/>
              </w:rPr>
              <w:t>is not undertaken and submitted within these timeframes, the patient</w:t>
            </w:r>
            <w:proofErr w:type="gramEnd"/>
            <w:r w:rsidRPr="002E6BC6">
              <w:rPr>
                <w:rFonts w:ascii="Arial Narrow" w:hAnsi="Arial Narrow" w:cs="Arial"/>
                <w:sz w:val="20"/>
                <w:szCs w:val="20"/>
              </w:rPr>
              <w:t xml:space="preserve"> will be deemed to have failed to respond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1774C1" w:rsidRPr="002E6BC6" w:rsidRDefault="001774C1" w:rsidP="00307902">
            <w:pPr>
              <w:spacing w:before="40" w:after="40"/>
              <w:rPr>
                <w:rFonts w:ascii="Arial Narrow" w:hAnsi="Arial Narrow" w:cs="Arial"/>
                <w:sz w:val="20"/>
                <w:szCs w:val="20"/>
              </w:rPr>
            </w:pPr>
          </w:p>
          <w:p w:rsidR="00307902" w:rsidRPr="002E6BC6" w:rsidRDefault="00307902" w:rsidP="00307902">
            <w:pPr>
              <w:spacing w:before="40" w:after="40"/>
              <w:rPr>
                <w:rFonts w:ascii="Arial Narrow" w:hAnsi="Arial Narrow" w:cs="Arial"/>
                <w:sz w:val="20"/>
                <w:szCs w:val="20"/>
              </w:rPr>
            </w:pPr>
            <w:r w:rsidRPr="002E6BC6">
              <w:rPr>
                <w:rFonts w:ascii="Arial Narrow" w:hAnsi="Arial Narrow" w:cs="Arial"/>
                <w:sz w:val="20"/>
                <w:szCs w:val="20"/>
              </w:rPr>
              <w:t xml:space="preserve">If a patient fails to respond to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w:t>
            </w:r>
            <w:proofErr w:type="gramStart"/>
            <w:r w:rsidRPr="002E6BC6">
              <w:rPr>
                <w:rFonts w:ascii="Arial Narrow" w:hAnsi="Arial Narrow" w:cs="Arial"/>
                <w:sz w:val="20"/>
                <w:szCs w:val="20"/>
              </w:rPr>
              <w:t>agent)</w:t>
            </w:r>
            <w:proofErr w:type="gramEnd"/>
            <w:r w:rsidRPr="002E6BC6">
              <w:rPr>
                <w:rFonts w:ascii="Arial Narrow" w:hAnsi="Arial Narrow" w:cs="Arial"/>
                <w:sz w:val="20"/>
                <w:szCs w:val="20"/>
              </w:rPr>
              <w:t xml:space="preserve"> they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w:t>
            </w:r>
          </w:p>
        </w:tc>
      </w:tr>
      <w:tr w:rsidR="00281060"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281060" w:rsidRPr="002E6BC6" w:rsidRDefault="00281060"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Use of alternative DMARDs in children is dependent on approval by the Therapeutic Goods Administration as age restrictions may apply.</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Applications for authority to prescribe should be forwarded to: </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Complex Drugs </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 xml:space="preserve">Reply Paid 9826 </w:t>
            </w:r>
          </w:p>
          <w:p w:rsidR="00281060" w:rsidRPr="002E6BC6" w:rsidRDefault="00281060" w:rsidP="005E11C2">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281060" w:rsidRDefault="00281060" w:rsidP="00DC1927"/>
    <w:p w:rsidR="008D4253" w:rsidRPr="002E6BC6" w:rsidRDefault="00DC4EE1" w:rsidP="00DC1927">
      <w:r>
        <w:br w:type="column"/>
      </w:r>
    </w:p>
    <w:tbl>
      <w:tblPr>
        <w:tblW w:w="5000" w:type="pct"/>
        <w:tblLook w:val="0000" w:firstRow="0" w:lastRow="0" w:firstColumn="0" w:lastColumn="0" w:noHBand="0" w:noVBand="0"/>
      </w:tblPr>
      <w:tblGrid>
        <w:gridCol w:w="1917"/>
        <w:gridCol w:w="7099"/>
      </w:tblGrid>
      <w:tr w:rsidR="00271D92"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271D92" w:rsidRPr="002E6BC6" w:rsidRDefault="00271D92"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271D92" w:rsidRPr="002E6BC6" w:rsidRDefault="00271D92" w:rsidP="00376873">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271D92" w:rsidRPr="002E6BC6" w:rsidRDefault="00271D92" w:rsidP="00376873">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271D92" w:rsidRPr="002E6BC6" w:rsidRDefault="00271D92" w:rsidP="00376873">
            <w:pPr>
              <w:spacing w:before="40" w:after="40"/>
              <w:rPr>
                <w:rFonts w:ascii="Arial Narrow" w:hAnsi="Arial Narrow" w:cs="Arial"/>
                <w:sz w:val="20"/>
                <w:szCs w:val="20"/>
              </w:rPr>
            </w:pPr>
          </w:p>
        </w:tc>
      </w:tr>
      <w:tr w:rsidR="00271D92"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271D92" w:rsidRPr="002E6BC6" w:rsidRDefault="00271D92" w:rsidP="00376873">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271D92" w:rsidRPr="002E6BC6" w:rsidRDefault="00271D92"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Dental  </w:t>
            </w: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Optometrists</w:t>
            </w:r>
          </w:p>
          <w:p w:rsidR="00271D92" w:rsidRPr="002E6BC6" w:rsidRDefault="00271D92"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Midwives</w:t>
            </w:r>
          </w:p>
        </w:tc>
      </w:tr>
      <w:tr w:rsidR="00271D92"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271D92" w:rsidRPr="002E6BC6" w:rsidRDefault="00271D92" w:rsidP="00376873">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271D92" w:rsidRPr="002E6BC6" w:rsidRDefault="00271D92"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A12DB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A12DB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Continuing Treatment – balance of supply</w:t>
            </w:r>
          </w:p>
        </w:tc>
      </w:tr>
      <w:tr w:rsidR="00A12DB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A12DB8" w:rsidRPr="002E6BC6" w:rsidRDefault="00A12DB8" w:rsidP="0037687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Restricted benefit</w:t>
            </w:r>
          </w:p>
          <w:p w:rsidR="00A12DB8" w:rsidRPr="002E6BC6" w:rsidRDefault="00A12DB8"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In Writing</w:t>
            </w:r>
          </w:p>
          <w:p w:rsidR="00A12DB8" w:rsidRPr="002E6BC6" w:rsidRDefault="00A12DB8"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Telephone</w:t>
            </w:r>
          </w:p>
          <w:p w:rsidR="00A12DB8" w:rsidRPr="002E6BC6" w:rsidRDefault="00A12DB8"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Emergency</w:t>
            </w:r>
          </w:p>
          <w:p w:rsidR="00A12DB8" w:rsidRPr="002E6BC6" w:rsidRDefault="00A12DB8"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A12DB8" w:rsidRPr="002E6BC6" w:rsidRDefault="00A12DB8"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Streamlined</w:t>
            </w:r>
          </w:p>
        </w:tc>
      </w:tr>
      <w:tr w:rsidR="00A12DB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A12DB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A12DB8" w:rsidRPr="002E6BC6" w:rsidRDefault="00A12DB8"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Continuing Treatment restriction to complete 24 weeks treatment;</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AND</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The treatment must provide no more than the balance of up to 24 weeks treatment available under the above restriction.</w:t>
            </w:r>
          </w:p>
        </w:tc>
      </w:tr>
      <w:tr w:rsidR="00A12DB8"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A12DB8" w:rsidRPr="002E6BC6" w:rsidRDefault="00A12DB8" w:rsidP="00376873">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Written application for authority approval for sufficient therapy to complete a maximum of 24 weeks of treatment should be forwarded to:</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Complex Drugs</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Reply Paid 9826</w:t>
            </w:r>
          </w:p>
          <w:p w:rsidR="00A12DB8" w:rsidRPr="002E6BC6" w:rsidRDefault="00A12DB8" w:rsidP="00376873">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4A6054" w:rsidRPr="002E6BC6" w:rsidRDefault="004A6054" w:rsidP="00DC1927"/>
    <w:p w:rsidR="00E62807" w:rsidRDefault="00E62807">
      <w:pPr>
        <w:rPr>
          <w:rFonts w:asciiTheme="minorHAnsi" w:hAnsiTheme="minorHAnsi" w:cstheme="minorHAnsi"/>
        </w:rPr>
      </w:pPr>
      <w:r>
        <w:rPr>
          <w:rFonts w:asciiTheme="minorHAnsi" w:hAnsiTheme="minorHAnsi" w:cstheme="minorHAnsi"/>
        </w:rPr>
        <w:br w:type="page"/>
      </w:r>
    </w:p>
    <w:p w:rsidR="000C7502" w:rsidRPr="002E6BC6" w:rsidRDefault="000C7502" w:rsidP="000C7502">
      <w:pPr>
        <w:rPr>
          <w:rFonts w:asciiTheme="minorHAnsi" w:hAnsiTheme="minorHAnsi" w:cstheme="minorHAnsi"/>
        </w:rPr>
      </w:pPr>
      <w:r w:rsidRPr="002E6BC6">
        <w:rPr>
          <w:rFonts w:asciiTheme="minorHAnsi" w:hAnsiTheme="minorHAnsi" w:cstheme="minorHAnsi"/>
        </w:rPr>
        <w:lastRenderedPageBreak/>
        <w:t xml:space="preserve">Initial </w:t>
      </w:r>
      <w:r w:rsidR="00DA5D89" w:rsidRPr="002E6BC6">
        <w:rPr>
          <w:rFonts w:asciiTheme="minorHAnsi" w:hAnsiTheme="minorHAnsi" w:cstheme="minorHAnsi"/>
        </w:rPr>
        <w:t xml:space="preserve">treatment </w:t>
      </w:r>
      <w:r w:rsidRPr="002E6BC6">
        <w:rPr>
          <w:rFonts w:asciiTheme="minorHAnsi" w:hAnsiTheme="minorHAnsi" w:cstheme="minorHAnsi"/>
        </w:rPr>
        <w:t xml:space="preserve">(adult patients) </w:t>
      </w:r>
    </w:p>
    <w:p w:rsidR="000B2305" w:rsidRPr="002E6BC6" w:rsidRDefault="000B2305" w:rsidP="00DC1927"/>
    <w:tbl>
      <w:tblPr>
        <w:tblW w:w="5000" w:type="pct"/>
        <w:tblLook w:val="0000" w:firstRow="0" w:lastRow="0" w:firstColumn="0" w:lastColumn="0" w:noHBand="0" w:noVBand="0"/>
      </w:tblPr>
      <w:tblGrid>
        <w:gridCol w:w="2873"/>
        <w:gridCol w:w="615"/>
        <w:gridCol w:w="1010"/>
        <w:gridCol w:w="1010"/>
        <w:gridCol w:w="1401"/>
        <w:gridCol w:w="827"/>
        <w:gridCol w:w="1290"/>
      </w:tblGrid>
      <w:tr w:rsidR="004A6054" w:rsidRPr="002E6BC6" w:rsidTr="005E11C2">
        <w:trPr>
          <w:trHeight w:val="465"/>
        </w:trPr>
        <w:tc>
          <w:tcPr>
            <w:tcW w:w="1594"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3"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4A6054" w:rsidRPr="002E6BC6" w:rsidRDefault="004A6054"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61"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p>
        </w:tc>
        <w:tc>
          <w:tcPr>
            <w:tcW w:w="561"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4A6054" w:rsidRPr="002E6BC6" w:rsidRDefault="004A6054"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8" w:type="pct"/>
            <w:tcBorders>
              <w:bottom w:val="single" w:sz="4" w:space="0" w:color="auto"/>
            </w:tcBorders>
          </w:tcPr>
          <w:p w:rsidR="004A6054" w:rsidRPr="002E6BC6" w:rsidRDefault="004A6054" w:rsidP="005E11C2">
            <w:pPr>
              <w:keepNext/>
              <w:spacing w:before="40" w:after="40"/>
              <w:jc w:val="both"/>
              <w:rPr>
                <w:rFonts w:ascii="Arial Narrow" w:hAnsi="Arial Narrow" w:cs="Arial"/>
                <w:b/>
                <w:sz w:val="20"/>
                <w:szCs w:val="20"/>
              </w:rPr>
            </w:pPr>
          </w:p>
        </w:tc>
        <w:tc>
          <w:tcPr>
            <w:tcW w:w="1163" w:type="pct"/>
            <w:gridSpan w:val="2"/>
            <w:tcBorders>
              <w:bottom w:val="single" w:sz="4" w:space="0" w:color="auto"/>
            </w:tcBorders>
          </w:tcPr>
          <w:p w:rsidR="004A6054" w:rsidRPr="00A12DB8" w:rsidRDefault="004A6054"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4A6054" w:rsidRPr="002E6BC6" w:rsidTr="005E11C2">
        <w:trPr>
          <w:trHeight w:val="567"/>
        </w:trPr>
        <w:tc>
          <w:tcPr>
            <w:tcW w:w="1594" w:type="pct"/>
          </w:tcPr>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3"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tc>
        <w:tc>
          <w:tcPr>
            <w:tcW w:w="561" w:type="pct"/>
          </w:tcPr>
          <w:p w:rsidR="004A6054" w:rsidRPr="002E6BC6" w:rsidRDefault="004A6054" w:rsidP="005E11C2">
            <w:pPr>
              <w:keepNext/>
              <w:spacing w:before="40" w:after="40"/>
              <w:jc w:val="both"/>
              <w:rPr>
                <w:rFonts w:ascii="Arial Narrow" w:hAnsi="Arial Narrow" w:cs="Arial"/>
                <w:sz w:val="20"/>
                <w:szCs w:val="20"/>
              </w:rPr>
            </w:pPr>
          </w:p>
        </w:tc>
        <w:tc>
          <w:tcPr>
            <w:tcW w:w="561"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FA2B80" w:rsidP="005E11C2">
            <w:pPr>
              <w:keepNext/>
              <w:spacing w:before="40" w:after="40"/>
              <w:jc w:val="both"/>
              <w:rPr>
                <w:rFonts w:ascii="Arial Narrow" w:hAnsi="Arial Narrow" w:cs="Arial"/>
                <w:sz w:val="20"/>
                <w:szCs w:val="20"/>
              </w:rPr>
            </w:pPr>
            <w:r w:rsidRPr="002E6BC6">
              <w:rPr>
                <w:rFonts w:ascii="Arial Narrow" w:hAnsi="Arial Narrow" w:cs="Arial"/>
                <w:sz w:val="20"/>
                <w:szCs w:val="20"/>
              </w:rPr>
              <w:t>3</w:t>
            </w:r>
          </w:p>
          <w:p w:rsidR="004A6054" w:rsidRPr="002E6BC6" w:rsidRDefault="004A6054" w:rsidP="005E11C2">
            <w:pPr>
              <w:keepNext/>
              <w:spacing w:before="40" w:after="40"/>
              <w:jc w:val="both"/>
              <w:rPr>
                <w:rFonts w:ascii="Arial Narrow" w:hAnsi="Arial Narrow" w:cs="Arial"/>
                <w:sz w:val="20"/>
                <w:szCs w:val="20"/>
              </w:rPr>
            </w:pPr>
          </w:p>
          <w:p w:rsidR="004A6054" w:rsidRPr="002E6BC6" w:rsidRDefault="00FA2B80" w:rsidP="005E11C2">
            <w:pPr>
              <w:keepNext/>
              <w:spacing w:before="40" w:after="40"/>
              <w:jc w:val="both"/>
              <w:rPr>
                <w:rFonts w:ascii="Arial Narrow" w:hAnsi="Arial Narrow" w:cs="Arial"/>
                <w:sz w:val="20"/>
                <w:szCs w:val="20"/>
              </w:rPr>
            </w:pPr>
            <w:r w:rsidRPr="002E6BC6">
              <w:rPr>
                <w:rFonts w:ascii="Arial Narrow" w:hAnsi="Arial Narrow" w:cs="Arial"/>
                <w:sz w:val="20"/>
                <w:szCs w:val="20"/>
              </w:rPr>
              <w:t>3</w:t>
            </w:r>
          </w:p>
        </w:tc>
        <w:tc>
          <w:tcPr>
            <w:tcW w:w="778"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p>
        </w:tc>
        <w:tc>
          <w:tcPr>
            <w:tcW w:w="447"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6" w:type="pct"/>
          </w:tcPr>
          <w:p w:rsidR="004A6054" w:rsidRPr="002E6BC6" w:rsidRDefault="004A6054" w:rsidP="005E11C2">
            <w:pPr>
              <w:keepNext/>
              <w:spacing w:before="40" w:after="40"/>
              <w:jc w:val="both"/>
              <w:rPr>
                <w:rFonts w:ascii="Arial Narrow" w:hAnsi="Arial Narrow" w:cs="Arial"/>
                <w:sz w:val="20"/>
                <w:szCs w:val="20"/>
              </w:rPr>
            </w:pPr>
          </w:p>
          <w:p w:rsidR="004A6054" w:rsidRPr="002E6BC6" w:rsidRDefault="004A6054" w:rsidP="005E11C2">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4A6054" w:rsidRDefault="004A6054" w:rsidP="00DC1927"/>
    <w:p w:rsidR="008D4253" w:rsidRPr="002E6BC6" w:rsidRDefault="008D4253" w:rsidP="00DC1927"/>
    <w:tbl>
      <w:tblPr>
        <w:tblW w:w="5000" w:type="pct"/>
        <w:tblLook w:val="0000" w:firstRow="0" w:lastRow="0" w:firstColumn="0" w:lastColumn="0" w:noHBand="0" w:noVBand="0"/>
      </w:tblPr>
      <w:tblGrid>
        <w:gridCol w:w="1917"/>
        <w:gridCol w:w="7099"/>
      </w:tblGrid>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4063DF" w:rsidRPr="002E6BC6" w:rsidRDefault="004063DF" w:rsidP="005E11C2">
            <w:pPr>
              <w:spacing w:before="40" w:after="40"/>
              <w:rPr>
                <w:rFonts w:ascii="Arial Narrow" w:hAnsi="Arial Narrow" w:cs="Arial"/>
                <w:sz w:val="20"/>
                <w:szCs w:val="20"/>
              </w:rPr>
            </w:pPr>
          </w:p>
        </w:tc>
      </w:tr>
      <w:tr w:rsidR="00A12DB8"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A12DB8" w:rsidRPr="002E6BC6" w:rsidRDefault="00A12DB8"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A12DB8" w:rsidRPr="002E6BC6" w:rsidRDefault="00A12DB8" w:rsidP="005E11C2">
            <w:pPr>
              <w:spacing w:before="40" w:after="40"/>
              <w:rPr>
                <w:rFonts w:ascii="Arial Narrow" w:hAnsi="Arial Narrow" w:cs="Arial"/>
                <w:sz w:val="20"/>
                <w:szCs w:val="20"/>
              </w:rPr>
            </w:pP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Dental  </w:t>
            </w: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Optometrists</w:t>
            </w:r>
          </w:p>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Midwives</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4063DF" w:rsidRPr="002E6BC6" w:rsidRDefault="004063DF" w:rsidP="005E11C2">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625087" w:rsidP="0045439D">
            <w:pPr>
              <w:spacing w:before="40" w:after="40"/>
              <w:rPr>
                <w:rFonts w:ascii="Arial Narrow" w:hAnsi="Arial Narrow" w:cs="Arial"/>
                <w:sz w:val="20"/>
                <w:szCs w:val="20"/>
              </w:rPr>
            </w:pPr>
            <w:r w:rsidRPr="002E6BC6">
              <w:rPr>
                <w:rFonts w:ascii="Arial Narrow" w:hAnsi="Arial Narrow" w:cs="Arial"/>
                <w:sz w:val="20"/>
                <w:szCs w:val="20"/>
              </w:rPr>
              <w:t>Initial treatment - Initial 1 (new patient or patient recommencing treatment after a break of more than 24 months)</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4063DF" w:rsidRPr="002E6BC6" w:rsidRDefault="004063DF" w:rsidP="005E11C2">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Restricted benefit</w:t>
            </w:r>
          </w:p>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In Writing</w:t>
            </w:r>
          </w:p>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Telephone</w:t>
            </w:r>
          </w:p>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Emergency</w:t>
            </w:r>
          </w:p>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4063DF" w:rsidRPr="002E6BC6" w:rsidRDefault="004063DF"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Streamlined</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Must be treated by a rheumatologist; or</w:t>
            </w:r>
          </w:p>
          <w:p w:rsidR="00625087"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Must be treated by a clinical immunologist with expertise in the management of rheumatoid arthritis</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Clinical criteria:</w:t>
            </w:r>
          </w:p>
          <w:p w:rsidR="004063DF" w:rsidRPr="002E6BC6" w:rsidRDefault="004063DF"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FA2B80"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Patient must have a documented history of severe active juvenile idiopathic arthritis with onset prior to the age of 18 years;</w:t>
            </w:r>
          </w:p>
          <w:p w:rsidR="004063DF"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AND</w:t>
            </w:r>
          </w:p>
          <w:p w:rsidR="00625087"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Patient must have received no PBS-subsidised treatment with a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for this condition in the previous 24 months; or</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no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for at least 5 years if they failed or ceased to respond to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agent) in their last treatment cycle</w:t>
            </w:r>
            <w:r w:rsidR="00FA2B80" w:rsidRPr="002E6BC6">
              <w:rPr>
                <w:rFonts w:ascii="Arial Narrow" w:hAnsi="Arial Narrow" w:cs="Arial"/>
                <w:sz w:val="20"/>
                <w:szCs w:val="20"/>
              </w:rPr>
              <w:t>;</w:t>
            </w:r>
          </w:p>
          <w:p w:rsidR="00FA2B80" w:rsidRPr="002E6BC6" w:rsidRDefault="00FA2B80" w:rsidP="00625087">
            <w:pPr>
              <w:spacing w:before="40" w:after="40"/>
              <w:rPr>
                <w:rFonts w:ascii="Arial Narrow" w:hAnsi="Arial Narrow" w:cs="Arial"/>
                <w:sz w:val="20"/>
                <w:szCs w:val="20"/>
              </w:rPr>
            </w:pPr>
            <w:r w:rsidRPr="002E6BC6">
              <w:rPr>
                <w:rFonts w:ascii="Arial Narrow" w:hAnsi="Arial Narrow" w:cs="Arial"/>
                <w:sz w:val="20"/>
                <w:szCs w:val="20"/>
              </w:rPr>
              <w:t>AND</w:t>
            </w:r>
          </w:p>
          <w:p w:rsidR="00625087"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hydroxychloroquine</w:t>
            </w:r>
            <w:proofErr w:type="spellEnd"/>
            <w:r w:rsidRPr="002E6BC6">
              <w:rPr>
                <w:rFonts w:ascii="Arial Narrow" w:hAnsi="Arial Narrow" w:cs="Arial"/>
                <w:sz w:val="20"/>
                <w:szCs w:val="20"/>
              </w:rPr>
              <w:t xml:space="preserve"> at a dose of at least 200 mg daily; or (ii) </w:t>
            </w:r>
            <w:proofErr w:type="spellStart"/>
            <w:r w:rsidRPr="002E6BC6">
              <w:rPr>
                <w:rFonts w:ascii="Arial Narrow" w:hAnsi="Arial Narrow" w:cs="Arial"/>
                <w:sz w:val="20"/>
                <w:szCs w:val="20"/>
              </w:rPr>
              <w:t>leflunomide</w:t>
            </w:r>
            <w:proofErr w:type="spellEnd"/>
            <w:r w:rsidRPr="002E6BC6">
              <w:rPr>
                <w:rFonts w:ascii="Arial Narrow" w:hAnsi="Arial Narrow" w:cs="Arial"/>
                <w:sz w:val="20"/>
                <w:szCs w:val="20"/>
              </w:rPr>
              <w:t xml:space="preserve"> at a dose of at least 10 mg daily; or (iii) sulfasalazine at a dose of at least 2 g daily; or</w:t>
            </w:r>
          </w:p>
          <w:p w:rsidR="00625087"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hydroxychloroquine</w:t>
            </w:r>
            <w:proofErr w:type="spellEnd"/>
            <w:r w:rsidRPr="002E6BC6">
              <w:rPr>
                <w:rFonts w:ascii="Arial Narrow" w:hAnsi="Arial Narrow" w:cs="Arial"/>
                <w:sz w:val="20"/>
                <w:szCs w:val="20"/>
              </w:rPr>
              <w:t xml:space="preserve"> at a dose of at least 200 mg daily; and/or (ii) </w:t>
            </w:r>
            <w:proofErr w:type="spellStart"/>
            <w:r w:rsidRPr="002E6BC6">
              <w:rPr>
                <w:rFonts w:ascii="Arial Narrow" w:hAnsi="Arial Narrow" w:cs="Arial"/>
                <w:sz w:val="20"/>
                <w:szCs w:val="20"/>
              </w:rPr>
              <w:t>leflunomide</w:t>
            </w:r>
            <w:proofErr w:type="spellEnd"/>
            <w:r w:rsidRPr="002E6BC6">
              <w:rPr>
                <w:rFonts w:ascii="Arial Narrow" w:hAnsi="Arial Narrow" w:cs="Arial"/>
                <w:sz w:val="20"/>
                <w:szCs w:val="20"/>
              </w:rPr>
              <w:t xml:space="preserve"> at a dose of at least 10 mg daily; and/or (iii) sulfasalazine at a dose of at least 2 g daily; or</w:t>
            </w:r>
          </w:p>
          <w:p w:rsidR="00184B35"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have failed, in the 24 months immediately prior to the date of the application, to achieve an adequate response to a trial of at least 6 months of intensive treatment with DMARDs which, if 3 or more of methotrexate, </w:t>
            </w:r>
            <w:proofErr w:type="spellStart"/>
            <w:r w:rsidRPr="002E6BC6">
              <w:rPr>
                <w:rFonts w:ascii="Arial Narrow" w:hAnsi="Arial Narrow" w:cs="Arial"/>
                <w:sz w:val="20"/>
                <w:szCs w:val="20"/>
              </w:rPr>
              <w:t>hydroxychloroquine</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leflunomide</w:t>
            </w:r>
            <w:proofErr w:type="spellEnd"/>
            <w:r w:rsidRPr="002E6BC6">
              <w:rPr>
                <w:rFonts w:ascii="Arial Narrow" w:hAnsi="Arial Narrow" w:cs="Arial"/>
                <w:sz w:val="20"/>
                <w:szCs w:val="20"/>
              </w:rPr>
              <w:t xml:space="preserv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xml:space="preserve">) azathioprine at a dose of at least 1 mg/kg per day; and/or (ii) </w:t>
            </w:r>
            <w:proofErr w:type="spellStart"/>
            <w:r w:rsidRPr="002E6BC6">
              <w:rPr>
                <w:rFonts w:ascii="Arial Narrow" w:hAnsi="Arial Narrow" w:cs="Arial"/>
                <w:sz w:val="20"/>
                <w:szCs w:val="20"/>
              </w:rPr>
              <w:t>cyclosporin</w:t>
            </w:r>
            <w:proofErr w:type="spellEnd"/>
            <w:r w:rsidRPr="002E6BC6">
              <w:rPr>
                <w:rFonts w:ascii="Arial Narrow" w:hAnsi="Arial Narrow" w:cs="Arial"/>
                <w:sz w:val="20"/>
                <w:szCs w:val="20"/>
              </w:rPr>
              <w:t xml:space="preserve"> at a dose of at least 2 mg/kg/day; and/or (iii) sodium </w:t>
            </w:r>
            <w:proofErr w:type="spellStart"/>
            <w:r w:rsidRPr="002E6BC6">
              <w:rPr>
                <w:rFonts w:ascii="Arial Narrow" w:hAnsi="Arial Narrow" w:cs="Arial"/>
                <w:sz w:val="20"/>
                <w:szCs w:val="20"/>
              </w:rPr>
              <w:t>aurothiomalate</w:t>
            </w:r>
            <w:proofErr w:type="spellEnd"/>
            <w:r w:rsidRPr="002E6BC6">
              <w:rPr>
                <w:rFonts w:ascii="Arial Narrow" w:hAnsi="Arial Narrow" w:cs="Arial"/>
                <w:sz w:val="20"/>
                <w:szCs w:val="20"/>
              </w:rPr>
              <w:t xml:space="preserve"> at a dose of 50 mg weekly; </w:t>
            </w:r>
          </w:p>
          <w:p w:rsidR="00625087"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AND</w:t>
            </w:r>
          </w:p>
          <w:p w:rsidR="00625087" w:rsidRPr="002E6BC6" w:rsidRDefault="00625087"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not receive more than 16 weeks of treatment under this restriction. </w:t>
            </w:r>
          </w:p>
        </w:tc>
      </w:tr>
      <w:tr w:rsidR="00E71F2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E71F2F" w:rsidRPr="002E6BC6" w:rsidRDefault="00E71F2F" w:rsidP="005E11C2">
            <w:pPr>
              <w:spacing w:before="40" w:after="40"/>
              <w:jc w:val="both"/>
              <w:rPr>
                <w:rFonts w:ascii="Arial Narrow" w:hAnsi="Arial Narrow" w:cs="Arial"/>
                <w:b/>
                <w:sz w:val="20"/>
                <w:szCs w:val="20"/>
              </w:rPr>
            </w:pPr>
            <w:r w:rsidRPr="002E6BC6">
              <w:rPr>
                <w:rFonts w:ascii="Arial Narrow" w:hAnsi="Arial Narrow" w:cs="Arial"/>
                <w:b/>
                <w:sz w:val="20"/>
                <w:szCs w:val="20"/>
              </w:rPr>
              <w:t>Population Criteria:</w:t>
            </w:r>
          </w:p>
        </w:tc>
        <w:tc>
          <w:tcPr>
            <w:tcW w:w="3937" w:type="pct"/>
            <w:tcBorders>
              <w:top w:val="single" w:sz="4" w:space="0" w:color="auto"/>
              <w:left w:val="single" w:sz="4" w:space="0" w:color="auto"/>
              <w:bottom w:val="single" w:sz="4" w:space="0" w:color="auto"/>
              <w:right w:val="single" w:sz="4" w:space="0" w:color="auto"/>
            </w:tcBorders>
          </w:tcPr>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Patient must be aged 18 years or older</w:t>
            </w:r>
            <w:r w:rsidR="00184B35" w:rsidRPr="002E6BC6">
              <w:rPr>
                <w:rFonts w:ascii="Arial Narrow" w:hAnsi="Arial Narrow" w:cs="Arial"/>
                <w:sz w:val="20"/>
                <w:szCs w:val="20"/>
              </w:rPr>
              <w:t>.</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4063DF" w:rsidRPr="002E6BC6" w:rsidRDefault="004063DF"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4063DF" w:rsidRPr="002E6BC6" w:rsidRDefault="00625087" w:rsidP="0045439D">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184B35" w:rsidRPr="002E6BC6" w:rsidRDefault="00184B35" w:rsidP="0045439D">
            <w:pPr>
              <w:spacing w:before="40" w:after="40"/>
              <w:rPr>
                <w:rFonts w:ascii="Arial Narrow" w:hAnsi="Arial Narrow" w:cs="Arial"/>
                <w:sz w:val="20"/>
                <w:szCs w:val="20"/>
              </w:rPr>
            </w:pP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If methotrexate </w:t>
            </w:r>
            <w:proofErr w:type="gramStart"/>
            <w:r w:rsidRPr="002E6BC6">
              <w:rPr>
                <w:rFonts w:ascii="Arial Narrow" w:hAnsi="Arial Narrow" w:cs="Arial"/>
                <w:sz w:val="20"/>
                <w:szCs w:val="20"/>
              </w:rPr>
              <w:t>is contraindicated</w:t>
            </w:r>
            <w:proofErr w:type="gramEnd"/>
            <w:r w:rsidRPr="002E6BC6">
              <w:rPr>
                <w:rFonts w:ascii="Arial Narrow" w:hAnsi="Arial Narrow" w:cs="Arial"/>
                <w:sz w:val="20"/>
                <w:szCs w:val="20"/>
              </w:rPr>
              <w:t xml:space="preserve"> according to the TGA-approved Product Information or cannot be tolerated at a 20 mg weekly dose, the application must include details of the contraindication or intolerance to methotrexate. The maximum tolerated dose of methotrexate </w:t>
            </w:r>
            <w:proofErr w:type="gramStart"/>
            <w:r w:rsidRPr="002E6BC6">
              <w:rPr>
                <w:rFonts w:ascii="Arial Narrow" w:hAnsi="Arial Narrow" w:cs="Arial"/>
                <w:sz w:val="20"/>
                <w:szCs w:val="20"/>
              </w:rPr>
              <w:t>must be documented</w:t>
            </w:r>
            <w:proofErr w:type="gramEnd"/>
            <w:r w:rsidRPr="002E6BC6">
              <w:rPr>
                <w:rFonts w:ascii="Arial Narrow" w:hAnsi="Arial Narrow" w:cs="Arial"/>
                <w:sz w:val="20"/>
                <w:szCs w:val="20"/>
              </w:rPr>
              <w:t xml:space="preserve"> in the application, if applicable.</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The application must include details of the DMARDs trialled, their doses and duration of treatment, and all relevant contraindications and/or intolerances.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The requirement to trial at least 2 DMARDs for periods of at least 3 months each can be met using single agents sequentially or by using one or more combinations of DMARDs.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If the requirement to trial 6 months of intensive DMARD therapy with at least 2 DMARDs </w:t>
            </w:r>
            <w:proofErr w:type="gramStart"/>
            <w:r w:rsidRPr="002E6BC6">
              <w:rPr>
                <w:rFonts w:ascii="Arial Narrow" w:hAnsi="Arial Narrow" w:cs="Arial"/>
                <w:sz w:val="20"/>
                <w:szCs w:val="20"/>
              </w:rPr>
              <w:t>cannot be met</w:t>
            </w:r>
            <w:proofErr w:type="gramEnd"/>
            <w:r w:rsidRPr="002E6BC6">
              <w:rPr>
                <w:rFonts w:ascii="Arial Narrow" w:hAnsi="Arial Narrow" w:cs="Arial"/>
                <w:sz w:val="20"/>
                <w:szCs w:val="20"/>
              </w:rPr>
              <w:t xml:space="preserve"> because of contraindications and/or intolerances of a severity necessitating permanent treatment withdrawal to all of the DMARDs specified above, details of the contraindication or intolerance and dose for each DMARD must be provided in the authority application.</w:t>
            </w:r>
          </w:p>
          <w:p w:rsidR="00184B35" w:rsidRPr="002E6BC6" w:rsidRDefault="00184B35" w:rsidP="00625087">
            <w:pPr>
              <w:spacing w:before="40" w:after="40"/>
              <w:rPr>
                <w:rFonts w:ascii="Arial Narrow" w:hAnsi="Arial Narrow" w:cs="Arial"/>
                <w:sz w:val="20"/>
                <w:szCs w:val="20"/>
              </w:rPr>
            </w:pP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The following criteria indicate failure to achieve an adequate response and must be demonstrated in all patients at the time of the initial application: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an elevated erythrocyte sedimentation rate (ESR) greater than 25 mm per hour or a C-reactive protein (CRP) level greater than 15 mg per L; AND either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(a) an active joint count of at least 20 active (swollen and tender) joints; or</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(b) at least 4 active joints from the following list:</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xml:space="preserve">, cervical spine and/or hip (assessed as pain in passive movement and restriction of passive movement, where pain and limitation of movement are due to active disease and not irreversible damage such as joint destruction or bony overgrowth).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The joint count and ESR and/or CRP must be determined at the completion of the </w:t>
            </w:r>
            <w:proofErr w:type="gramStart"/>
            <w:r w:rsidRPr="002E6BC6">
              <w:rPr>
                <w:rFonts w:ascii="Arial Narrow" w:hAnsi="Arial Narrow" w:cs="Arial"/>
                <w:sz w:val="20"/>
                <w:szCs w:val="20"/>
              </w:rPr>
              <w:t>6 month</w:t>
            </w:r>
            <w:proofErr w:type="gramEnd"/>
            <w:r w:rsidRPr="002E6BC6">
              <w:rPr>
                <w:rFonts w:ascii="Arial Narrow" w:hAnsi="Arial Narrow" w:cs="Arial"/>
                <w:sz w:val="20"/>
                <w:szCs w:val="20"/>
              </w:rPr>
              <w:t xml:space="preserve"> intensive DMARD trial, but prior to ceasing DMARD therapy. All measures must be no more than one month old at the time of initial application.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If the above requirement to demonstrate an elevated ESR or CRP </w:t>
            </w:r>
            <w:proofErr w:type="gramStart"/>
            <w:r w:rsidRPr="002E6BC6">
              <w:rPr>
                <w:rFonts w:ascii="Arial Narrow" w:hAnsi="Arial Narrow" w:cs="Arial"/>
                <w:sz w:val="20"/>
                <w:szCs w:val="20"/>
              </w:rPr>
              <w:t>cannot be met</w:t>
            </w:r>
            <w:proofErr w:type="gramEnd"/>
            <w:r w:rsidRPr="002E6BC6">
              <w:rPr>
                <w:rFonts w:ascii="Arial Narrow" w:hAnsi="Arial Narrow" w:cs="Arial"/>
                <w:sz w:val="20"/>
                <w:szCs w:val="20"/>
              </w:rPr>
              <w:t>, the application must state the reasons why this criterion cannot be satisfied.</w:t>
            </w:r>
          </w:p>
          <w:p w:rsidR="00184B35" w:rsidRPr="002E6BC6" w:rsidRDefault="00184B35" w:rsidP="00625087">
            <w:pPr>
              <w:spacing w:before="40" w:after="40"/>
              <w:rPr>
                <w:rFonts w:ascii="Arial Narrow" w:hAnsi="Arial Narrow" w:cs="Arial"/>
                <w:sz w:val="20"/>
                <w:szCs w:val="20"/>
              </w:rPr>
            </w:pP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184B35"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(2) </w:t>
            </w:r>
            <w:proofErr w:type="gramStart"/>
            <w:r w:rsidRPr="002E6BC6">
              <w:rPr>
                <w:rFonts w:ascii="Arial Narrow" w:hAnsi="Arial Narrow" w:cs="Arial"/>
                <w:sz w:val="20"/>
                <w:szCs w:val="20"/>
              </w:rPr>
              <w:t>a</w:t>
            </w:r>
            <w:proofErr w:type="gramEnd"/>
            <w:r w:rsidRPr="002E6BC6">
              <w:rPr>
                <w:rFonts w:ascii="Arial Narrow" w:hAnsi="Arial Narrow" w:cs="Arial"/>
                <w:sz w:val="20"/>
                <w:szCs w:val="20"/>
              </w:rPr>
              <w:t xml:space="preserve"> completed Juvenile Idiopathic Arthritis PBS Authority Application - Supporting Information Form</w:t>
            </w:r>
            <w:r w:rsidR="00184B35" w:rsidRPr="002E6BC6">
              <w:rPr>
                <w:rFonts w:ascii="Arial Narrow" w:hAnsi="Arial Narrow" w:cs="Arial"/>
                <w:sz w:val="20"/>
                <w:szCs w:val="20"/>
              </w:rPr>
              <w:t>.</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 </w:t>
            </w:r>
          </w:p>
          <w:p w:rsidR="00625087" w:rsidRPr="002E6BC6" w:rsidRDefault="00625087" w:rsidP="0045439D">
            <w:pPr>
              <w:spacing w:before="40" w:after="40"/>
              <w:rPr>
                <w:rFonts w:ascii="Arial Narrow" w:hAnsi="Arial Narrow" w:cs="Arial"/>
                <w:sz w:val="20"/>
                <w:szCs w:val="20"/>
              </w:rPr>
            </w:pPr>
            <w:r w:rsidRPr="002E6BC6">
              <w:rPr>
                <w:rFonts w:ascii="Arial Narrow" w:hAnsi="Arial Narrow" w:cs="Arial"/>
                <w:sz w:val="20"/>
                <w:szCs w:val="20"/>
              </w:rPr>
              <w:t xml:space="preserve">If a patient fails to respond to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w:t>
            </w:r>
            <w:proofErr w:type="gramStart"/>
            <w:r w:rsidRPr="002E6BC6">
              <w:rPr>
                <w:rFonts w:ascii="Arial Narrow" w:hAnsi="Arial Narrow" w:cs="Arial"/>
                <w:sz w:val="20"/>
                <w:szCs w:val="20"/>
              </w:rPr>
              <w:t>agent)</w:t>
            </w:r>
            <w:proofErr w:type="gramEnd"/>
            <w:r w:rsidRPr="002E6BC6">
              <w:rPr>
                <w:rFonts w:ascii="Arial Narrow" w:hAnsi="Arial Narrow" w:cs="Arial"/>
                <w:sz w:val="20"/>
                <w:szCs w:val="20"/>
              </w:rPr>
              <w:t xml:space="preserve"> they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 A </w:t>
            </w:r>
            <w:proofErr w:type="gramStart"/>
            <w:r w:rsidRPr="002E6BC6">
              <w:rPr>
                <w:rFonts w:ascii="Arial Narrow" w:hAnsi="Arial Narrow" w:cs="Arial"/>
                <w:sz w:val="20"/>
                <w:szCs w:val="20"/>
              </w:rPr>
              <w:t xml:space="preserve">patient may re-trial </w:t>
            </w:r>
            <w:proofErr w:type="spellStart"/>
            <w:r w:rsidRPr="002E6BC6">
              <w:rPr>
                <w:rFonts w:ascii="Arial Narrow" w:hAnsi="Arial Narrow" w:cs="Arial"/>
                <w:sz w:val="20"/>
                <w:szCs w:val="20"/>
              </w:rPr>
              <w:t>tocilizumab</w:t>
            </w:r>
            <w:proofErr w:type="spellEnd"/>
            <w:proofErr w:type="gramEnd"/>
            <w:r w:rsidRPr="002E6BC6">
              <w:rPr>
                <w:rFonts w:ascii="Arial Narrow" w:hAnsi="Arial Narrow" w:cs="Arial"/>
                <w:sz w:val="20"/>
                <w:szCs w:val="20"/>
              </w:rPr>
              <w:t xml:space="preserve"> after a minimum of 5 years have elapsed between the date of the last approval for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the last treatment cycle and the date of the first application under a new treatment cycle.</w:t>
            </w:r>
          </w:p>
        </w:tc>
      </w:tr>
      <w:tr w:rsidR="004063D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063DF" w:rsidRPr="002E6BC6" w:rsidRDefault="004063DF"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Administrative Advice:</w:t>
            </w:r>
          </w:p>
          <w:p w:rsidR="004063DF" w:rsidRPr="002E6BC6" w:rsidRDefault="004063DF"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The Department of Human Services website (www.humanservices.gov.au) has details of the toxicities, including severity, which will be accepted for the following purposes:</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(a) exempting a patient from the requirement to undertake a minimum 3 month trial of methotrexate at a 20 mg weekly dose; </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(b) substituting azathioprine, </w:t>
            </w:r>
            <w:proofErr w:type="spellStart"/>
            <w:r w:rsidRPr="002E6BC6">
              <w:rPr>
                <w:rFonts w:ascii="Arial Narrow" w:hAnsi="Arial Narrow" w:cs="Arial"/>
                <w:sz w:val="20"/>
                <w:szCs w:val="20"/>
              </w:rPr>
              <w:t>cyclosporin</w:t>
            </w:r>
            <w:proofErr w:type="spellEnd"/>
            <w:r w:rsidRPr="002E6BC6">
              <w:rPr>
                <w:rFonts w:ascii="Arial Narrow" w:hAnsi="Arial Narrow" w:cs="Arial"/>
                <w:sz w:val="20"/>
                <w:szCs w:val="20"/>
              </w:rPr>
              <w:t xml:space="preserve"> or sodium </w:t>
            </w:r>
            <w:proofErr w:type="spellStart"/>
            <w:r w:rsidRPr="002E6BC6">
              <w:rPr>
                <w:rFonts w:ascii="Arial Narrow" w:hAnsi="Arial Narrow" w:cs="Arial"/>
                <w:sz w:val="20"/>
                <w:szCs w:val="20"/>
              </w:rPr>
              <w:t>aurothiomalate</w:t>
            </w:r>
            <w:proofErr w:type="spellEnd"/>
            <w:r w:rsidRPr="002E6BC6">
              <w:rPr>
                <w:rFonts w:ascii="Arial Narrow" w:hAnsi="Arial Narrow" w:cs="Arial"/>
                <w:sz w:val="20"/>
                <w:szCs w:val="20"/>
              </w:rPr>
              <w:t xml:space="preserve"> for another DMARD as part of the 6 month intensive DMARD trial;</w:t>
            </w:r>
          </w:p>
          <w:p w:rsidR="00625087" w:rsidRPr="002E6BC6" w:rsidRDefault="00625087" w:rsidP="00625087">
            <w:pPr>
              <w:spacing w:before="40" w:after="40"/>
              <w:rPr>
                <w:rFonts w:ascii="Arial Narrow" w:hAnsi="Arial Narrow" w:cs="Arial"/>
                <w:sz w:val="20"/>
                <w:szCs w:val="20"/>
              </w:rPr>
            </w:pPr>
            <w:r w:rsidRPr="002E6BC6">
              <w:rPr>
                <w:rFonts w:ascii="Arial Narrow" w:hAnsi="Arial Narrow" w:cs="Arial"/>
                <w:sz w:val="20"/>
                <w:szCs w:val="20"/>
              </w:rPr>
              <w:t xml:space="preserve">(c) </w:t>
            </w:r>
            <w:proofErr w:type="gramStart"/>
            <w:r w:rsidRPr="002E6BC6">
              <w:rPr>
                <w:rFonts w:ascii="Arial Narrow" w:hAnsi="Arial Narrow" w:cs="Arial"/>
                <w:sz w:val="20"/>
                <w:szCs w:val="20"/>
              </w:rPr>
              <w:t>exempting</w:t>
            </w:r>
            <w:proofErr w:type="gramEnd"/>
            <w:r w:rsidRPr="002E6BC6">
              <w:rPr>
                <w:rFonts w:ascii="Arial Narrow" w:hAnsi="Arial Narrow" w:cs="Arial"/>
                <w:sz w:val="20"/>
                <w:szCs w:val="20"/>
              </w:rPr>
              <w:t xml:space="preserve"> a patient from the requirement for a 6 month trial of intensive DMARD therapy.</w:t>
            </w:r>
          </w:p>
          <w:p w:rsidR="00625087" w:rsidRPr="002E6BC6" w:rsidRDefault="00625087" w:rsidP="005E11C2">
            <w:pPr>
              <w:spacing w:before="40" w:after="40"/>
              <w:rPr>
                <w:rFonts w:ascii="Arial Narrow" w:hAnsi="Arial Narrow" w:cs="Arial"/>
                <w:sz w:val="20"/>
                <w:szCs w:val="20"/>
              </w:rPr>
            </w:pP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 xml:space="preserve">Applications for authority to prescribe should be forwarded to: </w:t>
            </w: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 xml:space="preserve">Complex Drugs </w:t>
            </w: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 xml:space="preserve">Reply Paid 9826 </w:t>
            </w:r>
          </w:p>
          <w:p w:rsidR="004063DF" w:rsidRPr="002E6BC6" w:rsidRDefault="004063DF" w:rsidP="005E11C2">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45439D" w:rsidRPr="002E6BC6" w:rsidRDefault="0045439D" w:rsidP="00DC1927"/>
    <w:tbl>
      <w:tblPr>
        <w:tblW w:w="5000" w:type="pct"/>
        <w:tblLook w:val="0000" w:firstRow="0" w:lastRow="0" w:firstColumn="0" w:lastColumn="0" w:noHBand="0" w:noVBand="0"/>
      </w:tblPr>
      <w:tblGrid>
        <w:gridCol w:w="1917"/>
        <w:gridCol w:w="7099"/>
      </w:tblGrid>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45439D" w:rsidRPr="002E6BC6" w:rsidRDefault="0045439D" w:rsidP="005E11C2">
            <w:pPr>
              <w:spacing w:before="40" w:after="40"/>
              <w:rPr>
                <w:rFonts w:ascii="Arial Narrow" w:hAnsi="Arial Narrow" w:cs="Arial"/>
                <w:sz w:val="20"/>
                <w:szCs w:val="20"/>
              </w:rPr>
            </w:pP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Dental  </w:t>
            </w: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Optometrists</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Midwives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45439D" w:rsidRPr="002E6BC6" w:rsidRDefault="0045439D" w:rsidP="005E11C2">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86072" w:rsidP="005E11C2">
            <w:pPr>
              <w:spacing w:before="40" w:after="40"/>
              <w:rPr>
                <w:rFonts w:ascii="Arial Narrow" w:hAnsi="Arial Narrow" w:cs="Arial"/>
                <w:sz w:val="20"/>
                <w:szCs w:val="20"/>
              </w:rPr>
            </w:pPr>
            <w:r w:rsidRPr="002E6BC6">
              <w:rPr>
                <w:rFonts w:ascii="Arial Narrow" w:hAnsi="Arial Narrow" w:cs="Arial"/>
                <w:sz w:val="20"/>
                <w:szCs w:val="20"/>
              </w:rPr>
              <w:t>Initial treatment - Initial 2 (change or recommencement of treatment after break of less than 24 months)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45439D" w:rsidRPr="002E6BC6" w:rsidRDefault="0045439D" w:rsidP="005E11C2">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Restricted benefit</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In Writing</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Telephone</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Emergency</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Streamlined</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86072" w:rsidP="005E11C2">
            <w:pPr>
              <w:spacing w:before="40" w:after="40"/>
              <w:rPr>
                <w:rFonts w:ascii="Arial Narrow" w:hAnsi="Arial Narrow" w:cs="Arial"/>
                <w:sz w:val="20"/>
                <w:szCs w:val="20"/>
              </w:rPr>
            </w:pPr>
            <w:r w:rsidRPr="002E6BC6">
              <w:rPr>
                <w:rFonts w:ascii="Arial Narrow" w:hAnsi="Arial Narrow" w:cs="Arial"/>
                <w:sz w:val="20"/>
                <w:szCs w:val="20"/>
              </w:rPr>
              <w:t>Must be treated by a rheumatologist; or</w:t>
            </w:r>
          </w:p>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Must be treated by a clinical immunologist with expertise in the management of rheumatoid arthritis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45439D" w:rsidRPr="002E6BC6" w:rsidRDefault="0045439D"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have a documented history of severe active juvenile idiopathic arthritis with onset prior to the age of 18 years; </w:t>
            </w:r>
          </w:p>
          <w:p w:rsidR="0045439D"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AND</w:t>
            </w:r>
          </w:p>
          <w:p w:rsidR="00EC081A"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prior PBS-subsidised treatment with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for this condition in this treatment cycle; </w:t>
            </w:r>
          </w:p>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AND</w:t>
            </w:r>
          </w:p>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 xml:space="preserve">Patient must not have failed PBS-subsidised therapy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for this condition in the current treatment cycle;</w:t>
            </w:r>
          </w:p>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Patient must not receive more than 16 weeks of treatment under this restriction;</w:t>
            </w:r>
          </w:p>
        </w:tc>
      </w:tr>
      <w:tr w:rsidR="00E71F2F"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E71F2F" w:rsidRPr="002E6BC6" w:rsidRDefault="00E71F2F" w:rsidP="005E11C2">
            <w:pPr>
              <w:spacing w:before="40" w:after="40"/>
              <w:jc w:val="both"/>
              <w:rPr>
                <w:rFonts w:ascii="Arial Narrow" w:hAnsi="Arial Narrow" w:cs="Arial"/>
                <w:b/>
                <w:sz w:val="20"/>
                <w:szCs w:val="20"/>
              </w:rPr>
            </w:pPr>
            <w:r w:rsidRPr="002E6BC6">
              <w:rPr>
                <w:rFonts w:ascii="Arial Narrow" w:hAnsi="Arial Narrow" w:cs="Arial"/>
                <w:b/>
                <w:sz w:val="20"/>
                <w:szCs w:val="20"/>
              </w:rPr>
              <w:t>Population Criteria:</w:t>
            </w:r>
          </w:p>
        </w:tc>
        <w:tc>
          <w:tcPr>
            <w:tcW w:w="3937" w:type="pct"/>
            <w:tcBorders>
              <w:top w:val="single" w:sz="4" w:space="0" w:color="auto"/>
              <w:left w:val="single" w:sz="4" w:space="0" w:color="auto"/>
              <w:bottom w:val="single" w:sz="4" w:space="0" w:color="auto"/>
              <w:right w:val="single" w:sz="4" w:space="0" w:color="auto"/>
            </w:tcBorders>
          </w:tcPr>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Patient must be aged 18 years or older</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45439D" w:rsidRPr="002E6BC6" w:rsidRDefault="0045439D"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 xml:space="preserve">(2) </w:t>
            </w:r>
            <w:proofErr w:type="gramStart"/>
            <w:r w:rsidRPr="002E6BC6">
              <w:rPr>
                <w:rFonts w:ascii="Arial Narrow" w:hAnsi="Arial Narrow" w:cs="Arial"/>
                <w:sz w:val="20"/>
                <w:szCs w:val="20"/>
              </w:rPr>
              <w:t>a</w:t>
            </w:r>
            <w:proofErr w:type="gramEnd"/>
            <w:r w:rsidRPr="002E6BC6">
              <w:rPr>
                <w:rFonts w:ascii="Arial Narrow" w:hAnsi="Arial Narrow" w:cs="Arial"/>
                <w:sz w:val="20"/>
                <w:szCs w:val="20"/>
              </w:rPr>
              <w:t xml:space="preserve"> completed Juvenile Idiopathic Arthritis PBS Authority Application - Supporting Information Form.</w:t>
            </w:r>
          </w:p>
          <w:p w:rsidR="00EC081A" w:rsidRPr="002E6BC6" w:rsidRDefault="00EC081A" w:rsidP="00E71F2F">
            <w:pPr>
              <w:spacing w:before="40" w:after="40"/>
              <w:rPr>
                <w:rFonts w:ascii="Arial Narrow" w:hAnsi="Arial Narrow" w:cs="Arial"/>
                <w:sz w:val="20"/>
                <w:szCs w:val="20"/>
              </w:rPr>
            </w:pP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 xml:space="preserve">Applications for a patient who has received PBS-subsidised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in this treatment cycle and who wishes to recommence therapy with this </w:t>
            </w:r>
            <w:proofErr w:type="gramStart"/>
            <w:r w:rsidRPr="002E6BC6">
              <w:rPr>
                <w:rFonts w:ascii="Arial Narrow" w:hAnsi="Arial Narrow" w:cs="Arial"/>
                <w:sz w:val="20"/>
                <w:szCs w:val="20"/>
              </w:rPr>
              <w:t>drug,</w:t>
            </w:r>
            <w:proofErr w:type="gramEnd"/>
            <w:r w:rsidRPr="002E6BC6">
              <w:rPr>
                <w:rFonts w:ascii="Arial Narrow" w:hAnsi="Arial Narrow" w:cs="Arial"/>
                <w:sz w:val="20"/>
                <w:szCs w:val="20"/>
              </w:rPr>
              <w:t xml:space="preserve"> must be accompanied by evidence of a response to the patient's most recent course of PBS-subsidised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treatment, within the timeframes specified below.</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 xml:space="preserve">Where the most recent course of PBS-subsidised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treatment </w:t>
            </w:r>
            <w:proofErr w:type="gramStart"/>
            <w:r w:rsidRPr="002E6BC6">
              <w:rPr>
                <w:rFonts w:ascii="Arial Narrow" w:hAnsi="Arial Narrow" w:cs="Arial"/>
                <w:sz w:val="20"/>
                <w:szCs w:val="20"/>
              </w:rPr>
              <w:t>was approved</w:t>
            </w:r>
            <w:proofErr w:type="gramEnd"/>
            <w:r w:rsidRPr="002E6BC6">
              <w:rPr>
                <w:rFonts w:ascii="Arial Narrow" w:hAnsi="Arial Narrow" w:cs="Arial"/>
                <w:sz w:val="20"/>
                <w:szCs w:val="20"/>
              </w:rPr>
              <w:t xml:space="preserve"> under either of the Initial 1 or 2 treatment restrictions, the patient must have been assessed for response following a minimum of 12 weeks of therapy. This assessment </w:t>
            </w:r>
            <w:proofErr w:type="gramStart"/>
            <w:r w:rsidRPr="002E6BC6">
              <w:rPr>
                <w:rFonts w:ascii="Arial Narrow" w:hAnsi="Arial Narrow" w:cs="Arial"/>
                <w:sz w:val="20"/>
                <w:szCs w:val="20"/>
              </w:rPr>
              <w:t>must be submitted</w:t>
            </w:r>
            <w:proofErr w:type="gramEnd"/>
            <w:r w:rsidRPr="002E6BC6">
              <w:rPr>
                <w:rFonts w:ascii="Arial Narrow" w:hAnsi="Arial Narrow" w:cs="Arial"/>
                <w:sz w:val="20"/>
                <w:szCs w:val="20"/>
              </w:rPr>
              <w:t xml:space="preserve"> no later than 4 weeks from the date that course was ceased. </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 xml:space="preserve">Where the most recent course of PBS-subsidised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treatment </w:t>
            </w:r>
            <w:proofErr w:type="gramStart"/>
            <w:r w:rsidRPr="002E6BC6">
              <w:rPr>
                <w:rFonts w:ascii="Arial Narrow" w:hAnsi="Arial Narrow" w:cs="Arial"/>
                <w:sz w:val="20"/>
                <w:szCs w:val="20"/>
              </w:rPr>
              <w:t>was approved</w:t>
            </w:r>
            <w:proofErr w:type="gramEnd"/>
            <w:r w:rsidRPr="002E6BC6">
              <w:rPr>
                <w:rFonts w:ascii="Arial Narrow" w:hAnsi="Arial Narrow" w:cs="Arial"/>
                <w:sz w:val="20"/>
                <w:szCs w:val="20"/>
              </w:rPr>
              <w:t xml:space="preserve"> under the continuing treatment criteria, the patient must have been assessed for response, and the assessment must be submitted no later than 4 weeks from the date that course was ceased.</w:t>
            </w:r>
          </w:p>
          <w:p w:rsidR="00EC081A" w:rsidRPr="002E6BC6" w:rsidRDefault="00EC081A" w:rsidP="00E71F2F">
            <w:pPr>
              <w:spacing w:before="40" w:after="40"/>
              <w:rPr>
                <w:rFonts w:ascii="Arial Narrow" w:hAnsi="Arial Narrow" w:cs="Arial"/>
                <w:sz w:val="20"/>
                <w:szCs w:val="20"/>
              </w:rPr>
            </w:pP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 xml:space="preserve">Where a response assessment </w:t>
            </w:r>
            <w:proofErr w:type="gramStart"/>
            <w:r w:rsidRPr="002E6BC6">
              <w:rPr>
                <w:rFonts w:ascii="Arial Narrow" w:hAnsi="Arial Narrow" w:cs="Arial"/>
                <w:sz w:val="20"/>
                <w:szCs w:val="20"/>
              </w:rPr>
              <w:t>is not undertaken and submitted within these timeframes, the patient</w:t>
            </w:r>
            <w:proofErr w:type="gramEnd"/>
            <w:r w:rsidRPr="002E6BC6">
              <w:rPr>
                <w:rFonts w:ascii="Arial Narrow" w:hAnsi="Arial Narrow" w:cs="Arial"/>
                <w:sz w:val="20"/>
                <w:szCs w:val="20"/>
              </w:rPr>
              <w:t xml:space="preserve"> will be deemed to have failed to respond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EC081A" w:rsidRPr="002E6BC6" w:rsidRDefault="00EC081A" w:rsidP="00E71F2F">
            <w:pPr>
              <w:spacing w:before="40" w:after="40"/>
              <w:rPr>
                <w:rFonts w:ascii="Arial Narrow" w:hAnsi="Arial Narrow" w:cs="Arial"/>
                <w:sz w:val="20"/>
                <w:szCs w:val="20"/>
              </w:rPr>
            </w:pP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If a patient fails to respond to PBS-subsidised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agent) </w:t>
            </w:r>
            <w:proofErr w:type="gramStart"/>
            <w:r w:rsidRPr="002E6BC6">
              <w:rPr>
                <w:rFonts w:ascii="Arial Narrow" w:hAnsi="Arial Narrow" w:cs="Arial"/>
                <w:sz w:val="20"/>
                <w:szCs w:val="20"/>
              </w:rPr>
              <w:t>they</w:t>
            </w:r>
            <w:proofErr w:type="gramEnd"/>
            <w:r w:rsidRPr="002E6BC6">
              <w:rPr>
                <w:rFonts w:ascii="Arial Narrow" w:hAnsi="Arial Narrow" w:cs="Arial"/>
                <w:sz w:val="20"/>
                <w:szCs w:val="20"/>
              </w:rPr>
              <w:t xml:space="preserve">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w:t>
            </w:r>
          </w:p>
          <w:p w:rsidR="00EC081A" w:rsidRPr="002E6BC6" w:rsidRDefault="00EC081A" w:rsidP="00E71F2F">
            <w:pPr>
              <w:spacing w:before="40" w:after="40"/>
              <w:rPr>
                <w:rFonts w:ascii="Arial Narrow" w:hAnsi="Arial Narrow" w:cs="Arial"/>
                <w:sz w:val="20"/>
                <w:szCs w:val="20"/>
              </w:rPr>
            </w:pP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An adequate response to treatment is defined as:</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 xml:space="preserve">an ESR no greater than 25 mm per hour or a CRP level no greater than 15 mg per L or either marker reduced by at least 20% from baseline; </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AND either of the following:</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(a) an active joint count of fewer than 10 active (swollen and tender) joints; or</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(b) a reduction in the active (swollen and tender) joint count by at least 50% from baseline; or</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(c) a reduction in the number of the following active joints, from at least 4, by at least 50%:</w:t>
            </w:r>
          </w:p>
          <w:p w:rsidR="00E71F2F" w:rsidRPr="002E6BC6" w:rsidRDefault="00E71F2F" w:rsidP="00E71F2F">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E71F2F" w:rsidRPr="002E6BC6" w:rsidRDefault="00E71F2F" w:rsidP="005E11C2">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45439D" w:rsidRPr="002E6BC6" w:rsidRDefault="0045439D"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Applications for authority to prescribe should be forwarded to: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Complex Drugs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Reply Paid 9826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HOBART TAS 7001</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EC081A" w:rsidRPr="002E6BC6" w:rsidRDefault="00EC081A" w:rsidP="00376873">
            <w:pPr>
              <w:spacing w:before="40" w:after="40"/>
              <w:rPr>
                <w:rFonts w:ascii="Arial Narrow" w:hAnsi="Arial Narrow" w:cs="Arial"/>
                <w:sz w:val="20"/>
                <w:szCs w:val="20"/>
              </w:rPr>
            </w:pP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type:</w:t>
            </w: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Dental  </w:t>
            </w: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Optometrists</w:t>
            </w:r>
          </w:p>
          <w:p w:rsidR="00EC081A" w:rsidRPr="002E6BC6" w:rsidRDefault="00EC081A"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Midwives</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p w:rsidR="00EC081A" w:rsidRPr="002E6BC6" w:rsidRDefault="00EC081A" w:rsidP="00376873">
            <w:pPr>
              <w:spacing w:before="40" w:after="40"/>
              <w:jc w:val="both"/>
              <w:rPr>
                <w:rFonts w:ascii="Arial Narrow" w:hAnsi="Arial Narrow" w:cs="Arial"/>
                <w:i/>
                <w:sz w:val="20"/>
                <w:szCs w:val="20"/>
              </w:rPr>
            </w:pP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Initial Treatment - Initial 1 (new patient or patient recommencing treatme</w:t>
            </w:r>
            <w:r w:rsidR="003A5980">
              <w:rPr>
                <w:rFonts w:ascii="Arial Narrow" w:hAnsi="Arial Narrow" w:cs="Arial"/>
                <w:sz w:val="20"/>
                <w:szCs w:val="20"/>
              </w:rPr>
              <w:t>nt after a break of more than 24</w:t>
            </w:r>
            <w:r w:rsidRPr="002E6BC6">
              <w:rPr>
                <w:rFonts w:ascii="Arial Narrow" w:hAnsi="Arial Narrow" w:cs="Arial"/>
                <w:sz w:val="20"/>
                <w:szCs w:val="20"/>
              </w:rPr>
              <w:t xml:space="preserve"> months) or Initial 2 (change or recommencement of treat</w:t>
            </w:r>
            <w:r w:rsidR="003A5980">
              <w:rPr>
                <w:rFonts w:ascii="Arial Narrow" w:hAnsi="Arial Narrow" w:cs="Arial"/>
                <w:sz w:val="20"/>
                <w:szCs w:val="20"/>
              </w:rPr>
              <w:t>ment after break of less than 24</w:t>
            </w:r>
            <w:r w:rsidRPr="002E6BC6">
              <w:rPr>
                <w:rFonts w:ascii="Arial Narrow" w:hAnsi="Arial Narrow" w:cs="Arial"/>
                <w:sz w:val="20"/>
                <w:szCs w:val="20"/>
              </w:rPr>
              <w:t xml:space="preserve"> months) – balance of supply.</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EC081A" w:rsidRPr="002E6BC6" w:rsidRDefault="00EC081A" w:rsidP="0037687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Restricted benefit</w:t>
            </w:r>
          </w:p>
          <w:p w:rsidR="00EC081A" w:rsidRPr="002E6BC6" w:rsidRDefault="00A12DB8"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EC081A" w:rsidRPr="002E6BC6">
              <w:rPr>
                <w:rFonts w:ascii="Arial Narrow" w:hAnsi="Arial Narrow" w:cs="Arial"/>
                <w:sz w:val="20"/>
                <w:szCs w:val="20"/>
              </w:rPr>
              <w:t>Authority Required - In Writing</w:t>
            </w:r>
          </w:p>
          <w:p w:rsidR="00EC081A" w:rsidRPr="002E6BC6" w:rsidRDefault="00A12DB8"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EC081A" w:rsidRPr="002E6BC6">
              <w:rPr>
                <w:rFonts w:ascii="Arial Narrow" w:hAnsi="Arial Narrow" w:cs="Arial"/>
                <w:sz w:val="20"/>
                <w:szCs w:val="20"/>
              </w:rPr>
              <w:t>Authority Required - Telephone</w:t>
            </w:r>
          </w:p>
          <w:p w:rsidR="00EC081A" w:rsidRPr="002E6BC6" w:rsidRDefault="00EC081A"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Emergency</w:t>
            </w:r>
          </w:p>
          <w:p w:rsidR="00EC081A" w:rsidRPr="002E6BC6" w:rsidRDefault="00EC081A"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EC081A" w:rsidRPr="002E6BC6" w:rsidRDefault="00EC081A"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Streamlined</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EC081A" w:rsidRPr="002E6BC6" w:rsidRDefault="00EC081A"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Initial 1 (new patient or patient recommencing treatment after break of more than 12 months) restriction to complete 16 weeks treatment; or</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Initial 2 (change or recommencement of treatment after break of less than 12 months) restriction to complete 16 weeks treatment;</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AND</w:t>
            </w:r>
          </w:p>
          <w:p w:rsidR="00EC081A" w:rsidRPr="002E6BC6" w:rsidRDefault="00E6233D" w:rsidP="00A5381D">
            <w:pPr>
              <w:rPr>
                <w:rFonts w:ascii="Arial Narrow" w:hAnsi="Arial Narrow" w:cs="Arial"/>
                <w:sz w:val="20"/>
                <w:szCs w:val="20"/>
              </w:rPr>
            </w:pPr>
            <w:r w:rsidRPr="002E6BC6">
              <w:rPr>
                <w:rFonts w:ascii="Arial Narrow" w:hAnsi="Arial Narrow" w:cs="Arial"/>
                <w:sz w:val="20"/>
                <w:szCs w:val="20"/>
              </w:rPr>
              <w:t>The treatment must provide no more than the balance of up to 16 weeks treatment available under the above restrictions.</w:t>
            </w:r>
          </w:p>
        </w:tc>
      </w:tr>
      <w:tr w:rsidR="00EC081A"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EC081A" w:rsidRPr="002E6BC6" w:rsidRDefault="00EC081A" w:rsidP="00376873">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Authority approval for sufficient therapy to complete a maximum of 16 weeks of treatment may be requested by telephone by contacting the Department of Human Services on 1800 700 270 (hours of operation 8 a.m. to 5 p.m. EST Monday to Friday).</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Written application for authority approval for sufficient therapy to complete a maximum of 16 weeks of treatment should be forwarded to:</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Complex Drugs</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Reply Paid 9826</w:t>
            </w:r>
          </w:p>
          <w:p w:rsidR="00EC081A" w:rsidRPr="002E6BC6" w:rsidRDefault="00EC081A" w:rsidP="00376873">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EC081A" w:rsidRDefault="00EC081A" w:rsidP="00DC1927"/>
    <w:p w:rsidR="00C4269E" w:rsidRDefault="00C4269E">
      <w:r>
        <w:br w:type="page"/>
      </w:r>
    </w:p>
    <w:tbl>
      <w:tblPr>
        <w:tblW w:w="5000" w:type="pct"/>
        <w:tblLook w:val="0000" w:firstRow="0" w:lastRow="0" w:firstColumn="0" w:lastColumn="0" w:noHBand="0" w:noVBand="0"/>
      </w:tblPr>
      <w:tblGrid>
        <w:gridCol w:w="2873"/>
        <w:gridCol w:w="616"/>
        <w:gridCol w:w="1009"/>
        <w:gridCol w:w="1009"/>
        <w:gridCol w:w="1401"/>
        <w:gridCol w:w="827"/>
        <w:gridCol w:w="1291"/>
      </w:tblGrid>
      <w:tr w:rsidR="00F35D71" w:rsidRPr="002E6BC6" w:rsidTr="00DE486C">
        <w:trPr>
          <w:trHeight w:val="465"/>
        </w:trPr>
        <w:tc>
          <w:tcPr>
            <w:tcW w:w="1592" w:type="pct"/>
            <w:tcBorders>
              <w:bottom w:val="single" w:sz="4" w:space="0" w:color="auto"/>
            </w:tcBorders>
          </w:tcPr>
          <w:p w:rsidR="00F35D71" w:rsidRPr="002E6BC6" w:rsidRDefault="00F35D71"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Name, Restriction,</w:t>
            </w:r>
          </w:p>
          <w:p w:rsidR="00F35D71" w:rsidRPr="002E6BC6" w:rsidRDefault="00F35D71"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Manner of administration and form</w:t>
            </w:r>
          </w:p>
        </w:tc>
        <w:tc>
          <w:tcPr>
            <w:tcW w:w="341" w:type="pct"/>
            <w:tcBorders>
              <w:bottom w:val="single" w:sz="4" w:space="0" w:color="auto"/>
            </w:tcBorders>
          </w:tcPr>
          <w:p w:rsidR="00F35D71" w:rsidRPr="002E6BC6" w:rsidRDefault="00F35D71"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Max.</w:t>
            </w:r>
          </w:p>
          <w:p w:rsidR="00F35D71" w:rsidRPr="002E6BC6" w:rsidRDefault="00F35D71"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Qty</w:t>
            </w:r>
            <w:proofErr w:type="spellEnd"/>
          </w:p>
        </w:tc>
        <w:tc>
          <w:tcPr>
            <w:tcW w:w="559" w:type="pct"/>
            <w:tcBorders>
              <w:bottom w:val="single" w:sz="4" w:space="0" w:color="auto"/>
            </w:tcBorders>
          </w:tcPr>
          <w:p w:rsidR="00F35D71" w:rsidRPr="002E6BC6" w:rsidRDefault="00F35D71" w:rsidP="005E11C2">
            <w:pPr>
              <w:keepNext/>
              <w:spacing w:before="40" w:after="40"/>
              <w:jc w:val="both"/>
              <w:rPr>
                <w:rFonts w:ascii="Arial Narrow" w:hAnsi="Arial Narrow" w:cs="Arial"/>
                <w:b/>
                <w:sz w:val="20"/>
                <w:szCs w:val="20"/>
              </w:rPr>
            </w:pPr>
          </w:p>
        </w:tc>
        <w:tc>
          <w:tcPr>
            <w:tcW w:w="559" w:type="pct"/>
            <w:tcBorders>
              <w:bottom w:val="single" w:sz="4" w:space="0" w:color="auto"/>
            </w:tcBorders>
          </w:tcPr>
          <w:p w:rsidR="00F35D71" w:rsidRPr="002E6BC6" w:rsidRDefault="00F35D71"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№.of</w:t>
            </w:r>
          </w:p>
          <w:p w:rsidR="00F35D71" w:rsidRPr="002E6BC6" w:rsidRDefault="00F35D71" w:rsidP="005E11C2">
            <w:pPr>
              <w:keepNext/>
              <w:spacing w:before="40" w:after="40"/>
              <w:jc w:val="both"/>
              <w:rPr>
                <w:rFonts w:ascii="Arial Narrow" w:hAnsi="Arial Narrow" w:cs="Arial"/>
                <w:b/>
                <w:sz w:val="20"/>
                <w:szCs w:val="20"/>
              </w:rPr>
            </w:pPr>
            <w:proofErr w:type="spellStart"/>
            <w:r w:rsidRPr="002E6BC6">
              <w:rPr>
                <w:rFonts w:ascii="Arial Narrow" w:hAnsi="Arial Narrow" w:cs="Arial"/>
                <w:b/>
                <w:sz w:val="20"/>
                <w:szCs w:val="20"/>
              </w:rPr>
              <w:t>Rpts</w:t>
            </w:r>
            <w:proofErr w:type="spellEnd"/>
          </w:p>
        </w:tc>
        <w:tc>
          <w:tcPr>
            <w:tcW w:w="776" w:type="pct"/>
            <w:tcBorders>
              <w:bottom w:val="single" w:sz="4" w:space="0" w:color="auto"/>
            </w:tcBorders>
          </w:tcPr>
          <w:p w:rsidR="00F35D71" w:rsidRPr="002E6BC6" w:rsidRDefault="00F35D71" w:rsidP="005E11C2">
            <w:pPr>
              <w:keepNext/>
              <w:spacing w:before="40" w:after="40"/>
              <w:jc w:val="both"/>
              <w:rPr>
                <w:rFonts w:ascii="Arial Narrow" w:hAnsi="Arial Narrow" w:cs="Arial"/>
                <w:b/>
                <w:sz w:val="20"/>
                <w:szCs w:val="20"/>
              </w:rPr>
            </w:pPr>
          </w:p>
        </w:tc>
        <w:tc>
          <w:tcPr>
            <w:tcW w:w="1173" w:type="pct"/>
            <w:gridSpan w:val="2"/>
            <w:tcBorders>
              <w:bottom w:val="single" w:sz="4" w:space="0" w:color="auto"/>
            </w:tcBorders>
          </w:tcPr>
          <w:p w:rsidR="00F35D71" w:rsidRPr="00A12DB8" w:rsidRDefault="00F35D71" w:rsidP="005E11C2">
            <w:pPr>
              <w:keepNext/>
              <w:spacing w:before="40" w:after="40"/>
              <w:jc w:val="both"/>
              <w:rPr>
                <w:rFonts w:ascii="Arial Narrow" w:hAnsi="Arial Narrow" w:cs="Arial"/>
                <w:b/>
                <w:sz w:val="20"/>
                <w:szCs w:val="20"/>
              </w:rPr>
            </w:pPr>
            <w:r w:rsidRPr="002E6BC6">
              <w:rPr>
                <w:rFonts w:ascii="Arial Narrow" w:hAnsi="Arial Narrow" w:cs="Arial"/>
                <w:b/>
                <w:sz w:val="20"/>
                <w:szCs w:val="20"/>
              </w:rPr>
              <w:t>Proprietary Name and Manufacturer</w:t>
            </w:r>
          </w:p>
        </w:tc>
      </w:tr>
      <w:tr w:rsidR="00F35D71" w:rsidRPr="002E6BC6" w:rsidTr="00DE486C">
        <w:trPr>
          <w:trHeight w:val="567"/>
        </w:trPr>
        <w:tc>
          <w:tcPr>
            <w:tcW w:w="1592" w:type="pct"/>
          </w:tcPr>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mallCaps/>
                <w:sz w:val="20"/>
                <w:szCs w:val="20"/>
              </w:rPr>
              <w:t xml:space="preserve">TOCILIZUMAB </w:t>
            </w:r>
          </w:p>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z w:val="20"/>
                <w:szCs w:val="20"/>
              </w:rPr>
              <w:t>auto-injector</w:t>
            </w:r>
          </w:p>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z w:val="20"/>
                <w:szCs w:val="20"/>
              </w:rPr>
              <w:t>162 mg/0.9 mL, 4 x 0.9 mL</w:t>
            </w:r>
          </w:p>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z w:val="20"/>
                <w:szCs w:val="20"/>
              </w:rPr>
              <w:t>syringe</w:t>
            </w:r>
          </w:p>
        </w:tc>
        <w:tc>
          <w:tcPr>
            <w:tcW w:w="341" w:type="pct"/>
          </w:tcPr>
          <w:p w:rsidR="00F35D71" w:rsidRPr="002E6BC6" w:rsidRDefault="00F35D71" w:rsidP="005E11C2">
            <w:pPr>
              <w:keepNext/>
              <w:spacing w:before="40" w:after="40"/>
              <w:jc w:val="both"/>
              <w:rPr>
                <w:rFonts w:ascii="Arial Narrow" w:hAnsi="Arial Narrow" w:cs="Arial"/>
                <w:sz w:val="20"/>
                <w:szCs w:val="20"/>
              </w:rPr>
            </w:pPr>
          </w:p>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p w:rsidR="00F35D71" w:rsidRPr="002E6BC6" w:rsidRDefault="00F35D71" w:rsidP="005E11C2">
            <w:pPr>
              <w:keepNext/>
              <w:spacing w:before="40" w:after="40"/>
              <w:jc w:val="both"/>
              <w:rPr>
                <w:rFonts w:ascii="Arial Narrow" w:hAnsi="Arial Narrow" w:cs="Arial"/>
                <w:sz w:val="20"/>
                <w:szCs w:val="20"/>
              </w:rPr>
            </w:pPr>
          </w:p>
          <w:p w:rsidR="00F35D71" w:rsidRPr="002E6BC6" w:rsidRDefault="00DE486C" w:rsidP="005E11C2">
            <w:pPr>
              <w:keepNext/>
              <w:spacing w:before="40" w:after="40"/>
              <w:jc w:val="both"/>
              <w:rPr>
                <w:rFonts w:ascii="Arial Narrow" w:hAnsi="Arial Narrow" w:cs="Arial"/>
                <w:sz w:val="20"/>
                <w:szCs w:val="20"/>
              </w:rPr>
            </w:pPr>
            <w:r w:rsidRPr="002E6BC6">
              <w:rPr>
                <w:rFonts w:ascii="Arial Narrow" w:hAnsi="Arial Narrow" w:cs="Arial"/>
                <w:sz w:val="20"/>
                <w:szCs w:val="20"/>
              </w:rPr>
              <w:t>1</w:t>
            </w:r>
          </w:p>
        </w:tc>
        <w:tc>
          <w:tcPr>
            <w:tcW w:w="559" w:type="pct"/>
          </w:tcPr>
          <w:p w:rsidR="00F35D71" w:rsidRPr="002E6BC6" w:rsidRDefault="00F35D71" w:rsidP="005E11C2">
            <w:pPr>
              <w:keepNext/>
              <w:spacing w:before="40" w:after="40"/>
              <w:jc w:val="both"/>
              <w:rPr>
                <w:rFonts w:ascii="Arial Narrow" w:hAnsi="Arial Narrow" w:cs="Arial"/>
                <w:sz w:val="20"/>
                <w:szCs w:val="20"/>
              </w:rPr>
            </w:pPr>
          </w:p>
        </w:tc>
        <w:tc>
          <w:tcPr>
            <w:tcW w:w="559" w:type="pct"/>
          </w:tcPr>
          <w:p w:rsidR="00F35D71" w:rsidRPr="002E6BC6" w:rsidRDefault="00F35D71" w:rsidP="005E11C2">
            <w:pPr>
              <w:keepNext/>
              <w:spacing w:before="40" w:after="40"/>
              <w:jc w:val="both"/>
              <w:rPr>
                <w:rFonts w:ascii="Arial Narrow" w:hAnsi="Arial Narrow" w:cs="Arial"/>
                <w:sz w:val="20"/>
                <w:szCs w:val="20"/>
              </w:rPr>
            </w:pPr>
          </w:p>
          <w:p w:rsidR="00F35D71" w:rsidRPr="002E6BC6" w:rsidRDefault="00686E52" w:rsidP="005E11C2">
            <w:pPr>
              <w:keepNext/>
              <w:spacing w:before="40" w:after="40"/>
              <w:jc w:val="both"/>
              <w:rPr>
                <w:rFonts w:ascii="Arial Narrow" w:hAnsi="Arial Narrow" w:cs="Arial"/>
                <w:sz w:val="20"/>
                <w:szCs w:val="20"/>
              </w:rPr>
            </w:pPr>
            <w:r w:rsidRPr="002E6BC6">
              <w:rPr>
                <w:rFonts w:ascii="Arial Narrow" w:hAnsi="Arial Narrow" w:cs="Arial"/>
                <w:sz w:val="20"/>
                <w:szCs w:val="20"/>
              </w:rPr>
              <w:t>5</w:t>
            </w:r>
          </w:p>
          <w:p w:rsidR="00F35D71" w:rsidRPr="002E6BC6" w:rsidRDefault="00F35D71" w:rsidP="005E11C2">
            <w:pPr>
              <w:keepNext/>
              <w:spacing w:before="40" w:after="40"/>
              <w:jc w:val="both"/>
              <w:rPr>
                <w:rFonts w:ascii="Arial Narrow" w:hAnsi="Arial Narrow" w:cs="Arial"/>
                <w:sz w:val="20"/>
                <w:szCs w:val="20"/>
              </w:rPr>
            </w:pPr>
          </w:p>
          <w:p w:rsidR="00F35D71" w:rsidRPr="002E6BC6" w:rsidRDefault="00686E52" w:rsidP="005E11C2">
            <w:pPr>
              <w:keepNext/>
              <w:spacing w:before="40" w:after="40"/>
              <w:jc w:val="both"/>
              <w:rPr>
                <w:rFonts w:ascii="Arial Narrow" w:hAnsi="Arial Narrow" w:cs="Arial"/>
                <w:sz w:val="20"/>
                <w:szCs w:val="20"/>
              </w:rPr>
            </w:pPr>
            <w:r w:rsidRPr="002E6BC6">
              <w:rPr>
                <w:rFonts w:ascii="Arial Narrow" w:hAnsi="Arial Narrow" w:cs="Arial"/>
                <w:sz w:val="20"/>
                <w:szCs w:val="20"/>
              </w:rPr>
              <w:t>5</w:t>
            </w:r>
          </w:p>
        </w:tc>
        <w:tc>
          <w:tcPr>
            <w:tcW w:w="776" w:type="pct"/>
          </w:tcPr>
          <w:p w:rsidR="00F35D71" w:rsidRPr="002E6BC6" w:rsidRDefault="00F35D71" w:rsidP="005E11C2">
            <w:pPr>
              <w:keepNext/>
              <w:spacing w:before="40" w:after="40"/>
              <w:jc w:val="both"/>
              <w:rPr>
                <w:rFonts w:ascii="Arial Narrow" w:hAnsi="Arial Narrow" w:cs="Arial"/>
                <w:sz w:val="20"/>
                <w:szCs w:val="20"/>
              </w:rPr>
            </w:pPr>
          </w:p>
          <w:p w:rsidR="00F35D71" w:rsidRPr="002E6BC6" w:rsidRDefault="00F35D71" w:rsidP="005E11C2">
            <w:pPr>
              <w:keepNext/>
              <w:spacing w:before="40" w:after="40"/>
              <w:jc w:val="both"/>
              <w:rPr>
                <w:rFonts w:ascii="Arial Narrow" w:hAnsi="Arial Narrow" w:cs="Arial"/>
                <w:sz w:val="20"/>
                <w:szCs w:val="20"/>
              </w:rPr>
            </w:pPr>
          </w:p>
        </w:tc>
        <w:tc>
          <w:tcPr>
            <w:tcW w:w="458" w:type="pct"/>
          </w:tcPr>
          <w:p w:rsidR="00F35D71" w:rsidRPr="002E6BC6" w:rsidRDefault="00F35D71" w:rsidP="005E11C2">
            <w:pPr>
              <w:keepNext/>
              <w:spacing w:before="40" w:after="40"/>
              <w:jc w:val="both"/>
              <w:rPr>
                <w:rFonts w:ascii="Arial Narrow" w:hAnsi="Arial Narrow" w:cs="Arial"/>
                <w:sz w:val="20"/>
                <w:szCs w:val="20"/>
              </w:rPr>
            </w:pPr>
          </w:p>
          <w:p w:rsidR="00F35D71" w:rsidRPr="002E6BC6" w:rsidRDefault="00F35D71" w:rsidP="005E11C2">
            <w:pPr>
              <w:keepNext/>
              <w:spacing w:before="40" w:after="40"/>
              <w:jc w:val="both"/>
              <w:rPr>
                <w:rFonts w:ascii="Arial Narrow" w:hAnsi="Arial Narrow" w:cs="Arial"/>
                <w:sz w:val="20"/>
                <w:szCs w:val="20"/>
              </w:rPr>
            </w:pPr>
            <w:proofErr w:type="spellStart"/>
            <w:r w:rsidRPr="002E6BC6">
              <w:rPr>
                <w:rFonts w:ascii="Arial Narrow" w:hAnsi="Arial Narrow" w:cs="Arial"/>
                <w:sz w:val="20"/>
                <w:szCs w:val="20"/>
              </w:rPr>
              <w:t>Actemra</w:t>
            </w:r>
            <w:proofErr w:type="spellEnd"/>
          </w:p>
        </w:tc>
        <w:tc>
          <w:tcPr>
            <w:tcW w:w="715" w:type="pct"/>
          </w:tcPr>
          <w:p w:rsidR="00F35D71" w:rsidRPr="002E6BC6" w:rsidRDefault="00F35D71" w:rsidP="005E11C2">
            <w:pPr>
              <w:keepNext/>
              <w:spacing w:before="40" w:after="40"/>
              <w:jc w:val="both"/>
              <w:rPr>
                <w:rFonts w:ascii="Arial Narrow" w:hAnsi="Arial Narrow" w:cs="Arial"/>
                <w:sz w:val="20"/>
                <w:szCs w:val="20"/>
              </w:rPr>
            </w:pPr>
          </w:p>
          <w:p w:rsidR="00F35D71" w:rsidRPr="002E6BC6" w:rsidRDefault="00F35D71" w:rsidP="005E11C2">
            <w:pPr>
              <w:keepNext/>
              <w:spacing w:before="40" w:after="40"/>
              <w:jc w:val="both"/>
              <w:rPr>
                <w:rFonts w:ascii="Arial Narrow" w:hAnsi="Arial Narrow" w:cs="Arial"/>
                <w:sz w:val="20"/>
                <w:szCs w:val="20"/>
              </w:rPr>
            </w:pPr>
            <w:r w:rsidRPr="002E6BC6">
              <w:rPr>
                <w:rFonts w:ascii="Arial Narrow" w:hAnsi="Arial Narrow" w:cs="Arial"/>
                <w:sz w:val="20"/>
                <w:szCs w:val="20"/>
              </w:rPr>
              <w:t>Roche Products</w:t>
            </w:r>
          </w:p>
        </w:tc>
      </w:tr>
    </w:tbl>
    <w:p w:rsidR="00F35D71" w:rsidRPr="002E6BC6" w:rsidRDefault="00F35D71" w:rsidP="00DC1927"/>
    <w:p w:rsidR="00DA5D89" w:rsidRPr="002E6BC6" w:rsidRDefault="00DA5D89" w:rsidP="00DA5D89">
      <w:pPr>
        <w:rPr>
          <w:rFonts w:asciiTheme="minorHAnsi" w:hAnsiTheme="minorHAnsi" w:cstheme="minorHAnsi"/>
        </w:rPr>
      </w:pPr>
      <w:bookmarkStart w:id="1" w:name="_GoBack"/>
      <w:bookmarkEnd w:id="1"/>
      <w:r w:rsidRPr="002E6BC6">
        <w:rPr>
          <w:rFonts w:asciiTheme="minorHAnsi" w:hAnsiTheme="minorHAnsi" w:cstheme="minorHAnsi"/>
        </w:rPr>
        <w:t xml:space="preserve">Continuing treatment   (adult patients) </w:t>
      </w:r>
    </w:p>
    <w:p w:rsidR="00DA5D89" w:rsidRPr="002E6BC6" w:rsidRDefault="00DA5D89" w:rsidP="00DC1927"/>
    <w:tbl>
      <w:tblPr>
        <w:tblW w:w="5000" w:type="pct"/>
        <w:tblLook w:val="0000" w:firstRow="0" w:lastRow="0" w:firstColumn="0" w:lastColumn="0" w:noHBand="0" w:noVBand="0"/>
      </w:tblPr>
      <w:tblGrid>
        <w:gridCol w:w="1917"/>
        <w:gridCol w:w="7099"/>
      </w:tblGrid>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Category / </w:t>
            </w:r>
          </w:p>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45439D" w:rsidRPr="002E6BC6" w:rsidRDefault="0045439D" w:rsidP="005E11C2">
            <w:pPr>
              <w:spacing w:before="40" w:after="40"/>
              <w:rPr>
                <w:rFonts w:ascii="Arial Narrow" w:hAnsi="Arial Narrow" w:cs="Arial"/>
                <w:sz w:val="20"/>
                <w:szCs w:val="20"/>
              </w:rPr>
            </w:pP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Dental  </w:t>
            </w: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Optometrists</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Midwives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5E0279" w:rsidP="005E11C2">
            <w:pPr>
              <w:spacing w:before="40" w:after="40"/>
              <w:rPr>
                <w:rFonts w:ascii="Arial Narrow" w:hAnsi="Arial Narrow" w:cs="Arial"/>
                <w:sz w:val="20"/>
                <w:szCs w:val="20"/>
              </w:rPr>
            </w:pPr>
            <w:r w:rsidRPr="002E6BC6">
              <w:rPr>
                <w:rFonts w:ascii="Arial Narrow" w:hAnsi="Arial Narrow" w:cs="Arial"/>
                <w:sz w:val="20"/>
                <w:szCs w:val="20"/>
              </w:rPr>
              <w:t xml:space="preserve">Continuing </w:t>
            </w:r>
            <w:r w:rsidR="00DE486C" w:rsidRPr="002E6BC6">
              <w:rPr>
                <w:rFonts w:ascii="Arial Narrow" w:hAnsi="Arial Narrow" w:cs="Arial"/>
                <w:sz w:val="20"/>
                <w:szCs w:val="20"/>
              </w:rPr>
              <w:t>T</w:t>
            </w:r>
            <w:r w:rsidRPr="002E6BC6">
              <w:rPr>
                <w:rFonts w:ascii="Arial Narrow" w:hAnsi="Arial Narrow" w:cs="Arial"/>
                <w:sz w:val="20"/>
                <w:szCs w:val="20"/>
              </w:rPr>
              <w:t>reatment</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45439D" w:rsidRPr="002E6BC6" w:rsidRDefault="0045439D" w:rsidP="005E11C2">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Restricted benefit</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In Writing</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Telephone</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Emergency</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45439D" w:rsidRPr="002E6BC6" w:rsidRDefault="0045439D" w:rsidP="005E11C2">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Streamlined</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5E0279" w:rsidP="005E11C2">
            <w:pPr>
              <w:spacing w:before="40" w:after="40"/>
              <w:rPr>
                <w:rFonts w:ascii="Arial Narrow" w:hAnsi="Arial Narrow" w:cs="Arial"/>
                <w:sz w:val="20"/>
                <w:szCs w:val="20"/>
              </w:rPr>
            </w:pPr>
            <w:r w:rsidRPr="002E6BC6">
              <w:rPr>
                <w:rFonts w:ascii="Arial Narrow" w:hAnsi="Arial Narrow" w:cs="Arial"/>
                <w:sz w:val="20"/>
                <w:szCs w:val="20"/>
              </w:rPr>
              <w:t>Must be treated by a rheumatologist; or</w:t>
            </w:r>
          </w:p>
          <w:p w:rsidR="005E0279" w:rsidRPr="002E6BC6" w:rsidRDefault="005E0279" w:rsidP="005E11C2">
            <w:pPr>
              <w:spacing w:before="40" w:after="40"/>
              <w:rPr>
                <w:rFonts w:ascii="Arial Narrow" w:hAnsi="Arial Narrow" w:cs="Arial"/>
                <w:sz w:val="20"/>
                <w:szCs w:val="20"/>
              </w:rPr>
            </w:pPr>
            <w:proofErr w:type="gramStart"/>
            <w:r w:rsidRPr="002E6BC6">
              <w:rPr>
                <w:rFonts w:ascii="Arial Narrow" w:hAnsi="Arial Narrow" w:cs="Arial"/>
                <w:sz w:val="20"/>
                <w:szCs w:val="20"/>
              </w:rPr>
              <w:t>Must be treated</w:t>
            </w:r>
            <w:proofErr w:type="gramEnd"/>
            <w:r w:rsidRPr="002E6BC6">
              <w:rPr>
                <w:rFonts w:ascii="Arial Narrow" w:hAnsi="Arial Narrow" w:cs="Arial"/>
                <w:sz w:val="20"/>
                <w:szCs w:val="20"/>
              </w:rPr>
              <w:t xml:space="preserve"> by a clinical immunologist with expertise in the management of rheumatoid arthritis</w:t>
            </w:r>
            <w:r w:rsidR="00DE486C" w:rsidRPr="002E6BC6">
              <w:rPr>
                <w:rFonts w:ascii="Arial Narrow" w:hAnsi="Arial Narrow" w:cs="Arial"/>
                <w:sz w:val="20"/>
                <w:szCs w:val="20"/>
              </w:rPr>
              <w:t>.</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45439D" w:rsidRPr="002E6BC6" w:rsidRDefault="0045439D"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DE486C"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Patient must have a documented history of severe active juvenile idiopathic arthritis with onset prior to the age of 18 years; </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AND</w:t>
            </w:r>
          </w:p>
          <w:p w:rsidR="00DE486C"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Patient must have demonstrated an adequate response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AND </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as their most recent course of PBS-subsidised biological disease modifying anti-rheumatic drug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treatment in this treatment cycle; AND</w:t>
            </w:r>
          </w:p>
          <w:p w:rsidR="0045439D" w:rsidRPr="002E6BC6" w:rsidRDefault="005E0279" w:rsidP="005E11C2">
            <w:pPr>
              <w:spacing w:before="40" w:after="40"/>
              <w:rPr>
                <w:rFonts w:ascii="Arial Narrow" w:hAnsi="Arial Narrow" w:cs="Arial"/>
                <w:sz w:val="20"/>
                <w:szCs w:val="20"/>
              </w:rPr>
            </w:pPr>
            <w:r w:rsidRPr="002E6BC6">
              <w:rPr>
                <w:rFonts w:ascii="Arial Narrow" w:hAnsi="Arial Narrow" w:cs="Arial"/>
                <w:sz w:val="20"/>
                <w:szCs w:val="20"/>
              </w:rPr>
              <w:t>Patient must not receive more than 24 weeks of treatment per continuing treatment course authorised under this restriction.</w:t>
            </w:r>
          </w:p>
        </w:tc>
      </w:tr>
      <w:tr w:rsidR="005E0279"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5E0279" w:rsidRPr="002E6BC6" w:rsidRDefault="005E0279" w:rsidP="005E11C2">
            <w:pPr>
              <w:spacing w:before="40" w:after="40"/>
              <w:jc w:val="both"/>
              <w:rPr>
                <w:rFonts w:ascii="Arial Narrow" w:hAnsi="Arial Narrow" w:cs="Arial"/>
                <w:b/>
                <w:sz w:val="20"/>
                <w:szCs w:val="20"/>
              </w:rPr>
            </w:pPr>
            <w:r w:rsidRPr="002E6BC6">
              <w:rPr>
                <w:rFonts w:ascii="Arial Narrow" w:hAnsi="Arial Narrow" w:cs="Arial"/>
                <w:b/>
                <w:sz w:val="20"/>
                <w:szCs w:val="20"/>
              </w:rPr>
              <w:t>Population Criteria:</w:t>
            </w:r>
          </w:p>
        </w:tc>
        <w:tc>
          <w:tcPr>
            <w:tcW w:w="3937" w:type="pct"/>
            <w:tcBorders>
              <w:top w:val="single" w:sz="4" w:space="0" w:color="auto"/>
              <w:left w:val="single" w:sz="4" w:space="0" w:color="auto"/>
              <w:bottom w:val="single" w:sz="4" w:space="0" w:color="auto"/>
              <w:right w:val="single" w:sz="4" w:space="0" w:color="auto"/>
            </w:tcBorders>
          </w:tcPr>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Patient must be aged 18 years or older</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Prescriber Instructions</w:t>
            </w:r>
          </w:p>
          <w:p w:rsidR="0045439D" w:rsidRPr="002E6BC6" w:rsidRDefault="0045439D" w:rsidP="005E11C2">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5E0279" w:rsidP="005E11C2">
            <w:pPr>
              <w:spacing w:before="40" w:after="40"/>
              <w:rPr>
                <w:rFonts w:ascii="Arial Narrow" w:hAnsi="Arial Narrow" w:cs="Arial"/>
                <w:sz w:val="20"/>
                <w:szCs w:val="20"/>
              </w:rPr>
            </w:pPr>
            <w:r w:rsidRPr="002E6BC6">
              <w:rPr>
                <w:rFonts w:ascii="Arial Narrow" w:hAnsi="Arial Narrow" w:cs="Arial"/>
                <w:sz w:val="20"/>
                <w:szCs w:val="20"/>
              </w:rPr>
              <w:t xml:space="preserve">For the purposes of </w:t>
            </w:r>
            <w:proofErr w:type="gramStart"/>
            <w:r w:rsidRPr="002E6BC6">
              <w:rPr>
                <w:rFonts w:ascii="Arial Narrow" w:hAnsi="Arial Narrow" w:cs="Arial"/>
                <w:sz w:val="20"/>
                <w:szCs w:val="20"/>
              </w:rPr>
              <w:t>this</w:t>
            </w:r>
            <w:proofErr w:type="gramEnd"/>
            <w:r w:rsidRPr="002E6BC6">
              <w:rPr>
                <w:rFonts w:ascii="Arial Narrow" w:hAnsi="Arial Narrow" w:cs="Arial"/>
                <w:sz w:val="20"/>
                <w:szCs w:val="20"/>
              </w:rPr>
              <w:t xml:space="preserve"> restriction 'biological disease modifying anti-rheumatic drug' and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mean </w:t>
            </w:r>
            <w:proofErr w:type="spellStart"/>
            <w:r w:rsidRPr="002E6BC6">
              <w:rPr>
                <w:rFonts w:ascii="Arial Narrow" w:hAnsi="Arial Narrow" w:cs="Arial"/>
                <w:sz w:val="20"/>
                <w:szCs w:val="20"/>
              </w:rPr>
              <w:t>adalimumab</w:t>
            </w:r>
            <w:proofErr w:type="spellEnd"/>
            <w:r w:rsidRPr="002E6BC6">
              <w:rPr>
                <w:rFonts w:ascii="Arial Narrow" w:hAnsi="Arial Narrow" w:cs="Arial"/>
                <w:sz w:val="20"/>
                <w:szCs w:val="20"/>
              </w:rPr>
              <w:t xml:space="preserve">, </w:t>
            </w:r>
            <w:proofErr w:type="spellStart"/>
            <w:r w:rsidRPr="002E6BC6">
              <w:rPr>
                <w:rFonts w:ascii="Arial Narrow" w:hAnsi="Arial Narrow" w:cs="Arial"/>
                <w:sz w:val="20"/>
                <w:szCs w:val="20"/>
              </w:rPr>
              <w:t>etanercept</w:t>
            </w:r>
            <w:proofErr w:type="spellEnd"/>
            <w:r w:rsidRPr="002E6BC6">
              <w:rPr>
                <w:rFonts w:ascii="Arial Narrow" w:hAnsi="Arial Narrow" w:cs="Arial"/>
                <w:sz w:val="20"/>
                <w:szCs w:val="20"/>
              </w:rPr>
              <w:t xml:space="preserve"> or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DE486C" w:rsidRPr="002E6BC6" w:rsidRDefault="00DE486C" w:rsidP="005E11C2">
            <w:pPr>
              <w:spacing w:before="40" w:after="40"/>
              <w:rPr>
                <w:rFonts w:ascii="Arial Narrow" w:hAnsi="Arial Narrow" w:cs="Arial"/>
                <w:sz w:val="20"/>
                <w:szCs w:val="20"/>
              </w:rPr>
            </w:pP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An adequate response to treatment is defined as:</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an ESR no greater than 25 mm per hour or a CRP level no greater than 15 mg per L or either marker reduced by at least 20% from baseline; </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AND either of the following:</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(a) an active joint count of fewer than 10 active (swollen and tender) joints; or</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(b) a reduction in the active (swollen and tender) joint count by at least 50% from baseline; or</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(c) a reduction in the number of the following active joints, from at least 4, by at least 50%:</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w:t>
            </w:r>
            <w:proofErr w:type="spellStart"/>
            <w:r w:rsidRPr="002E6BC6">
              <w:rPr>
                <w:rFonts w:ascii="Arial Narrow" w:hAnsi="Arial Narrow" w:cs="Arial"/>
                <w:sz w:val="20"/>
                <w:szCs w:val="20"/>
              </w:rPr>
              <w:t>i</w:t>
            </w:r>
            <w:proofErr w:type="spellEnd"/>
            <w:r w:rsidRPr="002E6BC6">
              <w:rPr>
                <w:rFonts w:ascii="Arial Narrow" w:hAnsi="Arial Narrow" w:cs="Arial"/>
                <w:sz w:val="20"/>
                <w:szCs w:val="20"/>
              </w:rPr>
              <w:t>) elbow, wrist, knee and/or ankle (assessed as swollen and tender); and/or</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(ii) </w:t>
            </w:r>
            <w:proofErr w:type="gramStart"/>
            <w:r w:rsidRPr="002E6BC6">
              <w:rPr>
                <w:rFonts w:ascii="Arial Narrow" w:hAnsi="Arial Narrow" w:cs="Arial"/>
                <w:sz w:val="20"/>
                <w:szCs w:val="20"/>
              </w:rPr>
              <w:t>shoulder</w:t>
            </w:r>
            <w:proofErr w:type="gramEnd"/>
            <w:r w:rsidRPr="002E6BC6">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DE486C" w:rsidRPr="002E6BC6" w:rsidRDefault="00DE486C" w:rsidP="005E0279">
            <w:pPr>
              <w:spacing w:before="40" w:after="40"/>
              <w:rPr>
                <w:rFonts w:ascii="Arial Narrow" w:hAnsi="Arial Narrow" w:cs="Arial"/>
                <w:sz w:val="20"/>
                <w:szCs w:val="20"/>
              </w:rPr>
            </w:pP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w:t>
            </w:r>
            <w:proofErr w:type="gramStart"/>
            <w:r w:rsidRPr="002E6BC6">
              <w:rPr>
                <w:rFonts w:ascii="Arial Narrow" w:hAnsi="Arial Narrow" w:cs="Arial"/>
                <w:sz w:val="20"/>
                <w:szCs w:val="20"/>
              </w:rPr>
              <w:t>must be demonstrated</w:t>
            </w:r>
            <w:proofErr w:type="gramEnd"/>
            <w:r w:rsidRPr="002E6BC6">
              <w:rPr>
                <w:rFonts w:ascii="Arial Narrow" w:hAnsi="Arial Narrow" w:cs="Arial"/>
                <w:sz w:val="20"/>
                <w:szCs w:val="20"/>
              </w:rPr>
              <w:t xml:space="preserve"> on the total number of major joints. If only an ESR or CRP level </w:t>
            </w:r>
            <w:proofErr w:type="gramStart"/>
            <w:r w:rsidRPr="002E6BC6">
              <w:rPr>
                <w:rFonts w:ascii="Arial Narrow" w:hAnsi="Arial Narrow" w:cs="Arial"/>
                <w:sz w:val="20"/>
                <w:szCs w:val="20"/>
              </w:rPr>
              <w:t>is provided</w:t>
            </w:r>
            <w:proofErr w:type="gramEnd"/>
            <w:r w:rsidRPr="002E6BC6">
              <w:rPr>
                <w:rFonts w:ascii="Arial Narrow" w:hAnsi="Arial Narrow" w:cs="Arial"/>
                <w:sz w:val="20"/>
                <w:szCs w:val="20"/>
              </w:rPr>
              <w:t xml:space="preserve"> with the initial application, the same marker will be used to determine response.</w:t>
            </w:r>
          </w:p>
          <w:p w:rsidR="00DE486C" w:rsidRPr="002E6BC6" w:rsidRDefault="00DE486C" w:rsidP="005E0279">
            <w:pPr>
              <w:spacing w:before="40" w:after="40"/>
              <w:rPr>
                <w:rFonts w:ascii="Arial Narrow" w:hAnsi="Arial Narrow" w:cs="Arial"/>
                <w:sz w:val="20"/>
                <w:szCs w:val="20"/>
              </w:rPr>
            </w:pP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The authority application must be made in writing and must include:</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(1) completed authority prescription form(s); and</w:t>
            </w: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(2) </w:t>
            </w:r>
            <w:proofErr w:type="gramStart"/>
            <w:r w:rsidRPr="002E6BC6">
              <w:rPr>
                <w:rFonts w:ascii="Arial Narrow" w:hAnsi="Arial Narrow" w:cs="Arial"/>
                <w:sz w:val="20"/>
                <w:szCs w:val="20"/>
              </w:rPr>
              <w:t>a</w:t>
            </w:r>
            <w:proofErr w:type="gramEnd"/>
            <w:r w:rsidRPr="002E6BC6">
              <w:rPr>
                <w:rFonts w:ascii="Arial Narrow" w:hAnsi="Arial Narrow" w:cs="Arial"/>
                <w:sz w:val="20"/>
                <w:szCs w:val="20"/>
              </w:rPr>
              <w:t xml:space="preserve"> completed Juvenile Idiopathic Arthritis PBS Authority Application - Supporting Information Form.</w:t>
            </w:r>
          </w:p>
          <w:p w:rsidR="00DE486C" w:rsidRPr="002E6BC6" w:rsidRDefault="00DE486C" w:rsidP="005E0279">
            <w:pPr>
              <w:spacing w:before="40" w:after="40"/>
              <w:rPr>
                <w:rFonts w:ascii="Arial Narrow" w:hAnsi="Arial Narrow" w:cs="Arial"/>
                <w:sz w:val="20"/>
                <w:szCs w:val="20"/>
              </w:rPr>
            </w:pP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All applications for continuing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must include a measurement of response to the prior course of therapy. This assessment </w:t>
            </w:r>
            <w:proofErr w:type="gramStart"/>
            <w:r w:rsidRPr="002E6BC6">
              <w:rPr>
                <w:rFonts w:ascii="Arial Narrow" w:hAnsi="Arial Narrow" w:cs="Arial"/>
                <w:sz w:val="20"/>
                <w:szCs w:val="20"/>
              </w:rPr>
              <w:t>must be submitted</w:t>
            </w:r>
            <w:proofErr w:type="gramEnd"/>
            <w:r w:rsidRPr="002E6BC6">
              <w:rPr>
                <w:rFonts w:ascii="Arial Narrow" w:hAnsi="Arial Narrow" w:cs="Arial"/>
                <w:sz w:val="20"/>
                <w:szCs w:val="20"/>
              </w:rPr>
              <w:t xml:space="preserve"> no later than 4 weeks from the cessation of that treatment course. If the application is the first application for continuing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it </w:t>
            </w:r>
            <w:proofErr w:type="gramStart"/>
            <w:r w:rsidRPr="002E6BC6">
              <w:rPr>
                <w:rFonts w:ascii="Arial Narrow" w:hAnsi="Arial Narrow" w:cs="Arial"/>
                <w:sz w:val="20"/>
                <w:szCs w:val="20"/>
              </w:rPr>
              <w:t>must be accompanied</w:t>
            </w:r>
            <w:proofErr w:type="gramEnd"/>
            <w:r w:rsidRPr="002E6BC6">
              <w:rPr>
                <w:rFonts w:ascii="Arial Narrow" w:hAnsi="Arial Narrow" w:cs="Arial"/>
                <w:sz w:val="20"/>
                <w:szCs w:val="20"/>
              </w:rPr>
              <w:t xml:space="preserve"> by an assessment of response to a minimum of 12 weeks of treatment with an initial treatment course.</w:t>
            </w:r>
          </w:p>
          <w:p w:rsidR="00DE486C" w:rsidRPr="002E6BC6" w:rsidRDefault="00DE486C" w:rsidP="005E0279">
            <w:pPr>
              <w:spacing w:before="40" w:after="40"/>
              <w:rPr>
                <w:rFonts w:ascii="Arial Narrow" w:hAnsi="Arial Narrow" w:cs="Arial"/>
                <w:sz w:val="20"/>
                <w:szCs w:val="20"/>
              </w:rPr>
            </w:pP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Where a response assessment </w:t>
            </w:r>
            <w:proofErr w:type="gramStart"/>
            <w:r w:rsidRPr="002E6BC6">
              <w:rPr>
                <w:rFonts w:ascii="Arial Narrow" w:hAnsi="Arial Narrow" w:cs="Arial"/>
                <w:sz w:val="20"/>
                <w:szCs w:val="20"/>
              </w:rPr>
              <w:t>is not undertaken and submitted within these timeframes, the patient</w:t>
            </w:r>
            <w:proofErr w:type="gramEnd"/>
            <w:r w:rsidRPr="002E6BC6">
              <w:rPr>
                <w:rFonts w:ascii="Arial Narrow" w:hAnsi="Arial Narrow" w:cs="Arial"/>
                <w:sz w:val="20"/>
                <w:szCs w:val="20"/>
              </w:rPr>
              <w:t xml:space="preserve"> will be deemed to have failed to respond to treatment with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w:t>
            </w:r>
          </w:p>
          <w:p w:rsidR="00DE486C" w:rsidRPr="002E6BC6" w:rsidRDefault="00DE486C" w:rsidP="005E0279">
            <w:pPr>
              <w:spacing w:before="40" w:after="40"/>
              <w:rPr>
                <w:rFonts w:ascii="Arial Narrow" w:hAnsi="Arial Narrow" w:cs="Arial"/>
                <w:sz w:val="20"/>
                <w:szCs w:val="20"/>
              </w:rPr>
            </w:pPr>
          </w:p>
          <w:p w:rsidR="005E0279" w:rsidRPr="002E6BC6" w:rsidRDefault="005E0279" w:rsidP="005E0279">
            <w:pPr>
              <w:spacing w:before="40" w:after="40"/>
              <w:rPr>
                <w:rFonts w:ascii="Arial Narrow" w:hAnsi="Arial Narrow" w:cs="Arial"/>
                <w:sz w:val="20"/>
                <w:szCs w:val="20"/>
              </w:rPr>
            </w:pPr>
            <w:r w:rsidRPr="002E6BC6">
              <w:rPr>
                <w:rFonts w:ascii="Arial Narrow" w:hAnsi="Arial Narrow" w:cs="Arial"/>
                <w:sz w:val="20"/>
                <w:szCs w:val="20"/>
              </w:rPr>
              <w:t xml:space="preserve">If a patient fails to respond to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treatment 3 times (once with each </w:t>
            </w:r>
            <w:proofErr w:type="gramStart"/>
            <w:r w:rsidRPr="002E6BC6">
              <w:rPr>
                <w:rFonts w:ascii="Arial Narrow" w:hAnsi="Arial Narrow" w:cs="Arial"/>
                <w:sz w:val="20"/>
                <w:szCs w:val="20"/>
              </w:rPr>
              <w:t>agent)</w:t>
            </w:r>
            <w:proofErr w:type="gramEnd"/>
            <w:r w:rsidRPr="002E6BC6">
              <w:rPr>
                <w:rFonts w:ascii="Arial Narrow" w:hAnsi="Arial Narrow" w:cs="Arial"/>
                <w:sz w:val="20"/>
                <w:szCs w:val="20"/>
              </w:rPr>
              <w:t xml:space="preserve"> they will not be eligible to receive further PBS-subsidised </w:t>
            </w:r>
            <w:proofErr w:type="spellStart"/>
            <w:r w:rsidRPr="002E6BC6">
              <w:rPr>
                <w:rFonts w:ascii="Arial Narrow" w:hAnsi="Arial Narrow" w:cs="Arial"/>
                <w:sz w:val="20"/>
                <w:szCs w:val="20"/>
              </w:rPr>
              <w:t>bDMARD</w:t>
            </w:r>
            <w:proofErr w:type="spellEnd"/>
            <w:r w:rsidRPr="002E6BC6">
              <w:rPr>
                <w:rFonts w:ascii="Arial Narrow" w:hAnsi="Arial Narrow" w:cs="Arial"/>
                <w:sz w:val="20"/>
                <w:szCs w:val="20"/>
              </w:rPr>
              <w:t xml:space="preserve"> therapy in this treatment cycle.</w:t>
            </w:r>
          </w:p>
        </w:tc>
      </w:tr>
      <w:tr w:rsidR="0045439D" w:rsidRPr="002E6BC6" w:rsidTr="005E11C2">
        <w:trPr>
          <w:cantSplit/>
          <w:trHeight w:val="360"/>
        </w:trPr>
        <w:tc>
          <w:tcPr>
            <w:tcW w:w="1063"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45439D" w:rsidRPr="002E6BC6" w:rsidRDefault="0045439D" w:rsidP="005E11C2">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Applications for authority to prescribe should be forwarded to: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Complex Drugs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 xml:space="preserve">Reply Paid 9826 </w:t>
            </w:r>
          </w:p>
          <w:p w:rsidR="0045439D" w:rsidRPr="002E6BC6" w:rsidRDefault="0045439D" w:rsidP="005E11C2">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DB198D" w:rsidRDefault="00DB198D"/>
    <w:tbl>
      <w:tblPr>
        <w:tblW w:w="5000" w:type="pct"/>
        <w:tblLook w:val="0000" w:firstRow="0" w:lastRow="0" w:firstColumn="0" w:lastColumn="0" w:noHBand="0" w:noVBand="0"/>
      </w:tblPr>
      <w:tblGrid>
        <w:gridCol w:w="1917"/>
        <w:gridCol w:w="7099"/>
      </w:tblGrid>
      <w:tr w:rsidR="00DB198D" w:rsidRPr="002E6BC6" w:rsidTr="00682856">
        <w:trPr>
          <w:cantSplit/>
          <w:trHeight w:val="360"/>
        </w:trPr>
        <w:tc>
          <w:tcPr>
            <w:tcW w:w="1063" w:type="pct"/>
            <w:tcBorders>
              <w:top w:val="single" w:sz="4" w:space="0" w:color="auto"/>
              <w:left w:val="single" w:sz="4" w:space="0" w:color="auto"/>
              <w:bottom w:val="single" w:sz="4" w:space="0" w:color="auto"/>
              <w:right w:val="single" w:sz="4" w:space="0" w:color="auto"/>
            </w:tcBorders>
          </w:tcPr>
          <w:p w:rsidR="00DB198D" w:rsidRPr="002E6BC6" w:rsidRDefault="00DB198D" w:rsidP="00682856">
            <w:pPr>
              <w:spacing w:before="40" w:after="40"/>
              <w:jc w:val="both"/>
              <w:rPr>
                <w:rFonts w:ascii="Arial Narrow" w:hAnsi="Arial Narrow" w:cs="Arial"/>
                <w:b/>
                <w:sz w:val="20"/>
                <w:szCs w:val="20"/>
              </w:rPr>
            </w:pPr>
            <w:r w:rsidRPr="002E6BC6">
              <w:rPr>
                <w:rFonts w:ascii="Arial Narrow" w:hAnsi="Arial Narrow" w:cs="Arial"/>
                <w:b/>
                <w:sz w:val="20"/>
                <w:szCs w:val="20"/>
              </w:rPr>
              <w:lastRenderedPageBreak/>
              <w:t xml:space="preserve">Category / </w:t>
            </w:r>
          </w:p>
          <w:p w:rsidR="00DB198D" w:rsidRPr="002E6BC6" w:rsidRDefault="00DB198D" w:rsidP="00682856">
            <w:pPr>
              <w:spacing w:before="40" w:after="40"/>
              <w:jc w:val="both"/>
              <w:rPr>
                <w:rFonts w:ascii="Arial Narrow" w:hAnsi="Arial Narrow" w:cs="Arial"/>
                <w:b/>
                <w:sz w:val="20"/>
                <w:szCs w:val="20"/>
              </w:rPr>
            </w:pPr>
            <w:r w:rsidRPr="002E6BC6">
              <w:rPr>
                <w:rFonts w:ascii="Arial Narrow" w:hAnsi="Arial Narrow" w:cs="Arial"/>
                <w:b/>
                <w:sz w:val="20"/>
                <w:szCs w:val="20"/>
              </w:rPr>
              <w:t>Program</w:t>
            </w:r>
          </w:p>
        </w:tc>
        <w:tc>
          <w:tcPr>
            <w:tcW w:w="3937" w:type="pct"/>
            <w:tcBorders>
              <w:top w:val="single" w:sz="4" w:space="0" w:color="auto"/>
              <w:left w:val="single" w:sz="4" w:space="0" w:color="auto"/>
              <w:bottom w:val="single" w:sz="4" w:space="0" w:color="auto"/>
              <w:right w:val="single" w:sz="4" w:space="0" w:color="auto"/>
            </w:tcBorders>
          </w:tcPr>
          <w:p w:rsidR="00DB198D" w:rsidRPr="002E6BC6" w:rsidRDefault="00DB198D" w:rsidP="00682856">
            <w:pPr>
              <w:spacing w:before="40" w:after="40"/>
              <w:rPr>
                <w:rFonts w:ascii="Arial Narrow" w:hAnsi="Arial Narrow" w:cs="Arial"/>
                <w:sz w:val="20"/>
                <w:szCs w:val="20"/>
              </w:rPr>
            </w:pPr>
            <w:r w:rsidRPr="002E6BC6">
              <w:rPr>
                <w:rFonts w:ascii="Arial Narrow" w:hAnsi="Arial Narrow" w:cs="Arial"/>
                <w:sz w:val="20"/>
                <w:szCs w:val="20"/>
              </w:rPr>
              <w:t>GENERAL – General Schedule (Code GE)</w:t>
            </w:r>
          </w:p>
          <w:p w:rsidR="00DB198D" w:rsidRPr="002E6BC6" w:rsidRDefault="00DB198D" w:rsidP="00682856">
            <w:pPr>
              <w:spacing w:before="40" w:after="40"/>
              <w:rPr>
                <w:rFonts w:ascii="Arial Narrow" w:hAnsi="Arial Narrow" w:cs="Arial"/>
                <w:sz w:val="20"/>
                <w:szCs w:val="20"/>
              </w:rPr>
            </w:pPr>
          </w:p>
        </w:tc>
      </w:tr>
      <w:tr w:rsidR="00DB198D" w:rsidRPr="002E6BC6" w:rsidTr="00682856">
        <w:trPr>
          <w:cantSplit/>
          <w:trHeight w:val="360"/>
        </w:trPr>
        <w:tc>
          <w:tcPr>
            <w:tcW w:w="1063" w:type="pct"/>
            <w:tcBorders>
              <w:top w:val="single" w:sz="4" w:space="0" w:color="auto"/>
              <w:left w:val="single" w:sz="4" w:space="0" w:color="auto"/>
              <w:bottom w:val="single" w:sz="4" w:space="0" w:color="auto"/>
              <w:right w:val="single" w:sz="4" w:space="0" w:color="auto"/>
            </w:tcBorders>
          </w:tcPr>
          <w:p w:rsidR="00DB198D" w:rsidRPr="002E6BC6" w:rsidRDefault="00DB198D" w:rsidP="00682856">
            <w:pPr>
              <w:spacing w:before="40" w:after="40"/>
              <w:jc w:val="both"/>
              <w:rPr>
                <w:rFonts w:ascii="Arial Narrow" w:hAnsi="Arial Narrow" w:cs="Arial"/>
                <w:b/>
                <w:sz w:val="20"/>
                <w:szCs w:val="20"/>
              </w:rPr>
            </w:pPr>
            <w:r w:rsidRPr="002E6BC6">
              <w:rPr>
                <w:rFonts w:ascii="Arial Narrow" w:hAnsi="Arial Narrow" w:cs="Arial"/>
                <w:b/>
                <w:sz w:val="20"/>
                <w:szCs w:val="20"/>
              </w:rPr>
              <w:t>Prescriber type:</w:t>
            </w:r>
          </w:p>
        </w:tc>
        <w:tc>
          <w:tcPr>
            <w:tcW w:w="3937" w:type="pct"/>
            <w:tcBorders>
              <w:top w:val="single" w:sz="4" w:space="0" w:color="auto"/>
              <w:left w:val="single" w:sz="4" w:space="0" w:color="auto"/>
              <w:bottom w:val="single" w:sz="4" w:space="0" w:color="auto"/>
              <w:right w:val="single" w:sz="4" w:space="0" w:color="auto"/>
            </w:tcBorders>
          </w:tcPr>
          <w:p w:rsidR="00DB198D" w:rsidRPr="002E6BC6" w:rsidRDefault="00DB198D" w:rsidP="00682856">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Dental  </w:t>
            </w:r>
            <w:r w:rsidRPr="00A12DB8">
              <w:rPr>
                <w:rFonts w:ascii="Arial Narrow" w:hAnsi="Arial Narrow" w:cs="Arial"/>
                <w:sz w:val="20"/>
                <w:szCs w:val="20"/>
              </w:rPr>
              <w:fldChar w:fldCharType="begin">
                <w:ffData>
                  <w:name w:val=""/>
                  <w:enabled/>
                  <w:calcOnExit w:val="0"/>
                  <w:checkBox>
                    <w:sizeAuto/>
                    <w:default w:val="1"/>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Medical Practitioners  </w:t>
            </w:r>
            <w:r w:rsidRPr="00A12DB8">
              <w:rPr>
                <w:rFonts w:ascii="Arial Narrow" w:hAnsi="Arial Narrow" w:cs="Arial"/>
                <w:sz w:val="20"/>
                <w:szCs w:val="20"/>
              </w:rPr>
              <w:fldChar w:fldCharType="begin">
                <w:ffData>
                  <w:name w:val="Check3"/>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 xml:space="preserve">Nurse practitioners  </w:t>
            </w: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Optometrists</w:t>
            </w:r>
          </w:p>
          <w:p w:rsidR="00DB198D" w:rsidRPr="002E6BC6" w:rsidRDefault="00DB198D" w:rsidP="00682856">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Midwives</w:t>
            </w:r>
          </w:p>
        </w:tc>
      </w:tr>
      <w:tr w:rsidR="00DB198D" w:rsidRPr="002E6BC6" w:rsidTr="00682856">
        <w:trPr>
          <w:cantSplit/>
          <w:trHeight w:val="360"/>
        </w:trPr>
        <w:tc>
          <w:tcPr>
            <w:tcW w:w="1063" w:type="pct"/>
            <w:tcBorders>
              <w:top w:val="single" w:sz="4" w:space="0" w:color="auto"/>
              <w:left w:val="single" w:sz="4" w:space="0" w:color="auto"/>
              <w:bottom w:val="single" w:sz="4" w:space="0" w:color="auto"/>
              <w:right w:val="single" w:sz="4" w:space="0" w:color="auto"/>
            </w:tcBorders>
          </w:tcPr>
          <w:p w:rsidR="00DB198D" w:rsidRPr="002E6BC6" w:rsidRDefault="00DB198D" w:rsidP="00682856">
            <w:pPr>
              <w:spacing w:before="40" w:after="40"/>
              <w:jc w:val="both"/>
              <w:rPr>
                <w:rFonts w:ascii="Arial Narrow" w:hAnsi="Arial Narrow" w:cs="Arial"/>
                <w:b/>
                <w:sz w:val="20"/>
                <w:szCs w:val="20"/>
              </w:rPr>
            </w:pPr>
            <w:r w:rsidRPr="002E6BC6">
              <w:rPr>
                <w:rFonts w:ascii="Arial Narrow" w:hAnsi="Arial Narrow" w:cs="Arial"/>
                <w:b/>
                <w:sz w:val="20"/>
                <w:szCs w:val="20"/>
              </w:rPr>
              <w:t>Condition:</w:t>
            </w:r>
          </w:p>
        </w:tc>
        <w:tc>
          <w:tcPr>
            <w:tcW w:w="3937" w:type="pct"/>
            <w:tcBorders>
              <w:top w:val="single" w:sz="4" w:space="0" w:color="auto"/>
              <w:left w:val="single" w:sz="4" w:space="0" w:color="auto"/>
              <w:bottom w:val="single" w:sz="4" w:space="0" w:color="auto"/>
              <w:right w:val="single" w:sz="4" w:space="0" w:color="auto"/>
            </w:tcBorders>
          </w:tcPr>
          <w:p w:rsidR="00DB198D" w:rsidRPr="002E6BC6" w:rsidRDefault="00DB198D" w:rsidP="00682856">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0B2305"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jc w:val="both"/>
              <w:rPr>
                <w:rFonts w:ascii="Arial Narrow" w:hAnsi="Arial Narrow" w:cs="Arial"/>
                <w:b/>
                <w:sz w:val="20"/>
                <w:szCs w:val="20"/>
              </w:rPr>
            </w:pPr>
            <w:r w:rsidRPr="002E6BC6">
              <w:rPr>
                <w:rFonts w:ascii="Arial Narrow" w:hAnsi="Arial Narrow" w:cs="Arial"/>
                <w:b/>
                <w:sz w:val="20"/>
                <w:szCs w:val="20"/>
              </w:rPr>
              <w:t>PBS Indication:</w:t>
            </w:r>
          </w:p>
        </w:tc>
        <w:tc>
          <w:tcPr>
            <w:tcW w:w="3937"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Severe active juvenile idiopathic arthritis</w:t>
            </w:r>
          </w:p>
        </w:tc>
      </w:tr>
      <w:tr w:rsidR="000B2305"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jc w:val="both"/>
              <w:rPr>
                <w:rFonts w:ascii="Arial Narrow" w:hAnsi="Arial Narrow" w:cs="Arial"/>
                <w:b/>
                <w:sz w:val="20"/>
                <w:szCs w:val="20"/>
              </w:rPr>
            </w:pPr>
            <w:r w:rsidRPr="002E6BC6">
              <w:rPr>
                <w:rFonts w:ascii="Arial Narrow" w:hAnsi="Arial Narrow" w:cs="Arial"/>
                <w:b/>
                <w:sz w:val="20"/>
                <w:szCs w:val="20"/>
              </w:rPr>
              <w:t>Treatment phase:</w:t>
            </w:r>
          </w:p>
        </w:tc>
        <w:tc>
          <w:tcPr>
            <w:tcW w:w="3937"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Continuing Treatment – balance of supply</w:t>
            </w:r>
          </w:p>
        </w:tc>
      </w:tr>
      <w:tr w:rsidR="000B2305"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jc w:val="both"/>
              <w:rPr>
                <w:rFonts w:ascii="Arial Narrow" w:hAnsi="Arial Narrow" w:cs="Arial"/>
                <w:b/>
                <w:sz w:val="20"/>
                <w:szCs w:val="20"/>
              </w:rPr>
            </w:pPr>
            <w:r w:rsidRPr="002E6BC6">
              <w:rPr>
                <w:rFonts w:ascii="Arial Narrow" w:hAnsi="Arial Narrow" w:cs="Arial"/>
                <w:b/>
                <w:sz w:val="20"/>
                <w:szCs w:val="20"/>
              </w:rPr>
              <w:t>Restriction Level / Method:</w:t>
            </w:r>
          </w:p>
          <w:p w:rsidR="000B2305" w:rsidRPr="002E6BC6" w:rsidRDefault="000B2305" w:rsidP="00376873">
            <w:pPr>
              <w:spacing w:before="40" w:after="40"/>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1"/>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Restricted benefit</w:t>
            </w:r>
          </w:p>
          <w:p w:rsidR="000B2305" w:rsidRPr="002E6BC6" w:rsidRDefault="00A12DB8"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0B2305" w:rsidRPr="002E6BC6">
              <w:rPr>
                <w:rFonts w:ascii="Arial Narrow" w:hAnsi="Arial Narrow" w:cs="Arial"/>
                <w:sz w:val="20"/>
                <w:szCs w:val="20"/>
              </w:rPr>
              <w:t>Authority Required - In Writing</w:t>
            </w:r>
          </w:p>
          <w:p w:rsidR="000B2305" w:rsidRPr="002E6BC6" w:rsidRDefault="00A12DB8" w:rsidP="0037687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Pr>
                <w:rFonts w:ascii="Arial Narrow" w:hAnsi="Arial Narrow" w:cs="Arial"/>
                <w:sz w:val="20"/>
                <w:szCs w:val="20"/>
              </w:rPr>
              <w:fldChar w:fldCharType="end"/>
            </w:r>
            <w:r w:rsidR="000B2305" w:rsidRPr="002E6BC6">
              <w:rPr>
                <w:rFonts w:ascii="Arial Narrow" w:hAnsi="Arial Narrow" w:cs="Arial"/>
                <w:sz w:val="20"/>
                <w:szCs w:val="20"/>
              </w:rPr>
              <w:t>Authority Required - Telephone</w:t>
            </w:r>
          </w:p>
          <w:p w:rsidR="000B2305" w:rsidRPr="002E6BC6" w:rsidRDefault="000B2305"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Emergency</w:t>
            </w:r>
          </w:p>
          <w:p w:rsidR="000B2305" w:rsidRPr="002E6BC6" w:rsidRDefault="000B2305"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Authority Required - Electronic</w:t>
            </w:r>
          </w:p>
          <w:p w:rsidR="000B2305" w:rsidRPr="002E6BC6" w:rsidRDefault="000B2305" w:rsidP="00376873">
            <w:pPr>
              <w:spacing w:before="40" w:after="40"/>
              <w:rPr>
                <w:rFonts w:ascii="Arial Narrow" w:hAnsi="Arial Narrow" w:cs="Arial"/>
                <w:sz w:val="20"/>
                <w:szCs w:val="20"/>
              </w:rPr>
            </w:pPr>
            <w:r w:rsidRPr="00A12DB8">
              <w:rPr>
                <w:rFonts w:ascii="Arial Narrow" w:hAnsi="Arial Narrow" w:cs="Arial"/>
                <w:sz w:val="20"/>
                <w:szCs w:val="20"/>
              </w:rPr>
              <w:fldChar w:fldCharType="begin">
                <w:ffData>
                  <w:name w:val="Check5"/>
                  <w:enabled/>
                  <w:calcOnExit w:val="0"/>
                  <w:checkBox>
                    <w:sizeAuto/>
                    <w:default w:val="0"/>
                  </w:checkBox>
                </w:ffData>
              </w:fldChar>
            </w:r>
            <w:r w:rsidRPr="002E6BC6">
              <w:rPr>
                <w:rFonts w:ascii="Arial Narrow" w:hAnsi="Arial Narrow" w:cs="Arial"/>
                <w:sz w:val="20"/>
                <w:szCs w:val="20"/>
              </w:rPr>
              <w:instrText xml:space="preserve"> FORMCHECKBOX </w:instrText>
            </w:r>
            <w:r w:rsidR="00C4269E">
              <w:rPr>
                <w:rFonts w:ascii="Arial Narrow" w:hAnsi="Arial Narrow" w:cs="Arial"/>
                <w:sz w:val="20"/>
                <w:szCs w:val="20"/>
              </w:rPr>
            </w:r>
            <w:r w:rsidR="00C4269E">
              <w:rPr>
                <w:rFonts w:ascii="Arial Narrow" w:hAnsi="Arial Narrow" w:cs="Arial"/>
                <w:sz w:val="20"/>
                <w:szCs w:val="20"/>
              </w:rPr>
              <w:fldChar w:fldCharType="separate"/>
            </w:r>
            <w:r w:rsidRPr="00A12DB8">
              <w:rPr>
                <w:rFonts w:ascii="Arial Narrow" w:hAnsi="Arial Narrow" w:cs="Arial"/>
                <w:sz w:val="20"/>
                <w:szCs w:val="20"/>
              </w:rPr>
              <w:fldChar w:fldCharType="end"/>
            </w:r>
            <w:r w:rsidRPr="002E6BC6">
              <w:rPr>
                <w:rFonts w:ascii="Arial Narrow" w:hAnsi="Arial Narrow" w:cs="Arial"/>
                <w:sz w:val="20"/>
                <w:szCs w:val="20"/>
              </w:rPr>
              <w:t>Streamlined</w:t>
            </w:r>
          </w:p>
        </w:tc>
      </w:tr>
      <w:tr w:rsidR="000B2305"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jc w:val="both"/>
              <w:rPr>
                <w:rFonts w:ascii="Arial Narrow" w:hAnsi="Arial Narrow" w:cs="Arial"/>
                <w:b/>
                <w:sz w:val="20"/>
                <w:szCs w:val="20"/>
              </w:rPr>
            </w:pPr>
            <w:r w:rsidRPr="002E6BC6">
              <w:rPr>
                <w:rFonts w:ascii="Arial Narrow" w:hAnsi="Arial Narrow" w:cs="Arial"/>
                <w:b/>
                <w:sz w:val="20"/>
                <w:szCs w:val="20"/>
              </w:rPr>
              <w:t xml:space="preserve">Treatment criteria: </w:t>
            </w:r>
          </w:p>
        </w:tc>
        <w:tc>
          <w:tcPr>
            <w:tcW w:w="3937"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Must be treated by a paediatric rheumatologist; or</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be undergoing treatment under the supervision of a </w:t>
            </w:r>
            <w:proofErr w:type="gramStart"/>
            <w:r w:rsidRPr="002E6BC6">
              <w:rPr>
                <w:rFonts w:ascii="Arial Narrow" w:hAnsi="Arial Narrow" w:cs="Arial"/>
                <w:sz w:val="20"/>
                <w:szCs w:val="20"/>
              </w:rPr>
              <w:t>paediatric rheumatology treatment centre</w:t>
            </w:r>
            <w:proofErr w:type="gramEnd"/>
            <w:r w:rsidRPr="002E6BC6">
              <w:rPr>
                <w:rFonts w:ascii="Arial Narrow" w:hAnsi="Arial Narrow" w:cs="Arial"/>
                <w:sz w:val="20"/>
                <w:szCs w:val="20"/>
              </w:rPr>
              <w:t xml:space="preserve">. </w:t>
            </w:r>
          </w:p>
        </w:tc>
      </w:tr>
      <w:tr w:rsidR="000B2305"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jc w:val="both"/>
              <w:rPr>
                <w:rFonts w:ascii="Arial Narrow" w:hAnsi="Arial Narrow" w:cs="Arial"/>
                <w:b/>
                <w:sz w:val="20"/>
                <w:szCs w:val="20"/>
              </w:rPr>
            </w:pPr>
            <w:r w:rsidRPr="002E6BC6">
              <w:rPr>
                <w:rFonts w:ascii="Arial Narrow" w:hAnsi="Arial Narrow" w:cs="Arial"/>
                <w:b/>
                <w:sz w:val="20"/>
                <w:szCs w:val="20"/>
              </w:rPr>
              <w:t>Clinical criteria:</w:t>
            </w:r>
          </w:p>
          <w:p w:rsidR="000B2305" w:rsidRPr="002E6BC6" w:rsidRDefault="000B2305" w:rsidP="00376873">
            <w:pPr>
              <w:spacing w:before="40" w:after="40"/>
              <w:jc w:val="both"/>
              <w:rPr>
                <w:rFonts w:ascii="Arial Narrow" w:hAnsi="Arial Narrow" w:cs="Arial"/>
                <w:sz w:val="20"/>
                <w:szCs w:val="20"/>
              </w:rPr>
            </w:pPr>
          </w:p>
        </w:tc>
        <w:tc>
          <w:tcPr>
            <w:tcW w:w="3937"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 xml:space="preserve">Patient must have received insufficient </w:t>
            </w:r>
            <w:proofErr w:type="spellStart"/>
            <w:r w:rsidRPr="002E6BC6">
              <w:rPr>
                <w:rFonts w:ascii="Arial Narrow" w:hAnsi="Arial Narrow" w:cs="Arial"/>
                <w:sz w:val="20"/>
                <w:szCs w:val="20"/>
              </w:rPr>
              <w:t>tocilizumab</w:t>
            </w:r>
            <w:proofErr w:type="spellEnd"/>
            <w:r w:rsidRPr="002E6BC6">
              <w:rPr>
                <w:rFonts w:ascii="Arial Narrow" w:hAnsi="Arial Narrow" w:cs="Arial"/>
                <w:sz w:val="20"/>
                <w:szCs w:val="20"/>
              </w:rPr>
              <w:t xml:space="preserve"> therapy under the Continuing Treatment restriction to complete 24 weeks treatment;</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AND</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The treatment must provide no more than the balance of up to 24 weeks treatment available under the above restriction.</w:t>
            </w:r>
          </w:p>
        </w:tc>
      </w:tr>
      <w:tr w:rsidR="000B2305" w:rsidRPr="002E6BC6" w:rsidTr="00376873">
        <w:trPr>
          <w:cantSplit/>
          <w:trHeight w:val="360"/>
        </w:trPr>
        <w:tc>
          <w:tcPr>
            <w:tcW w:w="1063"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jc w:val="both"/>
              <w:rPr>
                <w:rFonts w:ascii="Arial Narrow" w:hAnsi="Arial Narrow" w:cs="Arial"/>
                <w:b/>
                <w:sz w:val="20"/>
                <w:szCs w:val="20"/>
              </w:rPr>
            </w:pPr>
            <w:r w:rsidRPr="002E6BC6">
              <w:rPr>
                <w:rFonts w:ascii="Arial Narrow" w:hAnsi="Arial Narrow" w:cs="Arial"/>
                <w:b/>
                <w:sz w:val="20"/>
                <w:szCs w:val="20"/>
              </w:rPr>
              <w:t>Administrative Advice:</w:t>
            </w:r>
          </w:p>
          <w:p w:rsidR="000B2305" w:rsidRPr="002E6BC6" w:rsidRDefault="000B2305" w:rsidP="00376873">
            <w:pPr>
              <w:spacing w:before="40" w:after="40"/>
              <w:jc w:val="both"/>
              <w:rPr>
                <w:rFonts w:ascii="Arial Narrow" w:hAnsi="Arial Narrow" w:cs="Arial"/>
                <w:b/>
                <w:sz w:val="20"/>
                <w:szCs w:val="20"/>
              </w:rPr>
            </w:pPr>
          </w:p>
        </w:tc>
        <w:tc>
          <w:tcPr>
            <w:tcW w:w="3937" w:type="pct"/>
            <w:tcBorders>
              <w:top w:val="single" w:sz="4" w:space="0" w:color="auto"/>
              <w:left w:val="single" w:sz="4" w:space="0" w:color="auto"/>
              <w:bottom w:val="single" w:sz="4" w:space="0" w:color="auto"/>
              <w:right w:val="single" w:sz="4" w:space="0" w:color="auto"/>
            </w:tcBorders>
          </w:tcPr>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Written application for authority approval for sufficient therapy to complete a maximum of 24 weeks of treatment should be forwarded to:</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Department of Human Services</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Complex Drugs</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Reply Paid 9826</w:t>
            </w:r>
          </w:p>
          <w:p w:rsidR="000B2305" w:rsidRPr="002E6BC6" w:rsidRDefault="000B2305" w:rsidP="00376873">
            <w:pPr>
              <w:spacing w:before="40" w:after="40"/>
              <w:rPr>
                <w:rFonts w:ascii="Arial Narrow" w:hAnsi="Arial Narrow" w:cs="Arial"/>
                <w:sz w:val="20"/>
                <w:szCs w:val="20"/>
              </w:rPr>
            </w:pPr>
            <w:r w:rsidRPr="002E6BC6">
              <w:rPr>
                <w:rFonts w:ascii="Arial Narrow" w:hAnsi="Arial Narrow" w:cs="Arial"/>
                <w:sz w:val="20"/>
                <w:szCs w:val="20"/>
              </w:rPr>
              <w:t>HOBART TAS 7001</w:t>
            </w:r>
          </w:p>
        </w:tc>
      </w:tr>
    </w:tbl>
    <w:p w:rsidR="0045439D" w:rsidRPr="002E6BC6" w:rsidRDefault="0045439D" w:rsidP="00DC1927"/>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TREATMENT OF PATIENTS WITH SEVERE ACTIVE JUVENILE IDIOPATHIC ARTHRITIS</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The following information applies to the prescribing under the Pharmaceutical Benefits Scheme (PBS) of </w:t>
      </w:r>
      <w:proofErr w:type="spellStart"/>
      <w:r w:rsidRPr="002E6BC6">
        <w:rPr>
          <w:rFonts w:ascii="Arial Narrow" w:hAnsi="Arial Narrow" w:cs="Arial"/>
          <w:color w:val="333333"/>
          <w:sz w:val="20"/>
          <w:szCs w:val="20"/>
        </w:rPr>
        <w:t>adalimumab</w:t>
      </w:r>
      <w:proofErr w:type="spellEnd"/>
      <w:r w:rsidRPr="002E6BC6">
        <w:rPr>
          <w:rFonts w:ascii="Arial Narrow" w:hAnsi="Arial Narrow" w:cs="Arial"/>
          <w:color w:val="333333"/>
          <w:sz w:val="20"/>
          <w:szCs w:val="20"/>
        </w:rPr>
        <w:t xml:space="preserve">, </w:t>
      </w:r>
      <w:proofErr w:type="spellStart"/>
      <w:r w:rsidRPr="002E6BC6">
        <w:rPr>
          <w:rFonts w:ascii="Arial Narrow" w:hAnsi="Arial Narrow" w:cs="Arial"/>
          <w:color w:val="333333"/>
          <w:sz w:val="20"/>
          <w:szCs w:val="20"/>
        </w:rPr>
        <w:t>etanercept</w:t>
      </w:r>
      <w:proofErr w:type="spellEnd"/>
      <w:r w:rsidRPr="002E6BC6">
        <w:rPr>
          <w:rFonts w:ascii="Arial Narrow" w:hAnsi="Arial Narrow" w:cs="Arial"/>
          <w:color w:val="333333"/>
          <w:sz w:val="20"/>
          <w:szCs w:val="20"/>
        </w:rPr>
        <w:t xml:space="preserve"> and </w:t>
      </w:r>
      <w:proofErr w:type="spellStart"/>
      <w:r w:rsidRPr="002E6BC6">
        <w:rPr>
          <w:rFonts w:ascii="Arial Narrow" w:hAnsi="Arial Narrow" w:cs="Arial"/>
          <w:color w:val="333333"/>
          <w:sz w:val="20"/>
          <w:szCs w:val="20"/>
        </w:rPr>
        <w:t>tocilizumab</w:t>
      </w:r>
      <w:proofErr w:type="spellEnd"/>
      <w:r w:rsidRPr="002E6BC6">
        <w:rPr>
          <w:rFonts w:ascii="Arial Narrow" w:hAnsi="Arial Narrow" w:cs="Arial"/>
          <w:color w:val="333333"/>
          <w:sz w:val="20"/>
          <w:szCs w:val="20"/>
        </w:rPr>
        <w:t xml:space="preserve"> for a patient who has severe active juvenile idiopathic arthritis. Where the term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appears in notes and restrictions, it refers to </w:t>
      </w:r>
      <w:proofErr w:type="spellStart"/>
      <w:r w:rsidRPr="002E6BC6">
        <w:rPr>
          <w:rFonts w:ascii="Arial Narrow" w:hAnsi="Arial Narrow" w:cs="Arial"/>
          <w:color w:val="333333"/>
          <w:sz w:val="20"/>
          <w:szCs w:val="20"/>
        </w:rPr>
        <w:t>adalimumab</w:t>
      </w:r>
      <w:proofErr w:type="spellEnd"/>
      <w:r w:rsidRPr="002E6BC6">
        <w:rPr>
          <w:rFonts w:ascii="Arial Narrow" w:hAnsi="Arial Narrow" w:cs="Arial"/>
          <w:color w:val="333333"/>
          <w:sz w:val="20"/>
          <w:szCs w:val="20"/>
        </w:rPr>
        <w:t xml:space="preserve">, </w:t>
      </w:r>
      <w:proofErr w:type="spellStart"/>
      <w:r w:rsidRPr="002E6BC6">
        <w:rPr>
          <w:rFonts w:ascii="Arial Narrow" w:hAnsi="Arial Narrow" w:cs="Arial"/>
          <w:color w:val="333333"/>
          <w:sz w:val="20"/>
          <w:szCs w:val="20"/>
        </w:rPr>
        <w:t>etanercept</w:t>
      </w:r>
      <w:proofErr w:type="spellEnd"/>
      <w:r w:rsidRPr="002E6BC6">
        <w:rPr>
          <w:rFonts w:ascii="Arial Narrow" w:hAnsi="Arial Narrow" w:cs="Arial"/>
          <w:color w:val="333333"/>
          <w:sz w:val="20"/>
          <w:szCs w:val="20"/>
        </w:rPr>
        <w:t xml:space="preserve"> and </w:t>
      </w:r>
      <w:proofErr w:type="spellStart"/>
      <w:r w:rsidRPr="002E6BC6">
        <w:rPr>
          <w:rFonts w:ascii="Arial Narrow" w:hAnsi="Arial Narrow" w:cs="Arial"/>
          <w:color w:val="333333"/>
          <w:sz w:val="20"/>
          <w:szCs w:val="20"/>
        </w:rPr>
        <w:t>tocilizumab</w:t>
      </w:r>
      <w:proofErr w:type="spellEnd"/>
      <w:r w:rsidRPr="002E6BC6">
        <w:rPr>
          <w:rFonts w:ascii="Arial Narrow" w:hAnsi="Arial Narrow" w:cs="Arial"/>
          <w:color w:val="333333"/>
          <w:sz w:val="20"/>
          <w:szCs w:val="20"/>
        </w:rPr>
        <w:t xml:space="preserve"> only.</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is eligible for PBS-subsidised treatment with only </w:t>
      </w:r>
      <w:proofErr w:type="gramStart"/>
      <w:r w:rsidRPr="002E6BC6">
        <w:rPr>
          <w:rFonts w:ascii="Arial Narrow" w:hAnsi="Arial Narrow" w:cs="Arial"/>
          <w:color w:val="333333"/>
          <w:sz w:val="20"/>
          <w:szCs w:val="20"/>
        </w:rPr>
        <w:t>1</w:t>
      </w:r>
      <w:proofErr w:type="gramEnd"/>
      <w:r w:rsidRPr="002E6BC6">
        <w:rPr>
          <w:rFonts w:ascii="Arial Narrow" w:hAnsi="Arial Narrow" w:cs="Arial"/>
          <w:color w:val="333333"/>
          <w:sz w:val="20"/>
          <w:szCs w:val="20"/>
        </w:rPr>
        <w:t xml:space="preserve"> of the 3 </w:t>
      </w:r>
      <w:proofErr w:type="spellStart"/>
      <w:r w:rsidRPr="002E6BC6">
        <w:rPr>
          <w:rFonts w:ascii="Arial Narrow" w:hAnsi="Arial Narrow" w:cs="Arial"/>
          <w:color w:val="333333"/>
          <w:sz w:val="20"/>
          <w:szCs w:val="20"/>
        </w:rPr>
        <w:t>bDMARDs</w:t>
      </w:r>
      <w:proofErr w:type="spellEnd"/>
      <w:r w:rsidRPr="002E6BC6">
        <w:rPr>
          <w:rFonts w:ascii="Arial Narrow" w:hAnsi="Arial Narrow" w:cs="Arial"/>
          <w:color w:val="333333"/>
          <w:sz w:val="20"/>
          <w:szCs w:val="20"/>
        </w:rPr>
        <w:t xml:space="preserve"> at any one time.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From 1 April 2014, a patient receiving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therapy </w:t>
      </w:r>
      <w:proofErr w:type="gramStart"/>
      <w:r w:rsidRPr="002E6BC6">
        <w:rPr>
          <w:rFonts w:ascii="Arial Narrow" w:hAnsi="Arial Narrow" w:cs="Arial"/>
          <w:color w:val="333333"/>
          <w:sz w:val="20"/>
          <w:szCs w:val="20"/>
        </w:rPr>
        <w:t>is considered</w:t>
      </w:r>
      <w:proofErr w:type="gramEnd"/>
      <w:r w:rsidRPr="002E6BC6">
        <w:rPr>
          <w:rFonts w:ascii="Arial Narrow" w:hAnsi="Arial Narrow" w:cs="Arial"/>
          <w:color w:val="333333"/>
          <w:sz w:val="20"/>
          <w:szCs w:val="20"/>
        </w:rPr>
        <w:t xml:space="preserve"> to be in a treatment cycle where they may swap to an alternate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without having to experience a disease flare. Under these interchangeability arrangements, within a single treatment cycle, a patient may:</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w:t>
      </w:r>
      <w:proofErr w:type="spellStart"/>
      <w:r w:rsidRPr="002E6BC6">
        <w:rPr>
          <w:rFonts w:ascii="Arial Narrow" w:hAnsi="Arial Narrow" w:cs="Arial"/>
          <w:color w:val="333333"/>
          <w:sz w:val="20"/>
          <w:szCs w:val="20"/>
        </w:rPr>
        <w:t>i</w:t>
      </w:r>
      <w:proofErr w:type="spellEnd"/>
      <w:r w:rsidRPr="002E6BC6">
        <w:rPr>
          <w:rFonts w:ascii="Arial Narrow" w:hAnsi="Arial Narrow" w:cs="Arial"/>
          <w:color w:val="333333"/>
          <w:sz w:val="20"/>
          <w:szCs w:val="20"/>
        </w:rPr>
        <w:t xml:space="preserve">) </w:t>
      </w:r>
      <w:proofErr w:type="gramStart"/>
      <w:r w:rsidRPr="002E6BC6">
        <w:rPr>
          <w:rFonts w:ascii="Arial Narrow" w:hAnsi="Arial Narrow" w:cs="Arial"/>
          <w:color w:val="333333"/>
          <w:sz w:val="20"/>
          <w:szCs w:val="20"/>
        </w:rPr>
        <w:t>continue</w:t>
      </w:r>
      <w:proofErr w:type="gramEnd"/>
      <w:r w:rsidRPr="002E6BC6">
        <w:rPr>
          <w:rFonts w:ascii="Arial Narrow" w:hAnsi="Arial Narrow" w:cs="Arial"/>
          <w:color w:val="333333"/>
          <w:sz w:val="20"/>
          <w:szCs w:val="20"/>
        </w:rPr>
        <w:t xml:space="preserve"> to receive long-term treatment with a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while they continue to show a response to therapy; and</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(ii) </w:t>
      </w:r>
      <w:proofErr w:type="gramStart"/>
      <w:r w:rsidRPr="002E6BC6">
        <w:rPr>
          <w:rFonts w:ascii="Arial Narrow" w:hAnsi="Arial Narrow" w:cs="Arial"/>
          <w:color w:val="333333"/>
          <w:sz w:val="20"/>
          <w:szCs w:val="20"/>
        </w:rPr>
        <w:t>fail</w:t>
      </w:r>
      <w:proofErr w:type="gramEnd"/>
      <w:r w:rsidRPr="002E6BC6">
        <w:rPr>
          <w:rFonts w:ascii="Arial Narrow" w:hAnsi="Arial Narrow" w:cs="Arial"/>
          <w:color w:val="333333"/>
          <w:sz w:val="20"/>
          <w:szCs w:val="20"/>
        </w:rPr>
        <w:t xml:space="preserve"> to respond or to sustain a response to each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once only.</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Once a patient has either failed or ceased to respond to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treatment 3 times, they are deemed to have completed a single treatment cycle and they must have, at a minimum, a </w:t>
      </w:r>
      <w:proofErr w:type="gramStart"/>
      <w:r w:rsidRPr="002E6BC6">
        <w:rPr>
          <w:rFonts w:ascii="Arial Narrow" w:hAnsi="Arial Narrow" w:cs="Arial"/>
          <w:color w:val="333333"/>
          <w:sz w:val="20"/>
          <w:szCs w:val="20"/>
        </w:rPr>
        <w:t>12 month</w:t>
      </w:r>
      <w:proofErr w:type="gramEnd"/>
      <w:r w:rsidRPr="002E6BC6">
        <w:rPr>
          <w:rFonts w:ascii="Arial Narrow" w:hAnsi="Arial Narrow" w:cs="Arial"/>
          <w:color w:val="333333"/>
          <w:sz w:val="20"/>
          <w:szCs w:val="20"/>
        </w:rPr>
        <w:t xml:space="preserve"> break in PBS-subsidised biological therapy before they are eligible to receive further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therapy. The length of a treatment break </w:t>
      </w:r>
      <w:proofErr w:type="gramStart"/>
      <w:r w:rsidRPr="002E6BC6">
        <w:rPr>
          <w:rFonts w:ascii="Arial Narrow" w:hAnsi="Arial Narrow" w:cs="Arial"/>
          <w:color w:val="333333"/>
          <w:sz w:val="20"/>
          <w:szCs w:val="20"/>
        </w:rPr>
        <w:t xml:space="preserve">is </w:t>
      </w:r>
      <w:r w:rsidRPr="002E6BC6">
        <w:rPr>
          <w:rFonts w:ascii="Arial Narrow" w:hAnsi="Arial Narrow" w:cs="Arial"/>
          <w:color w:val="333333"/>
          <w:sz w:val="20"/>
          <w:szCs w:val="20"/>
        </w:rPr>
        <w:lastRenderedPageBreak/>
        <w:t>measured</w:t>
      </w:r>
      <w:proofErr w:type="gramEnd"/>
      <w:r w:rsidRPr="002E6BC6">
        <w:rPr>
          <w:rFonts w:ascii="Arial Narrow" w:hAnsi="Arial Narrow" w:cs="Arial"/>
          <w:color w:val="333333"/>
          <w:sz w:val="20"/>
          <w:szCs w:val="20"/>
        </w:rPr>
        <w:t xml:space="preserve"> from the date the most recent treatment with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treatment was stopped to the date of the first application for initial treatment with a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under the new treatment cycle.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who was receiving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treatment immediately prior to 1 April 2014 </w:t>
      </w:r>
      <w:proofErr w:type="gramStart"/>
      <w:r w:rsidRPr="002E6BC6">
        <w:rPr>
          <w:rFonts w:ascii="Arial Narrow" w:hAnsi="Arial Narrow" w:cs="Arial"/>
          <w:color w:val="333333"/>
          <w:sz w:val="20"/>
          <w:szCs w:val="20"/>
        </w:rPr>
        <w:t>is considered</w:t>
      </w:r>
      <w:proofErr w:type="gramEnd"/>
      <w:r w:rsidRPr="002E6BC6">
        <w:rPr>
          <w:rFonts w:ascii="Arial Narrow" w:hAnsi="Arial Narrow" w:cs="Arial"/>
          <w:color w:val="333333"/>
          <w:sz w:val="20"/>
          <w:szCs w:val="20"/>
        </w:rPr>
        <w:t xml:space="preserve"> to be in their first cycle as of 1 April 2014. A </w:t>
      </w:r>
      <w:proofErr w:type="gramStart"/>
      <w:r w:rsidRPr="002E6BC6">
        <w:rPr>
          <w:rFonts w:ascii="Arial Narrow" w:hAnsi="Arial Narrow" w:cs="Arial"/>
          <w:color w:val="333333"/>
          <w:sz w:val="20"/>
          <w:szCs w:val="20"/>
        </w:rPr>
        <w:t>patient</w:t>
      </w:r>
      <w:proofErr w:type="gramEnd"/>
      <w:r w:rsidRPr="002E6BC6">
        <w:rPr>
          <w:rFonts w:ascii="Arial Narrow" w:hAnsi="Arial Narrow" w:cs="Arial"/>
          <w:color w:val="333333"/>
          <w:sz w:val="20"/>
          <w:szCs w:val="20"/>
        </w:rPr>
        <w:t xml:space="preserve"> who has had a break in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treatment of at least 12 months immediately prior to making a new application, on or after 1 April 2014, will commence a new treatment cycle.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who has failed fewer than </w:t>
      </w:r>
      <w:proofErr w:type="gramStart"/>
      <w:r w:rsidRPr="002E6BC6">
        <w:rPr>
          <w:rFonts w:ascii="Arial Narrow" w:hAnsi="Arial Narrow" w:cs="Arial"/>
          <w:color w:val="333333"/>
          <w:sz w:val="20"/>
          <w:szCs w:val="20"/>
        </w:rPr>
        <w:t>3</w:t>
      </w:r>
      <w:proofErr w:type="gramEnd"/>
      <w:r w:rsidRPr="002E6BC6">
        <w:rPr>
          <w:rFonts w:ascii="Arial Narrow" w:hAnsi="Arial Narrow" w:cs="Arial"/>
          <w:color w:val="333333"/>
          <w:sz w:val="20"/>
          <w:szCs w:val="20"/>
        </w:rPr>
        <w:t xml:space="preserve"> trials of a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in a treatment cycle and who has a break in therapy of less than 12 months may commence a further course of treatment within the same treatment cycle.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who has failed fewer than </w:t>
      </w:r>
      <w:proofErr w:type="gramStart"/>
      <w:r w:rsidRPr="002E6BC6">
        <w:rPr>
          <w:rFonts w:ascii="Arial Narrow" w:hAnsi="Arial Narrow" w:cs="Arial"/>
          <w:color w:val="333333"/>
          <w:sz w:val="20"/>
          <w:szCs w:val="20"/>
        </w:rPr>
        <w:t>3</w:t>
      </w:r>
      <w:proofErr w:type="gramEnd"/>
      <w:r w:rsidRPr="002E6BC6">
        <w:rPr>
          <w:rFonts w:ascii="Arial Narrow" w:hAnsi="Arial Narrow" w:cs="Arial"/>
          <w:color w:val="333333"/>
          <w:sz w:val="20"/>
          <w:szCs w:val="20"/>
        </w:rPr>
        <w:t xml:space="preserve"> trials of a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in a treatment cycle and who has a break in therapy of more than 12 months must commence a new treatment cycle.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roofErr w:type="gramStart"/>
      <w:r w:rsidRPr="002E6BC6">
        <w:rPr>
          <w:rFonts w:ascii="Arial Narrow" w:hAnsi="Arial Narrow" w:cs="Arial"/>
          <w:color w:val="333333"/>
          <w:sz w:val="20"/>
          <w:szCs w:val="20"/>
        </w:rPr>
        <w:t>There is no limit to the number of treatment cycles a patient may undertake.</w:t>
      </w:r>
      <w:proofErr w:type="gramEnd"/>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(1) How to prescribe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therapy after 1 April 2014.</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(a) Initial treatment.</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Applications for initial treatment </w:t>
      </w:r>
      <w:proofErr w:type="gramStart"/>
      <w:r w:rsidRPr="002E6BC6">
        <w:rPr>
          <w:rFonts w:ascii="Arial Narrow" w:hAnsi="Arial Narrow" w:cs="Arial"/>
          <w:color w:val="333333"/>
          <w:sz w:val="20"/>
          <w:szCs w:val="20"/>
        </w:rPr>
        <w:t>should be made</w:t>
      </w:r>
      <w:proofErr w:type="gramEnd"/>
      <w:r w:rsidRPr="002E6BC6">
        <w:rPr>
          <w:rFonts w:ascii="Arial Narrow" w:hAnsi="Arial Narrow" w:cs="Arial"/>
          <w:color w:val="333333"/>
          <w:sz w:val="20"/>
          <w:szCs w:val="20"/>
        </w:rPr>
        <w:t xml:space="preserve"> where: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w:t>
      </w:r>
      <w:proofErr w:type="spellStart"/>
      <w:r w:rsidRPr="002E6BC6">
        <w:rPr>
          <w:rFonts w:ascii="Arial Narrow" w:hAnsi="Arial Narrow" w:cs="Arial"/>
          <w:color w:val="333333"/>
          <w:sz w:val="20"/>
          <w:szCs w:val="20"/>
        </w:rPr>
        <w:t>i</w:t>
      </w:r>
      <w:proofErr w:type="spellEnd"/>
      <w:r w:rsidRPr="002E6BC6">
        <w:rPr>
          <w:rFonts w:ascii="Arial Narrow" w:hAnsi="Arial Narrow" w:cs="Arial"/>
          <w:color w:val="333333"/>
          <w:sz w:val="20"/>
          <w:szCs w:val="20"/>
        </w:rPr>
        <w:t xml:space="preserve">) </w:t>
      </w:r>
      <w:proofErr w:type="gramStart"/>
      <w:r w:rsidRPr="002E6BC6">
        <w:rPr>
          <w:rFonts w:ascii="Arial Narrow" w:hAnsi="Arial Narrow" w:cs="Arial"/>
          <w:color w:val="333333"/>
          <w:sz w:val="20"/>
          <w:szCs w:val="20"/>
        </w:rPr>
        <w:t>a</w:t>
      </w:r>
      <w:proofErr w:type="gramEnd"/>
      <w:r w:rsidRPr="002E6BC6">
        <w:rPr>
          <w:rFonts w:ascii="Arial Narrow" w:hAnsi="Arial Narrow" w:cs="Arial"/>
          <w:color w:val="333333"/>
          <w:sz w:val="20"/>
          <w:szCs w:val="20"/>
        </w:rPr>
        <w:t xml:space="preserve"> patient has received no prior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treatment in this treatment cycle and wishes to commence such therapy (Initial 1); or</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(ii) </w:t>
      </w:r>
      <w:proofErr w:type="gramStart"/>
      <w:r w:rsidRPr="002E6BC6">
        <w:rPr>
          <w:rFonts w:ascii="Arial Narrow" w:hAnsi="Arial Narrow" w:cs="Arial"/>
          <w:color w:val="333333"/>
          <w:sz w:val="20"/>
          <w:szCs w:val="20"/>
        </w:rPr>
        <w:t>a</w:t>
      </w:r>
      <w:proofErr w:type="gramEnd"/>
      <w:r w:rsidRPr="002E6BC6">
        <w:rPr>
          <w:rFonts w:ascii="Arial Narrow" w:hAnsi="Arial Narrow" w:cs="Arial"/>
          <w:color w:val="333333"/>
          <w:sz w:val="20"/>
          <w:szCs w:val="20"/>
        </w:rPr>
        <w:t xml:space="preserve"> patient wishes to re-commence treatment with a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following a break in PBS-subsidised therapy of more than 12 months (Initial 1); or</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(iii) </w:t>
      </w:r>
      <w:proofErr w:type="gramStart"/>
      <w:r w:rsidRPr="002E6BC6">
        <w:rPr>
          <w:rFonts w:ascii="Arial Narrow" w:hAnsi="Arial Narrow" w:cs="Arial"/>
          <w:color w:val="333333"/>
          <w:sz w:val="20"/>
          <w:szCs w:val="20"/>
        </w:rPr>
        <w:t>a</w:t>
      </w:r>
      <w:proofErr w:type="gramEnd"/>
      <w:r w:rsidRPr="002E6BC6">
        <w:rPr>
          <w:rFonts w:ascii="Arial Narrow" w:hAnsi="Arial Narrow" w:cs="Arial"/>
          <w:color w:val="333333"/>
          <w:sz w:val="20"/>
          <w:szCs w:val="20"/>
        </w:rPr>
        <w:t xml:space="preserve"> patient has received prior PBS-subsidised (initial or continuing)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therapy and wishes to trial an alternate agent (Initial 2) [further details are under 'Swapping therapy' below]; or</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(iv) </w:t>
      </w:r>
      <w:proofErr w:type="gramStart"/>
      <w:r w:rsidRPr="002E6BC6">
        <w:rPr>
          <w:rFonts w:ascii="Arial Narrow" w:hAnsi="Arial Narrow" w:cs="Arial"/>
          <w:color w:val="333333"/>
          <w:sz w:val="20"/>
          <w:szCs w:val="20"/>
        </w:rPr>
        <w:t>a</w:t>
      </w:r>
      <w:proofErr w:type="gramEnd"/>
      <w:r w:rsidRPr="002E6BC6">
        <w:rPr>
          <w:rFonts w:ascii="Arial Narrow" w:hAnsi="Arial Narrow" w:cs="Arial"/>
          <w:color w:val="333333"/>
          <w:sz w:val="20"/>
          <w:szCs w:val="20"/>
        </w:rPr>
        <w:t xml:space="preserve"> patient wishes to re-commence treatment with a specific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following a break of less than 12 months in PBS-subsidised therapy with that agent (Initial 2).</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Initial treatment authorisations will be limited to provide for a maximum of 16 weeks of therapy</w:t>
      </w:r>
      <w:r w:rsidR="00512406" w:rsidRPr="00142B6B">
        <w:rPr>
          <w:rFonts w:ascii="Arial Narrow" w:hAnsi="Arial Narrow" w:cs="Arial"/>
          <w:i/>
          <w:color w:val="333333"/>
          <w:sz w:val="20"/>
          <w:szCs w:val="20"/>
        </w:rPr>
        <w:t xml:space="preserve">, or 24 weeks of therapy for patients under 30kg receiving subcutaneous </w:t>
      </w:r>
      <w:proofErr w:type="spellStart"/>
      <w:r w:rsidR="00512406" w:rsidRPr="00142B6B">
        <w:rPr>
          <w:rFonts w:ascii="Arial Narrow" w:hAnsi="Arial Narrow" w:cs="Arial"/>
          <w:i/>
          <w:color w:val="333333"/>
          <w:sz w:val="20"/>
          <w:szCs w:val="20"/>
        </w:rPr>
        <w:t>tocilizumab</w:t>
      </w:r>
      <w:proofErr w:type="spellEnd"/>
      <w:r w:rsidRPr="002E6BC6">
        <w:rPr>
          <w:rFonts w:ascii="Arial Narrow" w:hAnsi="Arial Narrow" w:cs="Arial"/>
          <w:color w:val="333333"/>
          <w:sz w:val="20"/>
          <w:szCs w:val="20"/>
        </w:rPr>
        <w:t>.</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w:t>
      </w:r>
      <w:proofErr w:type="gramStart"/>
      <w:r w:rsidRPr="002E6BC6">
        <w:rPr>
          <w:rFonts w:ascii="Arial Narrow" w:hAnsi="Arial Narrow" w:cs="Arial"/>
          <w:color w:val="333333"/>
          <w:sz w:val="20"/>
          <w:szCs w:val="20"/>
        </w:rPr>
        <w:t>must be assessed</w:t>
      </w:r>
      <w:proofErr w:type="gramEnd"/>
      <w:r w:rsidRPr="002E6BC6">
        <w:rPr>
          <w:rFonts w:ascii="Arial Narrow" w:hAnsi="Arial Narrow" w:cs="Arial"/>
          <w:color w:val="333333"/>
          <w:sz w:val="20"/>
          <w:szCs w:val="20"/>
        </w:rPr>
        <w:t xml:space="preserve"> for response to any course of initial PBS-subsidised treatment following a minimum of 12 weeks of therapy, and this assessment must be submitted to the Department of Human Services no later than 4 weeks from the date that course was ceased.</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Where a response assessment </w:t>
      </w:r>
      <w:proofErr w:type="gramStart"/>
      <w:r w:rsidRPr="002E6BC6">
        <w:rPr>
          <w:rFonts w:ascii="Arial Narrow" w:hAnsi="Arial Narrow" w:cs="Arial"/>
          <w:color w:val="333333"/>
          <w:sz w:val="20"/>
          <w:szCs w:val="20"/>
        </w:rPr>
        <w:t>is not submitted</w:t>
      </w:r>
      <w:proofErr w:type="gramEnd"/>
      <w:r w:rsidRPr="002E6BC6">
        <w:rPr>
          <w:rFonts w:ascii="Arial Narrow" w:hAnsi="Arial Narrow" w:cs="Arial"/>
          <w:color w:val="333333"/>
          <w:sz w:val="20"/>
          <w:szCs w:val="20"/>
        </w:rPr>
        <w:t xml:space="preserve"> to the Department of Human Services within these timeframes, the patient will be deemed to have failed to respond to treatment with that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For second and subsequent courses of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it is recommended that a patient is reviewed in the 4 weeks prior to completing their current course of treatment and that an application is posted to the Department of Human Services no later than 2 weeks prior to the patient completing their current treatment course.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(b) Continuing treatment.</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Following the completion of an initial treatment course with a specific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a patient may qualify to receive up to 24 weeks of continuing treatment with that drug providing they have demonstrated an adequate response to treatment. The patient remains eligible to receive continuing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treatment with the same drug in courses of up to 24 weeks providing they continue to sustain the response.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It </w:t>
      </w:r>
      <w:proofErr w:type="gramStart"/>
      <w:r w:rsidRPr="002E6BC6">
        <w:rPr>
          <w:rFonts w:ascii="Arial Narrow" w:hAnsi="Arial Narrow" w:cs="Arial"/>
          <w:color w:val="333333"/>
          <w:sz w:val="20"/>
          <w:szCs w:val="20"/>
        </w:rPr>
        <w:t>is recommended</w:t>
      </w:r>
      <w:proofErr w:type="gramEnd"/>
      <w:r w:rsidRPr="002E6BC6">
        <w:rPr>
          <w:rFonts w:ascii="Arial Narrow" w:hAnsi="Arial Narrow" w:cs="Arial"/>
          <w:color w:val="333333"/>
          <w:sz w:val="20"/>
          <w:szCs w:val="20"/>
        </w:rPr>
        <w:t xml:space="preserve"> that a patient be reviewed in the month prior to completing their current course of treatment to ensure uninterrupted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supply.</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Assessments of response to a course of PBS-subsidised therapy </w:t>
      </w:r>
      <w:proofErr w:type="gramStart"/>
      <w:r w:rsidRPr="002E6BC6">
        <w:rPr>
          <w:rFonts w:ascii="Arial Narrow" w:hAnsi="Arial Narrow" w:cs="Arial"/>
          <w:color w:val="333333"/>
          <w:sz w:val="20"/>
          <w:szCs w:val="20"/>
        </w:rPr>
        <w:t>must be submitted</w:t>
      </w:r>
      <w:proofErr w:type="gramEnd"/>
      <w:r w:rsidRPr="002E6BC6">
        <w:rPr>
          <w:rFonts w:ascii="Arial Narrow" w:hAnsi="Arial Narrow" w:cs="Arial"/>
          <w:color w:val="333333"/>
          <w:sz w:val="20"/>
          <w:szCs w:val="20"/>
        </w:rPr>
        <w:t xml:space="preserve"> to the Department of Human Services no later than 4 weeks from the date that course was ceased.</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Where a response assessment </w:t>
      </w:r>
      <w:proofErr w:type="gramStart"/>
      <w:r w:rsidRPr="002E6BC6">
        <w:rPr>
          <w:rFonts w:ascii="Arial Narrow" w:hAnsi="Arial Narrow" w:cs="Arial"/>
          <w:color w:val="333333"/>
          <w:sz w:val="20"/>
          <w:szCs w:val="20"/>
        </w:rPr>
        <w:t>is not submitted</w:t>
      </w:r>
      <w:proofErr w:type="gramEnd"/>
      <w:r w:rsidRPr="002E6BC6">
        <w:rPr>
          <w:rFonts w:ascii="Arial Narrow" w:hAnsi="Arial Narrow" w:cs="Arial"/>
          <w:color w:val="333333"/>
          <w:sz w:val="20"/>
          <w:szCs w:val="20"/>
        </w:rPr>
        <w:t xml:space="preserve"> to the Department of Human Services within these timeframes, the patient will be deemed to have failed to respond to treatment with that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(2) Swapping therapy.</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lastRenderedPageBreak/>
        <w:t xml:space="preserve">Once initial treatment with the first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w:t>
      </w:r>
      <w:proofErr w:type="gramStart"/>
      <w:r w:rsidRPr="002E6BC6">
        <w:rPr>
          <w:rFonts w:ascii="Arial Narrow" w:hAnsi="Arial Narrow" w:cs="Arial"/>
          <w:color w:val="333333"/>
          <w:sz w:val="20"/>
          <w:szCs w:val="20"/>
        </w:rPr>
        <w:t>is approved</w:t>
      </w:r>
      <w:proofErr w:type="gramEnd"/>
      <w:r w:rsidRPr="002E6BC6">
        <w:rPr>
          <w:rFonts w:ascii="Arial Narrow" w:hAnsi="Arial Narrow" w:cs="Arial"/>
          <w:color w:val="333333"/>
          <w:sz w:val="20"/>
          <w:szCs w:val="20"/>
        </w:rPr>
        <w:t xml:space="preserve">, a patient may swap to an alternate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without having to requalify with respect to the indices of disease severity (joint count) or the prior non-</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therapy requirements, except if the patient has had a break in therapy of more than 12 months.</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may trial an alternate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at any time, regardless of whether they are receiving therapy (initial or continuing) with a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at the time of the application. However, they cannot swap to a particular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if they have failed to respond to prior treatment with that drug within the current treatment cycle.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To ensure a patient receives the maximum treatment opportunities allowed under the interchangeability arrangements, it is important that they </w:t>
      </w:r>
      <w:proofErr w:type="gramStart"/>
      <w:r w:rsidRPr="002E6BC6">
        <w:rPr>
          <w:rFonts w:ascii="Arial Narrow" w:hAnsi="Arial Narrow" w:cs="Arial"/>
          <w:color w:val="333333"/>
          <w:sz w:val="20"/>
          <w:szCs w:val="20"/>
        </w:rPr>
        <w:t>are</w:t>
      </w:r>
      <w:proofErr w:type="gramEnd"/>
      <w:r w:rsidRPr="002E6BC6">
        <w:rPr>
          <w:rFonts w:ascii="Arial Narrow" w:hAnsi="Arial Narrow" w:cs="Arial"/>
          <w:color w:val="333333"/>
          <w:sz w:val="20"/>
          <w:szCs w:val="20"/>
        </w:rPr>
        <w:t xml:space="preserve"> assessed for response to every course of treatment approved, within the timeframes specified in the relevant restriction.</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To avoid confusion, an application for a patient who wishes to swap to an alternate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w:t>
      </w:r>
      <w:proofErr w:type="gramStart"/>
      <w:r w:rsidRPr="002E6BC6">
        <w:rPr>
          <w:rFonts w:ascii="Arial Narrow" w:hAnsi="Arial Narrow" w:cs="Arial"/>
          <w:color w:val="333333"/>
          <w:sz w:val="20"/>
          <w:szCs w:val="20"/>
        </w:rPr>
        <w:t>should be accompanied</w:t>
      </w:r>
      <w:proofErr w:type="gramEnd"/>
      <w:r w:rsidRPr="002E6BC6">
        <w:rPr>
          <w:rFonts w:ascii="Arial Narrow" w:hAnsi="Arial Narrow" w:cs="Arial"/>
          <w:color w:val="333333"/>
          <w:sz w:val="20"/>
          <w:szCs w:val="20"/>
        </w:rPr>
        <w:t xml:space="preserve"> by the approved authority prescription or remaining repeats for the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 patient is ceasing.</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(3) Baseline measurements to determine response.</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The Department of Human Services will determine whether a response to treatment </w:t>
      </w:r>
      <w:proofErr w:type="gramStart"/>
      <w:r w:rsidRPr="002E6BC6">
        <w:rPr>
          <w:rFonts w:ascii="Arial Narrow" w:hAnsi="Arial Narrow" w:cs="Arial"/>
          <w:color w:val="333333"/>
          <w:sz w:val="20"/>
          <w:szCs w:val="20"/>
        </w:rPr>
        <w:t>has been demonstrated</w:t>
      </w:r>
      <w:proofErr w:type="gramEnd"/>
      <w:r w:rsidRPr="002E6BC6">
        <w:rPr>
          <w:rFonts w:ascii="Arial Narrow" w:hAnsi="Arial Narrow" w:cs="Arial"/>
          <w:color w:val="333333"/>
          <w:sz w:val="20"/>
          <w:szCs w:val="20"/>
        </w:rPr>
        <w:t xml:space="preserve"> based on the baseline measurements of the joint count submitted with the first authority application for a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However, prescribers may provide a new baseline measurement any time that an initial treatment authority application </w:t>
      </w:r>
      <w:proofErr w:type="gramStart"/>
      <w:r w:rsidRPr="002E6BC6">
        <w:rPr>
          <w:rFonts w:ascii="Arial Narrow" w:hAnsi="Arial Narrow" w:cs="Arial"/>
          <w:color w:val="333333"/>
          <w:sz w:val="20"/>
          <w:szCs w:val="20"/>
        </w:rPr>
        <w:t>is submitted</w:t>
      </w:r>
      <w:proofErr w:type="gramEnd"/>
      <w:r w:rsidRPr="002E6BC6">
        <w:rPr>
          <w:rFonts w:ascii="Arial Narrow" w:hAnsi="Arial Narrow" w:cs="Arial"/>
          <w:color w:val="333333"/>
          <w:sz w:val="20"/>
          <w:szCs w:val="20"/>
        </w:rPr>
        <w:t xml:space="preserve"> within a treatment cycle and the Department of Human Services will assess response according to the revised baseline measurement.</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(4) Re-commencement of treatment after a 12 month break in PBS-subsidised therapy.</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A patient who wishes to start a second or subsequent treatment cycle following a break in PBS-subsidised </w:t>
      </w:r>
      <w:proofErr w:type="spellStart"/>
      <w:r w:rsidRPr="002E6BC6">
        <w:rPr>
          <w:rFonts w:ascii="Arial Narrow" w:hAnsi="Arial Narrow" w:cs="Arial"/>
          <w:color w:val="333333"/>
          <w:sz w:val="20"/>
          <w:szCs w:val="20"/>
        </w:rPr>
        <w:t>bDMARD</w:t>
      </w:r>
      <w:proofErr w:type="spellEnd"/>
      <w:r w:rsidRPr="002E6BC6">
        <w:rPr>
          <w:rFonts w:ascii="Arial Narrow" w:hAnsi="Arial Narrow" w:cs="Arial"/>
          <w:color w:val="333333"/>
          <w:sz w:val="20"/>
          <w:szCs w:val="20"/>
        </w:rPr>
        <w:t xml:space="preserve"> therapy of at least 12 months, must requalify for treatment under the Initial 1 treatment restriction.</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(5) Withdrawal of treatment after sustained remission.</w:t>
      </w: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p>
    <w:p w:rsidR="004D5247" w:rsidRPr="002E6BC6" w:rsidRDefault="004D5247" w:rsidP="004D5247">
      <w:pPr>
        <w:pStyle w:val="NormalWeb"/>
        <w:shd w:val="clear" w:color="auto" w:fill="FFFFFF"/>
        <w:spacing w:before="0" w:beforeAutospacing="0" w:after="0" w:afterAutospacing="0"/>
        <w:textAlignment w:val="baseline"/>
        <w:rPr>
          <w:rFonts w:ascii="Arial Narrow" w:hAnsi="Arial Narrow" w:cs="Arial"/>
          <w:color w:val="333333"/>
          <w:sz w:val="20"/>
          <w:szCs w:val="20"/>
        </w:rPr>
      </w:pPr>
      <w:r w:rsidRPr="002E6BC6">
        <w:rPr>
          <w:rFonts w:ascii="Arial Narrow" w:hAnsi="Arial Narrow" w:cs="Arial"/>
          <w:color w:val="333333"/>
          <w:sz w:val="20"/>
          <w:szCs w:val="20"/>
        </w:rPr>
        <w:t xml:space="preserve">Withdrawal of treatment with </w:t>
      </w:r>
      <w:proofErr w:type="spellStart"/>
      <w:r w:rsidRPr="002E6BC6">
        <w:rPr>
          <w:rFonts w:ascii="Arial Narrow" w:hAnsi="Arial Narrow" w:cs="Arial"/>
          <w:color w:val="333333"/>
          <w:sz w:val="20"/>
          <w:szCs w:val="20"/>
        </w:rPr>
        <w:t>bDMARDs</w:t>
      </w:r>
      <w:proofErr w:type="spellEnd"/>
      <w:r w:rsidRPr="002E6BC6">
        <w:rPr>
          <w:rFonts w:ascii="Arial Narrow" w:hAnsi="Arial Narrow" w:cs="Arial"/>
          <w:color w:val="333333"/>
          <w:sz w:val="20"/>
          <w:szCs w:val="20"/>
        </w:rPr>
        <w:t xml:space="preserve"> </w:t>
      </w:r>
      <w:proofErr w:type="gramStart"/>
      <w:r w:rsidRPr="002E6BC6">
        <w:rPr>
          <w:rFonts w:ascii="Arial Narrow" w:hAnsi="Arial Narrow" w:cs="Arial"/>
          <w:color w:val="333333"/>
          <w:sz w:val="20"/>
          <w:szCs w:val="20"/>
        </w:rPr>
        <w:t>should be considered</w:t>
      </w:r>
      <w:proofErr w:type="gramEnd"/>
      <w:r w:rsidRPr="002E6BC6">
        <w:rPr>
          <w:rFonts w:ascii="Arial Narrow" w:hAnsi="Arial Narrow" w:cs="Arial"/>
          <w:color w:val="333333"/>
          <w:sz w:val="20"/>
          <w:szCs w:val="20"/>
        </w:rPr>
        <w:t xml:space="preserve"> in a patient who has achieved and sustained complete remission of disease for 12 months. A demonstration of response to the current treatment </w:t>
      </w:r>
      <w:proofErr w:type="gramStart"/>
      <w:r w:rsidRPr="002E6BC6">
        <w:rPr>
          <w:rFonts w:ascii="Arial Narrow" w:hAnsi="Arial Narrow" w:cs="Arial"/>
          <w:color w:val="333333"/>
          <w:sz w:val="20"/>
          <w:szCs w:val="20"/>
        </w:rPr>
        <w:t>should be submitted</w:t>
      </w:r>
      <w:proofErr w:type="gramEnd"/>
      <w:r w:rsidRPr="002E6BC6">
        <w:rPr>
          <w:rFonts w:ascii="Arial Narrow" w:hAnsi="Arial Narrow" w:cs="Arial"/>
          <w:color w:val="333333"/>
          <w:sz w:val="20"/>
          <w:szCs w:val="20"/>
        </w:rPr>
        <w:t xml:space="preserve"> to the Department of Human Services at the time treatment is ceased.</w:t>
      </w:r>
    </w:p>
    <w:p w:rsidR="00AC726C" w:rsidRPr="00AC726C" w:rsidRDefault="00AC726C" w:rsidP="009F565C">
      <w:pPr>
        <w:pStyle w:val="PBACHeading1"/>
        <w:spacing w:before="120" w:after="120"/>
        <w:rPr>
          <w:rFonts w:asciiTheme="minorHAnsi" w:hAnsiTheme="minorHAnsi" w:cstheme="minorHAnsi"/>
          <w:sz w:val="32"/>
        </w:rPr>
      </w:pPr>
      <w:r w:rsidRPr="00AC726C">
        <w:rPr>
          <w:rFonts w:asciiTheme="minorHAnsi" w:hAnsiTheme="minorHAnsi" w:cstheme="minorHAnsi"/>
          <w:sz w:val="32"/>
        </w:rPr>
        <w:t>Context for Decision</w:t>
      </w:r>
    </w:p>
    <w:p w:rsidR="00AC726C" w:rsidRPr="003E2B64" w:rsidRDefault="00AC726C" w:rsidP="009F565C">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C726C" w:rsidRPr="00AC726C" w:rsidRDefault="00AC726C" w:rsidP="009F565C">
      <w:pPr>
        <w:pStyle w:val="PBACHeading1"/>
        <w:spacing w:before="120" w:after="120"/>
        <w:rPr>
          <w:rFonts w:asciiTheme="minorHAnsi" w:hAnsiTheme="minorHAnsi" w:cstheme="minorHAnsi"/>
          <w:sz w:val="32"/>
        </w:rPr>
      </w:pPr>
      <w:r w:rsidRPr="00AC726C">
        <w:rPr>
          <w:rFonts w:asciiTheme="minorHAnsi" w:hAnsiTheme="minorHAnsi" w:cstheme="minorHAnsi"/>
          <w:sz w:val="32"/>
        </w:rPr>
        <w:t>Sponsor’s Comment</w:t>
      </w:r>
    </w:p>
    <w:p w:rsidR="00AC726C" w:rsidRPr="00C07617" w:rsidRDefault="00AC726C" w:rsidP="009F565C">
      <w:pPr>
        <w:spacing w:before="120" w:after="120"/>
        <w:ind w:left="709"/>
        <w:jc w:val="both"/>
        <w:rPr>
          <w:rFonts w:asciiTheme="minorHAnsi" w:hAnsiTheme="minorHAnsi" w:cs="Arial"/>
          <w:bCs/>
        </w:rPr>
      </w:pPr>
      <w:r w:rsidRPr="00C07617">
        <w:rPr>
          <w:rFonts w:asciiTheme="minorHAnsi" w:hAnsiTheme="minorHAnsi" w:cs="Arial"/>
          <w:bCs/>
        </w:rPr>
        <w:t>The sponsor had no comment.</w:t>
      </w:r>
    </w:p>
    <w:sectPr w:rsidR="00AC726C" w:rsidRPr="00C07617"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B64" w:rsidRDefault="003E2B64">
      <w:r>
        <w:separator/>
      </w:r>
    </w:p>
    <w:p w:rsidR="003E2B64" w:rsidRDefault="003E2B64"/>
  </w:endnote>
  <w:endnote w:type="continuationSeparator" w:id="0">
    <w:p w:rsidR="003E2B64" w:rsidRDefault="003E2B64">
      <w:r>
        <w:continuationSeparator/>
      </w:r>
    </w:p>
    <w:p w:rsidR="003E2B64" w:rsidRDefault="003E2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25B85" w:rsidRPr="00DC4EE1" w:rsidTr="005A3173">
      <w:trPr>
        <w:trHeight w:val="151"/>
      </w:trPr>
      <w:tc>
        <w:tcPr>
          <w:tcW w:w="2250" w:type="pct"/>
          <w:tcBorders>
            <w:top w:val="nil"/>
            <w:left w:val="nil"/>
            <w:bottom w:val="single" w:sz="4" w:space="0" w:color="4F81BD"/>
            <w:right w:val="nil"/>
          </w:tcBorders>
        </w:tcPr>
        <w:p w:rsidR="00D25B85" w:rsidRPr="00DC4EE1" w:rsidRDefault="00D25B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25B85" w:rsidRPr="00DC4EE1" w:rsidRDefault="00D25B85" w:rsidP="005A3173">
          <w:pPr>
            <w:pStyle w:val="MediumGrid21"/>
            <w:spacing w:line="276" w:lineRule="auto"/>
            <w:rPr>
              <w:rFonts w:ascii="Calibri" w:hAnsi="Calibri"/>
              <w:color w:val="365F91"/>
              <w:sz w:val="24"/>
              <w:szCs w:val="24"/>
            </w:rPr>
          </w:pPr>
          <w:r w:rsidRPr="00DC4EE1">
            <w:rPr>
              <w:rFonts w:ascii="Cambria" w:hAnsi="Cambria"/>
              <w:color w:val="365F91"/>
              <w:sz w:val="24"/>
              <w:szCs w:val="24"/>
            </w:rPr>
            <w:t>[Type text]</w:t>
          </w:r>
        </w:p>
      </w:tc>
      <w:tc>
        <w:tcPr>
          <w:tcW w:w="2250" w:type="pct"/>
          <w:tcBorders>
            <w:top w:val="nil"/>
            <w:left w:val="nil"/>
            <w:bottom w:val="single" w:sz="4" w:space="0" w:color="4F81BD"/>
            <w:right w:val="nil"/>
          </w:tcBorders>
        </w:tcPr>
        <w:p w:rsidR="00D25B85" w:rsidRPr="00DC4EE1" w:rsidRDefault="00D25B85" w:rsidP="005A3173">
          <w:pPr>
            <w:pStyle w:val="Header"/>
            <w:spacing w:line="276" w:lineRule="auto"/>
            <w:rPr>
              <w:rFonts w:ascii="Calibri" w:eastAsia="MS Gothic" w:hAnsi="Calibri"/>
              <w:b/>
              <w:bCs/>
              <w:color w:val="4F81BD"/>
            </w:rPr>
          </w:pPr>
        </w:p>
      </w:tc>
    </w:tr>
    <w:tr w:rsidR="00D25B85" w:rsidRPr="00DC4EE1" w:rsidTr="005A3173">
      <w:trPr>
        <w:trHeight w:val="150"/>
      </w:trPr>
      <w:tc>
        <w:tcPr>
          <w:tcW w:w="2250" w:type="pct"/>
          <w:tcBorders>
            <w:top w:val="single" w:sz="4" w:space="0" w:color="4F81BD"/>
            <w:left w:val="nil"/>
            <w:bottom w:val="nil"/>
            <w:right w:val="nil"/>
          </w:tcBorders>
        </w:tcPr>
        <w:p w:rsidR="00D25B85" w:rsidRPr="00DC4EE1" w:rsidRDefault="00D25B85" w:rsidP="005A3173">
          <w:pPr>
            <w:pStyle w:val="Header"/>
            <w:spacing w:line="276" w:lineRule="auto"/>
            <w:rPr>
              <w:rFonts w:ascii="Calibri" w:eastAsia="MS Gothic" w:hAnsi="Calibri"/>
              <w:b/>
              <w:bCs/>
              <w:color w:val="4F81BD"/>
            </w:rPr>
          </w:pPr>
        </w:p>
      </w:tc>
      <w:tc>
        <w:tcPr>
          <w:tcW w:w="0" w:type="auto"/>
          <w:vMerge/>
          <w:vAlign w:val="center"/>
          <w:hideMark/>
        </w:tcPr>
        <w:p w:rsidR="00D25B85" w:rsidRPr="00DC4EE1" w:rsidRDefault="00D25B85" w:rsidP="005A3173">
          <w:pPr>
            <w:rPr>
              <w:rFonts w:ascii="Calibri" w:hAnsi="Calibri"/>
              <w:color w:val="365F91"/>
            </w:rPr>
          </w:pPr>
        </w:p>
      </w:tc>
      <w:tc>
        <w:tcPr>
          <w:tcW w:w="2250" w:type="pct"/>
          <w:tcBorders>
            <w:top w:val="single" w:sz="4" w:space="0" w:color="4F81BD"/>
            <w:left w:val="nil"/>
            <w:bottom w:val="nil"/>
            <w:right w:val="nil"/>
          </w:tcBorders>
        </w:tcPr>
        <w:p w:rsidR="00D25B85" w:rsidRPr="00DC4EE1" w:rsidRDefault="00D25B85" w:rsidP="005A3173">
          <w:pPr>
            <w:pStyle w:val="Header"/>
            <w:spacing w:line="276" w:lineRule="auto"/>
            <w:rPr>
              <w:rFonts w:ascii="Calibri" w:eastAsia="MS Gothic" w:hAnsi="Calibri"/>
              <w:b/>
              <w:bCs/>
              <w:color w:val="4F81BD"/>
            </w:rPr>
          </w:pPr>
        </w:p>
      </w:tc>
    </w:tr>
  </w:tbl>
  <w:p w:rsidR="00D25B85" w:rsidRPr="00DC4EE1" w:rsidRDefault="00D25B85" w:rsidP="00653D69">
    <w:pPr>
      <w:pStyle w:val="Footer"/>
      <w:framePr w:wrap="around" w:vAnchor="text" w:hAnchor="margin" w:xAlign="center" w:y="1"/>
      <w:rPr>
        <w:rStyle w:val="PageNumber"/>
      </w:rPr>
    </w:pPr>
    <w:r w:rsidRPr="00DC4EE1">
      <w:rPr>
        <w:rStyle w:val="PageNumber"/>
      </w:rPr>
      <w:fldChar w:fldCharType="begin"/>
    </w:r>
    <w:r w:rsidRPr="00DC4EE1">
      <w:rPr>
        <w:rStyle w:val="PageNumber"/>
      </w:rPr>
      <w:instrText xml:space="preserve">PAGE  </w:instrText>
    </w:r>
    <w:r w:rsidRPr="00DC4EE1">
      <w:rPr>
        <w:rStyle w:val="PageNumber"/>
      </w:rPr>
      <w:fldChar w:fldCharType="end"/>
    </w:r>
  </w:p>
  <w:p w:rsidR="00D25B85" w:rsidRPr="00DC4EE1" w:rsidRDefault="00D25B85">
    <w:pPr>
      <w:pStyle w:val="Footer"/>
    </w:pPr>
  </w:p>
  <w:p w:rsidR="00D25B85" w:rsidRPr="00DC4EE1" w:rsidRDefault="00D25B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784647"/>
      <w:docPartObj>
        <w:docPartGallery w:val="Page Numbers (Bottom of Page)"/>
        <w:docPartUnique/>
      </w:docPartObj>
    </w:sdtPr>
    <w:sdtEndPr>
      <w:rPr>
        <w:rFonts w:asciiTheme="minorHAnsi" w:hAnsiTheme="minorHAnsi" w:cstheme="minorHAnsi"/>
        <w:b/>
        <w:noProof/>
      </w:rPr>
    </w:sdtEndPr>
    <w:sdtContent>
      <w:p w:rsidR="00D25B85" w:rsidRPr="00DC4EE1" w:rsidRDefault="00D25B85">
        <w:pPr>
          <w:pStyle w:val="Footer"/>
          <w:jc w:val="center"/>
          <w:rPr>
            <w:rFonts w:asciiTheme="minorHAnsi" w:hAnsiTheme="minorHAnsi" w:cstheme="minorHAnsi"/>
            <w:b/>
          </w:rPr>
        </w:pPr>
        <w:r w:rsidRPr="00DC4EE1">
          <w:rPr>
            <w:rFonts w:asciiTheme="minorHAnsi" w:hAnsiTheme="minorHAnsi" w:cstheme="minorHAnsi"/>
            <w:b/>
          </w:rPr>
          <w:fldChar w:fldCharType="begin"/>
        </w:r>
        <w:r w:rsidRPr="00DC4EE1">
          <w:rPr>
            <w:rFonts w:asciiTheme="minorHAnsi" w:hAnsiTheme="minorHAnsi" w:cstheme="minorHAnsi"/>
            <w:b/>
          </w:rPr>
          <w:instrText xml:space="preserve"> PAGE   \* MERGEFORMAT </w:instrText>
        </w:r>
        <w:r w:rsidRPr="00DC4EE1">
          <w:rPr>
            <w:rFonts w:asciiTheme="minorHAnsi" w:hAnsiTheme="minorHAnsi" w:cstheme="minorHAnsi"/>
            <w:b/>
          </w:rPr>
          <w:fldChar w:fldCharType="separate"/>
        </w:r>
        <w:r w:rsidR="00C4269E">
          <w:rPr>
            <w:rFonts w:asciiTheme="minorHAnsi" w:hAnsiTheme="minorHAnsi" w:cstheme="minorHAnsi"/>
            <w:b/>
            <w:noProof/>
          </w:rPr>
          <w:t>30</w:t>
        </w:r>
        <w:r w:rsidRPr="00DC4EE1">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25B85" w:rsidTr="005A3173">
      <w:trPr>
        <w:trHeight w:val="151"/>
      </w:trPr>
      <w:tc>
        <w:tcPr>
          <w:tcW w:w="2250" w:type="pct"/>
          <w:tcBorders>
            <w:top w:val="nil"/>
            <w:left w:val="nil"/>
            <w:bottom w:val="single" w:sz="4" w:space="0" w:color="4F81BD"/>
            <w:right w:val="nil"/>
          </w:tcBorders>
        </w:tcPr>
        <w:p w:rsidR="00D25B85" w:rsidRPr="005A3173" w:rsidRDefault="00D25B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25B85" w:rsidRPr="005A3173" w:rsidRDefault="00D25B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5B85" w:rsidRPr="005A3173" w:rsidRDefault="00D25B85" w:rsidP="005A3173">
          <w:pPr>
            <w:pStyle w:val="Header"/>
            <w:spacing w:line="276" w:lineRule="auto"/>
            <w:rPr>
              <w:rFonts w:ascii="Calibri" w:eastAsia="MS Gothic" w:hAnsi="Calibri"/>
              <w:b/>
              <w:bCs/>
              <w:color w:val="4F81BD"/>
            </w:rPr>
          </w:pPr>
        </w:p>
      </w:tc>
    </w:tr>
    <w:tr w:rsidR="00D25B85" w:rsidTr="005A3173">
      <w:trPr>
        <w:trHeight w:val="150"/>
      </w:trPr>
      <w:tc>
        <w:tcPr>
          <w:tcW w:w="2250" w:type="pct"/>
          <w:tcBorders>
            <w:top w:val="single" w:sz="4" w:space="0" w:color="4F81BD"/>
            <w:left w:val="nil"/>
            <w:bottom w:val="nil"/>
            <w:right w:val="nil"/>
          </w:tcBorders>
        </w:tcPr>
        <w:p w:rsidR="00D25B85" w:rsidRPr="005A3173" w:rsidRDefault="00D25B85" w:rsidP="005A3173">
          <w:pPr>
            <w:pStyle w:val="Header"/>
            <w:spacing w:line="276" w:lineRule="auto"/>
            <w:rPr>
              <w:rFonts w:ascii="Calibri" w:eastAsia="MS Gothic" w:hAnsi="Calibri"/>
              <w:b/>
              <w:bCs/>
              <w:color w:val="4F81BD"/>
            </w:rPr>
          </w:pPr>
        </w:p>
      </w:tc>
      <w:tc>
        <w:tcPr>
          <w:tcW w:w="0" w:type="auto"/>
          <w:vMerge/>
          <w:vAlign w:val="center"/>
          <w:hideMark/>
        </w:tcPr>
        <w:p w:rsidR="00D25B85" w:rsidRPr="005A3173" w:rsidRDefault="00D25B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25B85" w:rsidRPr="005A3173" w:rsidRDefault="00D25B8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25B85" w:rsidTr="005A3173">
      <w:trPr>
        <w:trHeight w:val="151"/>
      </w:trPr>
      <w:tc>
        <w:tcPr>
          <w:tcW w:w="2250" w:type="pct"/>
          <w:tcBorders>
            <w:top w:val="nil"/>
            <w:left w:val="nil"/>
            <w:bottom w:val="single" w:sz="4" w:space="0" w:color="4F81BD"/>
            <w:right w:val="nil"/>
          </w:tcBorders>
        </w:tcPr>
        <w:p w:rsidR="00D25B85" w:rsidRPr="005A3173" w:rsidRDefault="00D25B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25B85" w:rsidRPr="005A3173" w:rsidRDefault="00D25B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5B85" w:rsidRPr="005A3173" w:rsidRDefault="00D25B85" w:rsidP="005A3173">
          <w:pPr>
            <w:pStyle w:val="Header"/>
            <w:spacing w:line="276" w:lineRule="auto"/>
            <w:rPr>
              <w:rFonts w:ascii="Calibri" w:eastAsia="MS Gothic" w:hAnsi="Calibri"/>
              <w:b/>
              <w:bCs/>
              <w:color w:val="4F81BD"/>
            </w:rPr>
          </w:pPr>
        </w:p>
      </w:tc>
    </w:tr>
    <w:tr w:rsidR="00D25B85" w:rsidTr="005A3173">
      <w:trPr>
        <w:trHeight w:val="150"/>
      </w:trPr>
      <w:tc>
        <w:tcPr>
          <w:tcW w:w="2250" w:type="pct"/>
          <w:tcBorders>
            <w:top w:val="single" w:sz="4" w:space="0" w:color="4F81BD"/>
            <w:left w:val="nil"/>
            <w:bottom w:val="nil"/>
            <w:right w:val="nil"/>
          </w:tcBorders>
        </w:tcPr>
        <w:p w:rsidR="00D25B85" w:rsidRPr="005A3173" w:rsidRDefault="00D25B85" w:rsidP="005A3173">
          <w:pPr>
            <w:pStyle w:val="Header"/>
            <w:spacing w:line="276" w:lineRule="auto"/>
            <w:rPr>
              <w:rFonts w:ascii="Calibri" w:eastAsia="MS Gothic" w:hAnsi="Calibri"/>
              <w:b/>
              <w:bCs/>
              <w:color w:val="4F81BD"/>
            </w:rPr>
          </w:pPr>
        </w:p>
      </w:tc>
      <w:tc>
        <w:tcPr>
          <w:tcW w:w="0" w:type="auto"/>
          <w:vMerge/>
          <w:vAlign w:val="center"/>
          <w:hideMark/>
        </w:tcPr>
        <w:p w:rsidR="00D25B85" w:rsidRPr="005A3173" w:rsidRDefault="00D25B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25B85" w:rsidRPr="005A3173" w:rsidRDefault="00D25B85" w:rsidP="005A3173">
          <w:pPr>
            <w:pStyle w:val="Header"/>
            <w:spacing w:line="276" w:lineRule="auto"/>
            <w:rPr>
              <w:rFonts w:ascii="Calibri" w:eastAsia="MS Gothic" w:hAnsi="Calibri"/>
              <w:b/>
              <w:bCs/>
              <w:color w:val="4F81BD"/>
            </w:rPr>
          </w:pPr>
        </w:p>
      </w:tc>
    </w:tr>
  </w:tbl>
  <w:p w:rsidR="00D25B85" w:rsidRPr="007C0F57" w:rsidRDefault="00D25B8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25B85" w:rsidRPr="007C0F57" w:rsidRDefault="00D25B85" w:rsidP="007C0F57">
    <w:pPr>
      <w:pStyle w:val="Footer"/>
      <w:jc w:val="center"/>
      <w:rPr>
        <w:b/>
        <w:i/>
        <w:sz w:val="20"/>
        <w:szCs w:val="20"/>
      </w:rPr>
    </w:pPr>
    <w:r w:rsidRPr="007C0F57">
      <w:rPr>
        <w:b/>
        <w:i/>
        <w:sz w:val="20"/>
        <w:szCs w:val="20"/>
      </w:rPr>
      <w:t>Commercial-in-Confidence</w:t>
    </w:r>
  </w:p>
  <w:p w:rsidR="00D25B85" w:rsidRDefault="00D25B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B64" w:rsidRDefault="003E2B64">
      <w:r>
        <w:separator/>
      </w:r>
    </w:p>
    <w:p w:rsidR="003E2B64" w:rsidRDefault="003E2B64"/>
  </w:footnote>
  <w:footnote w:type="continuationSeparator" w:id="0">
    <w:p w:rsidR="003E2B64" w:rsidRDefault="003E2B64">
      <w:r>
        <w:continuationSeparator/>
      </w:r>
    </w:p>
    <w:p w:rsidR="003E2B64" w:rsidRDefault="003E2B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25B85" w:rsidRPr="008E0D90" w:rsidTr="00A06225">
      <w:trPr>
        <w:trHeight w:val="151"/>
      </w:trPr>
      <w:tc>
        <w:tcPr>
          <w:tcW w:w="2389" w:type="pct"/>
          <w:tcBorders>
            <w:top w:val="nil"/>
            <w:left w:val="nil"/>
            <w:bottom w:val="single" w:sz="4" w:space="0" w:color="4F81BD"/>
            <w:right w:val="nil"/>
          </w:tcBorders>
        </w:tcPr>
        <w:p w:rsidR="00D25B85" w:rsidRPr="00A06225" w:rsidRDefault="00D25B85">
          <w:pPr>
            <w:pStyle w:val="Header"/>
            <w:spacing w:line="276" w:lineRule="auto"/>
            <w:rPr>
              <w:rFonts w:ascii="Cambria" w:eastAsia="MS Gothic" w:hAnsi="Cambria"/>
              <w:b/>
              <w:bCs/>
              <w:color w:val="4F81BD"/>
            </w:rPr>
          </w:pPr>
        </w:p>
      </w:tc>
      <w:tc>
        <w:tcPr>
          <w:tcW w:w="333" w:type="pct"/>
          <w:vMerge w:val="restart"/>
          <w:noWrap/>
          <w:vAlign w:val="center"/>
          <w:hideMark/>
        </w:tcPr>
        <w:p w:rsidR="00D25B85" w:rsidRPr="00A06225" w:rsidRDefault="00D25B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25B85" w:rsidRPr="00A06225" w:rsidRDefault="00D25B85">
          <w:pPr>
            <w:pStyle w:val="Header"/>
            <w:spacing w:line="276" w:lineRule="auto"/>
            <w:rPr>
              <w:rFonts w:ascii="Cambria" w:eastAsia="MS Gothic" w:hAnsi="Cambria"/>
              <w:b/>
              <w:bCs/>
              <w:color w:val="4F81BD"/>
            </w:rPr>
          </w:pPr>
        </w:p>
      </w:tc>
    </w:tr>
    <w:tr w:rsidR="00D25B85" w:rsidRPr="008E0D90" w:rsidTr="00A06225">
      <w:trPr>
        <w:trHeight w:val="150"/>
      </w:trPr>
      <w:tc>
        <w:tcPr>
          <w:tcW w:w="2389" w:type="pct"/>
          <w:tcBorders>
            <w:top w:val="single" w:sz="4" w:space="0" w:color="4F81BD"/>
            <w:left w:val="nil"/>
            <w:bottom w:val="nil"/>
            <w:right w:val="nil"/>
          </w:tcBorders>
        </w:tcPr>
        <w:p w:rsidR="00D25B85" w:rsidRPr="00A06225" w:rsidRDefault="00D25B85">
          <w:pPr>
            <w:pStyle w:val="Header"/>
            <w:spacing w:line="276" w:lineRule="auto"/>
            <w:rPr>
              <w:rFonts w:ascii="Cambria" w:eastAsia="MS Gothic" w:hAnsi="Cambria"/>
              <w:b/>
              <w:bCs/>
              <w:color w:val="4F81BD"/>
            </w:rPr>
          </w:pPr>
        </w:p>
      </w:tc>
      <w:tc>
        <w:tcPr>
          <w:tcW w:w="0" w:type="auto"/>
          <w:vMerge/>
          <w:vAlign w:val="center"/>
          <w:hideMark/>
        </w:tcPr>
        <w:p w:rsidR="00D25B85" w:rsidRPr="00A06225" w:rsidRDefault="00D25B85">
          <w:pPr>
            <w:rPr>
              <w:rFonts w:ascii="Cambria" w:hAnsi="Cambria"/>
              <w:color w:val="4F81BD"/>
              <w:sz w:val="22"/>
              <w:szCs w:val="22"/>
            </w:rPr>
          </w:pPr>
        </w:p>
      </w:tc>
      <w:tc>
        <w:tcPr>
          <w:tcW w:w="2278" w:type="pct"/>
          <w:tcBorders>
            <w:top w:val="single" w:sz="4" w:space="0" w:color="4F81BD"/>
            <w:left w:val="nil"/>
            <w:bottom w:val="nil"/>
            <w:right w:val="nil"/>
          </w:tcBorders>
        </w:tcPr>
        <w:p w:rsidR="00D25B85" w:rsidRPr="00A06225" w:rsidRDefault="00D25B85">
          <w:pPr>
            <w:pStyle w:val="Header"/>
            <w:spacing w:line="276" w:lineRule="auto"/>
            <w:rPr>
              <w:rFonts w:ascii="Cambria" w:eastAsia="MS Gothic" w:hAnsi="Cambria"/>
              <w:b/>
              <w:bCs/>
              <w:color w:val="4F81BD"/>
            </w:rPr>
          </w:pPr>
        </w:p>
      </w:tc>
    </w:tr>
  </w:tbl>
  <w:p w:rsidR="00D25B85" w:rsidRDefault="00D25B85">
    <w:pPr>
      <w:pStyle w:val="Header"/>
    </w:pPr>
  </w:p>
  <w:p w:rsidR="00D25B85" w:rsidRDefault="00D25B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85" w:rsidRPr="00DC4EE1" w:rsidRDefault="00D25B85" w:rsidP="00DC4EE1">
    <w:pPr>
      <w:tabs>
        <w:tab w:val="center" w:pos="4153"/>
        <w:tab w:val="right" w:pos="8306"/>
      </w:tabs>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Pr="00DC4EE1">
      <w:rPr>
        <w:rFonts w:asciiTheme="minorHAnsi" w:hAnsiTheme="minorHAnsi" w:cs="Arial"/>
        <w:i/>
        <w:color w:val="808080"/>
        <w:lang w:eastAsia="en-US"/>
      </w:rPr>
      <w:t xml:space="preserve"> – March 2019 PBAC Meeting</w:t>
    </w:r>
  </w:p>
  <w:p w:rsidR="00D25B85" w:rsidRPr="00DC4EE1" w:rsidRDefault="00D25B85" w:rsidP="00A128E6">
    <w:pPr>
      <w:pStyle w:val="NoSpacing"/>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15F27"/>
    <w:multiLevelType w:val="hybridMultilevel"/>
    <w:tmpl w:val="95D235A4"/>
    <w:lvl w:ilvl="0" w:tplc="51B63132">
      <w:start w:val="1"/>
      <w:numFmt w:val="bullet"/>
      <w:lvlText w:val=""/>
      <w:lvlJc w:val="left"/>
      <w:pPr>
        <w:ind w:left="1440" w:hanging="360"/>
      </w:pPr>
      <w:rPr>
        <w:rFonts w:ascii="Symbol" w:hAnsi="Symbol" w:hint="default"/>
        <w:color w:val="000000" w:themeColor="tex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A42B50"/>
    <w:multiLevelType w:val="hybridMultilevel"/>
    <w:tmpl w:val="897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40690"/>
    <w:multiLevelType w:val="singleLevel"/>
    <w:tmpl w:val="E5988BCE"/>
    <w:lvl w:ilvl="0">
      <w:start w:val="1"/>
      <w:numFmt w:val="bullet"/>
      <w:pStyle w:val="TableBullet"/>
      <w:lvlText w:val=""/>
      <w:lvlJc w:val="left"/>
      <w:pPr>
        <w:tabs>
          <w:tab w:val="num" w:pos="360"/>
        </w:tabs>
        <w:ind w:left="216" w:hanging="216"/>
      </w:pPr>
      <w:rPr>
        <w:rFonts w:ascii="Symbol" w:hAnsi="Symbol" w:cs="Symbol" w:hint="default"/>
        <w:sz w:val="16"/>
        <w:szCs w:val="16"/>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22268076"/>
    <w:lvl w:ilvl="0">
      <w:start w:val="1"/>
      <w:numFmt w:val="decimal"/>
      <w:pStyle w:val="PBACHeading1"/>
      <w:lvlText w:val="%1"/>
      <w:lvlJc w:val="left"/>
      <w:pPr>
        <w:ind w:left="720" w:hanging="720"/>
      </w:pPr>
      <w:rPr>
        <w:rFonts w:hint="default"/>
        <w:b/>
        <w:sz w:val="32"/>
      </w:rPr>
    </w:lvl>
    <w:lvl w:ilvl="1">
      <w:start w:val="1"/>
      <w:numFmt w:val="decimal"/>
      <w:lvlText w:val="%1.%2"/>
      <w:lvlJc w:val="left"/>
      <w:pPr>
        <w:ind w:left="720" w:hanging="720"/>
      </w:pPr>
      <w:rPr>
        <w:rFonts w:asciiTheme="minorHAnsi" w:hAnsiTheme="minorHAnsi" w:cstheme="minorHAnsi" w:hint="default"/>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8"/>
  </w:num>
  <w:num w:numId="4">
    <w:abstractNumId w:val="17"/>
  </w:num>
  <w:num w:numId="5">
    <w:abstractNumId w:val="20"/>
  </w:num>
  <w:num w:numId="6">
    <w:abstractNumId w:val="9"/>
  </w:num>
  <w:num w:numId="7">
    <w:abstractNumId w:val="16"/>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0"/>
  </w:num>
  <w:num w:numId="15">
    <w:abstractNumId w:val="20"/>
  </w:num>
  <w:num w:numId="16">
    <w:abstractNumId w:val="5"/>
  </w:num>
  <w:num w:numId="17">
    <w:abstractNumId w:val="10"/>
  </w:num>
  <w:num w:numId="18">
    <w:abstractNumId w:val="7"/>
  </w:num>
  <w:num w:numId="19">
    <w:abstractNumId w:val="18"/>
  </w:num>
  <w:num w:numId="20">
    <w:abstractNumId w:val="6"/>
  </w:num>
  <w:num w:numId="21">
    <w:abstractNumId w:val="2"/>
  </w:num>
  <w:num w:numId="22">
    <w:abstractNumId w:val="12"/>
  </w:num>
  <w:num w:numId="23">
    <w:abstractNumId w:val="19"/>
  </w:num>
  <w:num w:numId="24">
    <w:abstractNumId w:val="20"/>
  </w:num>
  <w:num w:numId="25">
    <w:abstractNumId w:val="20"/>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578"/>
    <w:rsid w:val="000077EC"/>
    <w:rsid w:val="0001130B"/>
    <w:rsid w:val="000130F1"/>
    <w:rsid w:val="000134F8"/>
    <w:rsid w:val="00013813"/>
    <w:rsid w:val="00014405"/>
    <w:rsid w:val="00016FE1"/>
    <w:rsid w:val="00021047"/>
    <w:rsid w:val="0002464A"/>
    <w:rsid w:val="000263DA"/>
    <w:rsid w:val="0003106B"/>
    <w:rsid w:val="000334C9"/>
    <w:rsid w:val="00037C20"/>
    <w:rsid w:val="00040AB3"/>
    <w:rsid w:val="000421A1"/>
    <w:rsid w:val="0004240E"/>
    <w:rsid w:val="00045E26"/>
    <w:rsid w:val="00047632"/>
    <w:rsid w:val="000514B5"/>
    <w:rsid w:val="000522FE"/>
    <w:rsid w:val="000546AE"/>
    <w:rsid w:val="00054989"/>
    <w:rsid w:val="00057CD4"/>
    <w:rsid w:val="0006047B"/>
    <w:rsid w:val="00060708"/>
    <w:rsid w:val="00060E64"/>
    <w:rsid w:val="000633F5"/>
    <w:rsid w:val="00066755"/>
    <w:rsid w:val="00072469"/>
    <w:rsid w:val="00073995"/>
    <w:rsid w:val="00077143"/>
    <w:rsid w:val="00077FC6"/>
    <w:rsid w:val="00082169"/>
    <w:rsid w:val="000904DD"/>
    <w:rsid w:val="0009282D"/>
    <w:rsid w:val="00092C7F"/>
    <w:rsid w:val="000969AD"/>
    <w:rsid w:val="00097139"/>
    <w:rsid w:val="000A1E9D"/>
    <w:rsid w:val="000A4097"/>
    <w:rsid w:val="000B2305"/>
    <w:rsid w:val="000B36D4"/>
    <w:rsid w:val="000B558D"/>
    <w:rsid w:val="000C2BCD"/>
    <w:rsid w:val="000C6691"/>
    <w:rsid w:val="000C6996"/>
    <w:rsid w:val="000C6A21"/>
    <w:rsid w:val="000C7502"/>
    <w:rsid w:val="000D23BA"/>
    <w:rsid w:val="000E21D3"/>
    <w:rsid w:val="000E2294"/>
    <w:rsid w:val="000E681E"/>
    <w:rsid w:val="000F0003"/>
    <w:rsid w:val="000F1245"/>
    <w:rsid w:val="000F32D0"/>
    <w:rsid w:val="000F4E6A"/>
    <w:rsid w:val="001003E3"/>
    <w:rsid w:val="00104227"/>
    <w:rsid w:val="00106730"/>
    <w:rsid w:val="00107DD6"/>
    <w:rsid w:val="001107BF"/>
    <w:rsid w:val="00115AEF"/>
    <w:rsid w:val="0012245B"/>
    <w:rsid w:val="0012417C"/>
    <w:rsid w:val="001307D3"/>
    <w:rsid w:val="00130CD5"/>
    <w:rsid w:val="00133520"/>
    <w:rsid w:val="00134859"/>
    <w:rsid w:val="00142395"/>
    <w:rsid w:val="001423E5"/>
    <w:rsid w:val="00142714"/>
    <w:rsid w:val="00142B6B"/>
    <w:rsid w:val="00144015"/>
    <w:rsid w:val="001452ED"/>
    <w:rsid w:val="00146AD7"/>
    <w:rsid w:val="00151C49"/>
    <w:rsid w:val="00151C92"/>
    <w:rsid w:val="00157500"/>
    <w:rsid w:val="00161030"/>
    <w:rsid w:val="00163329"/>
    <w:rsid w:val="00164623"/>
    <w:rsid w:val="00165B64"/>
    <w:rsid w:val="00166E93"/>
    <w:rsid w:val="00172EFB"/>
    <w:rsid w:val="001774C1"/>
    <w:rsid w:val="00180713"/>
    <w:rsid w:val="00181A07"/>
    <w:rsid w:val="001830CE"/>
    <w:rsid w:val="00184B35"/>
    <w:rsid w:val="0018643B"/>
    <w:rsid w:val="001928D9"/>
    <w:rsid w:val="0019460A"/>
    <w:rsid w:val="00195798"/>
    <w:rsid w:val="00196307"/>
    <w:rsid w:val="001A33EA"/>
    <w:rsid w:val="001A6B0E"/>
    <w:rsid w:val="001B017F"/>
    <w:rsid w:val="001B2BBC"/>
    <w:rsid w:val="001B5129"/>
    <w:rsid w:val="001B5141"/>
    <w:rsid w:val="001B6D1C"/>
    <w:rsid w:val="001B7E4C"/>
    <w:rsid w:val="001C0F13"/>
    <w:rsid w:val="001C1195"/>
    <w:rsid w:val="001C51DC"/>
    <w:rsid w:val="001D1447"/>
    <w:rsid w:val="001E616B"/>
    <w:rsid w:val="001F16C3"/>
    <w:rsid w:val="001F1850"/>
    <w:rsid w:val="001F4B75"/>
    <w:rsid w:val="001F5133"/>
    <w:rsid w:val="001F5644"/>
    <w:rsid w:val="001F6529"/>
    <w:rsid w:val="00203621"/>
    <w:rsid w:val="00203FAC"/>
    <w:rsid w:val="0020639E"/>
    <w:rsid w:val="00212D62"/>
    <w:rsid w:val="00213CFB"/>
    <w:rsid w:val="002141FE"/>
    <w:rsid w:val="00217BE1"/>
    <w:rsid w:val="0022468F"/>
    <w:rsid w:val="00224CF5"/>
    <w:rsid w:val="00225DC1"/>
    <w:rsid w:val="00245C4D"/>
    <w:rsid w:val="00252C15"/>
    <w:rsid w:val="0025400D"/>
    <w:rsid w:val="0026703D"/>
    <w:rsid w:val="00267240"/>
    <w:rsid w:val="00267CEE"/>
    <w:rsid w:val="002703AE"/>
    <w:rsid w:val="00271BA1"/>
    <w:rsid w:val="00271D92"/>
    <w:rsid w:val="002762FA"/>
    <w:rsid w:val="002771D1"/>
    <w:rsid w:val="00277505"/>
    <w:rsid w:val="002775AA"/>
    <w:rsid w:val="00281060"/>
    <w:rsid w:val="0028481E"/>
    <w:rsid w:val="00285543"/>
    <w:rsid w:val="00291491"/>
    <w:rsid w:val="0029458F"/>
    <w:rsid w:val="002963C6"/>
    <w:rsid w:val="002979E3"/>
    <w:rsid w:val="002A0B4C"/>
    <w:rsid w:val="002A104C"/>
    <w:rsid w:val="002A4960"/>
    <w:rsid w:val="002A4DCD"/>
    <w:rsid w:val="002B13EA"/>
    <w:rsid w:val="002B1AE6"/>
    <w:rsid w:val="002B2DE8"/>
    <w:rsid w:val="002B2EE5"/>
    <w:rsid w:val="002B30F8"/>
    <w:rsid w:val="002B33DB"/>
    <w:rsid w:val="002B5596"/>
    <w:rsid w:val="002B62F8"/>
    <w:rsid w:val="002C1F6F"/>
    <w:rsid w:val="002C212F"/>
    <w:rsid w:val="002D4543"/>
    <w:rsid w:val="002E3153"/>
    <w:rsid w:val="002E38BF"/>
    <w:rsid w:val="002E65CE"/>
    <w:rsid w:val="002E6BC6"/>
    <w:rsid w:val="002E72CA"/>
    <w:rsid w:val="002F4328"/>
    <w:rsid w:val="002F600D"/>
    <w:rsid w:val="002F6D60"/>
    <w:rsid w:val="00300AD6"/>
    <w:rsid w:val="00305983"/>
    <w:rsid w:val="00307902"/>
    <w:rsid w:val="00311B77"/>
    <w:rsid w:val="0031435C"/>
    <w:rsid w:val="00314D2C"/>
    <w:rsid w:val="003151FF"/>
    <w:rsid w:val="0031675A"/>
    <w:rsid w:val="00317831"/>
    <w:rsid w:val="00317C6C"/>
    <w:rsid w:val="0032132B"/>
    <w:rsid w:val="003263A2"/>
    <w:rsid w:val="00326E79"/>
    <w:rsid w:val="00332751"/>
    <w:rsid w:val="0033518A"/>
    <w:rsid w:val="003367EF"/>
    <w:rsid w:val="00340CA4"/>
    <w:rsid w:val="00341AE4"/>
    <w:rsid w:val="003471CC"/>
    <w:rsid w:val="00354A67"/>
    <w:rsid w:val="00357A48"/>
    <w:rsid w:val="003613E6"/>
    <w:rsid w:val="00362C64"/>
    <w:rsid w:val="00362CE8"/>
    <w:rsid w:val="00364C9B"/>
    <w:rsid w:val="00374770"/>
    <w:rsid w:val="00376873"/>
    <w:rsid w:val="00381C5F"/>
    <w:rsid w:val="0038308C"/>
    <w:rsid w:val="003872CF"/>
    <w:rsid w:val="00394DCD"/>
    <w:rsid w:val="00396662"/>
    <w:rsid w:val="0039782C"/>
    <w:rsid w:val="003A5980"/>
    <w:rsid w:val="003A5B4A"/>
    <w:rsid w:val="003A717A"/>
    <w:rsid w:val="003B23C5"/>
    <w:rsid w:val="003B2A75"/>
    <w:rsid w:val="003B5B57"/>
    <w:rsid w:val="003B6124"/>
    <w:rsid w:val="003C2FB5"/>
    <w:rsid w:val="003C36FB"/>
    <w:rsid w:val="003D33D3"/>
    <w:rsid w:val="003D4AC4"/>
    <w:rsid w:val="003D63B7"/>
    <w:rsid w:val="003E1EA3"/>
    <w:rsid w:val="003E2B64"/>
    <w:rsid w:val="003E2D60"/>
    <w:rsid w:val="003E468B"/>
    <w:rsid w:val="003E7107"/>
    <w:rsid w:val="003F3228"/>
    <w:rsid w:val="003F54F3"/>
    <w:rsid w:val="003F5C8C"/>
    <w:rsid w:val="004038E2"/>
    <w:rsid w:val="00403B20"/>
    <w:rsid w:val="00405244"/>
    <w:rsid w:val="004063DF"/>
    <w:rsid w:val="00407F1C"/>
    <w:rsid w:val="004106F5"/>
    <w:rsid w:val="00413EC9"/>
    <w:rsid w:val="00423F5C"/>
    <w:rsid w:val="004252EC"/>
    <w:rsid w:val="00430B34"/>
    <w:rsid w:val="00435047"/>
    <w:rsid w:val="00441E9F"/>
    <w:rsid w:val="00443992"/>
    <w:rsid w:val="004451C8"/>
    <w:rsid w:val="004465BD"/>
    <w:rsid w:val="004502C2"/>
    <w:rsid w:val="0045439D"/>
    <w:rsid w:val="0046160A"/>
    <w:rsid w:val="00462FFC"/>
    <w:rsid w:val="004653D8"/>
    <w:rsid w:val="00466ADA"/>
    <w:rsid w:val="00467C1A"/>
    <w:rsid w:val="00476245"/>
    <w:rsid w:val="00483035"/>
    <w:rsid w:val="00483EDC"/>
    <w:rsid w:val="004849C8"/>
    <w:rsid w:val="00485836"/>
    <w:rsid w:val="00485940"/>
    <w:rsid w:val="00486072"/>
    <w:rsid w:val="0049045B"/>
    <w:rsid w:val="004A2484"/>
    <w:rsid w:val="004A5A85"/>
    <w:rsid w:val="004A6054"/>
    <w:rsid w:val="004A71D1"/>
    <w:rsid w:val="004B5640"/>
    <w:rsid w:val="004C0FD2"/>
    <w:rsid w:val="004C1BD7"/>
    <w:rsid w:val="004C1E92"/>
    <w:rsid w:val="004C268A"/>
    <w:rsid w:val="004C31FE"/>
    <w:rsid w:val="004C423C"/>
    <w:rsid w:val="004C5BED"/>
    <w:rsid w:val="004C5FAA"/>
    <w:rsid w:val="004C691D"/>
    <w:rsid w:val="004C6C07"/>
    <w:rsid w:val="004D46CA"/>
    <w:rsid w:val="004D49C5"/>
    <w:rsid w:val="004D5247"/>
    <w:rsid w:val="004D5557"/>
    <w:rsid w:val="004E4B25"/>
    <w:rsid w:val="004E635B"/>
    <w:rsid w:val="004E692D"/>
    <w:rsid w:val="004F0753"/>
    <w:rsid w:val="004F09FE"/>
    <w:rsid w:val="004F160E"/>
    <w:rsid w:val="004F2102"/>
    <w:rsid w:val="00500C3E"/>
    <w:rsid w:val="00501554"/>
    <w:rsid w:val="005076C7"/>
    <w:rsid w:val="00512406"/>
    <w:rsid w:val="00514CD7"/>
    <w:rsid w:val="00516910"/>
    <w:rsid w:val="00530A43"/>
    <w:rsid w:val="005319B2"/>
    <w:rsid w:val="00532402"/>
    <w:rsid w:val="00532C74"/>
    <w:rsid w:val="005346BB"/>
    <w:rsid w:val="00534D52"/>
    <w:rsid w:val="00534E2E"/>
    <w:rsid w:val="00543A06"/>
    <w:rsid w:val="00544552"/>
    <w:rsid w:val="005463B7"/>
    <w:rsid w:val="00547272"/>
    <w:rsid w:val="00563208"/>
    <w:rsid w:val="0056419E"/>
    <w:rsid w:val="00577C4D"/>
    <w:rsid w:val="005801EA"/>
    <w:rsid w:val="00581932"/>
    <w:rsid w:val="00585EF4"/>
    <w:rsid w:val="00587CA3"/>
    <w:rsid w:val="00587F12"/>
    <w:rsid w:val="00590549"/>
    <w:rsid w:val="005963BB"/>
    <w:rsid w:val="005A3039"/>
    <w:rsid w:val="005A3173"/>
    <w:rsid w:val="005A3223"/>
    <w:rsid w:val="005A3DA3"/>
    <w:rsid w:val="005A52C4"/>
    <w:rsid w:val="005A5959"/>
    <w:rsid w:val="005C16D8"/>
    <w:rsid w:val="005C4A01"/>
    <w:rsid w:val="005C59BF"/>
    <w:rsid w:val="005C7785"/>
    <w:rsid w:val="005C79E3"/>
    <w:rsid w:val="005D03AB"/>
    <w:rsid w:val="005D4A44"/>
    <w:rsid w:val="005D5017"/>
    <w:rsid w:val="005D6781"/>
    <w:rsid w:val="005E0279"/>
    <w:rsid w:val="005E11C2"/>
    <w:rsid w:val="005E1333"/>
    <w:rsid w:val="005F25F6"/>
    <w:rsid w:val="005F2EF4"/>
    <w:rsid w:val="00601A91"/>
    <w:rsid w:val="006023F2"/>
    <w:rsid w:val="00602BA3"/>
    <w:rsid w:val="0060397E"/>
    <w:rsid w:val="006041F7"/>
    <w:rsid w:val="006043AE"/>
    <w:rsid w:val="00606EED"/>
    <w:rsid w:val="00612E34"/>
    <w:rsid w:val="00614159"/>
    <w:rsid w:val="00617C00"/>
    <w:rsid w:val="00625087"/>
    <w:rsid w:val="006263BF"/>
    <w:rsid w:val="0062748A"/>
    <w:rsid w:val="00630A2C"/>
    <w:rsid w:val="00631FDF"/>
    <w:rsid w:val="00634E8D"/>
    <w:rsid w:val="0063682E"/>
    <w:rsid w:val="006407BB"/>
    <w:rsid w:val="0064123E"/>
    <w:rsid w:val="006436CD"/>
    <w:rsid w:val="00644242"/>
    <w:rsid w:val="00651169"/>
    <w:rsid w:val="00653D69"/>
    <w:rsid w:val="006546F1"/>
    <w:rsid w:val="00657DEC"/>
    <w:rsid w:val="00662DB0"/>
    <w:rsid w:val="006670BE"/>
    <w:rsid w:val="0067091F"/>
    <w:rsid w:val="00670A76"/>
    <w:rsid w:val="006711AA"/>
    <w:rsid w:val="00672B57"/>
    <w:rsid w:val="00674C57"/>
    <w:rsid w:val="00675622"/>
    <w:rsid w:val="00677461"/>
    <w:rsid w:val="0067747D"/>
    <w:rsid w:val="006775F6"/>
    <w:rsid w:val="00682808"/>
    <w:rsid w:val="00686E52"/>
    <w:rsid w:val="006906DB"/>
    <w:rsid w:val="00691E6C"/>
    <w:rsid w:val="00696129"/>
    <w:rsid w:val="00697CF2"/>
    <w:rsid w:val="006A12A5"/>
    <w:rsid w:val="006A468A"/>
    <w:rsid w:val="006A4AE2"/>
    <w:rsid w:val="006B0AF8"/>
    <w:rsid w:val="006B0D94"/>
    <w:rsid w:val="006B2BEC"/>
    <w:rsid w:val="006B485D"/>
    <w:rsid w:val="006B5EA8"/>
    <w:rsid w:val="006C1625"/>
    <w:rsid w:val="006C2A8E"/>
    <w:rsid w:val="006C6EFD"/>
    <w:rsid w:val="006C708E"/>
    <w:rsid w:val="006D1332"/>
    <w:rsid w:val="006D14E7"/>
    <w:rsid w:val="006D3273"/>
    <w:rsid w:val="006D598F"/>
    <w:rsid w:val="006D6493"/>
    <w:rsid w:val="006D6EC7"/>
    <w:rsid w:val="006D71A7"/>
    <w:rsid w:val="006E1BCD"/>
    <w:rsid w:val="006E4CF2"/>
    <w:rsid w:val="006E5550"/>
    <w:rsid w:val="006E6F62"/>
    <w:rsid w:val="006E7FB5"/>
    <w:rsid w:val="006F5125"/>
    <w:rsid w:val="0070082D"/>
    <w:rsid w:val="00700A32"/>
    <w:rsid w:val="00701A91"/>
    <w:rsid w:val="00702B6F"/>
    <w:rsid w:val="0070650B"/>
    <w:rsid w:val="0071340B"/>
    <w:rsid w:val="007174BB"/>
    <w:rsid w:val="00717A7D"/>
    <w:rsid w:val="0072025D"/>
    <w:rsid w:val="0072543C"/>
    <w:rsid w:val="00726E57"/>
    <w:rsid w:val="00727FDA"/>
    <w:rsid w:val="00731D9F"/>
    <w:rsid w:val="0073306F"/>
    <w:rsid w:val="007353D3"/>
    <w:rsid w:val="0074113E"/>
    <w:rsid w:val="00742D31"/>
    <w:rsid w:val="00744CF6"/>
    <w:rsid w:val="00755755"/>
    <w:rsid w:val="00757CDA"/>
    <w:rsid w:val="00757FD4"/>
    <w:rsid w:val="0076420C"/>
    <w:rsid w:val="00767908"/>
    <w:rsid w:val="007753C2"/>
    <w:rsid w:val="00780930"/>
    <w:rsid w:val="00780B75"/>
    <w:rsid w:val="007829AC"/>
    <w:rsid w:val="007838B8"/>
    <w:rsid w:val="00783D58"/>
    <w:rsid w:val="007952A7"/>
    <w:rsid w:val="00796E72"/>
    <w:rsid w:val="0079737B"/>
    <w:rsid w:val="007A010D"/>
    <w:rsid w:val="007A1FBE"/>
    <w:rsid w:val="007A6991"/>
    <w:rsid w:val="007A6ACC"/>
    <w:rsid w:val="007A758D"/>
    <w:rsid w:val="007C0F57"/>
    <w:rsid w:val="007C40B6"/>
    <w:rsid w:val="007C729F"/>
    <w:rsid w:val="007C78DC"/>
    <w:rsid w:val="007D295F"/>
    <w:rsid w:val="007D4484"/>
    <w:rsid w:val="007D4644"/>
    <w:rsid w:val="007D56D3"/>
    <w:rsid w:val="007E0BAD"/>
    <w:rsid w:val="007E1D28"/>
    <w:rsid w:val="007E3879"/>
    <w:rsid w:val="007E4660"/>
    <w:rsid w:val="007E7CC5"/>
    <w:rsid w:val="007F2641"/>
    <w:rsid w:val="007F7C36"/>
    <w:rsid w:val="008060E0"/>
    <w:rsid w:val="00806796"/>
    <w:rsid w:val="00813B42"/>
    <w:rsid w:val="008151D6"/>
    <w:rsid w:val="00824CCA"/>
    <w:rsid w:val="00826F6D"/>
    <w:rsid w:val="008306F3"/>
    <w:rsid w:val="00831B9C"/>
    <w:rsid w:val="00847B56"/>
    <w:rsid w:val="008524E4"/>
    <w:rsid w:val="00853FB4"/>
    <w:rsid w:val="00855D27"/>
    <w:rsid w:val="00856829"/>
    <w:rsid w:val="00856DDD"/>
    <w:rsid w:val="008601A3"/>
    <w:rsid w:val="00863E68"/>
    <w:rsid w:val="00882085"/>
    <w:rsid w:val="008825FA"/>
    <w:rsid w:val="0088274A"/>
    <w:rsid w:val="00883188"/>
    <w:rsid w:val="00885805"/>
    <w:rsid w:val="0089521C"/>
    <w:rsid w:val="00897D58"/>
    <w:rsid w:val="00897E04"/>
    <w:rsid w:val="00897F22"/>
    <w:rsid w:val="008A1956"/>
    <w:rsid w:val="008A4937"/>
    <w:rsid w:val="008A50F1"/>
    <w:rsid w:val="008C46AC"/>
    <w:rsid w:val="008C54C4"/>
    <w:rsid w:val="008C55BD"/>
    <w:rsid w:val="008C7770"/>
    <w:rsid w:val="008D1613"/>
    <w:rsid w:val="008D1B5C"/>
    <w:rsid w:val="008D2FBC"/>
    <w:rsid w:val="008D3C82"/>
    <w:rsid w:val="008D4253"/>
    <w:rsid w:val="008D447E"/>
    <w:rsid w:val="008D7A41"/>
    <w:rsid w:val="008E00F2"/>
    <w:rsid w:val="008E0E62"/>
    <w:rsid w:val="008E121A"/>
    <w:rsid w:val="008E1A7D"/>
    <w:rsid w:val="008E25FF"/>
    <w:rsid w:val="008E3680"/>
    <w:rsid w:val="008E5870"/>
    <w:rsid w:val="008E7852"/>
    <w:rsid w:val="008F1434"/>
    <w:rsid w:val="008F39C1"/>
    <w:rsid w:val="008F602B"/>
    <w:rsid w:val="008F7355"/>
    <w:rsid w:val="00905D57"/>
    <w:rsid w:val="009067B7"/>
    <w:rsid w:val="00912C8B"/>
    <w:rsid w:val="00930937"/>
    <w:rsid w:val="009312B8"/>
    <w:rsid w:val="009317EE"/>
    <w:rsid w:val="00931936"/>
    <w:rsid w:val="00933B46"/>
    <w:rsid w:val="00933E6C"/>
    <w:rsid w:val="00936E54"/>
    <w:rsid w:val="00937185"/>
    <w:rsid w:val="00937958"/>
    <w:rsid w:val="00937FBF"/>
    <w:rsid w:val="0094059F"/>
    <w:rsid w:val="0094100A"/>
    <w:rsid w:val="00941F4B"/>
    <w:rsid w:val="00942160"/>
    <w:rsid w:val="0094256E"/>
    <w:rsid w:val="0095146F"/>
    <w:rsid w:val="00954B59"/>
    <w:rsid w:val="009555C5"/>
    <w:rsid w:val="009559FB"/>
    <w:rsid w:val="009602C5"/>
    <w:rsid w:val="00962223"/>
    <w:rsid w:val="00964B27"/>
    <w:rsid w:val="00966D0D"/>
    <w:rsid w:val="009717E7"/>
    <w:rsid w:val="00973FBD"/>
    <w:rsid w:val="00974C21"/>
    <w:rsid w:val="0097781D"/>
    <w:rsid w:val="00981DF6"/>
    <w:rsid w:val="0098321D"/>
    <w:rsid w:val="00994892"/>
    <w:rsid w:val="0099494A"/>
    <w:rsid w:val="009978F5"/>
    <w:rsid w:val="009A02EF"/>
    <w:rsid w:val="009A6A5F"/>
    <w:rsid w:val="009B0F67"/>
    <w:rsid w:val="009C703C"/>
    <w:rsid w:val="009D3CAA"/>
    <w:rsid w:val="009D4C74"/>
    <w:rsid w:val="009D529B"/>
    <w:rsid w:val="009D73F5"/>
    <w:rsid w:val="009E165D"/>
    <w:rsid w:val="009E2D28"/>
    <w:rsid w:val="009E40E1"/>
    <w:rsid w:val="009E45AD"/>
    <w:rsid w:val="009E578C"/>
    <w:rsid w:val="009F4DCE"/>
    <w:rsid w:val="009F4E46"/>
    <w:rsid w:val="009F565C"/>
    <w:rsid w:val="009F5B65"/>
    <w:rsid w:val="009F5F2E"/>
    <w:rsid w:val="00A0230D"/>
    <w:rsid w:val="00A04DFC"/>
    <w:rsid w:val="00A05352"/>
    <w:rsid w:val="00A06225"/>
    <w:rsid w:val="00A06821"/>
    <w:rsid w:val="00A128E6"/>
    <w:rsid w:val="00A12DB8"/>
    <w:rsid w:val="00A20994"/>
    <w:rsid w:val="00A21DF5"/>
    <w:rsid w:val="00A3391B"/>
    <w:rsid w:val="00A34E6C"/>
    <w:rsid w:val="00A3671D"/>
    <w:rsid w:val="00A37C8D"/>
    <w:rsid w:val="00A42D9F"/>
    <w:rsid w:val="00A46081"/>
    <w:rsid w:val="00A51F4E"/>
    <w:rsid w:val="00A5273B"/>
    <w:rsid w:val="00A52800"/>
    <w:rsid w:val="00A537F3"/>
    <w:rsid w:val="00A5381D"/>
    <w:rsid w:val="00A53A9D"/>
    <w:rsid w:val="00A53D20"/>
    <w:rsid w:val="00A55FEE"/>
    <w:rsid w:val="00A573F9"/>
    <w:rsid w:val="00A612FE"/>
    <w:rsid w:val="00A6255C"/>
    <w:rsid w:val="00A62C1A"/>
    <w:rsid w:val="00A6426D"/>
    <w:rsid w:val="00A665C1"/>
    <w:rsid w:val="00A70622"/>
    <w:rsid w:val="00A70977"/>
    <w:rsid w:val="00A746BF"/>
    <w:rsid w:val="00A74ECF"/>
    <w:rsid w:val="00A763C3"/>
    <w:rsid w:val="00A77613"/>
    <w:rsid w:val="00A776FA"/>
    <w:rsid w:val="00A8390C"/>
    <w:rsid w:val="00A85C8B"/>
    <w:rsid w:val="00A928BD"/>
    <w:rsid w:val="00A93975"/>
    <w:rsid w:val="00AA4D1C"/>
    <w:rsid w:val="00AA6044"/>
    <w:rsid w:val="00AA61F5"/>
    <w:rsid w:val="00AB1758"/>
    <w:rsid w:val="00AB2B2C"/>
    <w:rsid w:val="00AB39C6"/>
    <w:rsid w:val="00AB686C"/>
    <w:rsid w:val="00AB6A4E"/>
    <w:rsid w:val="00AC00D7"/>
    <w:rsid w:val="00AC193C"/>
    <w:rsid w:val="00AC5206"/>
    <w:rsid w:val="00AC6F81"/>
    <w:rsid w:val="00AC726C"/>
    <w:rsid w:val="00AD3FC2"/>
    <w:rsid w:val="00AD507C"/>
    <w:rsid w:val="00AE11A5"/>
    <w:rsid w:val="00AE13E2"/>
    <w:rsid w:val="00AE16F7"/>
    <w:rsid w:val="00AE1A8E"/>
    <w:rsid w:val="00AE22D3"/>
    <w:rsid w:val="00AE2D8C"/>
    <w:rsid w:val="00AE431E"/>
    <w:rsid w:val="00AE6AC8"/>
    <w:rsid w:val="00AF30D1"/>
    <w:rsid w:val="00AF62DF"/>
    <w:rsid w:val="00AF68CC"/>
    <w:rsid w:val="00AF6D96"/>
    <w:rsid w:val="00B0051C"/>
    <w:rsid w:val="00B0205D"/>
    <w:rsid w:val="00B05376"/>
    <w:rsid w:val="00B1059E"/>
    <w:rsid w:val="00B114BA"/>
    <w:rsid w:val="00B158EA"/>
    <w:rsid w:val="00B16D9C"/>
    <w:rsid w:val="00B176C8"/>
    <w:rsid w:val="00B205AA"/>
    <w:rsid w:val="00B21362"/>
    <w:rsid w:val="00B22D88"/>
    <w:rsid w:val="00B22E84"/>
    <w:rsid w:val="00B232BD"/>
    <w:rsid w:val="00B234B1"/>
    <w:rsid w:val="00B24597"/>
    <w:rsid w:val="00B25F75"/>
    <w:rsid w:val="00B26B3F"/>
    <w:rsid w:val="00B37DFF"/>
    <w:rsid w:val="00B41420"/>
    <w:rsid w:val="00B430FE"/>
    <w:rsid w:val="00B43E90"/>
    <w:rsid w:val="00B446A0"/>
    <w:rsid w:val="00B467DC"/>
    <w:rsid w:val="00B56118"/>
    <w:rsid w:val="00B571A5"/>
    <w:rsid w:val="00B6773F"/>
    <w:rsid w:val="00B765B3"/>
    <w:rsid w:val="00B801BA"/>
    <w:rsid w:val="00B8041B"/>
    <w:rsid w:val="00B84D5C"/>
    <w:rsid w:val="00B859CF"/>
    <w:rsid w:val="00B9351A"/>
    <w:rsid w:val="00B954F6"/>
    <w:rsid w:val="00B96F6A"/>
    <w:rsid w:val="00BA0616"/>
    <w:rsid w:val="00BA4479"/>
    <w:rsid w:val="00BA57E1"/>
    <w:rsid w:val="00BA7015"/>
    <w:rsid w:val="00BB329B"/>
    <w:rsid w:val="00BB69F5"/>
    <w:rsid w:val="00BB7EC3"/>
    <w:rsid w:val="00BC4B9A"/>
    <w:rsid w:val="00BC7A1B"/>
    <w:rsid w:val="00BD0700"/>
    <w:rsid w:val="00BD6618"/>
    <w:rsid w:val="00BD784C"/>
    <w:rsid w:val="00BE11D0"/>
    <w:rsid w:val="00BE7959"/>
    <w:rsid w:val="00BF0D7A"/>
    <w:rsid w:val="00BF3B61"/>
    <w:rsid w:val="00BF4CB6"/>
    <w:rsid w:val="00BF655A"/>
    <w:rsid w:val="00C00DA7"/>
    <w:rsid w:val="00C06C07"/>
    <w:rsid w:val="00C12768"/>
    <w:rsid w:val="00C15C35"/>
    <w:rsid w:val="00C178B7"/>
    <w:rsid w:val="00C23E3E"/>
    <w:rsid w:val="00C246EA"/>
    <w:rsid w:val="00C25B42"/>
    <w:rsid w:val="00C269A0"/>
    <w:rsid w:val="00C27B58"/>
    <w:rsid w:val="00C3359A"/>
    <w:rsid w:val="00C35996"/>
    <w:rsid w:val="00C402E1"/>
    <w:rsid w:val="00C407EA"/>
    <w:rsid w:val="00C4269E"/>
    <w:rsid w:val="00C44397"/>
    <w:rsid w:val="00C4747E"/>
    <w:rsid w:val="00C5082C"/>
    <w:rsid w:val="00C5342C"/>
    <w:rsid w:val="00C57427"/>
    <w:rsid w:val="00C603D4"/>
    <w:rsid w:val="00C60F32"/>
    <w:rsid w:val="00C6256A"/>
    <w:rsid w:val="00C63899"/>
    <w:rsid w:val="00C64C08"/>
    <w:rsid w:val="00C65B07"/>
    <w:rsid w:val="00C710D0"/>
    <w:rsid w:val="00C73871"/>
    <w:rsid w:val="00C7441A"/>
    <w:rsid w:val="00C77891"/>
    <w:rsid w:val="00C80C84"/>
    <w:rsid w:val="00C841E6"/>
    <w:rsid w:val="00C91449"/>
    <w:rsid w:val="00C92D10"/>
    <w:rsid w:val="00C9339B"/>
    <w:rsid w:val="00C95F95"/>
    <w:rsid w:val="00CA022E"/>
    <w:rsid w:val="00CA14CD"/>
    <w:rsid w:val="00CA2340"/>
    <w:rsid w:val="00CB2514"/>
    <w:rsid w:val="00CB5E39"/>
    <w:rsid w:val="00CC3256"/>
    <w:rsid w:val="00CC56C2"/>
    <w:rsid w:val="00CD0BBF"/>
    <w:rsid w:val="00CD1C1B"/>
    <w:rsid w:val="00CD219F"/>
    <w:rsid w:val="00CD5B3A"/>
    <w:rsid w:val="00CD694A"/>
    <w:rsid w:val="00CD6E79"/>
    <w:rsid w:val="00CE10C4"/>
    <w:rsid w:val="00CE27B5"/>
    <w:rsid w:val="00CE5614"/>
    <w:rsid w:val="00CF1AED"/>
    <w:rsid w:val="00CF7536"/>
    <w:rsid w:val="00D0321E"/>
    <w:rsid w:val="00D069FE"/>
    <w:rsid w:val="00D10D7B"/>
    <w:rsid w:val="00D11867"/>
    <w:rsid w:val="00D1455A"/>
    <w:rsid w:val="00D148D1"/>
    <w:rsid w:val="00D17311"/>
    <w:rsid w:val="00D21100"/>
    <w:rsid w:val="00D25B85"/>
    <w:rsid w:val="00D31150"/>
    <w:rsid w:val="00D3138B"/>
    <w:rsid w:val="00D3280C"/>
    <w:rsid w:val="00D3406A"/>
    <w:rsid w:val="00D4572C"/>
    <w:rsid w:val="00D469B2"/>
    <w:rsid w:val="00D5572D"/>
    <w:rsid w:val="00D741EB"/>
    <w:rsid w:val="00D82875"/>
    <w:rsid w:val="00D830C5"/>
    <w:rsid w:val="00D83605"/>
    <w:rsid w:val="00D83DB3"/>
    <w:rsid w:val="00D83F37"/>
    <w:rsid w:val="00D84934"/>
    <w:rsid w:val="00D84C6C"/>
    <w:rsid w:val="00D90EAD"/>
    <w:rsid w:val="00D91271"/>
    <w:rsid w:val="00D919F5"/>
    <w:rsid w:val="00D94B64"/>
    <w:rsid w:val="00D94F03"/>
    <w:rsid w:val="00D96AAD"/>
    <w:rsid w:val="00DA2CB5"/>
    <w:rsid w:val="00DA41D3"/>
    <w:rsid w:val="00DA4BAC"/>
    <w:rsid w:val="00DA5916"/>
    <w:rsid w:val="00DA5D89"/>
    <w:rsid w:val="00DA789C"/>
    <w:rsid w:val="00DB198D"/>
    <w:rsid w:val="00DB1CEE"/>
    <w:rsid w:val="00DB6426"/>
    <w:rsid w:val="00DC1927"/>
    <w:rsid w:val="00DC400F"/>
    <w:rsid w:val="00DC4EE1"/>
    <w:rsid w:val="00DC4F25"/>
    <w:rsid w:val="00DC6970"/>
    <w:rsid w:val="00DC7055"/>
    <w:rsid w:val="00DC756F"/>
    <w:rsid w:val="00DD1726"/>
    <w:rsid w:val="00DD2F59"/>
    <w:rsid w:val="00DD5167"/>
    <w:rsid w:val="00DE486C"/>
    <w:rsid w:val="00DE550B"/>
    <w:rsid w:val="00DE6D27"/>
    <w:rsid w:val="00DF1501"/>
    <w:rsid w:val="00DF217D"/>
    <w:rsid w:val="00DF26A7"/>
    <w:rsid w:val="00DF35F3"/>
    <w:rsid w:val="00DF65AB"/>
    <w:rsid w:val="00DF70F1"/>
    <w:rsid w:val="00DF7CA9"/>
    <w:rsid w:val="00E00349"/>
    <w:rsid w:val="00E052B4"/>
    <w:rsid w:val="00E15627"/>
    <w:rsid w:val="00E164B3"/>
    <w:rsid w:val="00E16910"/>
    <w:rsid w:val="00E20990"/>
    <w:rsid w:val="00E21A2F"/>
    <w:rsid w:val="00E22BAE"/>
    <w:rsid w:val="00E262ED"/>
    <w:rsid w:val="00E32EC6"/>
    <w:rsid w:val="00E368A7"/>
    <w:rsid w:val="00E36B51"/>
    <w:rsid w:val="00E42072"/>
    <w:rsid w:val="00E42918"/>
    <w:rsid w:val="00E42BDB"/>
    <w:rsid w:val="00E46236"/>
    <w:rsid w:val="00E50E17"/>
    <w:rsid w:val="00E52764"/>
    <w:rsid w:val="00E53039"/>
    <w:rsid w:val="00E57066"/>
    <w:rsid w:val="00E57EEB"/>
    <w:rsid w:val="00E6233D"/>
    <w:rsid w:val="00E62807"/>
    <w:rsid w:val="00E62D94"/>
    <w:rsid w:val="00E6310D"/>
    <w:rsid w:val="00E65E54"/>
    <w:rsid w:val="00E70CF0"/>
    <w:rsid w:val="00E71F2F"/>
    <w:rsid w:val="00E72CFC"/>
    <w:rsid w:val="00E73F1D"/>
    <w:rsid w:val="00E80155"/>
    <w:rsid w:val="00E81C00"/>
    <w:rsid w:val="00E81F28"/>
    <w:rsid w:val="00E823F8"/>
    <w:rsid w:val="00E82B37"/>
    <w:rsid w:val="00E848C0"/>
    <w:rsid w:val="00E9057C"/>
    <w:rsid w:val="00E91B96"/>
    <w:rsid w:val="00E936F2"/>
    <w:rsid w:val="00E941A1"/>
    <w:rsid w:val="00E95CE3"/>
    <w:rsid w:val="00E971CF"/>
    <w:rsid w:val="00EA2825"/>
    <w:rsid w:val="00EA77D3"/>
    <w:rsid w:val="00EB0B63"/>
    <w:rsid w:val="00EB1936"/>
    <w:rsid w:val="00EB5088"/>
    <w:rsid w:val="00EC0654"/>
    <w:rsid w:val="00EC081A"/>
    <w:rsid w:val="00EC0BCC"/>
    <w:rsid w:val="00EC4303"/>
    <w:rsid w:val="00EC5B79"/>
    <w:rsid w:val="00ED1644"/>
    <w:rsid w:val="00ED2593"/>
    <w:rsid w:val="00ED7D9C"/>
    <w:rsid w:val="00EE17F2"/>
    <w:rsid w:val="00EE764D"/>
    <w:rsid w:val="00EF3FCC"/>
    <w:rsid w:val="00EF44A0"/>
    <w:rsid w:val="00EF4FED"/>
    <w:rsid w:val="00F050BD"/>
    <w:rsid w:val="00F05657"/>
    <w:rsid w:val="00F10F13"/>
    <w:rsid w:val="00F1161A"/>
    <w:rsid w:val="00F13837"/>
    <w:rsid w:val="00F13E8D"/>
    <w:rsid w:val="00F1423B"/>
    <w:rsid w:val="00F15D26"/>
    <w:rsid w:val="00F22904"/>
    <w:rsid w:val="00F24F0C"/>
    <w:rsid w:val="00F25578"/>
    <w:rsid w:val="00F258E5"/>
    <w:rsid w:val="00F300BC"/>
    <w:rsid w:val="00F304F8"/>
    <w:rsid w:val="00F3334E"/>
    <w:rsid w:val="00F35D71"/>
    <w:rsid w:val="00F36020"/>
    <w:rsid w:val="00F36CCB"/>
    <w:rsid w:val="00F3729D"/>
    <w:rsid w:val="00F374E5"/>
    <w:rsid w:val="00F43AF2"/>
    <w:rsid w:val="00F44F5F"/>
    <w:rsid w:val="00F45463"/>
    <w:rsid w:val="00F457C8"/>
    <w:rsid w:val="00F463AF"/>
    <w:rsid w:val="00F47D58"/>
    <w:rsid w:val="00F5007E"/>
    <w:rsid w:val="00F50EC4"/>
    <w:rsid w:val="00F515E0"/>
    <w:rsid w:val="00F53658"/>
    <w:rsid w:val="00F550CF"/>
    <w:rsid w:val="00F576F3"/>
    <w:rsid w:val="00F57A6D"/>
    <w:rsid w:val="00F638CC"/>
    <w:rsid w:val="00F64CC1"/>
    <w:rsid w:val="00F70B96"/>
    <w:rsid w:val="00F72317"/>
    <w:rsid w:val="00F73157"/>
    <w:rsid w:val="00F73290"/>
    <w:rsid w:val="00F80475"/>
    <w:rsid w:val="00F8165D"/>
    <w:rsid w:val="00F8247A"/>
    <w:rsid w:val="00F9629A"/>
    <w:rsid w:val="00F97EFC"/>
    <w:rsid w:val="00FA2B80"/>
    <w:rsid w:val="00FA54E1"/>
    <w:rsid w:val="00FA5883"/>
    <w:rsid w:val="00FA6055"/>
    <w:rsid w:val="00FB04B8"/>
    <w:rsid w:val="00FB322F"/>
    <w:rsid w:val="00FB3264"/>
    <w:rsid w:val="00FB3FBB"/>
    <w:rsid w:val="00FB442F"/>
    <w:rsid w:val="00FB4837"/>
    <w:rsid w:val="00FC0095"/>
    <w:rsid w:val="00FC1929"/>
    <w:rsid w:val="00FC31B7"/>
    <w:rsid w:val="00FC5B46"/>
    <w:rsid w:val="00FD0B3F"/>
    <w:rsid w:val="00FD3BDE"/>
    <w:rsid w:val="00FD6D8E"/>
    <w:rsid w:val="00FE0E57"/>
    <w:rsid w:val="00FE0E94"/>
    <w:rsid w:val="00FE5442"/>
    <w:rsid w:val="00FE7CAF"/>
    <w:rsid w:val="00FF00BD"/>
    <w:rsid w:val="00FF1ED4"/>
    <w:rsid w:val="00FF2801"/>
    <w:rsid w:val="00F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D2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90"/>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FollowedHyperlink">
    <w:name w:val="FollowedHyperlink"/>
    <w:basedOn w:val="DefaultParagraphFont"/>
    <w:semiHidden/>
    <w:unhideWhenUsed/>
    <w:rsid w:val="001A6B0E"/>
    <w:rPr>
      <w:color w:val="800080" w:themeColor="followedHyperlink"/>
      <w:u w:val="single"/>
    </w:rPr>
  </w:style>
  <w:style w:type="paragraph" w:customStyle="1" w:styleId="TableBullet">
    <w:name w:val="TableBullet"/>
    <w:basedOn w:val="Normal"/>
    <w:uiPriority w:val="99"/>
    <w:rsid w:val="000E2294"/>
    <w:pPr>
      <w:numPr>
        <w:numId w:val="17"/>
      </w:numPr>
      <w:tabs>
        <w:tab w:val="clear" w:pos="360"/>
        <w:tab w:val="left" w:pos="216"/>
      </w:tabs>
      <w:spacing w:before="40" w:after="40"/>
    </w:pPr>
    <w:rPr>
      <w:rFonts w:ascii="Arial Narrow" w:hAnsi="Arial Narrow" w:cs="Arial Narrow"/>
      <w:sz w:val="20"/>
      <w:szCs w:val="20"/>
      <w:lang w:eastAsia="en-US"/>
    </w:rPr>
  </w:style>
  <w:style w:type="paragraph" w:styleId="NormalWeb">
    <w:name w:val="Normal (Web)"/>
    <w:basedOn w:val="Normal"/>
    <w:uiPriority w:val="99"/>
    <w:semiHidden/>
    <w:unhideWhenUsed/>
    <w:rsid w:val="004D52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523">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61313153">
      <w:bodyDiv w:val="1"/>
      <w:marLeft w:val="0"/>
      <w:marRight w:val="0"/>
      <w:marTop w:val="0"/>
      <w:marBottom w:val="0"/>
      <w:divBdr>
        <w:top w:val="none" w:sz="0" w:space="0" w:color="auto"/>
        <w:left w:val="none" w:sz="0" w:space="0" w:color="auto"/>
        <w:bottom w:val="none" w:sz="0" w:space="0" w:color="auto"/>
        <w:right w:val="none" w:sz="0" w:space="0" w:color="auto"/>
      </w:divBdr>
    </w:div>
    <w:div w:id="472219380">
      <w:bodyDiv w:val="1"/>
      <w:marLeft w:val="0"/>
      <w:marRight w:val="0"/>
      <w:marTop w:val="0"/>
      <w:marBottom w:val="0"/>
      <w:divBdr>
        <w:top w:val="none" w:sz="0" w:space="0" w:color="auto"/>
        <w:left w:val="none" w:sz="0" w:space="0" w:color="auto"/>
        <w:bottom w:val="none" w:sz="0" w:space="0" w:color="auto"/>
        <w:right w:val="none" w:sz="0" w:space="0" w:color="auto"/>
      </w:divBdr>
    </w:div>
    <w:div w:id="655305155">
      <w:bodyDiv w:val="1"/>
      <w:marLeft w:val="0"/>
      <w:marRight w:val="0"/>
      <w:marTop w:val="0"/>
      <w:marBottom w:val="0"/>
      <w:divBdr>
        <w:top w:val="none" w:sz="0" w:space="0" w:color="auto"/>
        <w:left w:val="none" w:sz="0" w:space="0" w:color="auto"/>
        <w:bottom w:val="none" w:sz="0" w:space="0" w:color="auto"/>
        <w:right w:val="none" w:sz="0" w:space="0" w:color="auto"/>
      </w:divBdr>
    </w:div>
    <w:div w:id="70552266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557930">
      <w:bodyDiv w:val="1"/>
      <w:marLeft w:val="0"/>
      <w:marRight w:val="0"/>
      <w:marTop w:val="0"/>
      <w:marBottom w:val="0"/>
      <w:divBdr>
        <w:top w:val="none" w:sz="0" w:space="0" w:color="auto"/>
        <w:left w:val="none" w:sz="0" w:space="0" w:color="auto"/>
        <w:bottom w:val="none" w:sz="0" w:space="0" w:color="auto"/>
        <w:right w:val="none" w:sz="0" w:space="0" w:color="auto"/>
      </w:divBdr>
    </w:div>
    <w:div w:id="986085512">
      <w:bodyDiv w:val="1"/>
      <w:marLeft w:val="0"/>
      <w:marRight w:val="0"/>
      <w:marTop w:val="0"/>
      <w:marBottom w:val="0"/>
      <w:divBdr>
        <w:top w:val="none" w:sz="0" w:space="0" w:color="auto"/>
        <w:left w:val="none" w:sz="0" w:space="0" w:color="auto"/>
        <w:bottom w:val="none" w:sz="0" w:space="0" w:color="auto"/>
        <w:right w:val="none" w:sz="0" w:space="0" w:color="auto"/>
      </w:divBdr>
    </w:div>
    <w:div w:id="1417748168">
      <w:bodyDiv w:val="1"/>
      <w:marLeft w:val="0"/>
      <w:marRight w:val="0"/>
      <w:marTop w:val="0"/>
      <w:marBottom w:val="0"/>
      <w:divBdr>
        <w:top w:val="none" w:sz="0" w:space="0" w:color="auto"/>
        <w:left w:val="none" w:sz="0" w:space="0" w:color="auto"/>
        <w:bottom w:val="none" w:sz="0" w:space="0" w:color="auto"/>
        <w:right w:val="none" w:sz="0" w:space="0" w:color="auto"/>
      </w:divBdr>
    </w:div>
    <w:div w:id="169099062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024924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008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664B-4373-438C-96A9-659E440F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10609</Words>
  <Characters>62342</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2019-06-26T01:36:00Z</dcterms:created>
  <dcterms:modified xsi:type="dcterms:W3CDTF">2019-07-01T01:55:00Z</dcterms:modified>
</cp:coreProperties>
</file>