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49" w:rsidRDefault="002C346A" w:rsidP="00B37049">
      <w:pPr>
        <w:pStyle w:val="Title"/>
        <w:rPr>
          <w:rFonts w:asciiTheme="minorHAnsi" w:hAnsiTheme="minorHAnsi" w:cstheme="minorHAnsi"/>
          <w:snapToGrid w:val="0"/>
          <w:sz w:val="36"/>
          <w:szCs w:val="36"/>
          <w:lang w:eastAsia="en-US"/>
        </w:rPr>
      </w:pPr>
      <w:r w:rsidRPr="00B37049">
        <w:rPr>
          <w:rFonts w:asciiTheme="minorHAnsi" w:hAnsiTheme="minorHAnsi" w:cstheme="minorHAnsi"/>
          <w:sz w:val="36"/>
          <w:szCs w:val="36"/>
        </w:rPr>
        <w:t>7</w:t>
      </w:r>
      <w:r w:rsidR="0004240E" w:rsidRPr="00B37049">
        <w:rPr>
          <w:rFonts w:asciiTheme="minorHAnsi" w:hAnsiTheme="minorHAnsi" w:cstheme="minorHAnsi"/>
          <w:sz w:val="36"/>
          <w:szCs w:val="36"/>
        </w:rPr>
        <w:t>.</w:t>
      </w:r>
      <w:r w:rsidRPr="00B37049">
        <w:rPr>
          <w:rFonts w:asciiTheme="minorHAnsi" w:hAnsiTheme="minorHAnsi" w:cstheme="minorHAnsi"/>
          <w:sz w:val="36"/>
          <w:szCs w:val="36"/>
        </w:rPr>
        <w:t>02</w:t>
      </w:r>
      <w:r w:rsidR="007E67C4" w:rsidRPr="00B37049">
        <w:rPr>
          <w:rFonts w:asciiTheme="minorHAnsi" w:hAnsiTheme="minorHAnsi" w:cstheme="minorHAnsi"/>
          <w:sz w:val="36"/>
          <w:szCs w:val="36"/>
        </w:rPr>
        <w:t>b</w:t>
      </w:r>
      <w:r w:rsidR="00B37049" w:rsidRPr="00B37049">
        <w:rPr>
          <w:rFonts w:asciiTheme="minorHAnsi" w:hAnsiTheme="minorHAnsi" w:cstheme="minorHAnsi"/>
          <w:sz w:val="36"/>
          <w:szCs w:val="36"/>
        </w:rPr>
        <w:t xml:space="preserve"> </w:t>
      </w:r>
      <w:r w:rsidR="00B37049">
        <w:rPr>
          <w:rFonts w:asciiTheme="minorHAnsi" w:hAnsiTheme="minorHAnsi" w:cstheme="minorHAnsi"/>
          <w:sz w:val="36"/>
          <w:szCs w:val="36"/>
        </w:rPr>
        <w:tab/>
      </w:r>
      <w:r w:rsidR="00F45DF1" w:rsidRPr="00B37049">
        <w:rPr>
          <w:rFonts w:asciiTheme="minorHAnsi" w:hAnsiTheme="minorHAnsi" w:cstheme="minorHAnsi"/>
          <w:snapToGrid w:val="0"/>
          <w:sz w:val="36"/>
          <w:szCs w:val="36"/>
          <w:lang w:eastAsia="en-US"/>
        </w:rPr>
        <w:t xml:space="preserve">BLINATUMOMAB, </w:t>
      </w:r>
    </w:p>
    <w:p w:rsidR="00B37049" w:rsidRDefault="00F45DF1" w:rsidP="00B37049">
      <w:pPr>
        <w:pStyle w:val="Title"/>
        <w:ind w:left="720" w:firstLine="720"/>
        <w:rPr>
          <w:rFonts w:asciiTheme="minorHAnsi" w:hAnsiTheme="minorHAnsi" w:cstheme="minorHAnsi"/>
          <w:snapToGrid w:val="0"/>
          <w:sz w:val="36"/>
          <w:szCs w:val="36"/>
          <w:lang w:eastAsia="en-US"/>
        </w:rPr>
      </w:pPr>
      <w:r w:rsidRPr="00B37049">
        <w:rPr>
          <w:rFonts w:asciiTheme="minorHAnsi" w:hAnsiTheme="minorHAnsi" w:cstheme="minorHAnsi"/>
          <w:snapToGrid w:val="0"/>
          <w:sz w:val="36"/>
          <w:szCs w:val="36"/>
          <w:lang w:eastAsia="en-US"/>
        </w:rPr>
        <w:t xml:space="preserve">Powder for I.V. infusion 38.5 micrograms, </w:t>
      </w:r>
    </w:p>
    <w:p w:rsidR="00CF2E0B" w:rsidRPr="00B37049" w:rsidRDefault="00F45DF1" w:rsidP="00B37049">
      <w:pPr>
        <w:pStyle w:val="Title"/>
        <w:ind w:left="720" w:firstLine="720"/>
        <w:rPr>
          <w:rFonts w:asciiTheme="minorHAnsi" w:hAnsiTheme="minorHAnsi" w:cstheme="minorHAnsi"/>
          <w:snapToGrid w:val="0"/>
          <w:sz w:val="36"/>
          <w:szCs w:val="36"/>
          <w:lang w:eastAsia="en-US"/>
        </w:rPr>
      </w:pPr>
      <w:r w:rsidRPr="00B37049">
        <w:rPr>
          <w:rFonts w:asciiTheme="minorHAnsi" w:eastAsia="Times New Roman" w:hAnsiTheme="minorHAnsi" w:cstheme="minorHAnsi"/>
          <w:snapToGrid w:val="0"/>
          <w:sz w:val="36"/>
          <w:szCs w:val="36"/>
          <w:lang w:eastAsia="en-US"/>
        </w:rPr>
        <w:t>Blincyto®, Amgen</w:t>
      </w:r>
      <w:r w:rsidR="00C83AE1" w:rsidRPr="00B37049">
        <w:rPr>
          <w:rFonts w:asciiTheme="minorHAnsi" w:hAnsiTheme="minorHAnsi" w:cstheme="minorHAnsi"/>
          <w:sz w:val="36"/>
          <w:szCs w:val="36"/>
        </w:rPr>
        <w:t xml:space="preserve"> Australia Pty Limited</w:t>
      </w:r>
    </w:p>
    <w:p w:rsidR="008A50F1" w:rsidRPr="00D4572C" w:rsidRDefault="00CE10C4" w:rsidP="00CF2E0B">
      <w:pPr>
        <w:pStyle w:val="PBACHeading1"/>
        <w:spacing w:before="12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BA1786">
        <w:rPr>
          <w:rFonts w:asciiTheme="minorHAnsi" w:hAnsiTheme="minorHAnsi"/>
          <w:sz w:val="32"/>
          <w:szCs w:val="32"/>
        </w:rPr>
        <w:t>Item</w:t>
      </w:r>
    </w:p>
    <w:p w:rsidR="00EF44A0" w:rsidRPr="002B5596" w:rsidRDefault="00A12FCF" w:rsidP="00A12FCF">
      <w:pPr>
        <w:pStyle w:val="ListParagraph"/>
        <w:widowControl/>
        <w:numPr>
          <w:ilvl w:val="1"/>
          <w:numId w:val="5"/>
        </w:numPr>
        <w:spacing w:after="120"/>
        <w:contextualSpacing w:val="0"/>
        <w:rPr>
          <w:rFonts w:asciiTheme="minorHAnsi" w:hAnsiTheme="minorHAnsi"/>
          <w:sz w:val="24"/>
          <w:szCs w:val="24"/>
        </w:rPr>
      </w:pPr>
      <w:r w:rsidRPr="00A12FCF">
        <w:rPr>
          <w:rFonts w:asciiTheme="minorHAnsi" w:hAnsiTheme="minorHAnsi"/>
          <w:sz w:val="24"/>
          <w:szCs w:val="24"/>
        </w:rPr>
        <w:t>To request an extension to the listing of blinatum</w:t>
      </w:r>
      <w:r w:rsidR="00CF2E0B">
        <w:rPr>
          <w:rFonts w:asciiTheme="minorHAnsi" w:hAnsiTheme="minorHAnsi"/>
          <w:sz w:val="24"/>
          <w:szCs w:val="24"/>
        </w:rPr>
        <w:t>omab</w:t>
      </w:r>
      <w:r w:rsidR="00F45DF1">
        <w:rPr>
          <w:rFonts w:asciiTheme="minorHAnsi" w:hAnsiTheme="minorHAnsi"/>
          <w:sz w:val="24"/>
          <w:szCs w:val="24"/>
        </w:rPr>
        <w:t>,</w:t>
      </w:r>
      <w:r w:rsidR="00CF2E0B">
        <w:rPr>
          <w:rFonts w:asciiTheme="minorHAnsi" w:hAnsiTheme="minorHAnsi"/>
          <w:sz w:val="24"/>
          <w:szCs w:val="24"/>
        </w:rPr>
        <w:t xml:space="preserve"> </w:t>
      </w:r>
      <w:r>
        <w:rPr>
          <w:rFonts w:asciiTheme="minorHAnsi" w:hAnsiTheme="minorHAnsi"/>
          <w:sz w:val="24"/>
          <w:szCs w:val="24"/>
        </w:rPr>
        <w:t xml:space="preserve">which </w:t>
      </w:r>
      <w:r w:rsidR="00F45DF1">
        <w:rPr>
          <w:rFonts w:asciiTheme="minorHAnsi" w:hAnsiTheme="minorHAnsi"/>
          <w:sz w:val="24"/>
          <w:szCs w:val="24"/>
        </w:rPr>
        <w:t>is PBS-listed</w:t>
      </w:r>
      <w:r w:rsidRPr="00A12FCF">
        <w:rPr>
          <w:rFonts w:asciiTheme="minorHAnsi" w:hAnsiTheme="minorHAnsi"/>
          <w:sz w:val="24"/>
          <w:szCs w:val="24"/>
        </w:rPr>
        <w:t xml:space="preserve"> </w:t>
      </w:r>
      <w:r w:rsidR="00CE7FEA">
        <w:rPr>
          <w:rFonts w:asciiTheme="minorHAnsi" w:hAnsiTheme="minorHAnsi"/>
          <w:sz w:val="24"/>
          <w:szCs w:val="24"/>
        </w:rPr>
        <w:t>for the treatment of relapsed or refractory (R/R) Philadelphia chromosome negative (Ph-) B-cell precursor acute lymphocytic leukaemia (B-ALL)</w:t>
      </w:r>
      <w:r>
        <w:rPr>
          <w:rFonts w:asciiTheme="minorHAnsi" w:hAnsiTheme="minorHAnsi"/>
          <w:sz w:val="24"/>
          <w:szCs w:val="24"/>
        </w:rPr>
        <w:t>,</w:t>
      </w:r>
      <w:r w:rsidR="00CE7FEA">
        <w:rPr>
          <w:rFonts w:asciiTheme="minorHAnsi" w:hAnsiTheme="minorHAnsi"/>
          <w:sz w:val="24"/>
          <w:szCs w:val="24"/>
        </w:rPr>
        <w:t xml:space="preserve"> to include patients w</w:t>
      </w:r>
      <w:r w:rsidR="006B0781">
        <w:rPr>
          <w:rFonts w:asciiTheme="minorHAnsi" w:hAnsiTheme="minorHAnsi"/>
          <w:sz w:val="24"/>
          <w:szCs w:val="24"/>
        </w:rPr>
        <w:t xml:space="preserve">hose condition is </w:t>
      </w:r>
      <w:r w:rsidR="00CE7FEA">
        <w:rPr>
          <w:rFonts w:asciiTheme="minorHAnsi" w:hAnsiTheme="minorHAnsi"/>
          <w:sz w:val="24"/>
          <w:szCs w:val="24"/>
        </w:rPr>
        <w:t>Philadelphia chromosome positive (Ph+)</w:t>
      </w:r>
      <w:r w:rsidR="006B0781">
        <w:rPr>
          <w:rFonts w:asciiTheme="minorHAnsi" w:hAnsiTheme="minorHAnsi"/>
          <w:sz w:val="24"/>
          <w:szCs w:val="24"/>
        </w:rPr>
        <w:t>.</w:t>
      </w:r>
      <w:r w:rsidR="00CE7FEA">
        <w:rPr>
          <w:rFonts w:asciiTheme="minorHAnsi" w:hAnsiTheme="minorHAnsi"/>
          <w:sz w:val="24"/>
          <w:szCs w:val="24"/>
        </w:rPr>
        <w:t xml:space="preserve"> </w:t>
      </w:r>
    </w:p>
    <w:p w:rsidR="006A12A5" w:rsidRPr="00577C4D" w:rsidRDefault="00BA1786" w:rsidP="00EB0B63">
      <w:pPr>
        <w:pStyle w:val="PBACHeading1"/>
        <w:spacing w:before="240" w:after="120"/>
        <w:ind w:left="709" w:hanging="709"/>
        <w:rPr>
          <w:rFonts w:asciiTheme="minorHAnsi" w:hAnsiTheme="minorHAnsi"/>
          <w:sz w:val="32"/>
          <w:szCs w:val="32"/>
        </w:rPr>
      </w:pPr>
      <w:r>
        <w:rPr>
          <w:rFonts w:asciiTheme="minorHAnsi" w:hAnsiTheme="minorHAnsi"/>
          <w:sz w:val="32"/>
          <w:szCs w:val="32"/>
        </w:rPr>
        <w:t>Background</w:t>
      </w:r>
    </w:p>
    <w:p w:rsidR="0085397C" w:rsidRPr="0085397C" w:rsidRDefault="0085397C" w:rsidP="007E67C4">
      <w:pPr>
        <w:pStyle w:val="ListParagraph"/>
        <w:numPr>
          <w:ilvl w:val="1"/>
          <w:numId w:val="14"/>
        </w:numPr>
        <w:spacing w:after="120"/>
        <w:contextualSpacing w:val="0"/>
        <w:rPr>
          <w:rFonts w:asciiTheme="minorHAnsi" w:eastAsiaTheme="minorHAnsi" w:hAnsiTheme="minorHAnsi" w:cstheme="minorBidi"/>
          <w:snapToGrid/>
          <w:sz w:val="24"/>
          <w:szCs w:val="22"/>
        </w:rPr>
      </w:pPr>
      <w:r w:rsidRPr="0085397C">
        <w:rPr>
          <w:rFonts w:asciiTheme="minorHAnsi" w:eastAsiaTheme="minorHAnsi" w:hAnsiTheme="minorHAnsi" w:cstheme="minorBidi"/>
          <w:snapToGrid/>
          <w:sz w:val="24"/>
          <w:szCs w:val="22"/>
        </w:rPr>
        <w:t>Inotuzumab was recommended for the treatment of R/R Ph- B-ALL at the November 2018 meeting on a cost-minimisation basis against blinatumomab. At the November 2018 meeting, the PBAC considered there is a high clinical need in patients with Ph+ R/R disease and noted that the INO-VATE ALL trial included patients with Ph+ disease (inotuzumab PSD, November 2018, paragraph 7.3).</w:t>
      </w:r>
    </w:p>
    <w:p w:rsidR="00A73FC8" w:rsidRDefault="009C7546" w:rsidP="006B078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the March 2019 meeting, the PBAC considered </w:t>
      </w:r>
      <w:r w:rsidR="001A00F6">
        <w:rPr>
          <w:rFonts w:asciiTheme="minorHAnsi" w:eastAsiaTheme="minorHAnsi" w:hAnsiTheme="minorHAnsi" w:cstheme="minorBidi"/>
          <w:snapToGrid/>
          <w:sz w:val="24"/>
          <w:szCs w:val="22"/>
        </w:rPr>
        <w:t>a proposal</w:t>
      </w:r>
      <w:r w:rsidR="001A00F6" w:rsidRPr="006B0781">
        <w:rPr>
          <w:rFonts w:asciiTheme="minorHAnsi" w:eastAsiaTheme="minorHAnsi" w:hAnsiTheme="minorHAnsi" w:cstheme="minorBidi"/>
          <w:snapToGrid/>
          <w:sz w:val="24"/>
          <w:szCs w:val="22"/>
        </w:rPr>
        <w:t xml:space="preserve"> </w:t>
      </w:r>
      <w:r w:rsidR="006B0781" w:rsidRPr="006B0781">
        <w:rPr>
          <w:rFonts w:asciiTheme="minorHAnsi" w:eastAsiaTheme="minorHAnsi" w:hAnsiTheme="minorHAnsi" w:cstheme="minorBidi"/>
          <w:snapToGrid/>
          <w:sz w:val="24"/>
          <w:szCs w:val="22"/>
        </w:rPr>
        <w:t xml:space="preserve">from the sponsor of inotuzumab </w:t>
      </w:r>
      <w:r>
        <w:rPr>
          <w:rFonts w:asciiTheme="minorHAnsi" w:eastAsiaTheme="minorHAnsi" w:hAnsiTheme="minorHAnsi" w:cstheme="minorBidi"/>
          <w:snapToGrid/>
          <w:sz w:val="24"/>
          <w:szCs w:val="22"/>
        </w:rPr>
        <w:t>regarding the likely financial implications of ex</w:t>
      </w:r>
      <w:r w:rsidR="00A12FCF">
        <w:rPr>
          <w:rFonts w:asciiTheme="minorHAnsi" w:eastAsiaTheme="minorHAnsi" w:hAnsiTheme="minorHAnsi" w:cstheme="minorBidi"/>
          <w:snapToGrid/>
          <w:sz w:val="24"/>
          <w:szCs w:val="22"/>
        </w:rPr>
        <w:t>tending</w:t>
      </w:r>
      <w:r>
        <w:rPr>
          <w:rFonts w:asciiTheme="minorHAnsi" w:eastAsiaTheme="minorHAnsi" w:hAnsiTheme="minorHAnsi" w:cstheme="minorBidi"/>
          <w:snapToGrid/>
          <w:sz w:val="24"/>
          <w:szCs w:val="22"/>
        </w:rPr>
        <w:t xml:space="preserve"> the recommended listing of</w:t>
      </w:r>
      <w:r w:rsidR="00676F7C">
        <w:rPr>
          <w:rFonts w:asciiTheme="minorHAnsi" w:eastAsiaTheme="minorHAnsi" w:hAnsiTheme="minorHAnsi" w:cstheme="minorBidi"/>
          <w:snapToGrid/>
          <w:sz w:val="24"/>
          <w:szCs w:val="22"/>
        </w:rPr>
        <w:t xml:space="preserve"> inotuzumab to include patients with Ph+ R/R B-ALL. </w:t>
      </w:r>
      <w:r w:rsidR="006B0781">
        <w:rPr>
          <w:rFonts w:asciiTheme="minorHAnsi" w:eastAsiaTheme="minorHAnsi" w:hAnsiTheme="minorHAnsi" w:cstheme="minorBidi"/>
          <w:snapToGrid/>
          <w:sz w:val="24"/>
          <w:szCs w:val="22"/>
        </w:rPr>
        <w:t>T</w:t>
      </w:r>
      <w:r w:rsidR="00676F7C">
        <w:rPr>
          <w:rFonts w:asciiTheme="minorHAnsi" w:eastAsiaTheme="minorHAnsi" w:hAnsiTheme="minorHAnsi" w:cstheme="minorBidi"/>
          <w:snapToGrid/>
          <w:sz w:val="24"/>
          <w:szCs w:val="22"/>
        </w:rPr>
        <w:t xml:space="preserve">he PBAC deferred </w:t>
      </w:r>
      <w:r w:rsidR="00C63D38">
        <w:rPr>
          <w:rFonts w:asciiTheme="minorHAnsi" w:eastAsiaTheme="minorHAnsi" w:hAnsiTheme="minorHAnsi" w:cstheme="minorBidi"/>
          <w:snapToGrid/>
          <w:sz w:val="24"/>
          <w:szCs w:val="22"/>
        </w:rPr>
        <w:t>its decision</w:t>
      </w:r>
      <w:r w:rsidR="00ED49C1">
        <w:rPr>
          <w:rFonts w:asciiTheme="minorHAnsi" w:eastAsiaTheme="minorHAnsi" w:hAnsiTheme="minorHAnsi" w:cstheme="minorBidi"/>
          <w:snapToGrid/>
          <w:sz w:val="24"/>
          <w:szCs w:val="22"/>
        </w:rPr>
        <w:t xml:space="preserve"> </w:t>
      </w:r>
      <w:r w:rsidR="00676F7C">
        <w:rPr>
          <w:rFonts w:asciiTheme="minorHAnsi" w:eastAsiaTheme="minorHAnsi" w:hAnsiTheme="minorHAnsi" w:cstheme="minorBidi"/>
          <w:snapToGrid/>
          <w:sz w:val="24"/>
          <w:szCs w:val="22"/>
        </w:rPr>
        <w:t xml:space="preserve">to enable further work on the restriction and financial estimates. </w:t>
      </w:r>
      <w:r w:rsidR="006B0781">
        <w:rPr>
          <w:rFonts w:asciiTheme="minorHAnsi" w:eastAsiaTheme="minorHAnsi" w:hAnsiTheme="minorHAnsi" w:cstheme="minorBidi"/>
          <w:snapToGrid/>
          <w:sz w:val="24"/>
          <w:szCs w:val="22"/>
        </w:rPr>
        <w:t>Further</w:t>
      </w:r>
      <w:r w:rsidR="00687A33">
        <w:rPr>
          <w:rFonts w:asciiTheme="minorHAnsi" w:eastAsiaTheme="minorHAnsi" w:hAnsiTheme="minorHAnsi" w:cstheme="minorBidi"/>
          <w:snapToGrid/>
          <w:sz w:val="24"/>
          <w:szCs w:val="22"/>
        </w:rPr>
        <w:t xml:space="preserve">, the PBAC </w:t>
      </w:r>
      <w:r w:rsidR="00687A33" w:rsidRPr="00687A33">
        <w:rPr>
          <w:rFonts w:asciiTheme="minorHAnsi" w:eastAsiaTheme="minorHAnsi" w:hAnsiTheme="minorHAnsi" w:cstheme="minorBidi"/>
          <w:snapToGrid/>
          <w:sz w:val="24"/>
          <w:szCs w:val="22"/>
        </w:rPr>
        <w:t xml:space="preserve">advised that it would welcome a </w:t>
      </w:r>
      <w:r w:rsidR="00A12FCF">
        <w:rPr>
          <w:rFonts w:asciiTheme="minorHAnsi" w:eastAsiaTheme="minorHAnsi" w:hAnsiTheme="minorHAnsi" w:cstheme="minorBidi"/>
          <w:snapToGrid/>
          <w:sz w:val="24"/>
          <w:szCs w:val="22"/>
        </w:rPr>
        <w:t xml:space="preserve">similar </w:t>
      </w:r>
      <w:r w:rsidR="00687A33" w:rsidRPr="00687A33">
        <w:rPr>
          <w:rFonts w:asciiTheme="minorHAnsi" w:eastAsiaTheme="minorHAnsi" w:hAnsiTheme="minorHAnsi" w:cstheme="minorBidi"/>
          <w:snapToGrid/>
          <w:sz w:val="24"/>
          <w:szCs w:val="22"/>
        </w:rPr>
        <w:t xml:space="preserve">proposal from the sponsor of </w:t>
      </w:r>
      <w:r w:rsidR="00A12FCF">
        <w:rPr>
          <w:rFonts w:asciiTheme="minorHAnsi" w:eastAsiaTheme="minorHAnsi" w:hAnsiTheme="minorHAnsi" w:cstheme="minorBidi"/>
          <w:snapToGrid/>
          <w:sz w:val="24"/>
          <w:szCs w:val="22"/>
        </w:rPr>
        <w:t>blinatumomab</w:t>
      </w:r>
      <w:r w:rsidR="00C63D38">
        <w:rPr>
          <w:rFonts w:asciiTheme="minorHAnsi" w:eastAsiaTheme="minorHAnsi" w:hAnsiTheme="minorHAnsi" w:cstheme="minorBidi"/>
          <w:snapToGrid/>
          <w:sz w:val="24"/>
          <w:szCs w:val="22"/>
        </w:rPr>
        <w:t>,</w:t>
      </w:r>
      <w:r w:rsidR="00A12FCF">
        <w:rPr>
          <w:rFonts w:asciiTheme="minorHAnsi" w:eastAsiaTheme="minorHAnsi" w:hAnsiTheme="minorHAnsi" w:cstheme="minorBidi"/>
          <w:snapToGrid/>
          <w:sz w:val="24"/>
          <w:szCs w:val="22"/>
        </w:rPr>
        <w:t xml:space="preserve"> </w:t>
      </w:r>
      <w:r w:rsidR="00ED49C1">
        <w:rPr>
          <w:rFonts w:asciiTheme="minorHAnsi" w:eastAsiaTheme="minorHAnsi" w:hAnsiTheme="minorHAnsi" w:cstheme="minorBidi"/>
          <w:snapToGrid/>
          <w:sz w:val="24"/>
          <w:szCs w:val="22"/>
        </w:rPr>
        <w:t>and</w:t>
      </w:r>
      <w:r w:rsidR="00687A33" w:rsidRPr="00687A33">
        <w:rPr>
          <w:rFonts w:asciiTheme="minorHAnsi" w:eastAsiaTheme="minorHAnsi" w:hAnsiTheme="minorHAnsi" w:cstheme="minorBidi"/>
          <w:snapToGrid/>
          <w:sz w:val="24"/>
          <w:szCs w:val="22"/>
        </w:rPr>
        <w:t xml:space="preserve"> considered that the extension of </w:t>
      </w:r>
      <w:r w:rsidR="00ED49C1">
        <w:rPr>
          <w:rFonts w:asciiTheme="minorHAnsi" w:eastAsiaTheme="minorHAnsi" w:hAnsiTheme="minorHAnsi" w:cstheme="minorBidi"/>
          <w:snapToGrid/>
          <w:sz w:val="24"/>
          <w:szCs w:val="22"/>
        </w:rPr>
        <w:t>the</w:t>
      </w:r>
      <w:r w:rsidR="00687A33" w:rsidRPr="00687A33">
        <w:rPr>
          <w:rFonts w:asciiTheme="minorHAnsi" w:eastAsiaTheme="minorHAnsi" w:hAnsiTheme="minorHAnsi" w:cstheme="minorBidi"/>
          <w:snapToGrid/>
          <w:sz w:val="24"/>
          <w:szCs w:val="22"/>
        </w:rPr>
        <w:t xml:space="preserve"> inotuzumab and blinatumomab listings should be progressed in parallel</w:t>
      </w:r>
      <w:r w:rsidR="00ED49C1">
        <w:rPr>
          <w:rFonts w:asciiTheme="minorHAnsi" w:eastAsiaTheme="minorHAnsi" w:hAnsiTheme="minorHAnsi" w:cstheme="minorBidi"/>
          <w:snapToGrid/>
          <w:sz w:val="24"/>
          <w:szCs w:val="22"/>
        </w:rPr>
        <w:t xml:space="preserve"> (Paragraphs 4.1 and 4.2, inotuzumab </w:t>
      </w:r>
      <w:r w:rsidR="00BF62B6">
        <w:rPr>
          <w:rFonts w:asciiTheme="minorHAnsi" w:eastAsiaTheme="minorHAnsi" w:hAnsiTheme="minorHAnsi" w:cstheme="minorBidi"/>
          <w:snapToGrid/>
          <w:sz w:val="24"/>
          <w:szCs w:val="22"/>
        </w:rPr>
        <w:t xml:space="preserve">Public Summary Document (PSD), </w:t>
      </w:r>
      <w:r w:rsidR="00ED49C1">
        <w:rPr>
          <w:rFonts w:asciiTheme="minorHAnsi" w:eastAsiaTheme="minorHAnsi" w:hAnsiTheme="minorHAnsi" w:cstheme="minorBidi"/>
          <w:snapToGrid/>
          <w:sz w:val="24"/>
          <w:szCs w:val="22"/>
        </w:rPr>
        <w:t>March 2019)</w:t>
      </w:r>
      <w:r w:rsidR="00687A33" w:rsidRPr="00687A33">
        <w:rPr>
          <w:rFonts w:asciiTheme="minorHAnsi" w:eastAsiaTheme="minorHAnsi" w:hAnsiTheme="minorHAnsi" w:cstheme="minorBidi"/>
          <w:snapToGrid/>
          <w:sz w:val="24"/>
          <w:szCs w:val="22"/>
        </w:rPr>
        <w:t>.</w:t>
      </w:r>
    </w:p>
    <w:p w:rsidR="00224BCB" w:rsidRDefault="00ED49C1" w:rsidP="00224BC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Correspondence was received from the sponsor of blinatumomab </w:t>
      </w:r>
      <w:r w:rsidR="00CE5380">
        <w:rPr>
          <w:rFonts w:asciiTheme="minorHAnsi" w:eastAsiaTheme="minorHAnsi" w:hAnsiTheme="minorHAnsi" w:cstheme="minorBidi"/>
          <w:snapToGrid/>
          <w:sz w:val="24"/>
          <w:szCs w:val="22"/>
        </w:rPr>
        <w:t xml:space="preserve">on 17 April 2019 seeking </w:t>
      </w:r>
      <w:r w:rsidR="00CF2E0B">
        <w:rPr>
          <w:rFonts w:asciiTheme="minorHAnsi" w:eastAsiaTheme="minorHAnsi" w:hAnsiTheme="minorHAnsi" w:cstheme="minorBidi"/>
          <w:snapToGrid/>
          <w:sz w:val="24"/>
          <w:szCs w:val="22"/>
        </w:rPr>
        <w:t xml:space="preserve">an </w:t>
      </w:r>
      <w:r w:rsidR="00CE5380">
        <w:rPr>
          <w:rFonts w:asciiTheme="minorHAnsi" w:eastAsiaTheme="minorHAnsi" w:hAnsiTheme="minorHAnsi" w:cstheme="minorBidi"/>
          <w:snapToGrid/>
          <w:sz w:val="24"/>
          <w:szCs w:val="22"/>
        </w:rPr>
        <w:t>ex</w:t>
      </w:r>
      <w:r w:rsidR="00CF2E0B">
        <w:rPr>
          <w:rFonts w:asciiTheme="minorHAnsi" w:eastAsiaTheme="minorHAnsi" w:hAnsiTheme="minorHAnsi" w:cstheme="minorBidi"/>
          <w:snapToGrid/>
          <w:sz w:val="24"/>
          <w:szCs w:val="22"/>
        </w:rPr>
        <w:t xml:space="preserve">tension </w:t>
      </w:r>
      <w:r w:rsidR="00CE5380">
        <w:rPr>
          <w:rFonts w:asciiTheme="minorHAnsi" w:eastAsiaTheme="minorHAnsi" w:hAnsiTheme="minorHAnsi" w:cstheme="minorBidi"/>
          <w:snapToGrid/>
          <w:sz w:val="24"/>
          <w:szCs w:val="22"/>
        </w:rPr>
        <w:t>of the</w:t>
      </w:r>
      <w:r w:rsidR="00CF2E0B">
        <w:rPr>
          <w:rFonts w:asciiTheme="minorHAnsi" w:eastAsiaTheme="minorHAnsi" w:hAnsiTheme="minorHAnsi" w:cstheme="minorBidi"/>
          <w:snapToGrid/>
          <w:sz w:val="24"/>
          <w:szCs w:val="22"/>
        </w:rPr>
        <w:t xml:space="preserve"> current</w:t>
      </w:r>
      <w:r w:rsidR="00CE5380">
        <w:rPr>
          <w:rFonts w:asciiTheme="minorHAnsi" w:eastAsiaTheme="minorHAnsi" w:hAnsiTheme="minorHAnsi" w:cstheme="minorBidi"/>
          <w:snapToGrid/>
          <w:sz w:val="24"/>
          <w:szCs w:val="22"/>
        </w:rPr>
        <w:t xml:space="preserve"> listing to include patients whose condition is Ph+. </w:t>
      </w:r>
    </w:p>
    <w:p w:rsidR="005A3173" w:rsidRPr="00224BCB" w:rsidRDefault="005B04FC" w:rsidP="00224BCB">
      <w:pPr>
        <w:pStyle w:val="PBACHeading1"/>
        <w:spacing w:before="240" w:after="120"/>
        <w:ind w:left="709" w:hanging="709"/>
        <w:rPr>
          <w:rFonts w:asciiTheme="minorHAnsi" w:hAnsiTheme="minorHAnsi"/>
          <w:sz w:val="32"/>
          <w:szCs w:val="32"/>
        </w:rPr>
      </w:pPr>
      <w:r w:rsidRPr="00224BCB">
        <w:rPr>
          <w:rFonts w:asciiTheme="minorHAnsi" w:hAnsiTheme="minorHAnsi"/>
          <w:sz w:val="32"/>
          <w:szCs w:val="32"/>
        </w:rPr>
        <w:t xml:space="preserve">Requested listing </w:t>
      </w:r>
    </w:p>
    <w:p w:rsidR="00ED49C1" w:rsidRPr="00CF2E0B" w:rsidRDefault="005B04FC" w:rsidP="00BA1786">
      <w:pPr>
        <w:pStyle w:val="ListParagraph"/>
        <w:widowControl/>
        <w:numPr>
          <w:ilvl w:val="1"/>
          <w:numId w:val="14"/>
        </w:numPr>
        <w:spacing w:before="120" w:after="160"/>
        <w:rPr>
          <w:rFonts w:asciiTheme="minorHAnsi" w:hAnsiTheme="minorHAnsi"/>
          <w:sz w:val="24"/>
          <w:szCs w:val="24"/>
        </w:rPr>
      </w:pPr>
      <w:r>
        <w:rPr>
          <w:rFonts w:asciiTheme="minorHAnsi" w:eastAsiaTheme="minorHAnsi" w:hAnsiTheme="minorHAnsi" w:cstheme="minorBidi"/>
          <w:snapToGrid/>
          <w:sz w:val="24"/>
          <w:szCs w:val="22"/>
        </w:rPr>
        <w:t xml:space="preserve">The </w:t>
      </w:r>
      <w:r w:rsidR="00CF2E0B">
        <w:rPr>
          <w:rFonts w:asciiTheme="minorHAnsi" w:eastAsiaTheme="minorHAnsi" w:hAnsiTheme="minorHAnsi" w:cstheme="minorBidi"/>
          <w:snapToGrid/>
          <w:sz w:val="24"/>
          <w:szCs w:val="22"/>
        </w:rPr>
        <w:t xml:space="preserve">blinatumomab </w:t>
      </w:r>
      <w:r>
        <w:rPr>
          <w:rFonts w:asciiTheme="minorHAnsi" w:eastAsiaTheme="minorHAnsi" w:hAnsiTheme="minorHAnsi" w:cstheme="minorBidi"/>
          <w:snapToGrid/>
          <w:sz w:val="24"/>
          <w:szCs w:val="22"/>
        </w:rPr>
        <w:t>sponsor proposed the following changes to the restriction</w:t>
      </w:r>
      <w:r w:rsidR="00377F10">
        <w:rPr>
          <w:rFonts w:asciiTheme="minorHAnsi" w:eastAsiaTheme="minorHAnsi" w:hAnsiTheme="minorHAnsi" w:cstheme="minorBidi"/>
          <w:snapToGrid/>
          <w:sz w:val="24"/>
          <w:szCs w:val="22"/>
        </w:rPr>
        <w:t>s for induction treatment</w:t>
      </w:r>
      <w:r w:rsidR="0085397C">
        <w:rPr>
          <w:rFonts w:asciiTheme="minorHAnsi" w:eastAsiaTheme="minorHAnsi" w:hAnsiTheme="minorHAnsi" w:cstheme="minorBidi"/>
          <w:snapToGrid/>
          <w:sz w:val="24"/>
          <w:szCs w:val="22"/>
        </w:rPr>
        <w:t xml:space="preserve"> (i.e. induction and balance of supply)</w:t>
      </w:r>
      <w:r w:rsidR="00F06E3F">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w:t>
      </w:r>
    </w:p>
    <w:p w:rsidR="00ED49C1" w:rsidRPr="00CF2E0B" w:rsidRDefault="00F06E3F" w:rsidP="00CF2E0B">
      <w:pPr>
        <w:pStyle w:val="ListParagraph"/>
        <w:numPr>
          <w:ilvl w:val="0"/>
          <w:numId w:val="20"/>
        </w:numPr>
        <w:spacing w:before="120" w:after="160"/>
        <w:rPr>
          <w:rFonts w:asciiTheme="minorHAnsi" w:eastAsiaTheme="minorHAnsi" w:hAnsiTheme="minorHAnsi" w:cstheme="minorBidi"/>
          <w:snapToGrid/>
          <w:sz w:val="24"/>
          <w:szCs w:val="22"/>
        </w:rPr>
      </w:pPr>
      <w:r w:rsidRPr="00CF2E0B">
        <w:rPr>
          <w:rFonts w:asciiTheme="minorHAnsi" w:eastAsiaTheme="minorHAnsi" w:hAnsiTheme="minorHAnsi" w:cstheme="minorBidi"/>
          <w:snapToGrid/>
          <w:sz w:val="24"/>
          <w:szCs w:val="22"/>
        </w:rPr>
        <w:t>Removal of: “</w:t>
      </w:r>
      <w:r w:rsidR="00ED49C1" w:rsidRPr="00CF2E0B">
        <w:rPr>
          <w:rFonts w:asciiTheme="minorHAnsi" w:eastAsiaTheme="minorHAnsi" w:hAnsiTheme="minorHAnsi" w:cstheme="minorBidi"/>
          <w:snapToGrid/>
          <w:sz w:val="24"/>
          <w:szCs w:val="22"/>
        </w:rPr>
        <w:t>The condition must be Philadelphia chromosome negative</w:t>
      </w:r>
      <w:r w:rsidRPr="00CF2E0B">
        <w:rPr>
          <w:rFonts w:asciiTheme="minorHAnsi" w:eastAsiaTheme="minorHAnsi" w:hAnsiTheme="minorHAnsi" w:cstheme="minorBidi"/>
          <w:snapToGrid/>
          <w:sz w:val="24"/>
          <w:szCs w:val="22"/>
        </w:rPr>
        <w:t>”;</w:t>
      </w:r>
    </w:p>
    <w:p w:rsidR="0085397C" w:rsidRDefault="00F06E3F" w:rsidP="007E67C4">
      <w:pPr>
        <w:pStyle w:val="ListParagraph"/>
        <w:widowControl/>
        <w:numPr>
          <w:ilvl w:val="0"/>
          <w:numId w:val="20"/>
        </w:numPr>
        <w:ind w:left="1077" w:hanging="357"/>
        <w:contextualSpacing w:val="0"/>
        <w:rPr>
          <w:rFonts w:asciiTheme="minorHAnsi" w:eastAsiaTheme="minorHAnsi" w:hAnsiTheme="minorHAnsi" w:cstheme="minorBidi"/>
          <w:snapToGrid/>
          <w:sz w:val="24"/>
          <w:szCs w:val="22"/>
        </w:rPr>
      </w:pPr>
      <w:r w:rsidRPr="00CF2E0B">
        <w:rPr>
          <w:rFonts w:asciiTheme="minorHAnsi" w:eastAsiaTheme="minorHAnsi" w:hAnsiTheme="minorHAnsi" w:cstheme="minorBidi"/>
          <w:snapToGrid/>
          <w:sz w:val="24"/>
          <w:szCs w:val="22"/>
        </w:rPr>
        <w:t>Addition of: “</w:t>
      </w:r>
      <w:r w:rsidR="00ED49C1" w:rsidRPr="00CF2E0B">
        <w:rPr>
          <w:rFonts w:asciiTheme="minorHAnsi" w:eastAsiaTheme="minorHAnsi" w:hAnsiTheme="minorHAnsi" w:cstheme="minorBidi"/>
          <w:snapToGrid/>
          <w:sz w:val="24"/>
          <w:szCs w:val="22"/>
        </w:rPr>
        <w:t>If the condition is expressing the Philadelphia chromosome, initial or salvage therapy must also have included a later-generation tyrosine kinase inhibitor</w:t>
      </w:r>
      <w:r w:rsidR="00CF2E0B">
        <w:rPr>
          <w:rFonts w:asciiTheme="minorHAnsi" w:eastAsiaTheme="minorHAnsi" w:hAnsiTheme="minorHAnsi" w:cstheme="minorBidi"/>
          <w:snapToGrid/>
          <w:sz w:val="24"/>
          <w:szCs w:val="22"/>
        </w:rPr>
        <w:t xml:space="preserve"> (TKI)</w:t>
      </w:r>
      <w:r w:rsidRPr="00CF2E0B">
        <w:rPr>
          <w:rFonts w:asciiTheme="minorHAnsi" w:eastAsiaTheme="minorHAnsi" w:hAnsiTheme="minorHAnsi" w:cstheme="minorBidi"/>
          <w:snapToGrid/>
          <w:sz w:val="24"/>
          <w:szCs w:val="22"/>
        </w:rPr>
        <w:t>”</w:t>
      </w:r>
      <w:r w:rsidR="0085397C">
        <w:rPr>
          <w:rFonts w:asciiTheme="minorHAnsi" w:eastAsiaTheme="minorHAnsi" w:hAnsiTheme="minorHAnsi" w:cstheme="minorBidi"/>
          <w:snapToGrid/>
          <w:sz w:val="24"/>
          <w:szCs w:val="22"/>
        </w:rPr>
        <w:t>; and</w:t>
      </w:r>
    </w:p>
    <w:p w:rsidR="00ED49C1" w:rsidRPr="00CF2E0B" w:rsidRDefault="0085397C" w:rsidP="0085397C">
      <w:pPr>
        <w:pStyle w:val="ListParagraph"/>
        <w:widowControl/>
        <w:numPr>
          <w:ilvl w:val="0"/>
          <w:numId w:val="20"/>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Addition of a requirement, in the Prescriber Instruction, that the written authority application must include “</w:t>
      </w:r>
      <w:r w:rsidRPr="0085397C">
        <w:rPr>
          <w:rFonts w:asciiTheme="minorHAnsi" w:eastAsiaTheme="minorHAnsi" w:hAnsiTheme="minorHAnsi" w:cstheme="minorBidi"/>
          <w:snapToGrid/>
          <w:sz w:val="24"/>
          <w:szCs w:val="22"/>
        </w:rPr>
        <w:t>If the condition is expressing the Philadelphia chromosome, date and name of the most recent later-generation tyrosine kinase inhibitor therapy</w:t>
      </w:r>
      <w:r>
        <w:rPr>
          <w:rFonts w:asciiTheme="minorHAnsi" w:eastAsiaTheme="minorHAnsi" w:hAnsiTheme="minorHAnsi" w:cstheme="minorBidi"/>
          <w:snapToGrid/>
          <w:sz w:val="24"/>
          <w:szCs w:val="22"/>
        </w:rPr>
        <w:t>”.</w:t>
      </w:r>
    </w:p>
    <w:p w:rsidR="00C7675C" w:rsidRPr="00C7675C" w:rsidRDefault="0016320B" w:rsidP="00C7675C">
      <w:pPr>
        <w:pStyle w:val="ListParagraph"/>
        <w:widowControl/>
        <w:numPr>
          <w:ilvl w:val="1"/>
          <w:numId w:val="5"/>
        </w:numPr>
        <w:spacing w:after="120"/>
        <w:contextualSpacing w:val="0"/>
        <w:rPr>
          <w:rFonts w:asciiTheme="minorHAnsi" w:eastAsiaTheme="minorHAnsi" w:hAnsiTheme="minorHAnsi"/>
          <w:sz w:val="24"/>
        </w:rPr>
      </w:pPr>
      <w:r w:rsidRPr="00E75576">
        <w:rPr>
          <w:rFonts w:asciiTheme="minorHAnsi" w:hAnsiTheme="minorHAnsi"/>
          <w:sz w:val="24"/>
        </w:rPr>
        <w:lastRenderedPageBreak/>
        <w:t>The PBAC noted the proposed restriction criteria “If the condition is expressing the Philadelphia chromosome, initial or salvage therapy must also have included a later-generation tyrosine kinase inhibitor (TKI)” would exclude</w:t>
      </w:r>
      <w:r>
        <w:rPr>
          <w:rFonts w:asciiTheme="minorHAnsi" w:hAnsiTheme="minorHAnsi"/>
          <w:sz w:val="24"/>
        </w:rPr>
        <w:t xml:space="preserve"> patients in first salvage who received imatinib as initial first-line treatment.</w:t>
      </w:r>
      <w:r w:rsidRPr="0016320B">
        <w:t xml:space="preserve"> </w:t>
      </w:r>
      <w:r w:rsidRPr="0016320B">
        <w:rPr>
          <w:rFonts w:asciiTheme="minorHAnsi" w:hAnsiTheme="minorHAnsi"/>
          <w:sz w:val="24"/>
        </w:rPr>
        <w:t>As such, the PBAC recommended limiting the use of blinatumomab and inotuzumab to Ph+ patients previously treated with a TKI without specifying that the TKI is ‘later-generation’.</w:t>
      </w:r>
      <w:r w:rsidR="00C7675C">
        <w:rPr>
          <w:rFonts w:asciiTheme="minorHAnsi" w:hAnsiTheme="minorHAnsi"/>
          <w:sz w:val="24"/>
        </w:rPr>
        <w:t xml:space="preserve"> In this regard, the PBAC also recommended that the proposed Prescriber Instruction </w:t>
      </w:r>
      <w:r w:rsidR="00C7675C" w:rsidRPr="00C7675C">
        <w:rPr>
          <w:rFonts w:asciiTheme="minorHAnsi" w:hAnsiTheme="minorHAnsi"/>
          <w:sz w:val="24"/>
        </w:rPr>
        <w:t>“If the condition is expressing the Philadelphia chromosome, date and name of the most recent later-generation tyrosine kinase inhibitor therapy”</w:t>
      </w:r>
      <w:r w:rsidR="00C7675C">
        <w:rPr>
          <w:rFonts w:asciiTheme="minorHAnsi" w:hAnsiTheme="minorHAnsi"/>
          <w:sz w:val="24"/>
        </w:rPr>
        <w:t xml:space="preserve"> be excluded from the restriction. </w:t>
      </w:r>
    </w:p>
    <w:p w:rsidR="00D80CE0" w:rsidRPr="00D80CE0" w:rsidRDefault="00CF2E0B" w:rsidP="00CF2E0B">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w:t>
      </w:r>
      <w:r w:rsidR="002F0BCB" w:rsidRPr="00CF2E0B">
        <w:rPr>
          <w:rFonts w:asciiTheme="minorHAnsi" w:eastAsiaTheme="minorHAnsi" w:hAnsiTheme="minorHAnsi" w:cstheme="minorBidi"/>
          <w:snapToGrid/>
          <w:sz w:val="24"/>
          <w:szCs w:val="22"/>
        </w:rPr>
        <w:t>t the March 2019 meeting, the PBAC considered that for a small proportion of patients it may be clinically appropriate for inotuzumab to be used in combination with a TKI</w:t>
      </w:r>
      <w:r w:rsidR="006A5F29" w:rsidRPr="00CF2E0B">
        <w:rPr>
          <w:rFonts w:asciiTheme="minorHAnsi" w:eastAsiaTheme="minorHAnsi" w:hAnsiTheme="minorHAnsi" w:cstheme="minorBidi"/>
          <w:snapToGrid/>
          <w:sz w:val="24"/>
          <w:szCs w:val="22"/>
        </w:rPr>
        <w:t xml:space="preserve"> (Paragraph 4.6, inotuzumab </w:t>
      </w:r>
      <w:r w:rsidR="00BF62B6">
        <w:rPr>
          <w:rFonts w:asciiTheme="minorHAnsi" w:eastAsiaTheme="minorHAnsi" w:hAnsiTheme="minorHAnsi" w:cstheme="minorBidi"/>
          <w:snapToGrid/>
          <w:sz w:val="24"/>
          <w:szCs w:val="22"/>
        </w:rPr>
        <w:t xml:space="preserve">PSD, </w:t>
      </w:r>
      <w:r w:rsidR="006A5F29" w:rsidRPr="00CF2E0B">
        <w:rPr>
          <w:rFonts w:asciiTheme="minorHAnsi" w:eastAsiaTheme="minorHAnsi" w:hAnsiTheme="minorHAnsi" w:cstheme="minorBidi"/>
          <w:snapToGrid/>
          <w:sz w:val="24"/>
          <w:szCs w:val="22"/>
        </w:rPr>
        <w:t>March 2019)</w:t>
      </w:r>
      <w:r w:rsidR="002F0BCB" w:rsidRPr="00CF2E0B">
        <w:rPr>
          <w:rFonts w:asciiTheme="minorHAnsi" w:eastAsiaTheme="minorHAnsi" w:hAnsiTheme="minorHAnsi" w:cstheme="minorBidi"/>
          <w:snapToGrid/>
          <w:sz w:val="24"/>
          <w:szCs w:val="22"/>
        </w:rPr>
        <w:t>.</w:t>
      </w:r>
      <w:r w:rsidR="002F0BCB" w:rsidRPr="00D80CE0">
        <w:rPr>
          <w:rFonts w:asciiTheme="minorHAnsi" w:eastAsiaTheme="minorHAnsi" w:hAnsiTheme="minorHAnsi" w:cstheme="minorBidi"/>
          <w:snapToGrid/>
          <w:sz w:val="24"/>
          <w:szCs w:val="22"/>
        </w:rPr>
        <w:t xml:space="preserve"> </w:t>
      </w:r>
    </w:p>
    <w:p w:rsidR="00506D84" w:rsidRDefault="00506D84" w:rsidP="00003664">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sponsor </w:t>
      </w:r>
      <w:r w:rsidR="00003664">
        <w:rPr>
          <w:rFonts w:asciiTheme="minorHAnsi" w:eastAsiaTheme="minorHAnsi" w:hAnsiTheme="minorHAnsi" w:cstheme="minorBidi"/>
          <w:snapToGrid/>
          <w:sz w:val="24"/>
          <w:szCs w:val="22"/>
        </w:rPr>
        <w:t>stated that it “</w:t>
      </w:r>
      <w:r w:rsidR="00003664" w:rsidRPr="00003664">
        <w:rPr>
          <w:rFonts w:asciiTheme="minorHAnsi" w:eastAsiaTheme="minorHAnsi" w:hAnsiTheme="minorHAnsi" w:cstheme="minorBidi"/>
          <w:snapToGrid/>
          <w:sz w:val="24"/>
          <w:szCs w:val="22"/>
        </w:rPr>
        <w:t>supports a small number of R/R Ph+ patients with compassionate supply of blinatumomab</w:t>
      </w:r>
      <w:r w:rsidR="00003664">
        <w:rPr>
          <w:rFonts w:asciiTheme="minorHAnsi" w:eastAsiaTheme="minorHAnsi" w:hAnsiTheme="minorHAnsi" w:cstheme="minorBidi"/>
          <w:snapToGrid/>
          <w:sz w:val="24"/>
          <w:szCs w:val="22"/>
        </w:rPr>
        <w:t>”</w:t>
      </w:r>
      <w:r w:rsidR="00003664" w:rsidRPr="00003664">
        <w:rPr>
          <w:rFonts w:asciiTheme="minorHAnsi" w:eastAsiaTheme="minorHAnsi" w:hAnsiTheme="minorHAnsi" w:cstheme="minorBidi"/>
          <w:snapToGrid/>
          <w:sz w:val="24"/>
          <w:szCs w:val="22"/>
        </w:rPr>
        <w:t xml:space="preserve"> </w:t>
      </w:r>
      <w:r w:rsidR="00003664">
        <w:rPr>
          <w:rFonts w:asciiTheme="minorHAnsi" w:eastAsiaTheme="minorHAnsi" w:hAnsiTheme="minorHAnsi" w:cstheme="minorBidi"/>
          <w:snapToGrid/>
          <w:sz w:val="24"/>
          <w:szCs w:val="22"/>
        </w:rPr>
        <w:t>and thus</w:t>
      </w:r>
      <w:r>
        <w:rPr>
          <w:rFonts w:asciiTheme="minorHAnsi" w:eastAsiaTheme="minorHAnsi" w:hAnsiTheme="minorHAnsi" w:cstheme="minorBidi"/>
          <w:snapToGrid/>
          <w:sz w:val="24"/>
          <w:szCs w:val="22"/>
        </w:rPr>
        <w:t xml:space="preserve"> requested a grandfathering restriction with the same eligibility criteria outlined above. </w:t>
      </w:r>
    </w:p>
    <w:p w:rsidR="009B7C0F" w:rsidRPr="00CF2E0B" w:rsidRDefault="009B7C0F" w:rsidP="00CF2E0B">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bookmarkStart w:id="0" w:name="_Toc524520440"/>
      <w:r w:rsidRPr="00CF2E0B">
        <w:rPr>
          <w:rFonts w:asciiTheme="minorHAnsi" w:hAnsiTheme="minorHAnsi"/>
          <w:sz w:val="32"/>
          <w:szCs w:val="32"/>
        </w:rPr>
        <w:t>Estimated PBS usage &amp; financial implications</w:t>
      </w:r>
      <w:bookmarkEnd w:id="0"/>
    </w:p>
    <w:p w:rsidR="00F06E3F" w:rsidRPr="0085397C" w:rsidRDefault="00FE2C72" w:rsidP="0085397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F2E0B">
        <w:rPr>
          <w:rFonts w:asciiTheme="minorHAnsi" w:eastAsiaTheme="minorHAnsi" w:hAnsiTheme="minorHAnsi" w:cstheme="minorBidi"/>
          <w:snapToGrid/>
          <w:sz w:val="24"/>
          <w:szCs w:val="22"/>
        </w:rPr>
        <w:t>Table 1 outline</w:t>
      </w:r>
      <w:r>
        <w:rPr>
          <w:rFonts w:asciiTheme="minorHAnsi" w:eastAsiaTheme="minorHAnsi" w:hAnsiTheme="minorHAnsi" w:cstheme="minorBidi"/>
          <w:snapToGrid/>
          <w:sz w:val="24"/>
          <w:szCs w:val="22"/>
        </w:rPr>
        <w:t>s the financial impact of listing both blinatumomab and inotuzumab for Ph+ patients</w:t>
      </w:r>
      <w:r w:rsidR="00F06E3F">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as estimated by the sponsor of blinatumomab</w:t>
      </w:r>
      <w:r w:rsidRPr="00CF2E0B">
        <w:rPr>
          <w:rFonts w:asciiTheme="minorHAnsi" w:eastAsiaTheme="minorHAnsi" w:hAnsiTheme="minorHAnsi" w:cstheme="minorBidi"/>
          <w:snapToGrid/>
          <w:sz w:val="24"/>
          <w:szCs w:val="22"/>
        </w:rPr>
        <w:t xml:space="preserve">. </w:t>
      </w:r>
      <w:r w:rsidR="0085397C" w:rsidRPr="0085397C">
        <w:rPr>
          <w:rFonts w:asciiTheme="minorHAnsi" w:eastAsiaTheme="minorHAnsi" w:hAnsiTheme="minorHAnsi" w:cstheme="minorBidi"/>
          <w:snapToGrid/>
          <w:sz w:val="24"/>
          <w:szCs w:val="22"/>
        </w:rPr>
        <w:t xml:space="preserve">The utilisation split between blinatumomab and inotuzumab was not estimated. The sponsor stated that the utilisation split should not matter </w:t>
      </w:r>
      <w:r w:rsidR="0085397C" w:rsidRPr="00560331">
        <w:rPr>
          <w:rFonts w:asciiTheme="minorHAnsi" w:eastAsiaTheme="minorHAnsi" w:hAnsiTheme="minorHAnsi" w:cstheme="minorBidi"/>
          <w:snapToGrid/>
          <w:sz w:val="24"/>
          <w:szCs w:val="22"/>
        </w:rPr>
        <w:t>given inotuzumab was recommended on a cost-minimisation basis to blinatumomab</w:t>
      </w:r>
      <w:r w:rsidR="0085397C" w:rsidRPr="0085397C">
        <w:rPr>
          <w:rFonts w:asciiTheme="minorHAnsi" w:eastAsiaTheme="minorHAnsi" w:hAnsiTheme="minorHAnsi" w:cstheme="minorBidi"/>
          <w:snapToGrid/>
          <w:sz w:val="24"/>
          <w:szCs w:val="22"/>
        </w:rPr>
        <w:t>.</w:t>
      </w:r>
    </w:p>
    <w:p w:rsidR="00A66AD8" w:rsidRDefault="006A5F29" w:rsidP="00CF2E0B">
      <w:pPr>
        <w:pStyle w:val="ListParagraph"/>
        <w:widowControl/>
        <w:numPr>
          <w:ilvl w:val="1"/>
          <w:numId w:val="14"/>
        </w:numPr>
        <w:spacing w:before="120" w:after="160"/>
        <w:contextualSpacing w:val="0"/>
        <w:rPr>
          <w:rFonts w:asciiTheme="minorHAnsi" w:hAnsiTheme="minorHAnsi"/>
          <w:sz w:val="24"/>
          <w:szCs w:val="24"/>
        </w:rPr>
      </w:pPr>
      <w:r w:rsidRPr="00CF2E0B">
        <w:rPr>
          <w:rFonts w:asciiTheme="minorHAnsi" w:eastAsiaTheme="minorHAnsi" w:hAnsiTheme="minorHAnsi" w:cstheme="minorBidi"/>
          <w:snapToGrid/>
          <w:sz w:val="24"/>
          <w:szCs w:val="22"/>
        </w:rPr>
        <w:t xml:space="preserve">The financial estimates assumed that blinatumomab and inotuzumab would be subsidised for use in first- and </w:t>
      </w:r>
      <w:r w:rsidR="000F0FE2">
        <w:rPr>
          <w:rFonts w:asciiTheme="minorHAnsi" w:eastAsiaTheme="minorHAnsi" w:hAnsiTheme="minorHAnsi" w:cstheme="minorBidi"/>
          <w:snapToGrid/>
          <w:sz w:val="24"/>
          <w:szCs w:val="22"/>
        </w:rPr>
        <w:t>second</w:t>
      </w:r>
      <w:r w:rsidRPr="00CF2E0B">
        <w:rPr>
          <w:rFonts w:asciiTheme="minorHAnsi" w:eastAsiaTheme="minorHAnsi" w:hAnsiTheme="minorHAnsi" w:cstheme="minorBidi"/>
          <w:snapToGrid/>
          <w:sz w:val="24"/>
          <w:szCs w:val="22"/>
        </w:rPr>
        <w:t>-line salvage</w:t>
      </w:r>
      <w:r w:rsidR="00FE2C72" w:rsidRPr="00CF2E0B">
        <w:rPr>
          <w:rFonts w:asciiTheme="minorHAnsi" w:eastAsiaTheme="minorHAnsi" w:hAnsiTheme="minorHAnsi" w:cstheme="minorBidi"/>
          <w:snapToGrid/>
          <w:sz w:val="24"/>
          <w:szCs w:val="22"/>
        </w:rPr>
        <w:t xml:space="preserve">. In its March 2019 consideration of inotuzumab for Ph+ patients (which did not assume use in first-line salvage), the PBAC advised that it may be appropriate </w:t>
      </w:r>
      <w:r w:rsidR="00F06E3F" w:rsidRPr="00CF2E0B">
        <w:rPr>
          <w:rFonts w:asciiTheme="minorHAnsi" w:eastAsiaTheme="minorHAnsi" w:hAnsiTheme="minorHAnsi" w:cstheme="minorBidi"/>
          <w:snapToGrid/>
          <w:sz w:val="24"/>
          <w:szCs w:val="22"/>
        </w:rPr>
        <w:t>for</w:t>
      </w:r>
      <w:r w:rsidR="00FE2C72" w:rsidRPr="00CF2E0B">
        <w:rPr>
          <w:rFonts w:asciiTheme="minorHAnsi" w:eastAsiaTheme="minorHAnsi" w:hAnsiTheme="minorHAnsi" w:cstheme="minorBidi"/>
          <w:snapToGrid/>
          <w:sz w:val="24"/>
          <w:szCs w:val="22"/>
        </w:rPr>
        <w:t xml:space="preserve"> the financial estimates to account for use in first-l</w:t>
      </w:r>
      <w:r w:rsidR="000F0FE2">
        <w:rPr>
          <w:rFonts w:asciiTheme="minorHAnsi" w:eastAsiaTheme="minorHAnsi" w:hAnsiTheme="minorHAnsi" w:cstheme="minorBidi"/>
          <w:snapToGrid/>
          <w:sz w:val="24"/>
          <w:szCs w:val="22"/>
        </w:rPr>
        <w:t>ine salvage, although this use was</w:t>
      </w:r>
      <w:r w:rsidR="00FE2C72" w:rsidRPr="00CF2E0B">
        <w:rPr>
          <w:rFonts w:asciiTheme="minorHAnsi" w:eastAsiaTheme="minorHAnsi" w:hAnsiTheme="minorHAnsi" w:cstheme="minorBidi"/>
          <w:snapToGrid/>
          <w:sz w:val="24"/>
          <w:szCs w:val="22"/>
        </w:rPr>
        <w:t xml:space="preserve"> expected to be small</w:t>
      </w:r>
      <w:r w:rsidR="009504AD" w:rsidRPr="00CF2E0B">
        <w:rPr>
          <w:rFonts w:asciiTheme="minorHAnsi" w:eastAsiaTheme="minorHAnsi" w:hAnsiTheme="minorHAnsi" w:cstheme="minorBidi"/>
          <w:snapToGrid/>
          <w:sz w:val="24"/>
          <w:szCs w:val="22"/>
        </w:rPr>
        <w:t xml:space="preserve"> for inotuzumab </w:t>
      </w:r>
      <w:r w:rsidR="00FE2C72" w:rsidRPr="00CF2E0B">
        <w:rPr>
          <w:rFonts w:asciiTheme="minorHAnsi" w:eastAsiaTheme="minorHAnsi" w:hAnsiTheme="minorHAnsi" w:cstheme="minorBidi"/>
          <w:snapToGrid/>
          <w:sz w:val="24"/>
          <w:szCs w:val="22"/>
        </w:rPr>
        <w:t xml:space="preserve">(Paragraph 4.8, inotuzumab </w:t>
      </w:r>
      <w:r w:rsidR="000D69E1">
        <w:rPr>
          <w:rFonts w:asciiTheme="minorHAnsi" w:eastAsiaTheme="minorHAnsi" w:hAnsiTheme="minorHAnsi" w:cstheme="minorBidi"/>
          <w:snapToGrid/>
          <w:sz w:val="24"/>
          <w:szCs w:val="22"/>
        </w:rPr>
        <w:t xml:space="preserve">PSD, </w:t>
      </w:r>
      <w:r w:rsidR="00FE2C72" w:rsidRPr="00CF2E0B">
        <w:rPr>
          <w:rFonts w:asciiTheme="minorHAnsi" w:eastAsiaTheme="minorHAnsi" w:hAnsiTheme="minorHAnsi" w:cstheme="minorBidi"/>
          <w:snapToGrid/>
          <w:sz w:val="24"/>
          <w:szCs w:val="22"/>
        </w:rPr>
        <w:t>March 2019).</w:t>
      </w:r>
      <w:r w:rsidR="00F06E3F" w:rsidRPr="00CF2E0B">
        <w:rPr>
          <w:rFonts w:asciiTheme="minorHAnsi" w:eastAsiaTheme="minorHAnsi" w:hAnsiTheme="minorHAnsi" w:cstheme="minorBidi"/>
          <w:snapToGrid/>
          <w:sz w:val="24"/>
          <w:szCs w:val="22"/>
        </w:rPr>
        <w:t xml:space="preserve"> </w:t>
      </w:r>
      <w:r w:rsidR="00A66AD8">
        <w:rPr>
          <w:rFonts w:asciiTheme="minorHAnsi" w:hAnsiTheme="minorHAnsi"/>
          <w:sz w:val="24"/>
          <w:szCs w:val="24"/>
        </w:rPr>
        <w:t xml:space="preserve"> </w:t>
      </w:r>
    </w:p>
    <w:p w:rsidR="000E0945" w:rsidRPr="000E0945" w:rsidRDefault="000E0945" w:rsidP="000E0945">
      <w:pPr>
        <w:keepNext/>
        <w:keepLines/>
        <w:spacing w:before="120"/>
        <w:rPr>
          <w:rFonts w:ascii="Arial Narrow" w:hAnsi="Arial Narrow"/>
          <w:b/>
          <w:sz w:val="20"/>
        </w:rPr>
      </w:pPr>
      <w:bookmarkStart w:id="1" w:name="_GoBack"/>
      <w:bookmarkEnd w:id="1"/>
      <w:r w:rsidRPr="000E0945">
        <w:rPr>
          <w:rFonts w:ascii="Arial Narrow" w:hAnsi="Arial Narrow"/>
          <w:b/>
          <w:sz w:val="20"/>
        </w:rPr>
        <w:lastRenderedPageBreak/>
        <w:t xml:space="preserve">Table </w:t>
      </w:r>
      <w:r w:rsidRPr="000E0945">
        <w:rPr>
          <w:rFonts w:ascii="Arial Narrow" w:hAnsi="Arial Narrow"/>
          <w:b/>
          <w:sz w:val="20"/>
        </w:rPr>
        <w:fldChar w:fldCharType="begin"/>
      </w:r>
      <w:r w:rsidRPr="000E0945">
        <w:rPr>
          <w:rFonts w:ascii="Arial Narrow" w:hAnsi="Arial Narrow"/>
          <w:b/>
          <w:sz w:val="20"/>
        </w:rPr>
        <w:instrText xml:space="preserve"> SEQ Table \* ARABIC </w:instrText>
      </w:r>
      <w:r w:rsidRPr="000E0945">
        <w:rPr>
          <w:rFonts w:ascii="Arial Narrow" w:hAnsi="Arial Narrow"/>
          <w:b/>
          <w:sz w:val="20"/>
        </w:rPr>
        <w:fldChar w:fldCharType="separate"/>
      </w:r>
      <w:r w:rsidR="00842E09">
        <w:rPr>
          <w:rFonts w:ascii="Arial Narrow" w:hAnsi="Arial Narrow"/>
          <w:b/>
          <w:noProof/>
          <w:sz w:val="20"/>
        </w:rPr>
        <w:t>1</w:t>
      </w:r>
      <w:r w:rsidRPr="000E0945">
        <w:rPr>
          <w:rFonts w:ascii="Arial Narrow" w:hAnsi="Arial Narrow"/>
          <w:b/>
          <w:sz w:val="20"/>
        </w:rPr>
        <w:fldChar w:fldCharType="end"/>
      </w:r>
      <w:r w:rsidRPr="000E0945">
        <w:rPr>
          <w:rFonts w:ascii="Arial Narrow" w:hAnsi="Arial Narrow"/>
          <w:b/>
          <w:sz w:val="20"/>
        </w:rPr>
        <w:t xml:space="preserve">: Estimated financial impact of </w:t>
      </w:r>
      <w:proofErr w:type="spellStart"/>
      <w:r w:rsidRPr="000E0945">
        <w:rPr>
          <w:rFonts w:ascii="Arial Narrow" w:hAnsi="Arial Narrow"/>
          <w:b/>
          <w:sz w:val="20"/>
        </w:rPr>
        <w:t>blinatumomab</w:t>
      </w:r>
      <w:proofErr w:type="spellEnd"/>
      <w:r w:rsidRPr="000E0945">
        <w:rPr>
          <w:rFonts w:ascii="Arial Narrow" w:hAnsi="Arial Narrow"/>
          <w:b/>
          <w:sz w:val="20"/>
        </w:rPr>
        <w:t xml:space="preserve"> and </w:t>
      </w:r>
      <w:proofErr w:type="spellStart"/>
      <w:r w:rsidRPr="000E0945">
        <w:rPr>
          <w:rFonts w:ascii="Arial Narrow" w:hAnsi="Arial Narrow"/>
          <w:b/>
          <w:sz w:val="20"/>
        </w:rPr>
        <w:t>inotuzumab</w:t>
      </w:r>
      <w:proofErr w:type="spellEnd"/>
      <w:r w:rsidRPr="000E0945">
        <w:rPr>
          <w:rFonts w:ascii="Arial Narrow" w:hAnsi="Arial Narrow"/>
          <w:b/>
          <w:sz w:val="20"/>
        </w:rPr>
        <w:t xml:space="preserve"> for </w:t>
      </w:r>
      <w:proofErr w:type="spellStart"/>
      <w:r w:rsidRPr="000E0945">
        <w:rPr>
          <w:rFonts w:ascii="Arial Narrow" w:hAnsi="Arial Narrow"/>
          <w:b/>
          <w:sz w:val="20"/>
        </w:rPr>
        <w:t>Ph</w:t>
      </w:r>
      <w:proofErr w:type="spellEnd"/>
      <w:r w:rsidRPr="000E0945">
        <w:rPr>
          <w:rFonts w:ascii="Arial Narrow" w:hAnsi="Arial Narrow"/>
          <w:b/>
          <w:sz w:val="20"/>
        </w:rPr>
        <w:t>+ R/R B-ALL patients</w:t>
      </w:r>
    </w:p>
    <w:tbl>
      <w:tblPr>
        <w:tblStyle w:val="TableGrid"/>
        <w:tblW w:w="9242" w:type="dxa"/>
        <w:tblLayout w:type="fixed"/>
        <w:tblLook w:val="04A0" w:firstRow="1" w:lastRow="0" w:firstColumn="1" w:lastColumn="0" w:noHBand="0" w:noVBand="1"/>
        <w:tblCaption w:val="Table 1: Estimated financial impact of blinatumomab and inotuzumab for Ph+ R/R B-ALL patients  "/>
      </w:tblPr>
      <w:tblGrid>
        <w:gridCol w:w="2830"/>
        <w:gridCol w:w="1068"/>
        <w:gridCol w:w="1069"/>
        <w:gridCol w:w="1069"/>
        <w:gridCol w:w="1068"/>
        <w:gridCol w:w="1069"/>
        <w:gridCol w:w="1069"/>
      </w:tblGrid>
      <w:tr w:rsidR="000C7D5C" w:rsidRPr="00DB5323" w:rsidTr="00B15AF9">
        <w:tc>
          <w:tcPr>
            <w:tcW w:w="2830" w:type="dxa"/>
          </w:tcPr>
          <w:p w:rsidR="00DB5323" w:rsidRPr="00CF2E0B" w:rsidRDefault="00DB5323" w:rsidP="00CF2E0B">
            <w:pPr>
              <w:pStyle w:val="ListParagraph"/>
              <w:keepNext/>
              <w:keepLines/>
              <w:widowControl/>
              <w:ind w:left="0"/>
              <w:contextualSpacing w:val="0"/>
              <w:rPr>
                <w:rFonts w:ascii="Arial Narrow" w:eastAsiaTheme="minorHAnsi" w:hAnsi="Arial Narrow"/>
                <w:snapToGrid/>
                <w:sz w:val="20"/>
              </w:rPr>
            </w:pPr>
          </w:p>
        </w:tc>
        <w:tc>
          <w:tcPr>
            <w:tcW w:w="1068" w:type="dxa"/>
          </w:tcPr>
          <w:p w:rsidR="00DB5323" w:rsidRPr="00CF2E0B" w:rsidRDefault="00DB5323"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Year 1</w:t>
            </w:r>
          </w:p>
        </w:tc>
        <w:tc>
          <w:tcPr>
            <w:tcW w:w="1069" w:type="dxa"/>
          </w:tcPr>
          <w:p w:rsidR="00DB5323" w:rsidRPr="00CF2E0B" w:rsidRDefault="00DB5323"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Year 2</w:t>
            </w:r>
          </w:p>
        </w:tc>
        <w:tc>
          <w:tcPr>
            <w:tcW w:w="1069" w:type="dxa"/>
          </w:tcPr>
          <w:p w:rsidR="00DB5323" w:rsidRPr="00CF2E0B" w:rsidRDefault="00DB5323"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Year 3</w:t>
            </w:r>
          </w:p>
        </w:tc>
        <w:tc>
          <w:tcPr>
            <w:tcW w:w="1068" w:type="dxa"/>
          </w:tcPr>
          <w:p w:rsidR="00DB5323" w:rsidRPr="00CF2E0B" w:rsidRDefault="00DB5323"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Year 4</w:t>
            </w:r>
          </w:p>
        </w:tc>
        <w:tc>
          <w:tcPr>
            <w:tcW w:w="1069" w:type="dxa"/>
          </w:tcPr>
          <w:p w:rsidR="00DB5323" w:rsidRPr="00CF2E0B" w:rsidRDefault="00DB5323"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Year 5</w:t>
            </w:r>
          </w:p>
        </w:tc>
        <w:tc>
          <w:tcPr>
            <w:tcW w:w="1069" w:type="dxa"/>
          </w:tcPr>
          <w:p w:rsidR="00DB5323" w:rsidRPr="00CF2E0B" w:rsidRDefault="00DB5323"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Year 6</w:t>
            </w:r>
          </w:p>
        </w:tc>
      </w:tr>
      <w:tr w:rsidR="008A2BBC" w:rsidRPr="00DB5323" w:rsidTr="00B15AF9">
        <w:tc>
          <w:tcPr>
            <w:tcW w:w="9242" w:type="dxa"/>
            <w:gridSpan w:val="7"/>
          </w:tcPr>
          <w:p w:rsidR="008A2BBC" w:rsidRPr="00CF2E0B" w:rsidRDefault="008A2BBC" w:rsidP="00667BC1">
            <w:pPr>
              <w:keepNext/>
              <w:keepLines/>
              <w:rPr>
                <w:rFonts w:ascii="Arial Narrow" w:hAnsi="Arial Narrow" w:cs="Arial"/>
                <w:b/>
                <w:sz w:val="20"/>
                <w:szCs w:val="20"/>
              </w:rPr>
            </w:pPr>
            <w:r w:rsidRPr="00CF2E0B">
              <w:rPr>
                <w:rFonts w:ascii="Arial Narrow" w:hAnsi="Arial Narrow" w:cs="Arial"/>
                <w:b/>
                <w:sz w:val="20"/>
                <w:szCs w:val="20"/>
              </w:rPr>
              <w:t xml:space="preserve">Ph- patients </w:t>
            </w:r>
            <w:r w:rsidR="002F0BCB" w:rsidRPr="00CF2E0B">
              <w:rPr>
                <w:rFonts w:ascii="Arial Narrow" w:hAnsi="Arial Narrow" w:cs="Arial"/>
                <w:b/>
                <w:sz w:val="20"/>
                <w:szCs w:val="20"/>
              </w:rPr>
              <w:t>-</w:t>
            </w:r>
            <w:r w:rsidR="00667BC1">
              <w:rPr>
                <w:rFonts w:ascii="Arial Narrow" w:hAnsi="Arial Narrow" w:cs="Arial"/>
                <w:b/>
                <w:sz w:val="20"/>
                <w:szCs w:val="20"/>
              </w:rPr>
              <w:t xml:space="preserve"> currently</w:t>
            </w:r>
            <w:r w:rsidR="002F0BCB" w:rsidRPr="00CF2E0B">
              <w:rPr>
                <w:rFonts w:ascii="Arial Narrow" w:hAnsi="Arial Narrow" w:cs="Arial"/>
                <w:b/>
                <w:sz w:val="20"/>
                <w:szCs w:val="20"/>
              </w:rPr>
              <w:t xml:space="preserve"> </w:t>
            </w:r>
            <w:r w:rsidR="002F0BCB" w:rsidRPr="00CF2E0B">
              <w:rPr>
                <w:rFonts w:ascii="Arial Narrow" w:eastAsiaTheme="minorHAnsi" w:hAnsi="Arial Narrow"/>
                <w:b/>
                <w:sz w:val="20"/>
                <w:szCs w:val="20"/>
              </w:rPr>
              <w:t>eligible R/R Ph- population</w:t>
            </w:r>
            <w:r w:rsidR="002F0BCB" w:rsidRPr="00CF2E0B">
              <w:rPr>
                <w:rFonts w:ascii="Arial Narrow" w:hAnsi="Arial Narrow" w:cs="Arial"/>
                <w:b/>
                <w:sz w:val="20"/>
                <w:szCs w:val="20"/>
              </w:rPr>
              <w:t xml:space="preserve"> </w:t>
            </w:r>
          </w:p>
        </w:tc>
      </w:tr>
      <w:tr w:rsidR="000C7D5C" w:rsidRPr="00DB5323" w:rsidTr="00B15AF9">
        <w:tc>
          <w:tcPr>
            <w:tcW w:w="2830" w:type="dxa"/>
          </w:tcPr>
          <w:p w:rsidR="00441CFE" w:rsidRPr="00CF2E0B" w:rsidRDefault="00441CFE" w:rsidP="00CF2E0B">
            <w:pPr>
              <w:pStyle w:val="ListParagraph"/>
              <w:keepNext/>
              <w:keepLines/>
              <w:widowControl/>
              <w:ind w:left="0"/>
              <w:contextualSpacing w:val="0"/>
              <w:rPr>
                <w:rFonts w:ascii="Arial Narrow" w:eastAsiaTheme="minorHAnsi" w:hAnsi="Arial Narrow"/>
                <w:snapToGrid/>
                <w:sz w:val="20"/>
                <w:vertAlign w:val="superscript"/>
              </w:rPr>
            </w:pPr>
            <w:r w:rsidRPr="00CF2E0B">
              <w:rPr>
                <w:rFonts w:ascii="Arial Narrow" w:eastAsiaTheme="minorHAnsi" w:hAnsi="Arial Narrow"/>
                <w:snapToGrid/>
                <w:sz w:val="20"/>
              </w:rPr>
              <w:t xml:space="preserve">Adults </w:t>
            </w:r>
          </w:p>
        </w:tc>
        <w:tc>
          <w:tcPr>
            <w:tcW w:w="1068"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8"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C7D5C" w:rsidRPr="00DB5323" w:rsidTr="00B15AF9">
        <w:tc>
          <w:tcPr>
            <w:tcW w:w="2830" w:type="dxa"/>
          </w:tcPr>
          <w:p w:rsidR="00441CFE" w:rsidRPr="00CF2E0B" w:rsidRDefault="00441CFE" w:rsidP="00CF2E0B">
            <w:pPr>
              <w:pStyle w:val="ListParagraph"/>
              <w:keepNext/>
              <w:keepLines/>
              <w:widowControl/>
              <w:ind w:left="0"/>
              <w:contextualSpacing w:val="0"/>
              <w:rPr>
                <w:rFonts w:ascii="Arial Narrow" w:eastAsiaTheme="minorHAnsi" w:hAnsi="Arial Narrow"/>
                <w:snapToGrid/>
                <w:sz w:val="20"/>
              </w:rPr>
            </w:pPr>
            <w:r w:rsidRPr="00CF2E0B">
              <w:rPr>
                <w:rFonts w:ascii="Arial Narrow" w:eastAsiaTheme="minorHAnsi" w:hAnsi="Arial Narrow"/>
                <w:snapToGrid/>
                <w:sz w:val="20"/>
              </w:rPr>
              <w:t xml:space="preserve">Paediatrics  </w:t>
            </w:r>
          </w:p>
        </w:tc>
        <w:tc>
          <w:tcPr>
            <w:tcW w:w="1068"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8"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441CFE"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A2BBC" w:rsidRPr="00DB5323" w:rsidTr="00B15AF9">
        <w:tc>
          <w:tcPr>
            <w:tcW w:w="9242" w:type="dxa"/>
            <w:gridSpan w:val="7"/>
            <w:vAlign w:val="center"/>
          </w:tcPr>
          <w:p w:rsidR="008A2BBC" w:rsidRPr="00CF2E0B" w:rsidRDefault="008A2BBC" w:rsidP="00CF2E0B">
            <w:pPr>
              <w:keepNext/>
              <w:keepLines/>
              <w:rPr>
                <w:rFonts w:ascii="Arial Narrow" w:hAnsi="Arial Narrow" w:cs="Arial"/>
                <w:b/>
                <w:sz w:val="20"/>
                <w:szCs w:val="20"/>
              </w:rPr>
            </w:pPr>
            <w:r w:rsidRPr="00CF2E0B">
              <w:rPr>
                <w:rFonts w:ascii="Arial Narrow" w:hAnsi="Arial Narrow" w:cs="Arial"/>
                <w:b/>
                <w:sz w:val="20"/>
                <w:szCs w:val="20"/>
              </w:rPr>
              <w:t>Ph+ patients</w:t>
            </w:r>
            <w:r w:rsidR="00F06E3F" w:rsidRPr="00CF2E0B">
              <w:rPr>
                <w:rFonts w:ascii="Arial Narrow" w:hAnsi="Arial Narrow" w:cs="Arial"/>
                <w:b/>
                <w:sz w:val="20"/>
                <w:szCs w:val="20"/>
              </w:rPr>
              <w:t xml:space="preserve"> with R/R B-ALL</w:t>
            </w:r>
            <w:r w:rsidR="00667BC1">
              <w:rPr>
                <w:rFonts w:ascii="Arial Narrow" w:hAnsi="Arial Narrow" w:cs="Arial"/>
                <w:b/>
                <w:sz w:val="20"/>
                <w:szCs w:val="20"/>
              </w:rPr>
              <w:t xml:space="preserve"> – requested population </w:t>
            </w:r>
          </w:p>
        </w:tc>
      </w:tr>
      <w:tr w:rsidR="008A2BBC" w:rsidRPr="00DB5323" w:rsidTr="00B15AF9">
        <w:tc>
          <w:tcPr>
            <w:tcW w:w="2830" w:type="dxa"/>
          </w:tcPr>
          <w:p w:rsidR="008A2BBC" w:rsidRPr="00CF2E0B" w:rsidRDefault="00F06E3F" w:rsidP="00CF2E0B">
            <w:pPr>
              <w:pStyle w:val="ListParagraph"/>
              <w:keepNext/>
              <w:keepLines/>
              <w:widowControl/>
              <w:ind w:left="0"/>
              <w:contextualSpacing w:val="0"/>
              <w:rPr>
                <w:rFonts w:ascii="Arial Narrow" w:eastAsiaTheme="minorHAnsi" w:hAnsi="Arial Narrow"/>
                <w:snapToGrid/>
                <w:sz w:val="20"/>
              </w:rPr>
            </w:pPr>
            <w:r w:rsidRPr="00CF2E0B">
              <w:rPr>
                <w:rFonts w:ascii="Arial Narrow" w:eastAsiaTheme="minorHAnsi" w:hAnsi="Arial Narrow"/>
                <w:snapToGrid/>
                <w:sz w:val="20"/>
              </w:rPr>
              <w:t xml:space="preserve">Eligible </w:t>
            </w:r>
            <w:r w:rsidRPr="00CF2E0B">
              <w:rPr>
                <w:rFonts w:ascii="Arial Narrow" w:eastAsiaTheme="minorHAnsi" w:hAnsi="Arial Narrow"/>
                <w:b/>
                <w:snapToGrid/>
                <w:sz w:val="20"/>
              </w:rPr>
              <w:t xml:space="preserve">Ph+ </w:t>
            </w:r>
            <w:r w:rsidRPr="00CF2E0B">
              <w:rPr>
                <w:rFonts w:ascii="Arial Narrow" w:eastAsiaTheme="minorHAnsi" w:hAnsi="Arial Narrow"/>
                <w:snapToGrid/>
                <w:sz w:val="20"/>
              </w:rPr>
              <w:t>a</w:t>
            </w:r>
            <w:r w:rsidR="008A2BBC" w:rsidRPr="00CF2E0B">
              <w:rPr>
                <w:rFonts w:ascii="Arial Narrow" w:eastAsiaTheme="minorHAnsi" w:hAnsi="Arial Narrow"/>
                <w:snapToGrid/>
                <w:sz w:val="20"/>
              </w:rPr>
              <w:t>dults (</w:t>
            </w:r>
            <w:r w:rsidRPr="00CF2E0B">
              <w:rPr>
                <w:rFonts w:ascii="Arial Narrow" w:eastAsiaTheme="minorHAnsi" w:hAnsi="Arial Narrow"/>
                <w:snapToGrid/>
                <w:sz w:val="20"/>
              </w:rPr>
              <w:t>23</w:t>
            </w:r>
            <w:r w:rsidR="008A2BBC" w:rsidRPr="00CF2E0B">
              <w:rPr>
                <w:rFonts w:ascii="Arial Narrow" w:eastAsiaTheme="minorHAnsi" w:hAnsi="Arial Narrow"/>
                <w:snapToGrid/>
                <w:sz w:val="20"/>
              </w:rPr>
              <w:t>% of B-ALL)</w:t>
            </w:r>
            <w:r w:rsidR="008A2BBC" w:rsidRPr="00CF2E0B">
              <w:rPr>
                <w:rFonts w:ascii="Arial Narrow" w:eastAsiaTheme="minorHAnsi" w:hAnsi="Arial Narrow"/>
                <w:snapToGrid/>
                <w:sz w:val="20"/>
                <w:vertAlign w:val="superscript"/>
              </w:rPr>
              <w:t>a</w:t>
            </w:r>
          </w:p>
        </w:tc>
        <w:tc>
          <w:tcPr>
            <w:tcW w:w="1068"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8"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A2BBC" w:rsidRPr="00DB5323" w:rsidTr="00B15AF9">
        <w:tc>
          <w:tcPr>
            <w:tcW w:w="2830" w:type="dxa"/>
          </w:tcPr>
          <w:p w:rsidR="008A2BBC" w:rsidRPr="00CF2E0B" w:rsidRDefault="00F06E3F" w:rsidP="00CF2E0B">
            <w:pPr>
              <w:pStyle w:val="ListParagraph"/>
              <w:keepNext/>
              <w:keepLines/>
              <w:widowControl/>
              <w:ind w:left="0"/>
              <w:contextualSpacing w:val="0"/>
              <w:rPr>
                <w:rFonts w:ascii="Arial Narrow" w:eastAsiaTheme="minorHAnsi" w:hAnsi="Arial Narrow"/>
                <w:snapToGrid/>
                <w:sz w:val="20"/>
                <w:vertAlign w:val="superscript"/>
              </w:rPr>
            </w:pPr>
            <w:r w:rsidRPr="00CF2E0B">
              <w:rPr>
                <w:rFonts w:ascii="Arial Narrow" w:eastAsiaTheme="minorHAnsi" w:hAnsi="Arial Narrow"/>
                <w:snapToGrid/>
                <w:sz w:val="20"/>
              </w:rPr>
              <w:t xml:space="preserve">Eligible </w:t>
            </w:r>
            <w:r w:rsidRPr="00CF2E0B">
              <w:rPr>
                <w:rFonts w:ascii="Arial Narrow" w:eastAsiaTheme="minorHAnsi" w:hAnsi="Arial Narrow"/>
                <w:b/>
                <w:snapToGrid/>
                <w:sz w:val="20"/>
              </w:rPr>
              <w:t xml:space="preserve">Ph+ </w:t>
            </w:r>
            <w:r w:rsidRPr="00CF2E0B">
              <w:rPr>
                <w:rFonts w:ascii="Arial Narrow" w:eastAsiaTheme="minorHAnsi" w:hAnsi="Arial Narrow"/>
                <w:snapToGrid/>
                <w:sz w:val="20"/>
              </w:rPr>
              <w:t>p</w:t>
            </w:r>
            <w:r w:rsidR="008A2BBC" w:rsidRPr="00CF2E0B">
              <w:rPr>
                <w:rFonts w:ascii="Arial Narrow" w:eastAsiaTheme="minorHAnsi" w:hAnsi="Arial Narrow"/>
                <w:snapToGrid/>
                <w:sz w:val="20"/>
              </w:rPr>
              <w:t>aediatrics (5% of B-ALL)</w:t>
            </w:r>
            <w:r w:rsidR="008A2BBC" w:rsidRPr="00CF2E0B">
              <w:rPr>
                <w:rFonts w:ascii="Arial Narrow" w:eastAsiaTheme="minorHAnsi" w:hAnsi="Arial Narrow"/>
                <w:snapToGrid/>
                <w:sz w:val="20"/>
                <w:vertAlign w:val="superscript"/>
              </w:rPr>
              <w:t>b</w:t>
            </w:r>
          </w:p>
        </w:tc>
        <w:tc>
          <w:tcPr>
            <w:tcW w:w="1068"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8"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9" w:type="dxa"/>
            <w:shd w:val="clear" w:color="auto" w:fill="auto"/>
            <w:vAlign w:val="bottom"/>
          </w:tcPr>
          <w:p w:rsidR="008A2BBC" w:rsidRPr="00BD75F9" w:rsidRDefault="00BD75F9" w:rsidP="00CF2E0B">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A2BBC" w:rsidRPr="00DB5323" w:rsidTr="00B15AF9">
        <w:tc>
          <w:tcPr>
            <w:tcW w:w="2830" w:type="dxa"/>
          </w:tcPr>
          <w:p w:rsidR="008A2BBC" w:rsidRPr="00CF2E0B" w:rsidRDefault="008A2BBC" w:rsidP="00CF2E0B">
            <w:pPr>
              <w:pStyle w:val="ListParagraph"/>
              <w:keepNext/>
              <w:keepLines/>
              <w:widowControl/>
              <w:ind w:left="0"/>
              <w:contextualSpacing w:val="0"/>
              <w:jc w:val="left"/>
              <w:rPr>
                <w:rFonts w:ascii="Arial Narrow" w:eastAsiaTheme="minorHAnsi" w:hAnsi="Arial Narrow"/>
                <w:snapToGrid/>
                <w:sz w:val="20"/>
                <w:vertAlign w:val="superscript"/>
              </w:rPr>
            </w:pPr>
            <w:r w:rsidRPr="00CF2E0B">
              <w:rPr>
                <w:rFonts w:ascii="Arial Narrow" w:eastAsiaTheme="minorHAnsi" w:hAnsi="Arial Narrow"/>
                <w:snapToGrid/>
                <w:sz w:val="20"/>
              </w:rPr>
              <w:t>Uptake rate of blina</w:t>
            </w:r>
            <w:r w:rsidR="002F0BCB" w:rsidRPr="00CF2E0B">
              <w:rPr>
                <w:rFonts w:ascii="Arial Narrow" w:eastAsiaTheme="minorHAnsi" w:hAnsi="Arial Narrow"/>
                <w:snapToGrid/>
                <w:sz w:val="20"/>
              </w:rPr>
              <w:t xml:space="preserve"> </w:t>
            </w:r>
            <w:r w:rsidRPr="00CF2E0B">
              <w:rPr>
                <w:rFonts w:ascii="Arial Narrow" w:eastAsiaTheme="minorHAnsi" w:hAnsi="Arial Narrow"/>
                <w:snapToGrid/>
                <w:sz w:val="20"/>
              </w:rPr>
              <w:t xml:space="preserve">or </w:t>
            </w:r>
            <w:r w:rsidR="002F0BCB" w:rsidRPr="00CF2E0B">
              <w:rPr>
                <w:rFonts w:ascii="Arial Narrow" w:eastAsiaTheme="minorHAnsi" w:hAnsi="Arial Narrow"/>
                <w:snapToGrid/>
                <w:sz w:val="20"/>
              </w:rPr>
              <w:t>i</w:t>
            </w:r>
            <w:r w:rsidRPr="00CF2E0B">
              <w:rPr>
                <w:rFonts w:ascii="Arial Narrow" w:eastAsiaTheme="minorHAnsi" w:hAnsi="Arial Narrow"/>
                <w:snapToGrid/>
                <w:sz w:val="20"/>
              </w:rPr>
              <w:t>notuz</w:t>
            </w:r>
            <w:r w:rsidR="009504AD" w:rsidRPr="00CF2E0B">
              <w:rPr>
                <w:rFonts w:ascii="Arial Narrow" w:eastAsiaTheme="minorHAnsi" w:hAnsi="Arial Narrow"/>
                <w:snapToGrid/>
                <w:sz w:val="20"/>
              </w:rPr>
              <w:t xml:space="preserve"> </w:t>
            </w:r>
            <w:r w:rsidR="009504AD" w:rsidRPr="00CF2E0B">
              <w:rPr>
                <w:rFonts w:ascii="Arial Narrow" w:eastAsiaTheme="minorHAnsi" w:hAnsi="Arial Narrow"/>
                <w:snapToGrid/>
                <w:sz w:val="20"/>
                <w:vertAlign w:val="superscript"/>
              </w:rPr>
              <w:t>c</w:t>
            </w:r>
          </w:p>
        </w:tc>
        <w:tc>
          <w:tcPr>
            <w:tcW w:w="1068" w:type="dxa"/>
            <w:shd w:val="clear" w:color="auto" w:fill="auto"/>
            <w:vAlign w:val="bottom"/>
          </w:tcPr>
          <w:p w:rsidR="008A2BBC" w:rsidRPr="00CF2E0B" w:rsidRDefault="008A2BBC" w:rsidP="00CF2E0B">
            <w:pPr>
              <w:keepNext/>
              <w:keepLines/>
              <w:jc w:val="center"/>
              <w:rPr>
                <w:rFonts w:ascii="Arial Narrow" w:hAnsi="Arial Narrow" w:cs="Arial"/>
                <w:sz w:val="20"/>
                <w:szCs w:val="20"/>
              </w:rPr>
            </w:pPr>
            <w:r w:rsidRPr="00CF2E0B">
              <w:rPr>
                <w:rFonts w:ascii="Arial Narrow" w:hAnsi="Arial Narrow" w:cs="Arial"/>
                <w:sz w:val="20"/>
                <w:szCs w:val="20"/>
              </w:rPr>
              <w:t>80%</w:t>
            </w:r>
          </w:p>
        </w:tc>
        <w:tc>
          <w:tcPr>
            <w:tcW w:w="1069" w:type="dxa"/>
            <w:shd w:val="clear" w:color="auto" w:fill="auto"/>
            <w:vAlign w:val="bottom"/>
          </w:tcPr>
          <w:p w:rsidR="008A2BBC" w:rsidRPr="00CF2E0B" w:rsidRDefault="008A2BBC" w:rsidP="00CF2E0B">
            <w:pPr>
              <w:keepNext/>
              <w:keepLines/>
              <w:jc w:val="center"/>
              <w:rPr>
                <w:rFonts w:ascii="Arial Narrow" w:hAnsi="Arial Narrow" w:cs="Arial"/>
                <w:sz w:val="20"/>
                <w:szCs w:val="20"/>
              </w:rPr>
            </w:pPr>
            <w:r w:rsidRPr="00CF2E0B">
              <w:rPr>
                <w:rFonts w:ascii="Arial Narrow" w:hAnsi="Arial Narrow" w:cs="Arial"/>
                <w:sz w:val="20"/>
                <w:szCs w:val="20"/>
              </w:rPr>
              <w:t>80%</w:t>
            </w:r>
          </w:p>
        </w:tc>
        <w:tc>
          <w:tcPr>
            <w:tcW w:w="1069" w:type="dxa"/>
            <w:shd w:val="clear" w:color="auto" w:fill="auto"/>
            <w:vAlign w:val="bottom"/>
          </w:tcPr>
          <w:p w:rsidR="008A2BBC" w:rsidRPr="00CF2E0B" w:rsidRDefault="008A2BBC" w:rsidP="00CF2E0B">
            <w:pPr>
              <w:keepNext/>
              <w:keepLines/>
              <w:jc w:val="center"/>
              <w:rPr>
                <w:rFonts w:ascii="Arial Narrow" w:hAnsi="Arial Narrow" w:cs="Arial"/>
                <w:sz w:val="20"/>
                <w:szCs w:val="20"/>
              </w:rPr>
            </w:pPr>
            <w:r w:rsidRPr="00CF2E0B">
              <w:rPr>
                <w:rFonts w:ascii="Arial Narrow" w:hAnsi="Arial Narrow" w:cs="Arial"/>
                <w:sz w:val="20"/>
                <w:szCs w:val="20"/>
              </w:rPr>
              <w:t>80%</w:t>
            </w:r>
          </w:p>
        </w:tc>
        <w:tc>
          <w:tcPr>
            <w:tcW w:w="1068" w:type="dxa"/>
            <w:shd w:val="clear" w:color="auto" w:fill="auto"/>
            <w:vAlign w:val="bottom"/>
          </w:tcPr>
          <w:p w:rsidR="008A2BBC" w:rsidRPr="00CF2E0B" w:rsidRDefault="008A2BBC" w:rsidP="00CF2E0B">
            <w:pPr>
              <w:keepNext/>
              <w:keepLines/>
              <w:jc w:val="center"/>
              <w:rPr>
                <w:rFonts w:ascii="Arial Narrow" w:hAnsi="Arial Narrow" w:cs="Arial"/>
                <w:sz w:val="20"/>
                <w:szCs w:val="20"/>
              </w:rPr>
            </w:pPr>
            <w:r w:rsidRPr="00CF2E0B">
              <w:rPr>
                <w:rFonts w:ascii="Arial Narrow" w:hAnsi="Arial Narrow" w:cs="Arial"/>
                <w:sz w:val="20"/>
                <w:szCs w:val="20"/>
              </w:rPr>
              <w:t>80%</w:t>
            </w:r>
          </w:p>
        </w:tc>
        <w:tc>
          <w:tcPr>
            <w:tcW w:w="1069" w:type="dxa"/>
            <w:shd w:val="clear" w:color="auto" w:fill="auto"/>
            <w:vAlign w:val="bottom"/>
          </w:tcPr>
          <w:p w:rsidR="008A2BBC" w:rsidRPr="00CF2E0B" w:rsidRDefault="008A2BBC" w:rsidP="00CF2E0B">
            <w:pPr>
              <w:keepNext/>
              <w:keepLines/>
              <w:jc w:val="center"/>
              <w:rPr>
                <w:rFonts w:ascii="Arial Narrow" w:hAnsi="Arial Narrow" w:cs="Arial"/>
                <w:sz w:val="20"/>
                <w:szCs w:val="20"/>
              </w:rPr>
            </w:pPr>
            <w:r w:rsidRPr="00CF2E0B">
              <w:rPr>
                <w:rFonts w:ascii="Arial Narrow" w:hAnsi="Arial Narrow" w:cs="Arial"/>
                <w:sz w:val="20"/>
                <w:szCs w:val="20"/>
              </w:rPr>
              <w:t>80%</w:t>
            </w:r>
          </w:p>
        </w:tc>
        <w:tc>
          <w:tcPr>
            <w:tcW w:w="1069" w:type="dxa"/>
            <w:shd w:val="clear" w:color="auto" w:fill="auto"/>
            <w:vAlign w:val="bottom"/>
          </w:tcPr>
          <w:p w:rsidR="008A2BBC" w:rsidRPr="00CF2E0B" w:rsidRDefault="008A2BBC" w:rsidP="00CF2E0B">
            <w:pPr>
              <w:keepNext/>
              <w:keepLines/>
              <w:jc w:val="center"/>
              <w:rPr>
                <w:rFonts w:ascii="Arial Narrow" w:hAnsi="Arial Narrow" w:cs="Arial"/>
                <w:sz w:val="20"/>
                <w:szCs w:val="20"/>
              </w:rPr>
            </w:pPr>
            <w:r w:rsidRPr="00CF2E0B">
              <w:rPr>
                <w:rFonts w:ascii="Arial Narrow" w:hAnsi="Arial Narrow" w:cs="Arial"/>
                <w:sz w:val="20"/>
                <w:szCs w:val="20"/>
              </w:rPr>
              <w:t>80%</w:t>
            </w:r>
          </w:p>
        </w:tc>
      </w:tr>
      <w:tr w:rsidR="008A2BBC" w:rsidRPr="00DB5323" w:rsidTr="00B15AF9">
        <w:tc>
          <w:tcPr>
            <w:tcW w:w="2830" w:type="dxa"/>
          </w:tcPr>
          <w:p w:rsidR="008A2BBC" w:rsidRPr="00CF2E0B" w:rsidRDefault="00F06E3F" w:rsidP="00CF2E0B">
            <w:pPr>
              <w:pStyle w:val="ListParagraph"/>
              <w:keepNext/>
              <w:keepLines/>
              <w:widowControl/>
              <w:ind w:left="0"/>
              <w:contextualSpacing w:val="0"/>
              <w:rPr>
                <w:rFonts w:ascii="Arial Narrow" w:eastAsiaTheme="minorHAnsi" w:hAnsi="Arial Narrow"/>
                <w:snapToGrid/>
                <w:sz w:val="20"/>
              </w:rPr>
            </w:pPr>
            <w:r w:rsidRPr="00CF2E0B">
              <w:rPr>
                <w:rFonts w:ascii="Arial Narrow" w:eastAsiaTheme="minorHAnsi" w:hAnsi="Arial Narrow"/>
                <w:snapToGrid/>
                <w:sz w:val="20"/>
              </w:rPr>
              <w:t>P</w:t>
            </w:r>
            <w:r w:rsidR="008A2BBC" w:rsidRPr="00CF2E0B">
              <w:rPr>
                <w:rFonts w:ascii="Arial Narrow" w:eastAsiaTheme="minorHAnsi" w:hAnsi="Arial Narrow"/>
                <w:snapToGrid/>
                <w:sz w:val="20"/>
              </w:rPr>
              <w:t xml:space="preserve">atients treated with </w:t>
            </w:r>
            <w:r w:rsidRPr="00CF2E0B">
              <w:rPr>
                <w:rFonts w:ascii="Arial Narrow" w:eastAsiaTheme="minorHAnsi" w:hAnsi="Arial Narrow"/>
                <w:snapToGrid/>
                <w:sz w:val="20"/>
              </w:rPr>
              <w:t>1</w:t>
            </w:r>
            <w:r w:rsidR="008A2BBC" w:rsidRPr="00CF2E0B">
              <w:rPr>
                <w:rFonts w:ascii="Arial Narrow" w:eastAsiaTheme="minorHAnsi" w:hAnsi="Arial Narrow"/>
                <w:snapToGrid/>
                <w:sz w:val="20"/>
              </w:rPr>
              <w:t xml:space="preserve"> biologic</w:t>
            </w:r>
            <w:r w:rsidR="002F0BCB" w:rsidRPr="00CF2E0B">
              <w:rPr>
                <w:rFonts w:ascii="Arial Narrow" w:eastAsiaTheme="minorHAnsi" w:hAnsi="Arial Narrow"/>
                <w:snapToGrid/>
                <w:sz w:val="20"/>
              </w:rPr>
              <w:t xml:space="preserve"> (blina or inotuz)</w:t>
            </w:r>
          </w:p>
        </w:tc>
        <w:tc>
          <w:tcPr>
            <w:tcW w:w="1068"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8"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8A2BBC" w:rsidRPr="00DB5323" w:rsidTr="00B15AF9">
        <w:tc>
          <w:tcPr>
            <w:tcW w:w="2830" w:type="dxa"/>
          </w:tcPr>
          <w:p w:rsidR="008A2BBC" w:rsidRPr="00CF2E0B" w:rsidRDefault="00F06E3F" w:rsidP="00CF2E0B">
            <w:pPr>
              <w:pStyle w:val="ListParagraph"/>
              <w:keepNext/>
              <w:keepLines/>
              <w:widowControl/>
              <w:ind w:left="0"/>
              <w:contextualSpacing w:val="0"/>
              <w:rPr>
                <w:rFonts w:ascii="Arial Narrow" w:eastAsiaTheme="minorHAnsi" w:hAnsi="Arial Narrow"/>
                <w:snapToGrid/>
                <w:sz w:val="20"/>
                <w:vertAlign w:val="superscript"/>
              </w:rPr>
            </w:pPr>
            <w:r w:rsidRPr="00CF2E0B">
              <w:rPr>
                <w:rFonts w:ascii="Arial Narrow" w:eastAsiaTheme="minorHAnsi" w:hAnsi="Arial Narrow"/>
                <w:snapToGrid/>
                <w:sz w:val="20"/>
              </w:rPr>
              <w:t>Pa</w:t>
            </w:r>
            <w:r w:rsidR="008A2BBC" w:rsidRPr="00CF2E0B">
              <w:rPr>
                <w:rFonts w:ascii="Arial Narrow" w:eastAsiaTheme="minorHAnsi" w:hAnsi="Arial Narrow"/>
                <w:snapToGrid/>
                <w:sz w:val="20"/>
              </w:rPr>
              <w:t>tients treated with second biologic</w:t>
            </w:r>
            <w:r w:rsidR="002F0BCB" w:rsidRPr="00CF2E0B">
              <w:rPr>
                <w:rFonts w:ascii="Arial Narrow" w:eastAsiaTheme="minorHAnsi" w:hAnsi="Arial Narrow"/>
                <w:snapToGrid/>
                <w:sz w:val="20"/>
              </w:rPr>
              <w:t xml:space="preserve"> (blina or inotuz)</w:t>
            </w:r>
            <w:r w:rsidR="003D57C6" w:rsidRPr="00CF2E0B">
              <w:rPr>
                <w:rFonts w:ascii="Arial Narrow" w:eastAsiaTheme="minorHAnsi" w:hAnsi="Arial Narrow"/>
                <w:snapToGrid/>
                <w:sz w:val="20"/>
              </w:rPr>
              <w:t xml:space="preserve"> </w:t>
            </w:r>
            <w:r w:rsidR="009504AD" w:rsidRPr="00CF2E0B">
              <w:rPr>
                <w:rFonts w:ascii="Arial Narrow" w:eastAsiaTheme="minorHAnsi" w:hAnsi="Arial Narrow"/>
                <w:snapToGrid/>
                <w:sz w:val="20"/>
                <w:vertAlign w:val="superscript"/>
              </w:rPr>
              <w:t>d</w:t>
            </w:r>
          </w:p>
        </w:tc>
        <w:tc>
          <w:tcPr>
            <w:tcW w:w="1068"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8"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069" w:type="dxa"/>
            <w:shd w:val="clear" w:color="auto" w:fill="auto"/>
            <w:vAlign w:val="bottom"/>
          </w:tcPr>
          <w:p w:rsidR="008A2BBC" w:rsidRPr="00BD75F9" w:rsidRDefault="00BD75F9" w:rsidP="00CF2E0B">
            <w:pPr>
              <w:pStyle w:val="ListParagraph"/>
              <w:keepNext/>
              <w:keepLines/>
              <w:widowControl/>
              <w:ind w:left="0"/>
              <w:contextualSpacing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8A2BBC" w:rsidRPr="00DB5323" w:rsidTr="00B15AF9">
        <w:tc>
          <w:tcPr>
            <w:tcW w:w="2830" w:type="dxa"/>
          </w:tcPr>
          <w:p w:rsidR="008A2BBC" w:rsidRPr="00CF2E0B" w:rsidRDefault="008A2BBC" w:rsidP="00CF2E0B">
            <w:pPr>
              <w:pStyle w:val="ListParagraph"/>
              <w:keepNext/>
              <w:keepLines/>
              <w:widowControl/>
              <w:ind w:left="0"/>
              <w:contextualSpacing w:val="0"/>
              <w:rPr>
                <w:rFonts w:ascii="Arial Narrow" w:eastAsiaTheme="minorHAnsi" w:hAnsi="Arial Narrow"/>
                <w:snapToGrid/>
                <w:sz w:val="20"/>
                <w:vertAlign w:val="superscript"/>
              </w:rPr>
            </w:pPr>
            <w:r w:rsidRPr="00CF2E0B">
              <w:rPr>
                <w:rFonts w:ascii="Arial Narrow" w:eastAsiaTheme="minorHAnsi" w:hAnsi="Arial Narrow"/>
                <w:snapToGrid/>
                <w:sz w:val="20"/>
              </w:rPr>
              <w:t xml:space="preserve">Total </w:t>
            </w:r>
            <w:r w:rsidR="00F06E3F" w:rsidRPr="00CF2E0B">
              <w:rPr>
                <w:rFonts w:ascii="Arial Narrow" w:eastAsiaTheme="minorHAnsi" w:hAnsi="Arial Narrow"/>
                <w:snapToGrid/>
                <w:sz w:val="20"/>
              </w:rPr>
              <w:t xml:space="preserve">courses of </w:t>
            </w:r>
            <w:r w:rsidRPr="00CF2E0B">
              <w:rPr>
                <w:rFonts w:ascii="Arial Narrow" w:eastAsiaTheme="minorHAnsi" w:hAnsi="Arial Narrow"/>
                <w:snapToGrid/>
                <w:sz w:val="20"/>
              </w:rPr>
              <w:t>blina or inotuz</w:t>
            </w:r>
          </w:p>
        </w:tc>
        <w:tc>
          <w:tcPr>
            <w:tcW w:w="1068" w:type="dxa"/>
            <w:vAlign w:val="bottom"/>
          </w:tcPr>
          <w:p w:rsidR="008A2BBC" w:rsidRPr="00BD75F9" w:rsidRDefault="00BD75F9" w:rsidP="00CF2E0B">
            <w:pPr>
              <w:pStyle w:val="ListParagraph"/>
              <w:keepNext/>
              <w:keepLines/>
              <w:widowControl/>
              <w:ind w:left="0"/>
              <w:contextualSpacing w:val="0"/>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1069" w:type="dxa"/>
            <w:vAlign w:val="bottom"/>
          </w:tcPr>
          <w:p w:rsidR="008A2BBC" w:rsidRPr="00BD75F9" w:rsidRDefault="00BD75F9" w:rsidP="00CF2E0B">
            <w:pPr>
              <w:pStyle w:val="ListParagraph"/>
              <w:keepNext/>
              <w:keepLines/>
              <w:widowControl/>
              <w:ind w:left="0"/>
              <w:contextualSpacing w:val="0"/>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1069" w:type="dxa"/>
            <w:vAlign w:val="bottom"/>
          </w:tcPr>
          <w:p w:rsidR="008A2BBC" w:rsidRPr="00BD75F9" w:rsidRDefault="00BD75F9" w:rsidP="00CF2E0B">
            <w:pPr>
              <w:pStyle w:val="ListParagraph"/>
              <w:keepNext/>
              <w:keepLines/>
              <w:widowControl/>
              <w:ind w:left="0"/>
              <w:contextualSpacing w:val="0"/>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1068" w:type="dxa"/>
            <w:vAlign w:val="bottom"/>
          </w:tcPr>
          <w:p w:rsidR="008A2BBC" w:rsidRPr="00BD75F9" w:rsidRDefault="00BD75F9" w:rsidP="00CF2E0B">
            <w:pPr>
              <w:pStyle w:val="ListParagraph"/>
              <w:keepNext/>
              <w:keepLines/>
              <w:widowControl/>
              <w:ind w:left="0"/>
              <w:contextualSpacing w:val="0"/>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1069" w:type="dxa"/>
            <w:vAlign w:val="bottom"/>
          </w:tcPr>
          <w:p w:rsidR="008A2BBC" w:rsidRPr="00BD75F9" w:rsidRDefault="00BD75F9" w:rsidP="00CF2E0B">
            <w:pPr>
              <w:pStyle w:val="ListParagraph"/>
              <w:keepNext/>
              <w:keepLines/>
              <w:widowControl/>
              <w:ind w:left="0"/>
              <w:contextualSpacing w:val="0"/>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1069" w:type="dxa"/>
            <w:vAlign w:val="bottom"/>
          </w:tcPr>
          <w:p w:rsidR="008A2BBC" w:rsidRPr="00BD75F9" w:rsidRDefault="00BD75F9" w:rsidP="00CF2E0B">
            <w:pPr>
              <w:pStyle w:val="ListParagraph"/>
              <w:keepNext/>
              <w:keepLines/>
              <w:widowControl/>
              <w:ind w:left="0"/>
              <w:contextualSpacing w:val="0"/>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r>
      <w:tr w:rsidR="008A2BBC" w:rsidRPr="00DB5323" w:rsidTr="00B15AF9">
        <w:tc>
          <w:tcPr>
            <w:tcW w:w="2830" w:type="dxa"/>
          </w:tcPr>
          <w:p w:rsidR="008A2BBC" w:rsidRPr="00CF2E0B" w:rsidRDefault="008A2BBC" w:rsidP="00C82E79">
            <w:pPr>
              <w:pStyle w:val="ListParagraph"/>
              <w:keepNext/>
              <w:keepLines/>
              <w:widowControl/>
              <w:ind w:left="0"/>
              <w:contextualSpacing w:val="0"/>
              <w:rPr>
                <w:rFonts w:ascii="Arial Narrow" w:eastAsiaTheme="minorHAnsi" w:hAnsi="Arial Narrow"/>
                <w:b/>
                <w:snapToGrid/>
                <w:sz w:val="20"/>
              </w:rPr>
            </w:pPr>
            <w:r w:rsidRPr="00CF2E0B">
              <w:rPr>
                <w:rFonts w:ascii="Arial Narrow" w:eastAsiaTheme="minorHAnsi" w:hAnsi="Arial Narrow"/>
                <w:b/>
                <w:snapToGrid/>
                <w:sz w:val="20"/>
              </w:rPr>
              <w:t>Total cost to the PBS/RPBS</w:t>
            </w:r>
            <w:r w:rsidR="002F0BCB" w:rsidRPr="00CF2E0B">
              <w:rPr>
                <w:rFonts w:ascii="Arial Narrow" w:eastAsiaTheme="minorHAnsi" w:hAnsi="Arial Narrow"/>
                <w:b/>
                <w:snapToGrid/>
                <w:sz w:val="20"/>
              </w:rPr>
              <w:t xml:space="preserve"> </w:t>
            </w:r>
          </w:p>
        </w:tc>
        <w:tc>
          <w:tcPr>
            <w:tcW w:w="1068" w:type="dxa"/>
            <w:shd w:val="clear" w:color="auto" w:fill="auto"/>
            <w:vAlign w:val="bottom"/>
          </w:tcPr>
          <w:p w:rsidR="008A2BBC" w:rsidRPr="00CF2E0B" w:rsidRDefault="008A2BBC"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w:t>
            </w:r>
            <w:r w:rsidR="00BD75F9">
              <w:rPr>
                <w:rFonts w:ascii="Arial Narrow" w:eastAsiaTheme="minorHAnsi" w:hAnsi="Arial Narrow"/>
                <w:b/>
                <w:noProof/>
                <w:snapToGrid/>
                <w:color w:val="000000"/>
                <w:sz w:val="20"/>
                <w:highlight w:val="black"/>
              </w:rPr>
              <w:t>''''''''''''''''''''</w:t>
            </w:r>
            <w:r w:rsidRPr="00CF2E0B">
              <w:rPr>
                <w:rFonts w:ascii="Arial Narrow" w:eastAsiaTheme="minorHAnsi" w:hAnsi="Arial Narrow"/>
                <w:b/>
                <w:snapToGrid/>
                <w:sz w:val="20"/>
              </w:rPr>
              <w:t xml:space="preserve"> </w:t>
            </w:r>
          </w:p>
        </w:tc>
        <w:tc>
          <w:tcPr>
            <w:tcW w:w="1069" w:type="dxa"/>
            <w:shd w:val="clear" w:color="auto" w:fill="auto"/>
            <w:vAlign w:val="bottom"/>
          </w:tcPr>
          <w:p w:rsidR="008A2BBC" w:rsidRPr="00CF2E0B" w:rsidRDefault="008A2BBC"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w:t>
            </w:r>
            <w:r w:rsidR="00BD75F9">
              <w:rPr>
                <w:rFonts w:ascii="Arial Narrow" w:eastAsiaTheme="minorHAnsi" w:hAnsi="Arial Narrow"/>
                <w:b/>
                <w:noProof/>
                <w:snapToGrid/>
                <w:color w:val="000000"/>
                <w:sz w:val="20"/>
                <w:highlight w:val="black"/>
              </w:rPr>
              <w:t>'''''''''''''''''''''</w:t>
            </w:r>
            <w:r w:rsidRPr="00CF2E0B">
              <w:rPr>
                <w:rFonts w:ascii="Arial Narrow" w:eastAsiaTheme="minorHAnsi" w:hAnsi="Arial Narrow"/>
                <w:b/>
                <w:snapToGrid/>
                <w:sz w:val="20"/>
              </w:rPr>
              <w:t xml:space="preserve"> </w:t>
            </w:r>
          </w:p>
        </w:tc>
        <w:tc>
          <w:tcPr>
            <w:tcW w:w="1069" w:type="dxa"/>
            <w:shd w:val="clear" w:color="auto" w:fill="auto"/>
            <w:vAlign w:val="bottom"/>
          </w:tcPr>
          <w:p w:rsidR="008A2BBC" w:rsidRPr="00CF2E0B" w:rsidRDefault="008A2BBC"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w:t>
            </w:r>
            <w:r w:rsidR="00BD75F9">
              <w:rPr>
                <w:rFonts w:ascii="Arial Narrow" w:eastAsiaTheme="minorHAnsi" w:hAnsi="Arial Narrow"/>
                <w:b/>
                <w:noProof/>
                <w:snapToGrid/>
                <w:color w:val="000000"/>
                <w:sz w:val="20"/>
                <w:highlight w:val="black"/>
              </w:rPr>
              <w:t>''''''''''''''''''''</w:t>
            </w:r>
            <w:r w:rsidRPr="00CF2E0B">
              <w:rPr>
                <w:rFonts w:ascii="Arial Narrow" w:eastAsiaTheme="minorHAnsi" w:hAnsi="Arial Narrow"/>
                <w:b/>
                <w:snapToGrid/>
                <w:sz w:val="20"/>
              </w:rPr>
              <w:t xml:space="preserve"> </w:t>
            </w:r>
          </w:p>
        </w:tc>
        <w:tc>
          <w:tcPr>
            <w:tcW w:w="1068" w:type="dxa"/>
            <w:shd w:val="clear" w:color="auto" w:fill="auto"/>
            <w:vAlign w:val="bottom"/>
          </w:tcPr>
          <w:p w:rsidR="008A2BBC" w:rsidRPr="00CF2E0B" w:rsidRDefault="008A2BBC"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w:t>
            </w:r>
            <w:r w:rsidR="00BD75F9">
              <w:rPr>
                <w:rFonts w:ascii="Arial Narrow" w:eastAsiaTheme="minorHAnsi" w:hAnsi="Arial Narrow"/>
                <w:b/>
                <w:noProof/>
                <w:snapToGrid/>
                <w:color w:val="000000"/>
                <w:sz w:val="20"/>
                <w:highlight w:val="black"/>
              </w:rPr>
              <w:t>'''''''''''''''''''</w:t>
            </w:r>
            <w:r w:rsidRPr="00CF2E0B">
              <w:rPr>
                <w:rFonts w:ascii="Arial Narrow" w:eastAsiaTheme="minorHAnsi" w:hAnsi="Arial Narrow"/>
                <w:b/>
                <w:snapToGrid/>
                <w:sz w:val="20"/>
              </w:rPr>
              <w:t xml:space="preserve"> </w:t>
            </w:r>
          </w:p>
        </w:tc>
        <w:tc>
          <w:tcPr>
            <w:tcW w:w="1069" w:type="dxa"/>
            <w:shd w:val="clear" w:color="auto" w:fill="auto"/>
            <w:vAlign w:val="bottom"/>
          </w:tcPr>
          <w:p w:rsidR="008A2BBC" w:rsidRPr="00CF2E0B" w:rsidRDefault="008A2BBC"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w:t>
            </w:r>
            <w:r w:rsidR="00BD75F9">
              <w:rPr>
                <w:rFonts w:ascii="Arial Narrow" w:eastAsiaTheme="minorHAnsi" w:hAnsi="Arial Narrow"/>
                <w:b/>
                <w:noProof/>
                <w:snapToGrid/>
                <w:color w:val="000000"/>
                <w:sz w:val="20"/>
                <w:highlight w:val="black"/>
              </w:rPr>
              <w:t>'''''''''''''''''''</w:t>
            </w:r>
            <w:r w:rsidRPr="00CF2E0B">
              <w:rPr>
                <w:rFonts w:ascii="Arial Narrow" w:eastAsiaTheme="minorHAnsi" w:hAnsi="Arial Narrow"/>
                <w:b/>
                <w:snapToGrid/>
                <w:sz w:val="20"/>
              </w:rPr>
              <w:t xml:space="preserve"> </w:t>
            </w:r>
          </w:p>
        </w:tc>
        <w:tc>
          <w:tcPr>
            <w:tcW w:w="1069" w:type="dxa"/>
            <w:shd w:val="clear" w:color="auto" w:fill="auto"/>
            <w:vAlign w:val="bottom"/>
          </w:tcPr>
          <w:p w:rsidR="008A2BBC" w:rsidRPr="00CF2E0B" w:rsidRDefault="008A2BBC" w:rsidP="00CF2E0B">
            <w:pPr>
              <w:pStyle w:val="ListParagraph"/>
              <w:keepNext/>
              <w:keepLines/>
              <w:widowControl/>
              <w:ind w:left="0"/>
              <w:contextualSpacing w:val="0"/>
              <w:jc w:val="center"/>
              <w:rPr>
                <w:rFonts w:ascii="Arial Narrow" w:eastAsiaTheme="minorHAnsi" w:hAnsi="Arial Narrow"/>
                <w:b/>
                <w:snapToGrid/>
                <w:sz w:val="20"/>
              </w:rPr>
            </w:pPr>
            <w:r w:rsidRPr="00CF2E0B">
              <w:rPr>
                <w:rFonts w:ascii="Arial Narrow" w:eastAsiaTheme="minorHAnsi" w:hAnsi="Arial Narrow"/>
                <w:b/>
                <w:snapToGrid/>
                <w:sz w:val="20"/>
              </w:rPr>
              <w:t>$</w:t>
            </w:r>
            <w:r w:rsidR="00BD75F9">
              <w:rPr>
                <w:rFonts w:ascii="Arial Narrow" w:eastAsiaTheme="minorHAnsi" w:hAnsi="Arial Narrow"/>
                <w:b/>
                <w:noProof/>
                <w:snapToGrid/>
                <w:color w:val="000000"/>
                <w:sz w:val="20"/>
                <w:highlight w:val="black"/>
              </w:rPr>
              <w:t>'''''''''''''''''''''</w:t>
            </w:r>
            <w:r w:rsidRPr="00CF2E0B">
              <w:rPr>
                <w:rFonts w:ascii="Arial Narrow" w:eastAsiaTheme="minorHAnsi" w:hAnsi="Arial Narrow"/>
                <w:b/>
                <w:snapToGrid/>
                <w:sz w:val="20"/>
              </w:rPr>
              <w:t xml:space="preserve"> </w:t>
            </w:r>
          </w:p>
        </w:tc>
      </w:tr>
      <w:tr w:rsidR="008A2BBC" w:rsidRPr="00DB5323" w:rsidTr="00B15AF9">
        <w:tc>
          <w:tcPr>
            <w:tcW w:w="2830" w:type="dxa"/>
          </w:tcPr>
          <w:p w:rsidR="008A2BBC" w:rsidRPr="00CF2E0B" w:rsidRDefault="008A2BBC" w:rsidP="00CF2E0B">
            <w:pPr>
              <w:pStyle w:val="ListParagraph"/>
              <w:keepNext/>
              <w:keepLines/>
              <w:widowControl/>
              <w:ind w:left="0"/>
              <w:contextualSpacing w:val="0"/>
              <w:rPr>
                <w:rFonts w:ascii="Arial Narrow" w:eastAsiaTheme="minorHAnsi" w:hAnsi="Arial Narrow"/>
                <w:snapToGrid/>
                <w:sz w:val="20"/>
              </w:rPr>
            </w:pPr>
            <w:r w:rsidRPr="00CF2E0B">
              <w:rPr>
                <w:rFonts w:ascii="Arial Narrow" w:eastAsiaTheme="minorHAnsi" w:hAnsi="Arial Narrow"/>
                <w:snapToGrid/>
                <w:sz w:val="20"/>
              </w:rPr>
              <w:t>Total PBS/RPBS cost for Ph- and Ph+ for blina and inotuz</w:t>
            </w:r>
          </w:p>
        </w:tc>
        <w:tc>
          <w:tcPr>
            <w:tcW w:w="1068" w:type="dxa"/>
            <w:shd w:val="clear" w:color="auto" w:fill="auto"/>
            <w:vAlign w:val="bottom"/>
          </w:tcPr>
          <w:p w:rsidR="008A2BBC" w:rsidRPr="00C82E79" w:rsidRDefault="008A2BBC" w:rsidP="00CF2E0B">
            <w:pPr>
              <w:pStyle w:val="ListParagraph"/>
              <w:keepNext/>
              <w:keepLines/>
              <w:widowControl/>
              <w:ind w:left="0"/>
              <w:contextualSpacing w:val="0"/>
              <w:jc w:val="center"/>
              <w:rPr>
                <w:rFonts w:ascii="Arial Narrow" w:eastAsiaTheme="minorHAnsi" w:hAnsi="Arial Narrow"/>
                <w:snapToGrid/>
                <w:sz w:val="18"/>
                <w:szCs w:val="18"/>
              </w:rPr>
            </w:pPr>
            <w:r w:rsidRPr="00C82E79">
              <w:rPr>
                <w:rFonts w:ascii="Arial Narrow" w:eastAsiaTheme="minorHAnsi" w:hAnsi="Arial Narrow"/>
                <w:snapToGrid/>
                <w:sz w:val="18"/>
                <w:szCs w:val="18"/>
              </w:rPr>
              <w:t>$</w:t>
            </w:r>
            <w:r w:rsidR="00BD75F9">
              <w:rPr>
                <w:rFonts w:ascii="Arial Narrow" w:eastAsiaTheme="minorHAnsi" w:hAnsi="Arial Narrow"/>
                <w:noProof/>
                <w:snapToGrid/>
                <w:color w:val="000000"/>
                <w:sz w:val="18"/>
                <w:szCs w:val="18"/>
                <w:highlight w:val="black"/>
              </w:rPr>
              <w:t>''''''''''''''''''''''''</w:t>
            </w:r>
            <w:r w:rsidRPr="00C82E79">
              <w:rPr>
                <w:rFonts w:ascii="Arial Narrow" w:eastAsiaTheme="minorHAnsi" w:hAnsi="Arial Narrow"/>
                <w:snapToGrid/>
                <w:sz w:val="18"/>
                <w:szCs w:val="18"/>
              </w:rPr>
              <w:t xml:space="preserve"> </w:t>
            </w:r>
          </w:p>
        </w:tc>
        <w:tc>
          <w:tcPr>
            <w:tcW w:w="1069" w:type="dxa"/>
            <w:shd w:val="clear" w:color="auto" w:fill="auto"/>
            <w:vAlign w:val="bottom"/>
          </w:tcPr>
          <w:p w:rsidR="008A2BBC" w:rsidRPr="00C82E79" w:rsidRDefault="008A2BBC" w:rsidP="00CF2E0B">
            <w:pPr>
              <w:pStyle w:val="ListParagraph"/>
              <w:keepNext/>
              <w:keepLines/>
              <w:widowControl/>
              <w:ind w:left="0"/>
              <w:contextualSpacing w:val="0"/>
              <w:jc w:val="center"/>
              <w:rPr>
                <w:rFonts w:ascii="Arial Narrow" w:eastAsiaTheme="minorHAnsi" w:hAnsi="Arial Narrow"/>
                <w:snapToGrid/>
                <w:sz w:val="18"/>
                <w:szCs w:val="18"/>
              </w:rPr>
            </w:pPr>
            <w:r w:rsidRPr="00C82E79">
              <w:rPr>
                <w:rFonts w:ascii="Arial Narrow" w:eastAsiaTheme="minorHAnsi" w:hAnsi="Arial Narrow"/>
                <w:snapToGrid/>
                <w:sz w:val="18"/>
                <w:szCs w:val="18"/>
              </w:rPr>
              <w:t>$</w:t>
            </w:r>
            <w:r w:rsidR="00BD75F9">
              <w:rPr>
                <w:rFonts w:ascii="Arial Narrow" w:eastAsiaTheme="minorHAnsi" w:hAnsi="Arial Narrow"/>
                <w:noProof/>
                <w:snapToGrid/>
                <w:color w:val="000000"/>
                <w:sz w:val="18"/>
                <w:szCs w:val="18"/>
                <w:highlight w:val="black"/>
              </w:rPr>
              <w:t>''''''''''''''''''''''''</w:t>
            </w:r>
            <w:r w:rsidRPr="00C82E79">
              <w:rPr>
                <w:rFonts w:ascii="Arial Narrow" w:eastAsiaTheme="minorHAnsi" w:hAnsi="Arial Narrow"/>
                <w:snapToGrid/>
                <w:sz w:val="18"/>
                <w:szCs w:val="18"/>
              </w:rPr>
              <w:t xml:space="preserve"> </w:t>
            </w:r>
          </w:p>
        </w:tc>
        <w:tc>
          <w:tcPr>
            <w:tcW w:w="1069" w:type="dxa"/>
            <w:shd w:val="clear" w:color="auto" w:fill="auto"/>
            <w:vAlign w:val="bottom"/>
          </w:tcPr>
          <w:p w:rsidR="008A2BBC" w:rsidRPr="00C82E79" w:rsidRDefault="008A2BBC" w:rsidP="00CF2E0B">
            <w:pPr>
              <w:pStyle w:val="ListParagraph"/>
              <w:keepNext/>
              <w:keepLines/>
              <w:widowControl/>
              <w:ind w:left="0"/>
              <w:contextualSpacing w:val="0"/>
              <w:jc w:val="center"/>
              <w:rPr>
                <w:rFonts w:ascii="Arial Narrow" w:eastAsiaTheme="minorHAnsi" w:hAnsi="Arial Narrow"/>
                <w:snapToGrid/>
                <w:sz w:val="18"/>
                <w:szCs w:val="18"/>
              </w:rPr>
            </w:pPr>
            <w:r w:rsidRPr="00C82E79">
              <w:rPr>
                <w:rFonts w:ascii="Arial Narrow" w:eastAsiaTheme="minorHAnsi" w:hAnsi="Arial Narrow"/>
                <w:snapToGrid/>
                <w:sz w:val="18"/>
                <w:szCs w:val="18"/>
              </w:rPr>
              <w:t>$</w:t>
            </w:r>
            <w:r w:rsidR="00BD75F9">
              <w:rPr>
                <w:rFonts w:ascii="Arial Narrow" w:eastAsiaTheme="minorHAnsi" w:hAnsi="Arial Narrow"/>
                <w:noProof/>
                <w:snapToGrid/>
                <w:color w:val="000000"/>
                <w:sz w:val="18"/>
                <w:szCs w:val="18"/>
                <w:highlight w:val="black"/>
              </w:rPr>
              <w:t>'''''''''''''''''''''''''</w:t>
            </w:r>
            <w:r w:rsidRPr="00C82E79">
              <w:rPr>
                <w:rFonts w:ascii="Arial Narrow" w:eastAsiaTheme="minorHAnsi" w:hAnsi="Arial Narrow"/>
                <w:snapToGrid/>
                <w:sz w:val="18"/>
                <w:szCs w:val="18"/>
              </w:rPr>
              <w:t xml:space="preserve"> </w:t>
            </w:r>
          </w:p>
        </w:tc>
        <w:tc>
          <w:tcPr>
            <w:tcW w:w="1068" w:type="dxa"/>
            <w:shd w:val="clear" w:color="auto" w:fill="auto"/>
            <w:vAlign w:val="bottom"/>
          </w:tcPr>
          <w:p w:rsidR="008A2BBC" w:rsidRPr="00C82E79" w:rsidRDefault="008A2BBC" w:rsidP="00CF2E0B">
            <w:pPr>
              <w:pStyle w:val="ListParagraph"/>
              <w:keepNext/>
              <w:keepLines/>
              <w:widowControl/>
              <w:ind w:left="0"/>
              <w:contextualSpacing w:val="0"/>
              <w:jc w:val="center"/>
              <w:rPr>
                <w:rFonts w:ascii="Arial Narrow" w:eastAsiaTheme="minorHAnsi" w:hAnsi="Arial Narrow"/>
                <w:snapToGrid/>
                <w:sz w:val="18"/>
                <w:szCs w:val="18"/>
              </w:rPr>
            </w:pPr>
            <w:r w:rsidRPr="00C82E79">
              <w:rPr>
                <w:rFonts w:ascii="Arial Narrow" w:eastAsiaTheme="minorHAnsi" w:hAnsi="Arial Narrow"/>
                <w:snapToGrid/>
                <w:sz w:val="18"/>
                <w:szCs w:val="18"/>
              </w:rPr>
              <w:t>$</w:t>
            </w:r>
            <w:r w:rsidR="00BD75F9">
              <w:rPr>
                <w:rFonts w:ascii="Arial Narrow" w:eastAsiaTheme="minorHAnsi" w:hAnsi="Arial Narrow"/>
                <w:noProof/>
                <w:snapToGrid/>
                <w:color w:val="000000"/>
                <w:sz w:val="18"/>
                <w:szCs w:val="18"/>
                <w:highlight w:val="black"/>
              </w:rPr>
              <w:t>'''''''''''''''''''''''''</w:t>
            </w:r>
            <w:r w:rsidRPr="00C82E79">
              <w:rPr>
                <w:rFonts w:ascii="Arial Narrow" w:eastAsiaTheme="minorHAnsi" w:hAnsi="Arial Narrow"/>
                <w:snapToGrid/>
                <w:sz w:val="18"/>
                <w:szCs w:val="18"/>
              </w:rPr>
              <w:t xml:space="preserve"> </w:t>
            </w:r>
          </w:p>
        </w:tc>
        <w:tc>
          <w:tcPr>
            <w:tcW w:w="1069" w:type="dxa"/>
            <w:shd w:val="clear" w:color="auto" w:fill="auto"/>
            <w:vAlign w:val="bottom"/>
          </w:tcPr>
          <w:p w:rsidR="008A2BBC" w:rsidRPr="00C82E79" w:rsidRDefault="008A2BBC" w:rsidP="00CF2E0B">
            <w:pPr>
              <w:pStyle w:val="ListParagraph"/>
              <w:keepNext/>
              <w:keepLines/>
              <w:widowControl/>
              <w:ind w:left="0"/>
              <w:contextualSpacing w:val="0"/>
              <w:jc w:val="center"/>
              <w:rPr>
                <w:rFonts w:ascii="Arial Narrow" w:eastAsiaTheme="minorHAnsi" w:hAnsi="Arial Narrow"/>
                <w:snapToGrid/>
                <w:sz w:val="18"/>
                <w:szCs w:val="18"/>
              </w:rPr>
            </w:pPr>
            <w:r w:rsidRPr="00C82E79">
              <w:rPr>
                <w:rFonts w:ascii="Arial Narrow" w:eastAsiaTheme="minorHAnsi" w:hAnsi="Arial Narrow"/>
                <w:snapToGrid/>
                <w:sz w:val="18"/>
                <w:szCs w:val="18"/>
              </w:rPr>
              <w:t>$</w:t>
            </w:r>
            <w:r w:rsidR="00BD75F9">
              <w:rPr>
                <w:rFonts w:ascii="Arial Narrow" w:eastAsiaTheme="minorHAnsi" w:hAnsi="Arial Narrow"/>
                <w:noProof/>
                <w:snapToGrid/>
                <w:color w:val="000000"/>
                <w:sz w:val="18"/>
                <w:szCs w:val="18"/>
                <w:highlight w:val="black"/>
              </w:rPr>
              <w:t>''''''''''''''''''''''''</w:t>
            </w:r>
            <w:r w:rsidRPr="00C82E79">
              <w:rPr>
                <w:rFonts w:ascii="Arial Narrow" w:eastAsiaTheme="minorHAnsi" w:hAnsi="Arial Narrow"/>
                <w:snapToGrid/>
                <w:sz w:val="18"/>
                <w:szCs w:val="18"/>
              </w:rPr>
              <w:t xml:space="preserve"> </w:t>
            </w:r>
          </w:p>
        </w:tc>
        <w:tc>
          <w:tcPr>
            <w:tcW w:w="1069" w:type="dxa"/>
            <w:shd w:val="clear" w:color="auto" w:fill="auto"/>
            <w:vAlign w:val="bottom"/>
          </w:tcPr>
          <w:p w:rsidR="008A2BBC" w:rsidRPr="00C82E79" w:rsidRDefault="008A2BBC" w:rsidP="00CF2E0B">
            <w:pPr>
              <w:pStyle w:val="ListParagraph"/>
              <w:keepNext/>
              <w:keepLines/>
              <w:widowControl/>
              <w:ind w:left="0"/>
              <w:contextualSpacing w:val="0"/>
              <w:jc w:val="center"/>
              <w:rPr>
                <w:rFonts w:ascii="Arial Narrow" w:eastAsiaTheme="minorHAnsi" w:hAnsi="Arial Narrow"/>
                <w:snapToGrid/>
                <w:sz w:val="18"/>
                <w:szCs w:val="18"/>
              </w:rPr>
            </w:pPr>
            <w:r w:rsidRPr="00C82E79">
              <w:rPr>
                <w:rFonts w:ascii="Arial Narrow" w:eastAsiaTheme="minorHAnsi" w:hAnsi="Arial Narrow"/>
                <w:snapToGrid/>
                <w:sz w:val="18"/>
                <w:szCs w:val="18"/>
              </w:rPr>
              <w:t>$</w:t>
            </w:r>
            <w:r w:rsidR="00BD75F9">
              <w:rPr>
                <w:rFonts w:ascii="Arial Narrow" w:eastAsiaTheme="minorHAnsi" w:hAnsi="Arial Narrow"/>
                <w:noProof/>
                <w:snapToGrid/>
                <w:color w:val="000000"/>
                <w:sz w:val="18"/>
                <w:szCs w:val="18"/>
                <w:highlight w:val="black"/>
              </w:rPr>
              <w:t>''''''''''''''''''''''''''''</w:t>
            </w:r>
            <w:r w:rsidRPr="00C82E79">
              <w:rPr>
                <w:rFonts w:ascii="Arial Narrow" w:eastAsiaTheme="minorHAnsi" w:hAnsi="Arial Narrow"/>
                <w:snapToGrid/>
                <w:sz w:val="18"/>
                <w:szCs w:val="18"/>
              </w:rPr>
              <w:t xml:space="preserve"> </w:t>
            </w:r>
          </w:p>
        </w:tc>
      </w:tr>
    </w:tbl>
    <w:p w:rsidR="009B3185" w:rsidRDefault="00BB0D54" w:rsidP="00CF2E0B">
      <w:pPr>
        <w:keepNext/>
        <w:keepLines/>
        <w:rPr>
          <w:rFonts w:ascii="Arial Narrow" w:eastAsiaTheme="minorHAnsi" w:hAnsi="Arial Narrow" w:cstheme="minorBidi"/>
          <w:sz w:val="20"/>
          <w:szCs w:val="22"/>
        </w:rPr>
      </w:pPr>
      <w:r>
        <w:rPr>
          <w:rFonts w:ascii="Arial Narrow" w:eastAsiaTheme="minorHAnsi" w:hAnsi="Arial Narrow" w:cstheme="minorBidi"/>
          <w:sz w:val="20"/>
          <w:szCs w:val="22"/>
        </w:rPr>
        <w:t xml:space="preserve">Abbreviations: </w:t>
      </w:r>
      <w:r w:rsidR="00D4034C" w:rsidRPr="00D4034C">
        <w:rPr>
          <w:rFonts w:ascii="Arial Narrow" w:eastAsiaTheme="minorHAnsi" w:hAnsi="Arial Narrow" w:cstheme="minorBidi"/>
          <w:sz w:val="20"/>
          <w:szCs w:val="22"/>
        </w:rPr>
        <w:t>B-ALL, B-cell precursor acute lymphoblastic leukaemia</w:t>
      </w:r>
      <w:r w:rsidR="00F06E3F">
        <w:rPr>
          <w:rFonts w:ascii="Arial Narrow" w:eastAsiaTheme="minorHAnsi" w:hAnsi="Arial Narrow" w:cstheme="minorBidi"/>
          <w:sz w:val="20"/>
          <w:szCs w:val="22"/>
        </w:rPr>
        <w:t>; blina, blinatumomab; inotuz = inotuzumab;</w:t>
      </w:r>
      <w:r w:rsidR="00D4034C" w:rsidRPr="00D4034C">
        <w:rPr>
          <w:rFonts w:ascii="Arial Narrow" w:eastAsiaTheme="minorHAnsi" w:hAnsi="Arial Narrow" w:cstheme="minorBidi"/>
          <w:sz w:val="20"/>
          <w:szCs w:val="22"/>
        </w:rPr>
        <w:t xml:space="preserve"> PBS, Pharmaceutical Benefits Scheme; Ph+, Philadelphia chromosome positive;</w:t>
      </w:r>
      <w:r w:rsidR="00D4034C">
        <w:rPr>
          <w:rFonts w:ascii="Arial Narrow" w:eastAsiaTheme="minorHAnsi" w:hAnsi="Arial Narrow" w:cstheme="minorBidi"/>
          <w:sz w:val="20"/>
          <w:szCs w:val="22"/>
        </w:rPr>
        <w:t xml:space="preserve"> Ph-, Philadelphia chromosome negative;</w:t>
      </w:r>
      <w:r w:rsidR="00D4034C" w:rsidRPr="00D4034C">
        <w:rPr>
          <w:rFonts w:ascii="Arial Narrow" w:eastAsiaTheme="minorHAnsi" w:hAnsi="Arial Narrow" w:cstheme="minorBidi"/>
          <w:sz w:val="20"/>
          <w:szCs w:val="22"/>
        </w:rPr>
        <w:t xml:space="preserve"> RPBS, Repatriation Schedule of Pharmaceutical Benefits; R/R, relapsed/refractory</w:t>
      </w:r>
    </w:p>
    <w:p w:rsidR="00235903" w:rsidRDefault="00235903" w:rsidP="00CF2E0B">
      <w:pPr>
        <w:keepNext/>
        <w:keepLines/>
        <w:rPr>
          <w:rFonts w:ascii="Arial Narrow" w:eastAsiaTheme="minorHAnsi" w:hAnsi="Arial Narrow" w:cstheme="minorBidi"/>
          <w:sz w:val="20"/>
          <w:szCs w:val="22"/>
        </w:rPr>
      </w:pPr>
      <w:r>
        <w:rPr>
          <w:rFonts w:ascii="Arial Narrow" w:eastAsiaTheme="minorHAnsi" w:hAnsi="Arial Narrow" w:cstheme="minorBidi"/>
          <w:sz w:val="20"/>
          <w:szCs w:val="22"/>
        </w:rPr>
        <w:t>Source: ‘Blinatumomab financial estimates_From sponsor</w:t>
      </w:r>
      <w:r w:rsidR="00C82E79">
        <w:rPr>
          <w:rFonts w:ascii="Arial Narrow" w:eastAsiaTheme="minorHAnsi" w:hAnsi="Arial Narrow" w:cstheme="minorBidi"/>
          <w:sz w:val="20"/>
          <w:szCs w:val="22"/>
        </w:rPr>
        <w:t>.xlsx</w:t>
      </w:r>
      <w:r>
        <w:rPr>
          <w:rFonts w:ascii="Arial Narrow" w:eastAsiaTheme="minorHAnsi" w:hAnsi="Arial Narrow" w:cstheme="minorBidi"/>
          <w:sz w:val="20"/>
          <w:szCs w:val="22"/>
        </w:rPr>
        <w:t>’</w:t>
      </w:r>
      <w:r w:rsidR="00C82E79">
        <w:rPr>
          <w:rFonts w:ascii="Arial Narrow" w:eastAsiaTheme="minorHAnsi" w:hAnsi="Arial Narrow" w:cstheme="minorBidi"/>
          <w:sz w:val="20"/>
          <w:szCs w:val="22"/>
        </w:rPr>
        <w:t>; Table 1, Inotuzumab PBAC Minutes March 2019</w:t>
      </w:r>
    </w:p>
    <w:p w:rsidR="001B6B00" w:rsidRDefault="001B6B00" w:rsidP="00CF2E0B">
      <w:pPr>
        <w:keepNext/>
        <w:keepLines/>
        <w:rPr>
          <w:rFonts w:ascii="Arial Narrow" w:eastAsiaTheme="minorHAnsi" w:hAnsi="Arial Narrow" w:cstheme="minorBidi"/>
          <w:sz w:val="20"/>
          <w:szCs w:val="22"/>
        </w:rPr>
      </w:pPr>
      <w:r>
        <w:rPr>
          <w:rFonts w:ascii="Arial Narrow" w:eastAsiaTheme="minorHAnsi" w:hAnsi="Arial Narrow" w:cstheme="minorBidi"/>
          <w:sz w:val="20"/>
          <w:szCs w:val="22"/>
          <w:vertAlign w:val="superscript"/>
        </w:rPr>
        <w:t>a</w:t>
      </w:r>
      <w:r w:rsidR="005777FA">
        <w:rPr>
          <w:rFonts w:ascii="Arial Narrow" w:eastAsiaTheme="minorHAnsi" w:hAnsi="Arial Narrow" w:cstheme="minorBidi"/>
          <w:sz w:val="20"/>
          <w:szCs w:val="22"/>
          <w:vertAlign w:val="superscript"/>
        </w:rPr>
        <w:t xml:space="preserve"> </w:t>
      </w:r>
      <w:r w:rsidR="005777FA">
        <w:rPr>
          <w:rFonts w:ascii="Arial Narrow" w:eastAsiaTheme="minorHAnsi" w:hAnsi="Arial Narrow" w:cstheme="minorBidi"/>
          <w:sz w:val="20"/>
          <w:szCs w:val="22"/>
        </w:rPr>
        <w:t xml:space="preserve">Assumes 23% of patents with B-ALL are Ph+. </w:t>
      </w:r>
      <w:r w:rsidR="009504AD" w:rsidRPr="00CF2E0B">
        <w:rPr>
          <w:rFonts w:ascii="Arial Narrow" w:eastAsiaTheme="minorHAnsi" w:hAnsi="Arial Narrow" w:cstheme="minorBidi"/>
          <w:sz w:val="20"/>
          <w:szCs w:val="22"/>
        </w:rPr>
        <w:t>The number of</w:t>
      </w:r>
      <w:r w:rsidR="009504AD">
        <w:rPr>
          <w:rFonts w:ascii="Arial Narrow" w:eastAsiaTheme="minorHAnsi" w:hAnsi="Arial Narrow" w:cstheme="minorBidi"/>
          <w:sz w:val="20"/>
          <w:szCs w:val="22"/>
          <w:vertAlign w:val="superscript"/>
        </w:rPr>
        <w:t xml:space="preserve"> </w:t>
      </w:r>
      <w:r w:rsidR="005777FA">
        <w:rPr>
          <w:rFonts w:ascii="Arial Narrow" w:eastAsiaTheme="minorHAnsi" w:hAnsi="Arial Narrow" w:cstheme="minorBidi"/>
          <w:sz w:val="20"/>
          <w:szCs w:val="22"/>
        </w:rPr>
        <w:t>R/R patients w</w:t>
      </w:r>
      <w:r w:rsidR="009504AD">
        <w:rPr>
          <w:rFonts w:ascii="Arial Narrow" w:eastAsiaTheme="minorHAnsi" w:hAnsi="Arial Narrow" w:cstheme="minorBidi"/>
          <w:sz w:val="20"/>
          <w:szCs w:val="22"/>
        </w:rPr>
        <w:t xml:space="preserve">as based on the </w:t>
      </w:r>
      <w:r w:rsidR="005777FA">
        <w:rPr>
          <w:rFonts w:ascii="Arial Narrow" w:eastAsiaTheme="minorHAnsi" w:hAnsi="Arial Narrow" w:cstheme="minorBidi"/>
          <w:sz w:val="20"/>
          <w:szCs w:val="22"/>
        </w:rPr>
        <w:t xml:space="preserve">same </w:t>
      </w:r>
      <w:r w:rsidR="009504AD">
        <w:rPr>
          <w:rFonts w:ascii="Arial Narrow" w:eastAsiaTheme="minorHAnsi" w:hAnsi="Arial Narrow" w:cstheme="minorBidi"/>
          <w:sz w:val="20"/>
          <w:szCs w:val="22"/>
        </w:rPr>
        <w:t xml:space="preserve">assumption </w:t>
      </w:r>
      <w:r w:rsidR="005777FA">
        <w:rPr>
          <w:rFonts w:ascii="Arial Narrow" w:eastAsiaTheme="minorHAnsi" w:hAnsi="Arial Narrow" w:cstheme="minorBidi"/>
          <w:sz w:val="20"/>
          <w:szCs w:val="22"/>
        </w:rPr>
        <w:t xml:space="preserve">as agreed for Ph- patients (i.e. </w:t>
      </w:r>
      <w:r w:rsidR="009504AD">
        <w:rPr>
          <w:rFonts w:ascii="Arial Narrow" w:eastAsiaTheme="minorHAnsi" w:hAnsi="Arial Narrow" w:cstheme="minorBidi"/>
          <w:sz w:val="20"/>
          <w:szCs w:val="22"/>
        </w:rPr>
        <w:t xml:space="preserve">of newly diagnosed B-ALL patients, </w:t>
      </w:r>
      <w:r w:rsidR="005777FA" w:rsidRPr="005777FA">
        <w:rPr>
          <w:rFonts w:ascii="Arial Narrow" w:eastAsiaTheme="minorHAnsi" w:hAnsi="Arial Narrow" w:cstheme="minorBidi"/>
          <w:sz w:val="20"/>
          <w:szCs w:val="22"/>
        </w:rPr>
        <w:t>39% of patients are cured in the newly diagnosed setting</w:t>
      </w:r>
      <w:r w:rsidR="009504AD">
        <w:rPr>
          <w:rFonts w:ascii="Arial Narrow" w:eastAsiaTheme="minorHAnsi" w:hAnsi="Arial Narrow" w:cstheme="minorBidi"/>
          <w:sz w:val="20"/>
          <w:szCs w:val="22"/>
        </w:rPr>
        <w:t>,</w:t>
      </w:r>
      <w:r w:rsidR="005777FA" w:rsidRPr="005777FA">
        <w:rPr>
          <w:rFonts w:ascii="Arial Narrow" w:eastAsiaTheme="minorHAnsi" w:hAnsi="Arial Narrow" w:cstheme="minorBidi"/>
          <w:sz w:val="20"/>
          <w:szCs w:val="22"/>
        </w:rPr>
        <w:t xml:space="preserve"> 11% of are primary refractory </w:t>
      </w:r>
      <w:r w:rsidR="009504AD">
        <w:rPr>
          <w:rFonts w:ascii="Arial Narrow" w:eastAsiaTheme="minorHAnsi" w:hAnsi="Arial Narrow" w:cstheme="minorBidi"/>
          <w:sz w:val="20"/>
          <w:szCs w:val="22"/>
        </w:rPr>
        <w:t>and</w:t>
      </w:r>
      <w:r w:rsidR="005777FA" w:rsidRPr="005777FA">
        <w:rPr>
          <w:rFonts w:ascii="Arial Narrow" w:eastAsiaTheme="minorHAnsi" w:hAnsi="Arial Narrow" w:cstheme="minorBidi"/>
          <w:sz w:val="20"/>
          <w:szCs w:val="22"/>
        </w:rPr>
        <w:t xml:space="preserve"> 50% relapse in </w:t>
      </w:r>
      <w:r w:rsidR="009504AD">
        <w:rPr>
          <w:rFonts w:ascii="Arial Narrow" w:eastAsiaTheme="minorHAnsi" w:hAnsi="Arial Narrow" w:cstheme="minorBidi"/>
          <w:sz w:val="20"/>
          <w:szCs w:val="22"/>
        </w:rPr>
        <w:t xml:space="preserve">the </w:t>
      </w:r>
      <w:r w:rsidR="005777FA" w:rsidRPr="005777FA">
        <w:rPr>
          <w:rFonts w:ascii="Arial Narrow" w:eastAsiaTheme="minorHAnsi" w:hAnsi="Arial Narrow" w:cstheme="minorBidi"/>
          <w:sz w:val="20"/>
          <w:szCs w:val="22"/>
        </w:rPr>
        <w:t xml:space="preserve">following year </w:t>
      </w:r>
      <w:r w:rsidR="009504AD">
        <w:rPr>
          <w:rFonts w:ascii="Arial Narrow" w:eastAsiaTheme="minorHAnsi" w:hAnsi="Arial Narrow" w:cstheme="minorBidi"/>
          <w:sz w:val="20"/>
          <w:szCs w:val="22"/>
        </w:rPr>
        <w:t xml:space="preserve">). </w:t>
      </w:r>
    </w:p>
    <w:p w:rsidR="00E36CC6" w:rsidRDefault="00E36CC6" w:rsidP="00CF2E0B">
      <w:pPr>
        <w:keepNext/>
        <w:keepLines/>
        <w:rPr>
          <w:rFonts w:ascii="Arial Narrow" w:eastAsiaTheme="minorHAnsi" w:hAnsi="Arial Narrow" w:cstheme="minorBidi"/>
          <w:sz w:val="20"/>
          <w:szCs w:val="22"/>
        </w:rPr>
      </w:pPr>
      <w:r>
        <w:rPr>
          <w:rFonts w:ascii="Arial Narrow" w:eastAsiaTheme="minorHAnsi" w:hAnsi="Arial Narrow" w:cstheme="minorBidi"/>
          <w:sz w:val="20"/>
          <w:szCs w:val="22"/>
          <w:vertAlign w:val="superscript"/>
        </w:rPr>
        <w:t>b</w:t>
      </w:r>
      <w:r w:rsidR="00C954C0" w:rsidRPr="00C954C0">
        <w:rPr>
          <w:rFonts w:ascii="Arial Narrow" w:eastAsiaTheme="minorHAnsi" w:hAnsi="Arial Narrow" w:cstheme="minorBidi"/>
          <w:sz w:val="20"/>
          <w:szCs w:val="22"/>
        </w:rPr>
        <w:t xml:space="preserve"> </w:t>
      </w:r>
      <w:r w:rsidR="009504AD">
        <w:rPr>
          <w:rFonts w:ascii="Arial Narrow" w:eastAsiaTheme="minorHAnsi" w:hAnsi="Arial Narrow" w:cstheme="minorBidi"/>
          <w:sz w:val="20"/>
          <w:szCs w:val="22"/>
        </w:rPr>
        <w:t>S</w:t>
      </w:r>
      <w:r w:rsidR="009504AD" w:rsidRPr="009504AD">
        <w:rPr>
          <w:rFonts w:ascii="Arial Narrow" w:eastAsiaTheme="minorHAnsi" w:hAnsi="Arial Narrow" w:cstheme="minorBidi"/>
          <w:sz w:val="20"/>
          <w:szCs w:val="22"/>
        </w:rPr>
        <w:t>eparate revised assumptions were made for paediatric patients</w:t>
      </w:r>
      <w:r w:rsidR="009504AD">
        <w:rPr>
          <w:rFonts w:ascii="Arial Narrow" w:eastAsiaTheme="minorHAnsi" w:hAnsi="Arial Narrow" w:cstheme="minorBidi"/>
          <w:sz w:val="20"/>
          <w:szCs w:val="22"/>
        </w:rPr>
        <w:t>:</w:t>
      </w:r>
      <w:r w:rsidR="009504AD" w:rsidRPr="009504AD">
        <w:rPr>
          <w:rFonts w:ascii="Arial Narrow" w:eastAsiaTheme="minorHAnsi" w:hAnsi="Arial Narrow" w:cstheme="minorBidi"/>
          <w:sz w:val="20"/>
          <w:szCs w:val="22"/>
        </w:rPr>
        <w:t xml:space="preserve"> 5% of paediatric patients </w:t>
      </w:r>
      <w:r w:rsidR="009504AD">
        <w:rPr>
          <w:rFonts w:ascii="Arial Narrow" w:eastAsiaTheme="minorHAnsi" w:hAnsi="Arial Narrow" w:cstheme="minorBidi"/>
          <w:sz w:val="20"/>
          <w:szCs w:val="22"/>
        </w:rPr>
        <w:t xml:space="preserve">were </w:t>
      </w:r>
      <w:r w:rsidR="009504AD" w:rsidRPr="009504AD">
        <w:rPr>
          <w:rFonts w:ascii="Arial Narrow" w:eastAsiaTheme="minorHAnsi" w:hAnsi="Arial Narrow" w:cstheme="minorBidi"/>
          <w:sz w:val="20"/>
          <w:szCs w:val="22"/>
        </w:rPr>
        <w:t>assumed to be Ph+</w:t>
      </w:r>
      <w:r w:rsidR="009504AD">
        <w:rPr>
          <w:rFonts w:ascii="Arial Narrow" w:eastAsiaTheme="minorHAnsi" w:hAnsi="Arial Narrow" w:cstheme="minorBidi"/>
          <w:sz w:val="20"/>
          <w:szCs w:val="22"/>
        </w:rPr>
        <w:t xml:space="preserve">; and </w:t>
      </w:r>
      <w:r w:rsidR="009504AD" w:rsidRPr="009504AD">
        <w:rPr>
          <w:rFonts w:ascii="Arial Narrow" w:eastAsiaTheme="minorHAnsi" w:hAnsi="Arial Narrow" w:cstheme="minorBidi"/>
          <w:sz w:val="20"/>
          <w:szCs w:val="22"/>
        </w:rPr>
        <w:t>a higher proportion of paediatric patients</w:t>
      </w:r>
      <w:r w:rsidR="009504AD">
        <w:rPr>
          <w:rFonts w:ascii="Arial Narrow" w:eastAsiaTheme="minorHAnsi" w:hAnsi="Arial Narrow" w:cstheme="minorBidi"/>
          <w:sz w:val="20"/>
          <w:szCs w:val="22"/>
        </w:rPr>
        <w:t xml:space="preserve"> (85%)</w:t>
      </w:r>
      <w:r w:rsidR="009504AD" w:rsidRPr="009504AD">
        <w:rPr>
          <w:rFonts w:ascii="Arial Narrow" w:eastAsiaTheme="minorHAnsi" w:hAnsi="Arial Narrow" w:cstheme="minorBidi"/>
          <w:sz w:val="20"/>
          <w:szCs w:val="22"/>
        </w:rPr>
        <w:t xml:space="preserve"> were assumed to be cured in the newly diagnosed setting (</w:t>
      </w:r>
      <w:r w:rsidR="009504AD">
        <w:rPr>
          <w:rFonts w:ascii="Arial Narrow" w:eastAsiaTheme="minorHAnsi" w:hAnsi="Arial Narrow" w:cstheme="minorBidi"/>
          <w:sz w:val="20"/>
          <w:szCs w:val="22"/>
        </w:rPr>
        <w:t>i.e. fewer</w:t>
      </w:r>
      <w:r w:rsidR="009504AD" w:rsidRPr="009504AD">
        <w:rPr>
          <w:rFonts w:ascii="Arial Narrow" w:eastAsiaTheme="minorHAnsi" w:hAnsi="Arial Narrow" w:cstheme="minorBidi"/>
          <w:sz w:val="20"/>
          <w:szCs w:val="22"/>
        </w:rPr>
        <w:t xml:space="preserve"> </w:t>
      </w:r>
      <w:r w:rsidR="009504AD">
        <w:rPr>
          <w:rFonts w:ascii="Arial Narrow" w:eastAsiaTheme="minorHAnsi" w:hAnsi="Arial Narrow" w:cstheme="minorBidi"/>
          <w:sz w:val="20"/>
          <w:szCs w:val="22"/>
        </w:rPr>
        <w:t>R/R</w:t>
      </w:r>
      <w:r w:rsidR="009504AD" w:rsidRPr="009504AD">
        <w:rPr>
          <w:rFonts w:ascii="Arial Narrow" w:eastAsiaTheme="minorHAnsi" w:hAnsi="Arial Narrow" w:cstheme="minorBidi"/>
          <w:sz w:val="20"/>
          <w:szCs w:val="22"/>
        </w:rPr>
        <w:t>)</w:t>
      </w:r>
      <w:r w:rsidR="009504AD">
        <w:rPr>
          <w:rFonts w:ascii="Arial Narrow" w:eastAsiaTheme="minorHAnsi" w:hAnsi="Arial Narrow" w:cstheme="minorBidi"/>
          <w:sz w:val="20"/>
          <w:szCs w:val="22"/>
        </w:rPr>
        <w:t>. The sponsor assumed</w:t>
      </w:r>
      <w:r w:rsidR="009504AD" w:rsidRPr="009504AD">
        <w:rPr>
          <w:rFonts w:ascii="Arial Narrow" w:eastAsiaTheme="minorHAnsi" w:hAnsi="Arial Narrow" w:cstheme="minorBidi"/>
          <w:sz w:val="20"/>
          <w:szCs w:val="22"/>
        </w:rPr>
        <w:t xml:space="preserve"> 4% of paediatric patients are primary refractory and </w:t>
      </w:r>
      <w:r w:rsidR="009504AD">
        <w:rPr>
          <w:rFonts w:ascii="Arial Narrow" w:eastAsiaTheme="minorHAnsi" w:hAnsi="Arial Narrow" w:cstheme="minorBidi"/>
          <w:sz w:val="20"/>
          <w:szCs w:val="22"/>
        </w:rPr>
        <w:t xml:space="preserve">11% </w:t>
      </w:r>
      <w:r w:rsidR="009504AD" w:rsidRPr="009504AD">
        <w:rPr>
          <w:rFonts w:ascii="Arial Narrow" w:eastAsiaTheme="minorHAnsi" w:hAnsi="Arial Narrow" w:cstheme="minorBidi"/>
          <w:sz w:val="20"/>
          <w:szCs w:val="22"/>
        </w:rPr>
        <w:t>relapse in following year</w:t>
      </w:r>
      <w:r w:rsidR="009504AD">
        <w:rPr>
          <w:rFonts w:ascii="Arial Narrow" w:eastAsiaTheme="minorHAnsi" w:hAnsi="Arial Narrow" w:cstheme="minorBidi"/>
          <w:sz w:val="20"/>
          <w:szCs w:val="22"/>
        </w:rPr>
        <w:t>.</w:t>
      </w:r>
      <w:r w:rsidR="009504AD" w:rsidRPr="009504AD">
        <w:rPr>
          <w:rFonts w:ascii="Arial Narrow" w:eastAsiaTheme="minorHAnsi" w:hAnsi="Arial Narrow" w:cstheme="minorBidi"/>
          <w:sz w:val="20"/>
          <w:szCs w:val="22"/>
        </w:rPr>
        <w:t xml:space="preserve"> </w:t>
      </w:r>
    </w:p>
    <w:p w:rsidR="003D57C6" w:rsidRPr="003D57C6" w:rsidRDefault="009504AD" w:rsidP="00CF2E0B">
      <w:pPr>
        <w:keepNext/>
        <w:keepLines/>
        <w:rPr>
          <w:rFonts w:ascii="Arial Narrow" w:eastAsiaTheme="minorHAnsi" w:hAnsi="Arial Narrow" w:cstheme="minorBidi"/>
          <w:sz w:val="20"/>
          <w:szCs w:val="22"/>
        </w:rPr>
      </w:pPr>
      <w:r>
        <w:rPr>
          <w:rFonts w:ascii="Arial Narrow" w:eastAsiaTheme="minorHAnsi" w:hAnsi="Arial Narrow" w:cstheme="minorBidi"/>
          <w:sz w:val="20"/>
          <w:szCs w:val="22"/>
          <w:vertAlign w:val="superscript"/>
        </w:rPr>
        <w:t>c</w:t>
      </w:r>
      <w:r>
        <w:rPr>
          <w:rFonts w:ascii="Arial Narrow" w:eastAsiaTheme="minorHAnsi" w:hAnsi="Arial Narrow" w:cstheme="minorBidi"/>
          <w:sz w:val="20"/>
          <w:szCs w:val="22"/>
        </w:rPr>
        <w:t xml:space="preserve"> </w:t>
      </w:r>
      <w:r w:rsidR="003D57C6" w:rsidRPr="00CF2E0B">
        <w:rPr>
          <w:rFonts w:ascii="Arial Narrow" w:eastAsiaTheme="minorHAnsi" w:hAnsi="Arial Narrow" w:cstheme="minorBidi"/>
          <w:sz w:val="20"/>
          <w:szCs w:val="22"/>
        </w:rPr>
        <w:t>Uptake</w:t>
      </w:r>
      <w:r w:rsidR="003D57C6" w:rsidRPr="003D57C6">
        <w:rPr>
          <w:rFonts w:ascii="Arial Narrow" w:eastAsiaTheme="minorHAnsi" w:hAnsi="Arial Narrow" w:cstheme="minorBidi"/>
          <w:sz w:val="20"/>
          <w:szCs w:val="22"/>
        </w:rPr>
        <w:t xml:space="preserve"> for Ph+ patients was assumed to be the same as </w:t>
      </w:r>
      <w:r w:rsidR="004D7444">
        <w:rPr>
          <w:rFonts w:ascii="Arial Narrow" w:eastAsiaTheme="minorHAnsi" w:hAnsi="Arial Narrow" w:cstheme="minorBidi"/>
          <w:sz w:val="20"/>
          <w:szCs w:val="22"/>
        </w:rPr>
        <w:t xml:space="preserve">accepted </w:t>
      </w:r>
      <w:r w:rsidR="003D57C6" w:rsidRPr="003D57C6">
        <w:rPr>
          <w:rFonts w:ascii="Arial Narrow" w:eastAsiaTheme="minorHAnsi" w:hAnsi="Arial Narrow" w:cstheme="minorBidi"/>
          <w:sz w:val="20"/>
          <w:szCs w:val="22"/>
        </w:rPr>
        <w:t>for eligible Ph- patients.</w:t>
      </w:r>
    </w:p>
    <w:p w:rsidR="00C954C0" w:rsidRDefault="009504AD" w:rsidP="00CF2E0B">
      <w:pPr>
        <w:keepNext/>
        <w:keepLines/>
        <w:rPr>
          <w:rFonts w:ascii="Arial Narrow" w:eastAsiaTheme="minorHAnsi" w:hAnsi="Arial Narrow" w:cstheme="minorBidi"/>
          <w:sz w:val="20"/>
          <w:szCs w:val="22"/>
        </w:rPr>
      </w:pPr>
      <w:r>
        <w:rPr>
          <w:rFonts w:ascii="Arial Narrow" w:eastAsiaTheme="minorHAnsi" w:hAnsi="Arial Narrow" w:cstheme="minorBidi"/>
          <w:sz w:val="20"/>
          <w:szCs w:val="22"/>
          <w:vertAlign w:val="superscript"/>
        </w:rPr>
        <w:t>d</w:t>
      </w:r>
      <w:r w:rsidR="006702E9">
        <w:rPr>
          <w:rFonts w:ascii="Arial Narrow" w:eastAsiaTheme="minorHAnsi" w:hAnsi="Arial Narrow" w:cstheme="minorBidi"/>
          <w:sz w:val="20"/>
          <w:szCs w:val="22"/>
          <w:vertAlign w:val="superscript"/>
        </w:rPr>
        <w:t xml:space="preserve"> </w:t>
      </w:r>
      <w:r w:rsidR="003D57C6" w:rsidRPr="003D57C6">
        <w:rPr>
          <w:rFonts w:ascii="Arial Narrow" w:eastAsiaTheme="minorHAnsi" w:hAnsi="Arial Narrow" w:cstheme="minorBidi"/>
          <w:sz w:val="20"/>
          <w:szCs w:val="22"/>
        </w:rPr>
        <w:t xml:space="preserve">Estimates of the extent of sequential blinatumomab and inotuzumab use </w:t>
      </w:r>
      <w:r w:rsidR="00BB5F4D">
        <w:rPr>
          <w:rFonts w:ascii="Arial Narrow" w:eastAsiaTheme="minorHAnsi" w:hAnsi="Arial Narrow" w:cstheme="minorBidi"/>
          <w:sz w:val="20"/>
          <w:szCs w:val="22"/>
        </w:rPr>
        <w:t xml:space="preserve">were </w:t>
      </w:r>
      <w:r w:rsidR="003D57C6" w:rsidRPr="003D57C6">
        <w:rPr>
          <w:rFonts w:ascii="Arial Narrow" w:eastAsiaTheme="minorHAnsi" w:hAnsi="Arial Narrow" w:cstheme="minorBidi"/>
          <w:sz w:val="20"/>
          <w:szCs w:val="22"/>
        </w:rPr>
        <w:t xml:space="preserve">based on advice from the Inotuzumab November 2018 Public Summary Document (i.e. 50% of patients will receive both blinatumomab and inotuzumab). </w:t>
      </w:r>
    </w:p>
    <w:p w:rsidR="003C5696" w:rsidRPr="00560331" w:rsidRDefault="003C5696" w:rsidP="003C5696">
      <w:pPr>
        <w:pStyle w:val="ListParagraph"/>
        <w:widowControl/>
        <w:spacing w:before="120" w:after="160"/>
        <w:contextualSpacing w:val="0"/>
        <w:rPr>
          <w:rFonts w:asciiTheme="minorHAnsi" w:hAnsiTheme="minorHAnsi"/>
          <w:i/>
          <w:sz w:val="24"/>
          <w:szCs w:val="24"/>
        </w:rPr>
      </w:pPr>
      <w:r w:rsidRPr="00560331">
        <w:rPr>
          <w:rFonts w:asciiTheme="minorHAnsi" w:hAnsiTheme="minorHAnsi"/>
          <w:i/>
          <w:sz w:val="24"/>
          <w:szCs w:val="24"/>
        </w:rPr>
        <w:t xml:space="preserve">The redacted table shows that at Year </w:t>
      </w:r>
      <w:r w:rsidR="00A04904">
        <w:rPr>
          <w:rFonts w:asciiTheme="minorHAnsi" w:hAnsiTheme="minorHAnsi"/>
          <w:i/>
          <w:sz w:val="24"/>
          <w:szCs w:val="24"/>
        </w:rPr>
        <w:t>6</w:t>
      </w:r>
      <w:r w:rsidRPr="00560331">
        <w:rPr>
          <w:rFonts w:asciiTheme="minorHAnsi" w:hAnsiTheme="minorHAnsi"/>
          <w:i/>
          <w:sz w:val="24"/>
          <w:szCs w:val="24"/>
        </w:rPr>
        <w:t xml:space="preserve">, the estimated number of patients was </w:t>
      </w:r>
      <w:r>
        <w:rPr>
          <w:rFonts w:asciiTheme="minorHAnsi" w:hAnsiTheme="minorHAnsi"/>
          <w:i/>
          <w:sz w:val="24"/>
          <w:szCs w:val="24"/>
        </w:rPr>
        <w:t>less than 10,000 per year</w:t>
      </w:r>
      <w:r w:rsidRPr="00560331">
        <w:rPr>
          <w:rFonts w:asciiTheme="minorHAnsi" w:hAnsiTheme="minorHAnsi"/>
          <w:i/>
          <w:sz w:val="24"/>
          <w:szCs w:val="24"/>
        </w:rPr>
        <w:t xml:space="preserve"> and the </w:t>
      </w:r>
      <w:r w:rsidR="00560331">
        <w:rPr>
          <w:rFonts w:asciiTheme="minorHAnsi" w:hAnsiTheme="minorHAnsi"/>
          <w:i/>
          <w:sz w:val="24"/>
          <w:szCs w:val="24"/>
        </w:rPr>
        <w:t xml:space="preserve">total </w:t>
      </w:r>
      <w:r w:rsidRPr="003C5696">
        <w:rPr>
          <w:rFonts w:asciiTheme="minorHAnsi" w:hAnsiTheme="minorHAnsi"/>
          <w:i/>
          <w:sz w:val="24"/>
          <w:szCs w:val="24"/>
        </w:rPr>
        <w:t>cost to the PBS</w:t>
      </w:r>
      <w:r w:rsidR="00560331">
        <w:rPr>
          <w:rFonts w:asciiTheme="minorHAnsi" w:hAnsiTheme="minorHAnsi"/>
          <w:i/>
          <w:sz w:val="24"/>
          <w:szCs w:val="24"/>
        </w:rPr>
        <w:t>/RPBS for listing both blinatumomab and inotuzumab for Ph+ R/R B-ALL patients</w:t>
      </w:r>
      <w:r w:rsidRPr="003C5696">
        <w:rPr>
          <w:rFonts w:asciiTheme="minorHAnsi" w:hAnsiTheme="minorHAnsi"/>
          <w:i/>
          <w:sz w:val="24"/>
          <w:szCs w:val="24"/>
        </w:rPr>
        <w:t xml:space="preserve"> would be less than $10 million per year</w:t>
      </w:r>
      <w:r w:rsidRPr="00560331">
        <w:rPr>
          <w:rFonts w:asciiTheme="minorHAnsi" w:hAnsiTheme="minorHAnsi"/>
          <w:i/>
          <w:sz w:val="24"/>
          <w:szCs w:val="24"/>
        </w:rPr>
        <w:t>.</w:t>
      </w:r>
    </w:p>
    <w:p w:rsidR="001508CC" w:rsidRDefault="001508CC" w:rsidP="00CF2E0B">
      <w:pPr>
        <w:pStyle w:val="ListParagraph"/>
        <w:widowControl/>
        <w:numPr>
          <w:ilvl w:val="1"/>
          <w:numId w:val="14"/>
        </w:numPr>
        <w:spacing w:before="120" w:after="160"/>
        <w:contextualSpacing w:val="0"/>
        <w:rPr>
          <w:rFonts w:asciiTheme="minorHAnsi" w:hAnsiTheme="minorHAnsi"/>
          <w:sz w:val="24"/>
          <w:szCs w:val="24"/>
        </w:rPr>
      </w:pPr>
      <w:r w:rsidRPr="00CF2E0B">
        <w:rPr>
          <w:rFonts w:asciiTheme="minorHAnsi" w:hAnsiTheme="minorHAnsi"/>
          <w:sz w:val="24"/>
          <w:szCs w:val="24"/>
        </w:rPr>
        <w:t xml:space="preserve">The </w:t>
      </w:r>
      <w:r w:rsidR="0062142F" w:rsidRPr="00CF2E0B">
        <w:rPr>
          <w:rFonts w:asciiTheme="minorHAnsi" w:hAnsiTheme="minorHAnsi"/>
          <w:sz w:val="24"/>
          <w:szCs w:val="24"/>
        </w:rPr>
        <w:t>sponsor</w:t>
      </w:r>
      <w:r w:rsidR="00C82E79">
        <w:rPr>
          <w:rFonts w:asciiTheme="minorHAnsi" w:hAnsiTheme="minorHAnsi"/>
          <w:sz w:val="24"/>
          <w:szCs w:val="24"/>
        </w:rPr>
        <w:t xml:space="preserve"> (of blinatumomab) </w:t>
      </w:r>
      <w:r w:rsidR="0062142F" w:rsidRPr="00CF2E0B">
        <w:rPr>
          <w:rFonts w:asciiTheme="minorHAnsi" w:hAnsiTheme="minorHAnsi"/>
          <w:sz w:val="24"/>
          <w:szCs w:val="24"/>
        </w:rPr>
        <w:t>estimated that the cost to the PBS/RPBS of listing both blinatumomab an</w:t>
      </w:r>
      <w:r w:rsidR="00C63D38">
        <w:rPr>
          <w:rFonts w:asciiTheme="minorHAnsi" w:hAnsiTheme="minorHAnsi"/>
          <w:sz w:val="24"/>
          <w:szCs w:val="24"/>
        </w:rPr>
        <w:t>d</w:t>
      </w:r>
      <w:r w:rsidR="0062142F" w:rsidRPr="00CF2E0B">
        <w:rPr>
          <w:rFonts w:asciiTheme="minorHAnsi" w:hAnsiTheme="minorHAnsi"/>
          <w:sz w:val="24"/>
          <w:szCs w:val="24"/>
        </w:rPr>
        <w:t xml:space="preserve"> inotuzumab for Ph+ patients would be </w:t>
      </w:r>
      <w:r w:rsidR="003C5696">
        <w:rPr>
          <w:rFonts w:asciiTheme="minorHAnsi" w:hAnsiTheme="minorHAnsi"/>
          <w:sz w:val="24"/>
          <w:szCs w:val="24"/>
        </w:rPr>
        <w:t xml:space="preserve">less than $10 million </w:t>
      </w:r>
      <w:r w:rsidR="0062142F" w:rsidRPr="00CF2E0B">
        <w:rPr>
          <w:rFonts w:asciiTheme="minorHAnsi" w:hAnsiTheme="minorHAnsi"/>
          <w:sz w:val="24"/>
          <w:szCs w:val="24"/>
        </w:rPr>
        <w:t xml:space="preserve">in Year 6 and </w:t>
      </w:r>
      <w:r w:rsidR="003C5696">
        <w:rPr>
          <w:rFonts w:asciiTheme="minorHAnsi" w:hAnsiTheme="minorHAnsi"/>
          <w:sz w:val="24"/>
          <w:szCs w:val="24"/>
        </w:rPr>
        <w:t xml:space="preserve">between $10 – $20 million </w:t>
      </w:r>
      <w:r w:rsidR="0062142F" w:rsidRPr="00CF2E0B">
        <w:rPr>
          <w:rFonts w:asciiTheme="minorHAnsi" w:hAnsiTheme="minorHAnsi"/>
          <w:sz w:val="24"/>
          <w:szCs w:val="24"/>
        </w:rPr>
        <w:t xml:space="preserve">over six years. </w:t>
      </w:r>
      <w:r w:rsidR="0085397C">
        <w:rPr>
          <w:rFonts w:asciiTheme="minorHAnsi" w:hAnsiTheme="minorHAnsi"/>
          <w:sz w:val="24"/>
          <w:szCs w:val="24"/>
        </w:rPr>
        <w:t>The sponsor stated that c</w:t>
      </w:r>
      <w:r w:rsidRPr="00CF2E0B">
        <w:rPr>
          <w:rFonts w:asciiTheme="minorHAnsi" w:hAnsiTheme="minorHAnsi"/>
          <w:sz w:val="24"/>
          <w:szCs w:val="24"/>
        </w:rPr>
        <w:t>ost offsets</w:t>
      </w:r>
      <w:r w:rsidR="008123FF" w:rsidRPr="00CF2E0B">
        <w:rPr>
          <w:rFonts w:asciiTheme="minorHAnsi" w:hAnsiTheme="minorHAnsi"/>
          <w:sz w:val="24"/>
          <w:szCs w:val="24"/>
        </w:rPr>
        <w:t xml:space="preserve"> due to </w:t>
      </w:r>
      <w:r w:rsidR="00A12FCF">
        <w:rPr>
          <w:rFonts w:asciiTheme="minorHAnsi" w:hAnsiTheme="minorHAnsi"/>
          <w:sz w:val="24"/>
          <w:szCs w:val="24"/>
        </w:rPr>
        <w:t xml:space="preserve">reduced PBS </w:t>
      </w:r>
      <w:r w:rsidR="008123FF" w:rsidRPr="00CF2E0B">
        <w:rPr>
          <w:rFonts w:asciiTheme="minorHAnsi" w:hAnsiTheme="minorHAnsi"/>
          <w:sz w:val="24"/>
          <w:szCs w:val="24"/>
        </w:rPr>
        <w:t xml:space="preserve">chemotherapy </w:t>
      </w:r>
      <w:r w:rsidR="00A12FCF">
        <w:rPr>
          <w:rFonts w:asciiTheme="minorHAnsi" w:hAnsiTheme="minorHAnsi"/>
          <w:sz w:val="24"/>
          <w:szCs w:val="24"/>
        </w:rPr>
        <w:t xml:space="preserve">costs </w:t>
      </w:r>
      <w:r w:rsidR="009504AD">
        <w:rPr>
          <w:rFonts w:asciiTheme="minorHAnsi" w:hAnsiTheme="minorHAnsi"/>
          <w:sz w:val="24"/>
          <w:szCs w:val="24"/>
        </w:rPr>
        <w:t xml:space="preserve">and reduced MBS </w:t>
      </w:r>
      <w:r w:rsidR="009504AD" w:rsidRPr="0040253A">
        <w:rPr>
          <w:rFonts w:asciiTheme="minorHAnsi" w:hAnsiTheme="minorHAnsi"/>
          <w:sz w:val="24"/>
          <w:szCs w:val="24"/>
        </w:rPr>
        <w:t>administration cos</w:t>
      </w:r>
      <w:r w:rsidR="009504AD">
        <w:rPr>
          <w:rFonts w:asciiTheme="minorHAnsi" w:hAnsiTheme="minorHAnsi"/>
          <w:sz w:val="24"/>
          <w:szCs w:val="24"/>
        </w:rPr>
        <w:t>ts</w:t>
      </w:r>
      <w:r w:rsidRPr="00CF2E0B">
        <w:rPr>
          <w:rFonts w:asciiTheme="minorHAnsi" w:hAnsiTheme="minorHAnsi"/>
          <w:sz w:val="24"/>
          <w:szCs w:val="24"/>
        </w:rPr>
        <w:t xml:space="preserve"> w</w:t>
      </w:r>
      <w:r w:rsidR="00A12FCF">
        <w:rPr>
          <w:rFonts w:asciiTheme="minorHAnsi" w:hAnsiTheme="minorHAnsi"/>
          <w:sz w:val="24"/>
          <w:szCs w:val="24"/>
        </w:rPr>
        <w:t>ere estimated to be</w:t>
      </w:r>
      <w:r w:rsidR="003C5696">
        <w:rPr>
          <w:rFonts w:asciiTheme="minorHAnsi" w:hAnsiTheme="minorHAnsi"/>
          <w:sz w:val="24"/>
          <w:szCs w:val="24"/>
        </w:rPr>
        <w:t xml:space="preserve"> less than $10 million</w:t>
      </w:r>
      <w:r w:rsidR="00A12FCF">
        <w:rPr>
          <w:rFonts w:asciiTheme="minorHAnsi" w:hAnsiTheme="minorHAnsi"/>
          <w:sz w:val="24"/>
          <w:szCs w:val="24"/>
        </w:rPr>
        <w:t xml:space="preserve">, thus the sponsor estimated a total cost of </w:t>
      </w:r>
      <w:r w:rsidR="003C5696">
        <w:rPr>
          <w:rFonts w:asciiTheme="minorHAnsi" w:hAnsiTheme="minorHAnsi"/>
          <w:sz w:val="24"/>
          <w:szCs w:val="24"/>
        </w:rPr>
        <w:t xml:space="preserve">$10 – $20 million </w:t>
      </w:r>
      <w:r w:rsidR="00A12FCF">
        <w:rPr>
          <w:rFonts w:asciiTheme="minorHAnsi" w:hAnsiTheme="minorHAnsi"/>
          <w:sz w:val="24"/>
          <w:szCs w:val="24"/>
        </w:rPr>
        <w:t>over six year</w:t>
      </w:r>
      <w:r w:rsidR="003C5696">
        <w:rPr>
          <w:rFonts w:asciiTheme="minorHAnsi" w:hAnsiTheme="minorHAnsi"/>
          <w:sz w:val="24"/>
          <w:szCs w:val="24"/>
        </w:rPr>
        <w:t>s</w:t>
      </w:r>
      <w:r w:rsidR="00A12FCF">
        <w:rPr>
          <w:rFonts w:asciiTheme="minorHAnsi" w:hAnsiTheme="minorHAnsi"/>
          <w:sz w:val="24"/>
          <w:szCs w:val="24"/>
        </w:rPr>
        <w:t>.</w:t>
      </w:r>
    </w:p>
    <w:p w:rsidR="008D06E9" w:rsidRDefault="00AE118E" w:rsidP="00AE118E">
      <w:pPr>
        <w:pStyle w:val="ListParagraph"/>
        <w:widowControl/>
        <w:numPr>
          <w:ilvl w:val="1"/>
          <w:numId w:val="14"/>
        </w:numPr>
        <w:spacing w:before="120" w:after="160"/>
        <w:contextualSpacing w:val="0"/>
        <w:rPr>
          <w:rFonts w:asciiTheme="minorHAnsi" w:hAnsiTheme="minorHAnsi"/>
        </w:rPr>
      </w:pPr>
      <w:r w:rsidRPr="00AE118E">
        <w:rPr>
          <w:rFonts w:asciiTheme="minorHAnsi" w:hAnsiTheme="minorHAnsi"/>
          <w:sz w:val="24"/>
          <w:szCs w:val="24"/>
        </w:rPr>
        <w:t xml:space="preserve">The PBAC noted that the estimates provided by the blinatumomab sponsor appropriately included both blinatumomab and inotuzumab, and also appropriately included use in first-line salvage. </w:t>
      </w:r>
    </w:p>
    <w:p w:rsidR="008D06E9" w:rsidRDefault="008D06E9" w:rsidP="008D06E9">
      <w:pPr>
        <w:rPr>
          <w:lang w:eastAsia="en-US"/>
        </w:rPr>
      </w:pPr>
    </w:p>
    <w:p w:rsidR="00CA1418" w:rsidRDefault="00CA1418">
      <w:pPr>
        <w:rPr>
          <w:rFonts w:asciiTheme="minorHAnsi" w:hAnsiTheme="minorHAnsi" w:cs="Arial"/>
          <w:b/>
          <w:snapToGrid w:val="0"/>
          <w:sz w:val="32"/>
          <w:szCs w:val="32"/>
          <w:lang w:eastAsia="en-US"/>
        </w:rPr>
      </w:pPr>
      <w:r>
        <w:rPr>
          <w:rFonts w:asciiTheme="minorHAnsi" w:hAnsiTheme="minorHAnsi"/>
          <w:sz w:val="32"/>
          <w:szCs w:val="32"/>
        </w:rPr>
        <w:br w:type="page"/>
      </w:r>
    </w:p>
    <w:p w:rsidR="008D06E9" w:rsidRPr="008D06E9" w:rsidRDefault="008D06E9" w:rsidP="008D06E9">
      <w:pPr>
        <w:pStyle w:val="PBACHeading1"/>
        <w:rPr>
          <w:rFonts w:asciiTheme="minorHAnsi" w:hAnsiTheme="minorHAnsi"/>
          <w:sz w:val="32"/>
          <w:szCs w:val="32"/>
        </w:rPr>
      </w:pPr>
      <w:r>
        <w:rPr>
          <w:rFonts w:asciiTheme="minorHAnsi" w:hAnsiTheme="minorHAnsi"/>
          <w:sz w:val="32"/>
          <w:szCs w:val="32"/>
        </w:rPr>
        <w:lastRenderedPageBreak/>
        <w:t xml:space="preserve">PBAC Outcome </w:t>
      </w:r>
    </w:p>
    <w:p w:rsidR="006054B9" w:rsidRPr="00E75576" w:rsidRDefault="006054B9" w:rsidP="00B22E51">
      <w:pPr>
        <w:pStyle w:val="ListParagraph"/>
        <w:widowControl/>
        <w:numPr>
          <w:ilvl w:val="1"/>
          <w:numId w:val="14"/>
        </w:numPr>
        <w:spacing w:before="120" w:after="160"/>
        <w:contextualSpacing w:val="0"/>
        <w:rPr>
          <w:rFonts w:asciiTheme="minorHAnsi" w:hAnsiTheme="minorHAnsi"/>
          <w:sz w:val="24"/>
        </w:rPr>
      </w:pPr>
      <w:r w:rsidRPr="00E75576">
        <w:rPr>
          <w:rFonts w:asciiTheme="minorHAnsi" w:hAnsiTheme="minorHAnsi"/>
          <w:sz w:val="24"/>
        </w:rPr>
        <w:t>The PBAC recommended</w:t>
      </w:r>
      <w:r w:rsidR="003C23E0" w:rsidRPr="00E75576">
        <w:rPr>
          <w:rFonts w:asciiTheme="minorHAnsi" w:hAnsiTheme="minorHAnsi"/>
          <w:sz w:val="24"/>
        </w:rPr>
        <w:t xml:space="preserve"> extending the </w:t>
      </w:r>
      <w:r w:rsidRPr="00E75576">
        <w:rPr>
          <w:rFonts w:asciiTheme="minorHAnsi" w:hAnsiTheme="minorHAnsi"/>
          <w:sz w:val="24"/>
        </w:rPr>
        <w:t>listing</w:t>
      </w:r>
      <w:r w:rsidR="00C264AF">
        <w:rPr>
          <w:rFonts w:asciiTheme="minorHAnsi" w:hAnsiTheme="minorHAnsi"/>
          <w:sz w:val="24"/>
        </w:rPr>
        <w:t>s</w:t>
      </w:r>
      <w:r w:rsidRPr="00E75576">
        <w:rPr>
          <w:rFonts w:asciiTheme="minorHAnsi" w:hAnsiTheme="minorHAnsi"/>
          <w:sz w:val="24"/>
        </w:rPr>
        <w:t xml:space="preserve"> of blinatumomab</w:t>
      </w:r>
      <w:r w:rsidR="00C264AF">
        <w:rPr>
          <w:rFonts w:asciiTheme="minorHAnsi" w:hAnsiTheme="minorHAnsi"/>
          <w:sz w:val="24"/>
        </w:rPr>
        <w:t xml:space="preserve"> and inotuzumab </w:t>
      </w:r>
      <w:r w:rsidR="008E012D" w:rsidRPr="008E012D">
        <w:rPr>
          <w:rFonts w:asciiTheme="minorHAnsi" w:hAnsiTheme="minorHAnsi"/>
          <w:sz w:val="24"/>
        </w:rPr>
        <w:t xml:space="preserve">to include patients with Ph+ disease on the basis that it considered blinatumomab </w:t>
      </w:r>
      <w:r w:rsidR="008E012D">
        <w:rPr>
          <w:rFonts w:asciiTheme="minorHAnsi" w:hAnsiTheme="minorHAnsi"/>
          <w:sz w:val="24"/>
        </w:rPr>
        <w:t xml:space="preserve">and </w:t>
      </w:r>
      <w:r w:rsidR="008E012D" w:rsidRPr="008E012D">
        <w:rPr>
          <w:rFonts w:asciiTheme="minorHAnsi" w:hAnsiTheme="minorHAnsi"/>
          <w:sz w:val="24"/>
        </w:rPr>
        <w:t xml:space="preserve">inotuzumab would be sufficiently effective and cost-effective in </w:t>
      </w:r>
      <w:r w:rsidR="008E012D">
        <w:rPr>
          <w:rFonts w:asciiTheme="minorHAnsi" w:hAnsiTheme="minorHAnsi"/>
          <w:sz w:val="24"/>
        </w:rPr>
        <w:t xml:space="preserve">patients with </w:t>
      </w:r>
      <w:r w:rsidR="008E012D" w:rsidRPr="008E012D">
        <w:rPr>
          <w:rFonts w:asciiTheme="minorHAnsi" w:hAnsiTheme="minorHAnsi"/>
          <w:sz w:val="24"/>
        </w:rPr>
        <w:t xml:space="preserve">Ph+ disease. The PBAC </w:t>
      </w:r>
      <w:r w:rsidR="00B22E51">
        <w:rPr>
          <w:rFonts w:asciiTheme="minorHAnsi" w:hAnsiTheme="minorHAnsi"/>
          <w:sz w:val="24"/>
        </w:rPr>
        <w:t>considered</w:t>
      </w:r>
      <w:r w:rsidR="008E012D" w:rsidRPr="008E012D">
        <w:rPr>
          <w:rFonts w:asciiTheme="minorHAnsi" w:hAnsiTheme="minorHAnsi"/>
          <w:sz w:val="24"/>
        </w:rPr>
        <w:t xml:space="preserve"> the financial impact of </w:t>
      </w:r>
      <w:r w:rsidR="00B22E51" w:rsidRPr="00B22E51">
        <w:rPr>
          <w:rFonts w:asciiTheme="minorHAnsi" w:hAnsiTheme="minorHAnsi"/>
          <w:sz w:val="24"/>
        </w:rPr>
        <w:t xml:space="preserve">amending the restrictions for both drugs </w:t>
      </w:r>
      <w:r w:rsidR="008E012D">
        <w:rPr>
          <w:rFonts w:asciiTheme="minorHAnsi" w:hAnsiTheme="minorHAnsi"/>
          <w:sz w:val="24"/>
        </w:rPr>
        <w:t xml:space="preserve">would be </w:t>
      </w:r>
      <w:r w:rsidR="008E012D" w:rsidRPr="008E012D">
        <w:rPr>
          <w:rFonts w:asciiTheme="minorHAnsi" w:hAnsiTheme="minorHAnsi"/>
          <w:sz w:val="24"/>
        </w:rPr>
        <w:t>relatively small compared to the Ph- population</w:t>
      </w:r>
      <w:r w:rsidR="008E012D">
        <w:rPr>
          <w:rFonts w:asciiTheme="minorHAnsi" w:hAnsiTheme="minorHAnsi"/>
          <w:sz w:val="24"/>
        </w:rPr>
        <w:t xml:space="preserve">. </w:t>
      </w:r>
    </w:p>
    <w:p w:rsidR="009A20B5" w:rsidRPr="009A20B5" w:rsidRDefault="009A20B5" w:rsidP="009A20B5">
      <w:pPr>
        <w:pStyle w:val="ListParagraph"/>
        <w:numPr>
          <w:ilvl w:val="1"/>
          <w:numId w:val="14"/>
        </w:numPr>
        <w:rPr>
          <w:rFonts w:asciiTheme="minorHAnsi" w:hAnsiTheme="minorHAnsi"/>
          <w:sz w:val="24"/>
        </w:rPr>
      </w:pPr>
      <w:r w:rsidRPr="009A20B5">
        <w:rPr>
          <w:rFonts w:asciiTheme="minorHAnsi" w:hAnsiTheme="minorHAnsi"/>
          <w:sz w:val="24"/>
        </w:rPr>
        <w:t xml:space="preserve">The PBAC reaffirmed there is a high clinical need in patients with Ph+ disease (R/R B-ALL) particularly given it is generally associated with a poorer prognosis than Ph- disease. </w:t>
      </w:r>
    </w:p>
    <w:p w:rsidR="006B7B25" w:rsidRPr="00E75576" w:rsidRDefault="009A20B5" w:rsidP="009A20B5">
      <w:pPr>
        <w:pStyle w:val="ListParagraph"/>
        <w:widowControl/>
        <w:numPr>
          <w:ilvl w:val="1"/>
          <w:numId w:val="14"/>
        </w:numPr>
        <w:spacing w:before="120" w:after="160"/>
        <w:contextualSpacing w:val="0"/>
        <w:rPr>
          <w:rFonts w:asciiTheme="minorHAnsi" w:hAnsiTheme="minorHAnsi"/>
          <w:sz w:val="24"/>
        </w:rPr>
      </w:pPr>
      <w:r>
        <w:rPr>
          <w:rFonts w:asciiTheme="minorHAnsi" w:hAnsiTheme="minorHAnsi"/>
          <w:sz w:val="24"/>
        </w:rPr>
        <w:t>T</w:t>
      </w:r>
      <w:r w:rsidRPr="009A20B5">
        <w:rPr>
          <w:rFonts w:asciiTheme="minorHAnsi" w:hAnsiTheme="minorHAnsi"/>
          <w:sz w:val="24"/>
        </w:rPr>
        <w:t>he PBAC considered that overall</w:t>
      </w:r>
      <w:r w:rsidR="00E16395">
        <w:rPr>
          <w:rFonts w:asciiTheme="minorHAnsi" w:hAnsiTheme="minorHAnsi"/>
          <w:sz w:val="24"/>
        </w:rPr>
        <w:t>,</w:t>
      </w:r>
      <w:r w:rsidRPr="009A20B5">
        <w:rPr>
          <w:rFonts w:asciiTheme="minorHAnsi" w:hAnsiTheme="minorHAnsi"/>
          <w:sz w:val="24"/>
        </w:rPr>
        <w:t xml:space="preserve"> the treatment effect</w:t>
      </w:r>
      <w:r w:rsidR="00E16395">
        <w:rPr>
          <w:rFonts w:asciiTheme="minorHAnsi" w:hAnsiTheme="minorHAnsi"/>
          <w:sz w:val="24"/>
        </w:rPr>
        <w:t xml:space="preserve"> of blinatumomab</w:t>
      </w:r>
      <w:r w:rsidRPr="009A20B5">
        <w:rPr>
          <w:rFonts w:asciiTheme="minorHAnsi" w:hAnsiTheme="minorHAnsi"/>
          <w:sz w:val="24"/>
        </w:rPr>
        <w:t xml:space="preserve"> was unlikely to differ significantly based on Philadelphia chromosome status</w:t>
      </w:r>
      <w:r w:rsidR="00E16395">
        <w:rPr>
          <w:rFonts w:asciiTheme="minorHAnsi" w:hAnsiTheme="minorHAnsi"/>
          <w:sz w:val="24"/>
        </w:rPr>
        <w:t xml:space="preserve">. On this basis, the PBAC was satisfied that blinatumomab and inotuzumab would be sufficiently cost-effective in Ph+ disease. </w:t>
      </w:r>
    </w:p>
    <w:p w:rsidR="006F48AC" w:rsidRPr="00E75576" w:rsidRDefault="00CE5CEC" w:rsidP="00CE5CEC">
      <w:pPr>
        <w:pStyle w:val="ListParagraph"/>
        <w:widowControl/>
        <w:numPr>
          <w:ilvl w:val="1"/>
          <w:numId w:val="14"/>
        </w:numPr>
        <w:spacing w:before="120" w:after="160"/>
        <w:contextualSpacing w:val="0"/>
        <w:rPr>
          <w:rFonts w:asciiTheme="minorHAnsi" w:hAnsiTheme="minorHAnsi"/>
          <w:sz w:val="24"/>
        </w:rPr>
      </w:pPr>
      <w:r w:rsidRPr="00CE5CEC">
        <w:rPr>
          <w:rFonts w:asciiTheme="minorHAnsi" w:hAnsiTheme="minorHAnsi"/>
          <w:sz w:val="24"/>
        </w:rPr>
        <w:t>The PBAC reiterated its previous consideration that the extension of both inotuzumab and blinatumomab listings should be progressed in parallel (Paragraph 4.2, inotuzumab</w:t>
      </w:r>
      <w:r w:rsidR="003C5696">
        <w:rPr>
          <w:rFonts w:asciiTheme="minorHAnsi" w:hAnsiTheme="minorHAnsi"/>
          <w:sz w:val="24"/>
        </w:rPr>
        <w:t xml:space="preserve"> PSD</w:t>
      </w:r>
      <w:r w:rsidRPr="00CE5CEC">
        <w:rPr>
          <w:rFonts w:asciiTheme="minorHAnsi" w:hAnsiTheme="minorHAnsi"/>
          <w:sz w:val="24"/>
        </w:rPr>
        <w:t xml:space="preserve">, March 2019). </w:t>
      </w:r>
    </w:p>
    <w:p w:rsidR="00684501" w:rsidRPr="00CE5CEC" w:rsidRDefault="00684501" w:rsidP="00CE5CEC">
      <w:pPr>
        <w:pStyle w:val="ListParagraph"/>
        <w:widowControl/>
        <w:numPr>
          <w:ilvl w:val="1"/>
          <w:numId w:val="14"/>
        </w:numPr>
        <w:spacing w:before="120" w:after="160"/>
        <w:contextualSpacing w:val="0"/>
        <w:rPr>
          <w:rFonts w:asciiTheme="minorHAnsi" w:hAnsiTheme="minorHAnsi"/>
          <w:sz w:val="24"/>
        </w:rPr>
      </w:pPr>
      <w:r w:rsidRPr="00CE5CEC">
        <w:rPr>
          <w:rFonts w:asciiTheme="minorHAnsi" w:hAnsiTheme="minorHAnsi"/>
          <w:sz w:val="24"/>
        </w:rPr>
        <w:t xml:space="preserve">The PBAC considered that it may be clinically appropriate for blinatumomab or inotuzumab to be used in combination with a TKI. </w:t>
      </w:r>
    </w:p>
    <w:p w:rsidR="009966C3" w:rsidRPr="00E75576" w:rsidRDefault="00684501" w:rsidP="00684501">
      <w:pPr>
        <w:pStyle w:val="ListParagraph"/>
        <w:widowControl/>
        <w:numPr>
          <w:ilvl w:val="1"/>
          <w:numId w:val="14"/>
        </w:numPr>
        <w:spacing w:before="120" w:after="160"/>
        <w:contextualSpacing w:val="0"/>
        <w:rPr>
          <w:rFonts w:asciiTheme="minorHAnsi" w:hAnsiTheme="minorHAnsi"/>
          <w:sz w:val="24"/>
        </w:rPr>
      </w:pPr>
      <w:r>
        <w:rPr>
          <w:rFonts w:asciiTheme="minorHAnsi" w:hAnsiTheme="minorHAnsi"/>
          <w:sz w:val="24"/>
        </w:rPr>
        <w:t>Given TKIs are standard care in previously untreated Ph+ B-ALL (initial first-line treatment)</w:t>
      </w:r>
      <w:r w:rsidR="00462FCB" w:rsidRPr="00E75576">
        <w:rPr>
          <w:rFonts w:asciiTheme="minorHAnsi" w:hAnsiTheme="minorHAnsi"/>
          <w:sz w:val="24"/>
        </w:rPr>
        <w:t xml:space="preserve">, the PBAC considered it would be appropriate </w:t>
      </w:r>
      <w:r w:rsidR="00783979" w:rsidRPr="00E75576">
        <w:rPr>
          <w:rFonts w:asciiTheme="minorHAnsi" w:hAnsiTheme="minorHAnsi"/>
          <w:sz w:val="24"/>
        </w:rPr>
        <w:t xml:space="preserve">to </w:t>
      </w:r>
      <w:r w:rsidR="00842B11" w:rsidRPr="00E75576">
        <w:rPr>
          <w:rFonts w:asciiTheme="minorHAnsi" w:hAnsiTheme="minorHAnsi"/>
          <w:sz w:val="24"/>
        </w:rPr>
        <w:t>limit</w:t>
      </w:r>
      <w:r w:rsidR="00783979" w:rsidRPr="00E75576">
        <w:rPr>
          <w:rFonts w:asciiTheme="minorHAnsi" w:hAnsiTheme="minorHAnsi"/>
          <w:sz w:val="24"/>
        </w:rPr>
        <w:t xml:space="preserve"> use of blinatumomab </w:t>
      </w:r>
      <w:r>
        <w:rPr>
          <w:rFonts w:asciiTheme="minorHAnsi" w:hAnsiTheme="minorHAnsi"/>
          <w:sz w:val="24"/>
        </w:rPr>
        <w:t xml:space="preserve">and inotuzumab </w:t>
      </w:r>
      <w:r w:rsidR="00783979" w:rsidRPr="00E75576">
        <w:rPr>
          <w:rFonts w:asciiTheme="minorHAnsi" w:hAnsiTheme="minorHAnsi"/>
          <w:sz w:val="24"/>
        </w:rPr>
        <w:t>to</w:t>
      </w:r>
      <w:r w:rsidR="00462FCB" w:rsidRPr="00E75576">
        <w:rPr>
          <w:rFonts w:asciiTheme="minorHAnsi" w:hAnsiTheme="minorHAnsi"/>
          <w:sz w:val="24"/>
        </w:rPr>
        <w:t xml:space="preserve"> Ph+ patients previously treated with a TKI.</w:t>
      </w:r>
      <w:r w:rsidR="00D32C39" w:rsidRPr="00E75576">
        <w:rPr>
          <w:rFonts w:asciiTheme="minorHAnsi" w:hAnsiTheme="minorHAnsi"/>
          <w:sz w:val="24"/>
        </w:rPr>
        <w:t xml:space="preserve"> </w:t>
      </w:r>
    </w:p>
    <w:p w:rsidR="00A2048C" w:rsidRPr="00E75576" w:rsidRDefault="00A2048C" w:rsidP="00D7712E">
      <w:pPr>
        <w:pStyle w:val="ListParagraph"/>
        <w:widowControl/>
        <w:numPr>
          <w:ilvl w:val="1"/>
          <w:numId w:val="14"/>
        </w:numPr>
        <w:spacing w:before="120" w:after="160"/>
        <w:contextualSpacing w:val="0"/>
        <w:rPr>
          <w:rFonts w:asciiTheme="minorHAnsi" w:hAnsiTheme="minorHAnsi"/>
          <w:sz w:val="24"/>
        </w:rPr>
      </w:pPr>
      <w:r w:rsidRPr="00E75576">
        <w:rPr>
          <w:rFonts w:asciiTheme="minorHAnsi" w:hAnsiTheme="minorHAnsi"/>
          <w:sz w:val="24"/>
        </w:rPr>
        <w:t xml:space="preserve">The PBAC considered that the restrictions for inotuzumab and blinatumomab should align where possible. </w:t>
      </w:r>
    </w:p>
    <w:p w:rsidR="001E3F97" w:rsidRPr="00E75576" w:rsidRDefault="00A2048C" w:rsidP="008E3999">
      <w:pPr>
        <w:pStyle w:val="ListParagraph"/>
        <w:widowControl/>
        <w:numPr>
          <w:ilvl w:val="1"/>
          <w:numId w:val="14"/>
        </w:numPr>
        <w:spacing w:before="120" w:after="160"/>
        <w:contextualSpacing w:val="0"/>
        <w:rPr>
          <w:rFonts w:asciiTheme="minorHAnsi" w:hAnsiTheme="minorHAnsi"/>
          <w:sz w:val="24"/>
        </w:rPr>
      </w:pPr>
      <w:r w:rsidRPr="00E75576">
        <w:rPr>
          <w:rFonts w:asciiTheme="minorHAnsi" w:hAnsiTheme="minorHAnsi"/>
          <w:sz w:val="24"/>
        </w:rPr>
        <w:t xml:space="preserve">The PBAC noted the financial impact of extending the current listings of blinatumomab and inotuzumab </w:t>
      </w:r>
      <w:r w:rsidR="00533906" w:rsidRPr="00E75576">
        <w:rPr>
          <w:rFonts w:asciiTheme="minorHAnsi" w:hAnsiTheme="minorHAnsi"/>
          <w:sz w:val="24"/>
        </w:rPr>
        <w:t>to Ph+ R/R B-ALL patients was</w:t>
      </w:r>
      <w:r w:rsidR="000E4EDC" w:rsidRPr="00E75576">
        <w:rPr>
          <w:rFonts w:asciiTheme="minorHAnsi" w:hAnsiTheme="minorHAnsi"/>
          <w:sz w:val="24"/>
        </w:rPr>
        <w:t xml:space="preserve"> </w:t>
      </w:r>
      <w:r w:rsidR="008E3999" w:rsidRPr="008E3999">
        <w:rPr>
          <w:rFonts w:asciiTheme="minorHAnsi" w:hAnsiTheme="minorHAnsi"/>
          <w:sz w:val="24"/>
        </w:rPr>
        <w:t xml:space="preserve">likely to be small relative to the Ph- patient population given the small number of patients. </w:t>
      </w:r>
      <w:r w:rsidR="000E4EDC" w:rsidRPr="00E75576">
        <w:rPr>
          <w:rFonts w:asciiTheme="minorHAnsi" w:hAnsiTheme="minorHAnsi"/>
          <w:sz w:val="24"/>
        </w:rPr>
        <w:t xml:space="preserve">The PBAC considered that the underlying assumptions used </w:t>
      </w:r>
      <w:r w:rsidR="007E67C4">
        <w:rPr>
          <w:rFonts w:asciiTheme="minorHAnsi" w:hAnsiTheme="minorHAnsi"/>
          <w:sz w:val="24"/>
        </w:rPr>
        <w:t xml:space="preserve">by the sponsor of blinatumomab </w:t>
      </w:r>
      <w:r w:rsidR="000E4EDC" w:rsidRPr="00E75576">
        <w:rPr>
          <w:rFonts w:asciiTheme="minorHAnsi" w:hAnsiTheme="minorHAnsi"/>
          <w:sz w:val="24"/>
        </w:rPr>
        <w:t xml:space="preserve">to estimate utilisation </w:t>
      </w:r>
      <w:r w:rsidR="007E67C4">
        <w:rPr>
          <w:rFonts w:asciiTheme="minorHAnsi" w:hAnsiTheme="minorHAnsi"/>
          <w:sz w:val="24"/>
        </w:rPr>
        <w:t xml:space="preserve">of both blinatumomab and inotuzumab </w:t>
      </w:r>
      <w:r w:rsidR="000E4EDC" w:rsidRPr="00E75576">
        <w:rPr>
          <w:rFonts w:asciiTheme="minorHAnsi" w:hAnsiTheme="minorHAnsi"/>
          <w:sz w:val="24"/>
        </w:rPr>
        <w:t>in Ph+ patients</w:t>
      </w:r>
      <w:r w:rsidR="007E67C4">
        <w:rPr>
          <w:rFonts w:asciiTheme="minorHAnsi" w:hAnsiTheme="minorHAnsi"/>
          <w:sz w:val="24"/>
        </w:rPr>
        <w:t xml:space="preserve"> (in first- and second-line salvage)</w:t>
      </w:r>
      <w:r w:rsidR="000E4EDC" w:rsidRPr="00E75576">
        <w:rPr>
          <w:rFonts w:asciiTheme="minorHAnsi" w:hAnsiTheme="minorHAnsi"/>
          <w:sz w:val="24"/>
        </w:rPr>
        <w:t xml:space="preserve"> w</w:t>
      </w:r>
      <w:r w:rsidR="00684501">
        <w:rPr>
          <w:rFonts w:asciiTheme="minorHAnsi" w:hAnsiTheme="minorHAnsi"/>
          <w:sz w:val="24"/>
        </w:rPr>
        <w:t>ere</w:t>
      </w:r>
      <w:r w:rsidR="000E4EDC" w:rsidRPr="00E75576">
        <w:rPr>
          <w:rFonts w:asciiTheme="minorHAnsi" w:hAnsiTheme="minorHAnsi"/>
          <w:sz w:val="24"/>
        </w:rPr>
        <w:t xml:space="preserve"> reasonable noting that the estimates generally aligned with those provided for inotuzumab in second-line salvage in the March 2019 meeting.  </w:t>
      </w:r>
    </w:p>
    <w:p w:rsidR="00E87E4A" w:rsidRPr="00E75576" w:rsidRDefault="00E87E4A" w:rsidP="00D7712E">
      <w:pPr>
        <w:pStyle w:val="ListParagraph"/>
        <w:widowControl/>
        <w:numPr>
          <w:ilvl w:val="1"/>
          <w:numId w:val="14"/>
        </w:numPr>
        <w:spacing w:before="120" w:after="160"/>
        <w:contextualSpacing w:val="0"/>
        <w:rPr>
          <w:rFonts w:asciiTheme="minorHAnsi" w:hAnsiTheme="minorHAnsi"/>
          <w:sz w:val="24"/>
        </w:rPr>
      </w:pPr>
      <w:r w:rsidRPr="00E75576">
        <w:rPr>
          <w:rFonts w:asciiTheme="minorHAnsi" w:hAnsiTheme="minorHAnsi"/>
          <w:sz w:val="24"/>
        </w:rPr>
        <w:t>The PBAC considered that the existing RSA</w:t>
      </w:r>
      <w:r w:rsidR="00631C3E">
        <w:rPr>
          <w:rFonts w:asciiTheme="minorHAnsi" w:hAnsiTheme="minorHAnsi"/>
          <w:sz w:val="24"/>
        </w:rPr>
        <w:t>s for blinatumomab and inotuzumab</w:t>
      </w:r>
      <w:r w:rsidRPr="00E75576">
        <w:rPr>
          <w:rFonts w:asciiTheme="minorHAnsi" w:hAnsiTheme="minorHAnsi"/>
          <w:sz w:val="24"/>
        </w:rPr>
        <w:t xml:space="preserve"> </w:t>
      </w:r>
      <w:r w:rsidRPr="00560331">
        <w:rPr>
          <w:rFonts w:asciiTheme="minorHAnsi" w:hAnsiTheme="minorHAnsi"/>
          <w:sz w:val="24"/>
        </w:rPr>
        <w:t xml:space="preserve">would need to be updated to include </w:t>
      </w:r>
      <w:r w:rsidR="00A53F82" w:rsidRPr="00560331">
        <w:rPr>
          <w:rFonts w:asciiTheme="minorHAnsi" w:hAnsiTheme="minorHAnsi"/>
          <w:sz w:val="24"/>
        </w:rPr>
        <w:t xml:space="preserve">the </w:t>
      </w:r>
      <w:r w:rsidR="00EF7BEB" w:rsidRPr="00560331">
        <w:rPr>
          <w:rFonts w:asciiTheme="minorHAnsi" w:hAnsiTheme="minorHAnsi"/>
          <w:sz w:val="24"/>
        </w:rPr>
        <w:t xml:space="preserve">estimated </w:t>
      </w:r>
      <w:r w:rsidR="00A53F82" w:rsidRPr="00560331">
        <w:rPr>
          <w:rFonts w:asciiTheme="minorHAnsi" w:hAnsiTheme="minorHAnsi"/>
          <w:sz w:val="24"/>
        </w:rPr>
        <w:t>cost of</w:t>
      </w:r>
      <w:r w:rsidR="00EF7BEB" w:rsidRPr="00560331">
        <w:rPr>
          <w:rFonts w:asciiTheme="minorHAnsi" w:hAnsiTheme="minorHAnsi"/>
          <w:sz w:val="24"/>
        </w:rPr>
        <w:t xml:space="preserve"> treatment of</w:t>
      </w:r>
      <w:r w:rsidR="00A53F82" w:rsidRPr="00560331">
        <w:rPr>
          <w:rFonts w:asciiTheme="minorHAnsi" w:hAnsiTheme="minorHAnsi"/>
          <w:sz w:val="24"/>
        </w:rPr>
        <w:t xml:space="preserve"> new </w:t>
      </w:r>
      <w:r w:rsidRPr="00560331">
        <w:rPr>
          <w:rFonts w:asciiTheme="minorHAnsi" w:hAnsiTheme="minorHAnsi"/>
          <w:sz w:val="24"/>
        </w:rPr>
        <w:t>patients with Ph+ disease</w:t>
      </w:r>
      <w:r w:rsidR="00A53F82" w:rsidRPr="00560331">
        <w:rPr>
          <w:rFonts w:asciiTheme="minorHAnsi" w:hAnsiTheme="minorHAnsi"/>
          <w:sz w:val="24"/>
          <w:szCs w:val="24"/>
        </w:rPr>
        <w:t xml:space="preserve">. The PBAC noted that any increase to </w:t>
      </w:r>
      <w:r w:rsidR="008E3999" w:rsidRPr="00560331">
        <w:rPr>
          <w:rFonts w:asciiTheme="minorHAnsi" w:hAnsiTheme="minorHAnsi"/>
          <w:sz w:val="24"/>
          <w:szCs w:val="24"/>
        </w:rPr>
        <w:t xml:space="preserve">the associated financial caps </w:t>
      </w:r>
      <w:r w:rsidR="00A53F82" w:rsidRPr="00560331">
        <w:rPr>
          <w:rFonts w:asciiTheme="minorHAnsi" w:hAnsiTheme="minorHAnsi"/>
          <w:sz w:val="24"/>
          <w:szCs w:val="24"/>
        </w:rPr>
        <w:t xml:space="preserve">should </w:t>
      </w:r>
      <w:r w:rsidR="008E3999" w:rsidRPr="00560331">
        <w:rPr>
          <w:rFonts w:asciiTheme="minorHAnsi" w:hAnsiTheme="minorHAnsi"/>
          <w:sz w:val="24"/>
          <w:szCs w:val="24"/>
        </w:rPr>
        <w:t xml:space="preserve">only be </w:t>
      </w:r>
      <w:r w:rsidR="004253C6" w:rsidRPr="00560331">
        <w:rPr>
          <w:rFonts w:asciiTheme="minorHAnsi" w:hAnsiTheme="minorHAnsi"/>
          <w:sz w:val="24"/>
          <w:szCs w:val="24"/>
        </w:rPr>
        <w:t>based on</w:t>
      </w:r>
      <w:r w:rsidR="008E3999" w:rsidRPr="00560331">
        <w:rPr>
          <w:rFonts w:asciiTheme="minorHAnsi" w:hAnsiTheme="minorHAnsi"/>
          <w:sz w:val="24"/>
          <w:szCs w:val="24"/>
        </w:rPr>
        <w:t xml:space="preserve"> the number of additional treatment courses expected with the extension of the existing listing to</w:t>
      </w:r>
      <w:r w:rsidR="00A53F82" w:rsidRPr="00560331">
        <w:rPr>
          <w:rFonts w:asciiTheme="minorHAnsi" w:hAnsiTheme="minorHAnsi"/>
          <w:sz w:val="24"/>
          <w:szCs w:val="24"/>
        </w:rPr>
        <w:t xml:space="preserve"> patients with</w:t>
      </w:r>
      <w:r w:rsidR="008E3999" w:rsidRPr="00560331">
        <w:rPr>
          <w:rFonts w:asciiTheme="minorHAnsi" w:hAnsiTheme="minorHAnsi"/>
          <w:sz w:val="24"/>
          <w:szCs w:val="24"/>
        </w:rPr>
        <w:t xml:space="preserve"> Ph+ disease</w:t>
      </w:r>
      <w:r w:rsidR="00A53F82" w:rsidRPr="00560331">
        <w:rPr>
          <w:rFonts w:asciiTheme="minorHAnsi" w:hAnsiTheme="minorHAnsi"/>
          <w:sz w:val="24"/>
          <w:szCs w:val="24"/>
        </w:rPr>
        <w:t xml:space="preserve"> based on the financial estimates</w:t>
      </w:r>
      <w:r w:rsidRPr="00560331">
        <w:rPr>
          <w:rFonts w:asciiTheme="minorHAnsi" w:hAnsiTheme="minorHAnsi"/>
          <w:sz w:val="24"/>
        </w:rPr>
        <w:t xml:space="preserve">. </w:t>
      </w:r>
      <w:r w:rsidR="00A53F82" w:rsidRPr="00560331">
        <w:rPr>
          <w:rFonts w:asciiTheme="minorHAnsi" w:hAnsiTheme="minorHAnsi"/>
          <w:sz w:val="24"/>
        </w:rPr>
        <w:t xml:space="preserve">The PBAC considered that the financial estimates should account for no more than </w:t>
      </w:r>
      <w:r w:rsidR="00A53F82" w:rsidRPr="004A3031">
        <w:rPr>
          <w:rFonts w:asciiTheme="minorHAnsi" w:hAnsiTheme="minorHAnsi"/>
          <w:sz w:val="24"/>
        </w:rPr>
        <w:t>50</w:t>
      </w:r>
      <w:r w:rsidR="00A53F82" w:rsidRPr="00560331">
        <w:rPr>
          <w:rFonts w:asciiTheme="minorHAnsi" w:hAnsiTheme="minorHAnsi"/>
          <w:sz w:val="24"/>
        </w:rPr>
        <w:t>% of patients receiving sequential therapy with these agents consistent with its previous advice.</w:t>
      </w:r>
    </w:p>
    <w:p w:rsidR="001E3F97" w:rsidRPr="00E75576" w:rsidRDefault="001E3F97" w:rsidP="00D7712E">
      <w:pPr>
        <w:pStyle w:val="ListParagraph"/>
        <w:widowControl/>
        <w:numPr>
          <w:ilvl w:val="1"/>
          <w:numId w:val="14"/>
        </w:numPr>
        <w:spacing w:before="120" w:after="160"/>
        <w:contextualSpacing w:val="0"/>
        <w:rPr>
          <w:rFonts w:asciiTheme="minorHAnsi" w:hAnsiTheme="minorHAnsi"/>
          <w:sz w:val="24"/>
        </w:rPr>
      </w:pPr>
      <w:r w:rsidRPr="00E75576">
        <w:rPr>
          <w:rFonts w:asciiTheme="minorHAnsi" w:hAnsiTheme="minorHAnsi"/>
          <w:sz w:val="24"/>
        </w:rPr>
        <w:lastRenderedPageBreak/>
        <w:t xml:space="preserve">The PBAC noted that flow-on changes would be required to the existing TKI restrictions to allow use in combination with blinatumomab or inotuzumab. </w:t>
      </w:r>
    </w:p>
    <w:p w:rsidR="00E87E4A" w:rsidRPr="00503AD7" w:rsidRDefault="00E87E4A" w:rsidP="00E87E4A">
      <w:pPr>
        <w:rPr>
          <w:rFonts w:asciiTheme="minorHAnsi" w:hAnsiTheme="minorHAnsi" w:cstheme="minorHAnsi"/>
          <w:b/>
          <w:lang w:eastAsia="en-US"/>
        </w:rPr>
      </w:pPr>
      <w:r w:rsidRPr="00503AD7">
        <w:rPr>
          <w:rFonts w:asciiTheme="minorHAnsi" w:hAnsiTheme="minorHAnsi" w:cstheme="minorHAnsi"/>
          <w:b/>
          <w:lang w:eastAsia="en-US"/>
        </w:rPr>
        <w:t>Outcome:</w:t>
      </w:r>
    </w:p>
    <w:p w:rsidR="00E87E4A" w:rsidRDefault="00E87E4A" w:rsidP="00E87E4A">
      <w:pPr>
        <w:rPr>
          <w:rFonts w:asciiTheme="minorHAnsi" w:hAnsiTheme="minorHAnsi" w:cstheme="minorHAnsi"/>
          <w:lang w:eastAsia="en-US"/>
        </w:rPr>
      </w:pPr>
      <w:r>
        <w:rPr>
          <w:rFonts w:asciiTheme="minorHAnsi" w:hAnsiTheme="minorHAnsi" w:cstheme="minorHAnsi"/>
          <w:lang w:eastAsia="en-US"/>
        </w:rPr>
        <w:t xml:space="preserve">Recommended </w:t>
      </w:r>
    </w:p>
    <w:p w:rsidR="00160217" w:rsidRDefault="00160217" w:rsidP="00E87E4A">
      <w:pPr>
        <w:rPr>
          <w:rFonts w:asciiTheme="minorHAnsi" w:hAnsiTheme="minorHAnsi" w:cstheme="minorHAnsi"/>
          <w:lang w:eastAsia="en-US"/>
        </w:rPr>
      </w:pPr>
    </w:p>
    <w:p w:rsidR="009801B1" w:rsidRPr="009801B1" w:rsidRDefault="009801B1" w:rsidP="009801B1">
      <w:pPr>
        <w:widowControl w:val="0"/>
        <w:numPr>
          <w:ilvl w:val="0"/>
          <w:numId w:val="5"/>
        </w:numPr>
        <w:spacing w:before="240" w:after="120"/>
        <w:jc w:val="both"/>
        <w:outlineLvl w:val="0"/>
        <w:rPr>
          <w:rFonts w:asciiTheme="minorHAnsi" w:eastAsiaTheme="minorEastAsia" w:hAnsiTheme="minorHAnsi" w:cs="Arial"/>
          <w:b/>
          <w:bCs/>
          <w:i/>
          <w:snapToGrid w:val="0"/>
          <w:sz w:val="32"/>
          <w:szCs w:val="22"/>
          <w:lang w:eastAsia="en-US"/>
        </w:rPr>
      </w:pPr>
      <w:r w:rsidRPr="009801B1">
        <w:rPr>
          <w:rFonts w:asciiTheme="minorHAnsi" w:eastAsiaTheme="minorEastAsia" w:hAnsiTheme="minorHAnsi" w:cs="Arial"/>
          <w:b/>
          <w:bCs/>
          <w:snapToGrid w:val="0"/>
          <w:sz w:val="32"/>
          <w:szCs w:val="22"/>
          <w:lang w:eastAsia="en-US"/>
        </w:rPr>
        <w:t>Recommended listing</w:t>
      </w:r>
    </w:p>
    <w:p w:rsidR="009801B1" w:rsidRPr="009801B1" w:rsidRDefault="009801B1" w:rsidP="009801B1">
      <w:pPr>
        <w:widowControl w:val="0"/>
        <w:numPr>
          <w:ilvl w:val="1"/>
          <w:numId w:val="5"/>
        </w:numPr>
        <w:spacing w:after="120"/>
        <w:jc w:val="both"/>
        <w:rPr>
          <w:rFonts w:asciiTheme="minorHAnsi" w:eastAsiaTheme="minorEastAsia" w:hAnsiTheme="minorHAnsi" w:cs="Arial"/>
          <w:bCs/>
          <w:snapToGrid w:val="0"/>
          <w:szCs w:val="22"/>
          <w:lang w:eastAsia="en-US"/>
        </w:rPr>
      </w:pPr>
      <w:r>
        <w:rPr>
          <w:rFonts w:asciiTheme="minorHAnsi" w:eastAsiaTheme="minorEastAsia" w:hAnsiTheme="minorHAnsi" w:cs="Arial"/>
          <w:bCs/>
          <w:snapToGrid w:val="0"/>
          <w:szCs w:val="22"/>
          <w:lang w:eastAsia="en-US"/>
        </w:rPr>
        <w:t>Amend existing listings:</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558"/>
        <w:gridCol w:w="564"/>
        <w:gridCol w:w="2084"/>
        <w:gridCol w:w="1405"/>
      </w:tblGrid>
      <w:tr w:rsidR="002A6AD7" w:rsidRPr="002A6AD7" w:rsidTr="00323918">
        <w:trPr>
          <w:cantSplit/>
          <w:trHeight w:val="463"/>
        </w:trPr>
        <w:tc>
          <w:tcPr>
            <w:tcW w:w="1405" w:type="pct"/>
            <w:gridSpan w:val="2"/>
            <w:tcBorders>
              <w:top w:val="single" w:sz="4" w:space="0" w:color="auto"/>
              <w:left w:val="nil"/>
              <w:bottom w:val="single" w:sz="4" w:space="0" w:color="auto"/>
              <w:right w:val="nil"/>
            </w:tcBorders>
            <w:vAlign w:val="center"/>
            <w:hideMark/>
          </w:tcPr>
          <w:p w:rsidR="002A6AD7" w:rsidRPr="002A6AD7" w:rsidRDefault="002A6AD7" w:rsidP="002A6AD7">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Name, Restriction,</w:t>
            </w:r>
          </w:p>
          <w:p w:rsidR="002A6AD7" w:rsidRPr="002A6AD7" w:rsidRDefault="002A6AD7" w:rsidP="002A6AD7">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Manner of administration and form</w:t>
            </w:r>
          </w:p>
        </w:tc>
        <w:tc>
          <w:tcPr>
            <w:tcW w:w="472" w:type="pct"/>
            <w:tcBorders>
              <w:top w:val="single" w:sz="4" w:space="0" w:color="auto"/>
              <w:left w:val="nil"/>
              <w:bottom w:val="single" w:sz="4" w:space="0" w:color="auto"/>
              <w:right w:val="nil"/>
            </w:tcBorders>
            <w:vAlign w:val="center"/>
            <w:hideMark/>
          </w:tcPr>
          <w:p w:rsidR="002A6AD7" w:rsidRPr="002A6AD7" w:rsidRDefault="002A6AD7" w:rsidP="002A6AD7">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Max.</w:t>
            </w:r>
          </w:p>
          <w:p w:rsidR="002A6AD7" w:rsidRPr="002A6AD7" w:rsidRDefault="002A6AD7" w:rsidP="002A6AD7">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Amt</w:t>
            </w:r>
          </w:p>
        </w:tc>
        <w:tc>
          <w:tcPr>
            <w:tcW w:w="867" w:type="pct"/>
            <w:tcBorders>
              <w:top w:val="single" w:sz="4" w:space="0" w:color="auto"/>
              <w:left w:val="nil"/>
              <w:bottom w:val="single" w:sz="4" w:space="0" w:color="auto"/>
              <w:right w:val="nil"/>
            </w:tcBorders>
            <w:vAlign w:val="center"/>
            <w:hideMark/>
          </w:tcPr>
          <w:p w:rsidR="002A6AD7" w:rsidRPr="002A6AD7" w:rsidRDefault="002A6AD7" w:rsidP="002A6AD7">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№.of</w:t>
            </w:r>
          </w:p>
          <w:p w:rsidR="002A6AD7" w:rsidRPr="002A6AD7" w:rsidRDefault="002A6AD7" w:rsidP="002A6AD7">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Rpts</w:t>
            </w:r>
          </w:p>
        </w:tc>
        <w:tc>
          <w:tcPr>
            <w:tcW w:w="314" w:type="pct"/>
            <w:tcBorders>
              <w:top w:val="single" w:sz="4" w:space="0" w:color="auto"/>
              <w:left w:val="nil"/>
              <w:bottom w:val="single" w:sz="4" w:space="0" w:color="auto"/>
              <w:right w:val="nil"/>
            </w:tcBorders>
            <w:vAlign w:val="center"/>
          </w:tcPr>
          <w:p w:rsidR="002A6AD7" w:rsidRPr="002A6AD7" w:rsidRDefault="002A6AD7" w:rsidP="002A6AD7">
            <w:pPr>
              <w:keepNext/>
              <w:snapToGrid w:val="0"/>
              <w:jc w:val="center"/>
              <w:rPr>
                <w:rFonts w:ascii="Arial Narrow" w:hAnsi="Arial Narrow" w:cs="Arial"/>
                <w:b/>
                <w:sz w:val="20"/>
                <w:szCs w:val="22"/>
                <w:lang w:eastAsia="en-US"/>
              </w:rPr>
            </w:pPr>
          </w:p>
        </w:tc>
        <w:tc>
          <w:tcPr>
            <w:tcW w:w="1942" w:type="pct"/>
            <w:gridSpan w:val="2"/>
            <w:tcBorders>
              <w:top w:val="single" w:sz="4" w:space="0" w:color="auto"/>
              <w:left w:val="nil"/>
              <w:bottom w:val="single" w:sz="4" w:space="0" w:color="auto"/>
              <w:right w:val="nil"/>
            </w:tcBorders>
            <w:vAlign w:val="center"/>
            <w:hideMark/>
          </w:tcPr>
          <w:p w:rsidR="002A6AD7" w:rsidRPr="002A6AD7" w:rsidRDefault="002A6AD7" w:rsidP="002A6AD7">
            <w:pPr>
              <w:keepNext/>
              <w:snapToGrid w:val="0"/>
              <w:jc w:val="center"/>
              <w:rPr>
                <w:rFonts w:ascii="Arial Narrow" w:hAnsi="Arial Narrow" w:cs="Arial"/>
                <w:b/>
                <w:sz w:val="20"/>
                <w:szCs w:val="22"/>
                <w:lang w:val="fr-FR" w:eastAsia="en-US"/>
              </w:rPr>
            </w:pPr>
            <w:r w:rsidRPr="002A6AD7">
              <w:rPr>
                <w:rFonts w:ascii="Arial Narrow" w:hAnsi="Arial Narrow" w:cs="Arial"/>
                <w:b/>
                <w:sz w:val="20"/>
                <w:szCs w:val="22"/>
                <w:lang w:eastAsia="en-US"/>
              </w:rPr>
              <w:t>Proprietary Name and Manufacturer</w:t>
            </w:r>
          </w:p>
        </w:tc>
      </w:tr>
      <w:tr w:rsidR="002A6AD7" w:rsidRPr="002A6AD7" w:rsidTr="00323918">
        <w:trPr>
          <w:cantSplit/>
          <w:trHeight w:val="259"/>
        </w:trPr>
        <w:tc>
          <w:tcPr>
            <w:tcW w:w="1405" w:type="pct"/>
            <w:gridSpan w:val="2"/>
            <w:hideMark/>
          </w:tcPr>
          <w:p w:rsidR="002A6AD7" w:rsidRDefault="002A6AD7" w:rsidP="002A6AD7">
            <w:pPr>
              <w:keepNext/>
              <w:snapToGrid w:val="0"/>
              <w:jc w:val="both"/>
              <w:rPr>
                <w:rFonts w:ascii="Arial Narrow" w:hAnsi="Arial Narrow" w:cs="Arial"/>
                <w:smallCaps/>
                <w:sz w:val="20"/>
                <w:szCs w:val="22"/>
                <w:lang w:eastAsia="en-US"/>
              </w:rPr>
            </w:pPr>
            <w:r>
              <w:rPr>
                <w:rFonts w:ascii="Arial Narrow" w:hAnsi="Arial Narrow" w:cs="Arial"/>
                <w:smallCaps/>
                <w:sz w:val="20"/>
                <w:szCs w:val="22"/>
                <w:lang w:eastAsia="en-US"/>
              </w:rPr>
              <w:t>BLINATUMOMAB</w:t>
            </w:r>
          </w:p>
          <w:p w:rsidR="002A6AD7" w:rsidRPr="002A6AD7" w:rsidRDefault="002A6AD7" w:rsidP="002A6AD7">
            <w:pPr>
              <w:keepNext/>
              <w:snapToGrid w:val="0"/>
              <w:jc w:val="both"/>
              <w:rPr>
                <w:rFonts w:ascii="Arial Narrow" w:hAnsi="Arial Narrow" w:cs="Arial"/>
                <w:sz w:val="20"/>
                <w:szCs w:val="22"/>
                <w:lang w:eastAsia="en-US"/>
              </w:rPr>
            </w:pPr>
          </w:p>
        </w:tc>
        <w:tc>
          <w:tcPr>
            <w:tcW w:w="472" w:type="pct"/>
            <w:vAlign w:val="center"/>
          </w:tcPr>
          <w:p w:rsidR="002A6AD7" w:rsidRPr="002A6AD7" w:rsidRDefault="002A6AD7" w:rsidP="002A6AD7">
            <w:pPr>
              <w:keepNext/>
              <w:snapToGrid w:val="0"/>
              <w:jc w:val="both"/>
              <w:rPr>
                <w:rFonts w:ascii="Arial Narrow" w:hAnsi="Arial Narrow" w:cs="Arial"/>
                <w:sz w:val="20"/>
                <w:szCs w:val="22"/>
                <w:lang w:eastAsia="en-US"/>
              </w:rPr>
            </w:pPr>
          </w:p>
        </w:tc>
        <w:tc>
          <w:tcPr>
            <w:tcW w:w="867" w:type="pct"/>
            <w:vAlign w:val="center"/>
          </w:tcPr>
          <w:p w:rsidR="002A6AD7" w:rsidRPr="002A6AD7" w:rsidRDefault="002A6AD7" w:rsidP="002A6AD7">
            <w:pPr>
              <w:keepNext/>
              <w:snapToGrid w:val="0"/>
              <w:jc w:val="both"/>
              <w:rPr>
                <w:rFonts w:ascii="Arial Narrow" w:hAnsi="Arial Narrow" w:cs="Arial"/>
                <w:sz w:val="20"/>
                <w:szCs w:val="22"/>
                <w:lang w:eastAsia="en-US"/>
              </w:rPr>
            </w:pPr>
          </w:p>
        </w:tc>
        <w:tc>
          <w:tcPr>
            <w:tcW w:w="314" w:type="pct"/>
            <w:vAlign w:val="center"/>
          </w:tcPr>
          <w:p w:rsidR="002A6AD7" w:rsidRPr="002A6AD7" w:rsidRDefault="002A6AD7" w:rsidP="002A6AD7">
            <w:pPr>
              <w:keepNext/>
              <w:snapToGrid w:val="0"/>
              <w:jc w:val="both"/>
              <w:rPr>
                <w:rFonts w:ascii="Arial Narrow" w:hAnsi="Arial Narrow" w:cs="Arial"/>
                <w:sz w:val="20"/>
                <w:szCs w:val="22"/>
                <w:lang w:eastAsia="en-US"/>
              </w:rPr>
            </w:pPr>
          </w:p>
        </w:tc>
        <w:tc>
          <w:tcPr>
            <w:tcW w:w="1160" w:type="pct"/>
            <w:vAlign w:val="center"/>
          </w:tcPr>
          <w:p w:rsidR="002A6AD7" w:rsidRPr="002A6AD7" w:rsidRDefault="002A6AD7" w:rsidP="002A6AD7">
            <w:pPr>
              <w:keepNext/>
              <w:snapToGrid w:val="0"/>
              <w:jc w:val="center"/>
              <w:rPr>
                <w:rFonts w:ascii="Arial Narrow" w:hAnsi="Arial Narrow" w:cs="Arial"/>
                <w:sz w:val="20"/>
                <w:szCs w:val="22"/>
                <w:lang w:eastAsia="en-US"/>
              </w:rPr>
            </w:pPr>
          </w:p>
        </w:tc>
        <w:tc>
          <w:tcPr>
            <w:tcW w:w="782" w:type="pct"/>
            <w:vAlign w:val="center"/>
          </w:tcPr>
          <w:p w:rsidR="002A6AD7" w:rsidRPr="002A6AD7" w:rsidRDefault="002A6AD7" w:rsidP="002A6AD7">
            <w:pPr>
              <w:keepNext/>
              <w:snapToGrid w:val="0"/>
              <w:jc w:val="both"/>
              <w:rPr>
                <w:rFonts w:ascii="Arial Narrow" w:hAnsi="Arial Narrow" w:cs="Arial"/>
                <w:sz w:val="20"/>
                <w:szCs w:val="22"/>
                <w:lang w:eastAsia="en-US"/>
              </w:rPr>
            </w:pPr>
          </w:p>
        </w:tc>
      </w:tr>
      <w:tr w:rsidR="002A6AD7" w:rsidRPr="002A6AD7" w:rsidTr="00323918">
        <w:trPr>
          <w:cantSplit/>
          <w:trHeight w:val="538"/>
        </w:trPr>
        <w:tc>
          <w:tcPr>
            <w:tcW w:w="1405" w:type="pct"/>
            <w:gridSpan w:val="2"/>
            <w:vAlign w:val="center"/>
            <w:hideMark/>
          </w:tcPr>
          <w:p w:rsidR="002A6AD7" w:rsidRPr="002A6AD7" w:rsidRDefault="002A6AD7" w:rsidP="002A6AD7">
            <w:pPr>
              <w:snapToGrid w:val="0"/>
              <w:jc w:val="both"/>
              <w:rPr>
                <w:rFonts w:ascii="Arial Narrow" w:hAnsi="Arial Narrow" w:cs="Arial"/>
                <w:sz w:val="20"/>
                <w:szCs w:val="22"/>
                <w:lang w:eastAsia="en-US"/>
              </w:rPr>
            </w:pPr>
            <w:r w:rsidRPr="002A6AD7">
              <w:rPr>
                <w:rFonts w:ascii="Arial Narrow" w:hAnsi="Arial Narrow" w:cs="Arial"/>
                <w:sz w:val="20"/>
                <w:szCs w:val="22"/>
                <w:lang w:eastAsia="en-US"/>
              </w:rPr>
              <w:t>38.5 microgram injection [1 vial] (&amp;) inert substance solution [10 mL vial], 1 pack</w:t>
            </w:r>
          </w:p>
        </w:tc>
        <w:tc>
          <w:tcPr>
            <w:tcW w:w="472" w:type="pct"/>
            <w:vAlign w:val="center"/>
            <w:hideMark/>
          </w:tcPr>
          <w:p w:rsidR="002A6AD7" w:rsidRPr="002A6AD7" w:rsidRDefault="002A6AD7" w:rsidP="002A6AD7">
            <w:pPr>
              <w:snapToGrid w:val="0"/>
              <w:jc w:val="center"/>
              <w:rPr>
                <w:rFonts w:ascii="Arial Narrow" w:hAnsi="Arial Narrow" w:cs="Arial"/>
                <w:sz w:val="20"/>
                <w:szCs w:val="22"/>
                <w:lang w:eastAsia="en-US"/>
              </w:rPr>
            </w:pPr>
            <w:r>
              <w:rPr>
                <w:rFonts w:ascii="Arial Narrow" w:hAnsi="Arial Narrow" w:cs="Arial"/>
                <w:sz w:val="20"/>
                <w:szCs w:val="22"/>
                <w:lang w:eastAsia="en-US"/>
              </w:rPr>
              <w:t>651</w:t>
            </w:r>
            <w:r w:rsidRPr="002A6AD7">
              <w:rPr>
                <w:rFonts w:ascii="Arial Narrow" w:hAnsi="Arial Narrow" w:cs="Arial"/>
                <w:sz w:val="20"/>
                <w:szCs w:val="22"/>
                <w:lang w:eastAsia="en-US"/>
              </w:rPr>
              <w:t xml:space="preserve"> mcg</w:t>
            </w:r>
          </w:p>
        </w:tc>
        <w:tc>
          <w:tcPr>
            <w:tcW w:w="867" w:type="pct"/>
            <w:vAlign w:val="center"/>
            <w:hideMark/>
          </w:tcPr>
          <w:p w:rsidR="002A6AD7" w:rsidRPr="002A6AD7" w:rsidRDefault="002A6AD7" w:rsidP="002A6AD7">
            <w:pPr>
              <w:keepNext/>
              <w:snapToGrid w:val="0"/>
              <w:jc w:val="center"/>
              <w:rPr>
                <w:rFonts w:ascii="Arial Narrow" w:hAnsi="Arial Narrow" w:cs="Arial"/>
                <w:sz w:val="20"/>
                <w:szCs w:val="22"/>
                <w:lang w:eastAsia="en-US"/>
              </w:rPr>
            </w:pPr>
            <w:r>
              <w:rPr>
                <w:rFonts w:ascii="Arial Narrow" w:hAnsi="Arial Narrow" w:cs="Arial"/>
                <w:sz w:val="20"/>
                <w:szCs w:val="22"/>
                <w:lang w:eastAsia="en-US"/>
              </w:rPr>
              <w:t>0</w:t>
            </w:r>
          </w:p>
        </w:tc>
        <w:tc>
          <w:tcPr>
            <w:tcW w:w="314" w:type="pct"/>
          </w:tcPr>
          <w:p w:rsidR="002A6AD7" w:rsidRPr="002A6AD7" w:rsidRDefault="002A6AD7" w:rsidP="002A6AD7">
            <w:pPr>
              <w:keepNext/>
              <w:snapToGrid w:val="0"/>
              <w:jc w:val="both"/>
              <w:rPr>
                <w:rFonts w:ascii="Arial Narrow" w:hAnsi="Arial Narrow" w:cs="Arial"/>
                <w:sz w:val="20"/>
                <w:szCs w:val="22"/>
                <w:lang w:eastAsia="en-US"/>
              </w:rPr>
            </w:pPr>
          </w:p>
        </w:tc>
        <w:tc>
          <w:tcPr>
            <w:tcW w:w="1160" w:type="pct"/>
            <w:vAlign w:val="center"/>
            <w:hideMark/>
          </w:tcPr>
          <w:p w:rsidR="002A6AD7" w:rsidRPr="002A6AD7" w:rsidRDefault="002A6AD7" w:rsidP="002A6AD7">
            <w:pPr>
              <w:keepNext/>
              <w:snapToGrid w:val="0"/>
              <w:jc w:val="center"/>
              <w:rPr>
                <w:rFonts w:ascii="Arial Narrow" w:hAnsi="Arial Narrow" w:cs="Arial"/>
                <w:sz w:val="20"/>
                <w:szCs w:val="22"/>
                <w:lang w:eastAsia="en-US"/>
              </w:rPr>
            </w:pPr>
            <w:r>
              <w:rPr>
                <w:rFonts w:ascii="Arial Narrow" w:hAnsi="Arial Narrow" w:cs="Arial"/>
                <w:sz w:val="20"/>
                <w:szCs w:val="22"/>
                <w:lang w:eastAsia="en-US"/>
              </w:rPr>
              <w:t>Blincyto</w:t>
            </w:r>
            <w:r w:rsidRPr="002A6AD7">
              <w:rPr>
                <w:rFonts w:ascii="Arial Narrow" w:hAnsi="Arial Narrow" w:cs="Arial"/>
                <w:sz w:val="20"/>
                <w:szCs w:val="22"/>
                <w:lang w:eastAsia="en-US"/>
              </w:rPr>
              <w:t>®</w:t>
            </w:r>
          </w:p>
        </w:tc>
        <w:tc>
          <w:tcPr>
            <w:tcW w:w="782" w:type="pct"/>
            <w:vAlign w:val="center"/>
            <w:hideMark/>
          </w:tcPr>
          <w:p w:rsidR="002A6AD7" w:rsidRPr="002A6AD7" w:rsidRDefault="002A6AD7" w:rsidP="002A6AD7">
            <w:pPr>
              <w:keepNext/>
              <w:snapToGrid w:val="0"/>
              <w:jc w:val="center"/>
              <w:rPr>
                <w:rFonts w:ascii="Arial Narrow" w:hAnsi="Arial Narrow" w:cs="Arial"/>
                <w:sz w:val="20"/>
                <w:szCs w:val="22"/>
                <w:lang w:eastAsia="en-US"/>
              </w:rPr>
            </w:pPr>
            <w:r>
              <w:rPr>
                <w:rFonts w:ascii="Arial Narrow" w:hAnsi="Arial Narrow" w:cs="Arial"/>
                <w:sz w:val="20"/>
                <w:szCs w:val="22"/>
                <w:lang w:eastAsia="en-US"/>
              </w:rPr>
              <w:t>Amgen</w:t>
            </w:r>
            <w:r w:rsidRPr="002A6AD7">
              <w:rPr>
                <w:rFonts w:ascii="Arial Narrow" w:hAnsi="Arial Narrow" w:cs="Arial"/>
                <w:sz w:val="20"/>
                <w:szCs w:val="22"/>
                <w:lang w:eastAsia="en-US"/>
              </w:rPr>
              <w:t xml:space="preserve"> Australia </w:t>
            </w:r>
          </w:p>
          <w:p w:rsidR="002A6AD7" w:rsidRPr="002A6AD7" w:rsidRDefault="002A6AD7" w:rsidP="002A6AD7">
            <w:pPr>
              <w:keepNext/>
              <w:snapToGrid w:val="0"/>
              <w:jc w:val="center"/>
              <w:rPr>
                <w:rFonts w:ascii="Arial Narrow" w:hAnsi="Arial Narrow" w:cs="Arial"/>
                <w:sz w:val="20"/>
                <w:szCs w:val="22"/>
                <w:lang w:eastAsia="en-US"/>
              </w:rPr>
            </w:pPr>
            <w:r w:rsidRPr="002A6AD7">
              <w:rPr>
                <w:rFonts w:ascii="Arial Narrow" w:hAnsi="Arial Narrow" w:cs="Arial"/>
                <w:sz w:val="20"/>
                <w:szCs w:val="22"/>
                <w:lang w:eastAsia="en-US"/>
              </w:rPr>
              <w:t>P/L</w:t>
            </w:r>
          </w:p>
        </w:tc>
      </w:tr>
      <w:tr w:rsidR="002A6AD7"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S100 – Efficient Funding of Chemotherapy (EFC)</w:t>
            </w:r>
          </w:p>
        </w:tc>
      </w:tr>
      <w:tr w:rsidR="002A6AD7"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Acute lymphoblastic leukaemia (ALL)</w:t>
            </w:r>
          </w:p>
        </w:tc>
      </w:tr>
      <w:tr w:rsidR="002A6AD7"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Induction treatment</w:t>
            </w:r>
          </w:p>
        </w:tc>
      </w:tr>
      <w:tr w:rsidR="002A6AD7"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Authority Required - In Writing</w:t>
            </w:r>
          </w:p>
        </w:tc>
      </w:tr>
      <w:tr w:rsidR="002A6AD7"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be relapsed or refractory B-precursor cell ALL, with an Eastern Cooperative Oncology Group (ECOG) performance status of 2 or less</w:t>
            </w:r>
            <w:r w:rsidR="00FD0C63">
              <w:rPr>
                <w:rFonts w:ascii="Arial Narrow" w:hAnsi="Arial Narrow" w:cs="Arial"/>
                <w:sz w:val="20"/>
                <w:szCs w:val="20"/>
                <w:lang w:eastAsia="en-US"/>
              </w:rPr>
              <w:t>,</w:t>
            </w:r>
          </w:p>
          <w:p w:rsid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2A6AD7" w:rsidRDefault="002A6AD7" w:rsidP="002A6AD7">
            <w:pPr>
              <w:snapToGrid w:val="0"/>
              <w:rPr>
                <w:rFonts w:ascii="Arial Narrow" w:hAnsi="Arial Narrow" w:cs="Arial"/>
                <w:sz w:val="20"/>
                <w:szCs w:val="20"/>
                <w:lang w:eastAsia="en-US"/>
              </w:rPr>
            </w:pPr>
            <w:r>
              <w:rPr>
                <w:rFonts w:ascii="Arial Narrow" w:hAnsi="Arial Narrow" w:cs="Arial"/>
                <w:sz w:val="20"/>
                <w:szCs w:val="20"/>
                <w:lang w:eastAsia="en-US"/>
              </w:rPr>
              <w:t>The condition must not be present in the central nervous system or testis</w:t>
            </w:r>
            <w:r w:rsidR="00FD0C63">
              <w:rPr>
                <w:rFonts w:ascii="Arial Narrow" w:hAnsi="Arial Narrow" w:cs="Arial"/>
                <w:sz w:val="20"/>
                <w:szCs w:val="20"/>
                <w:lang w:eastAsia="en-US"/>
              </w:rPr>
              <w:t>,</w:t>
            </w:r>
          </w:p>
          <w:p w:rsidR="002A6AD7" w:rsidRDefault="002A6AD7" w:rsidP="002A6AD7">
            <w:pPr>
              <w:snapToGrid w:val="0"/>
              <w:rPr>
                <w:rFonts w:ascii="Arial Narrow" w:hAnsi="Arial Narrow" w:cs="Arial"/>
                <w:sz w:val="20"/>
                <w:szCs w:val="20"/>
                <w:lang w:eastAsia="en-US"/>
              </w:rPr>
            </w:pPr>
            <w:r>
              <w:rPr>
                <w:rFonts w:ascii="Arial Narrow" w:hAnsi="Arial Narrow" w:cs="Arial"/>
                <w:sz w:val="20"/>
                <w:szCs w:val="20"/>
                <w:lang w:eastAsia="en-US"/>
              </w:rPr>
              <w:t>AND</w:t>
            </w:r>
          </w:p>
          <w:p w:rsidR="002A6AD7" w:rsidRDefault="002A6AD7" w:rsidP="002A6AD7">
            <w:pPr>
              <w:snapToGrid w:val="0"/>
              <w:rPr>
                <w:rFonts w:ascii="Arial Narrow" w:hAnsi="Arial Narrow" w:cs="Arial"/>
                <w:strike/>
                <w:sz w:val="20"/>
                <w:szCs w:val="20"/>
                <w:lang w:eastAsia="en-US"/>
              </w:rPr>
            </w:pPr>
            <w:r w:rsidRPr="002A6AD7">
              <w:rPr>
                <w:rFonts w:ascii="Arial Narrow" w:hAnsi="Arial Narrow" w:cs="Arial"/>
                <w:strike/>
                <w:sz w:val="20"/>
                <w:szCs w:val="20"/>
                <w:lang w:eastAsia="en-US"/>
              </w:rPr>
              <w:t>The condition must be Philadelphia chromosome negative</w:t>
            </w:r>
          </w:p>
          <w:p w:rsidR="00FD0C63" w:rsidRDefault="00FD0C63" w:rsidP="002A6AD7">
            <w:pPr>
              <w:snapToGrid w:val="0"/>
              <w:rPr>
                <w:rFonts w:ascii="Arial Narrow" w:hAnsi="Arial Narrow" w:cs="Arial"/>
                <w:i/>
                <w:sz w:val="20"/>
                <w:szCs w:val="20"/>
                <w:lang w:eastAsia="en-US"/>
              </w:rPr>
            </w:pPr>
            <w:r>
              <w:rPr>
                <w:rFonts w:ascii="Arial Narrow" w:hAnsi="Arial Narrow" w:cs="Arial"/>
                <w:i/>
                <w:sz w:val="20"/>
                <w:szCs w:val="20"/>
                <w:lang w:eastAsia="en-US"/>
              </w:rPr>
              <w:t>Patient must have previously received a tyrosine kinase</w:t>
            </w:r>
            <w:r w:rsidR="00C9690C">
              <w:rPr>
                <w:rFonts w:ascii="Arial Narrow" w:hAnsi="Arial Narrow" w:cs="Arial"/>
                <w:i/>
                <w:sz w:val="20"/>
                <w:szCs w:val="20"/>
                <w:lang w:eastAsia="en-US"/>
              </w:rPr>
              <w:t xml:space="preserve"> inhibitor</w:t>
            </w:r>
            <w:r>
              <w:rPr>
                <w:rFonts w:ascii="Arial Narrow" w:hAnsi="Arial Narrow" w:cs="Arial"/>
                <w:i/>
                <w:sz w:val="20"/>
                <w:szCs w:val="20"/>
                <w:lang w:eastAsia="en-US"/>
              </w:rPr>
              <w:t xml:space="preserve"> </w:t>
            </w:r>
            <w:r w:rsidR="0016320B">
              <w:rPr>
                <w:rFonts w:ascii="Arial Narrow" w:hAnsi="Arial Narrow" w:cs="Arial"/>
                <w:i/>
                <w:sz w:val="20"/>
                <w:szCs w:val="20"/>
                <w:lang w:eastAsia="en-US"/>
              </w:rPr>
              <w:t>if</w:t>
            </w:r>
            <w:r>
              <w:rPr>
                <w:rFonts w:ascii="Arial Narrow" w:hAnsi="Arial Narrow" w:cs="Arial"/>
                <w:i/>
                <w:sz w:val="20"/>
                <w:szCs w:val="20"/>
                <w:lang w:eastAsia="en-US"/>
              </w:rPr>
              <w:t xml:space="preserve"> the condition is Philadelphia chromosome positive,</w:t>
            </w:r>
          </w:p>
          <w:p w:rsidR="00FD0C63" w:rsidRPr="002A6AD7" w:rsidRDefault="00FD0C63" w:rsidP="002A6AD7">
            <w:pPr>
              <w:snapToGrid w:val="0"/>
              <w:rPr>
                <w:rFonts w:ascii="Arial Narrow" w:hAnsi="Arial Narrow" w:cs="Arial"/>
                <w:sz w:val="20"/>
                <w:szCs w:val="20"/>
                <w:lang w:eastAsia="en-US"/>
              </w:rPr>
            </w:pPr>
            <w:r w:rsidRPr="00F93058">
              <w:rPr>
                <w:rFonts w:ascii="Arial Narrow" w:hAnsi="Arial Narrow" w:cs="Arial"/>
                <w:sz w:val="20"/>
                <w:szCs w:val="20"/>
                <w:lang w:eastAsia="en-US"/>
              </w:rPr>
              <w:t>AND</w:t>
            </w:r>
          </w:p>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Patient must have received intensive combination chemotherapy for initial treatment of ALL or subsequent salvage therapy,</w:t>
            </w:r>
          </w:p>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Patient must not have received more than 1 line of salvage therapy</w:t>
            </w:r>
            <w:r w:rsidR="00FD0C63">
              <w:rPr>
                <w:rFonts w:ascii="Arial Narrow" w:hAnsi="Arial Narrow" w:cs="Arial"/>
                <w:sz w:val="20"/>
                <w:szCs w:val="20"/>
                <w:lang w:eastAsia="en-US"/>
              </w:rPr>
              <w:t>,</w:t>
            </w:r>
          </w:p>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have more than 5% blasts in bone marrow,</w:t>
            </w:r>
          </w:p>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2A6AD7" w:rsidRP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The treatment must not be </w:t>
            </w:r>
            <w:r w:rsidR="00FD0C63">
              <w:rPr>
                <w:rFonts w:ascii="Arial Narrow" w:hAnsi="Arial Narrow" w:cs="Arial"/>
                <w:sz w:val="20"/>
                <w:szCs w:val="20"/>
                <w:lang w:eastAsia="en-US"/>
              </w:rPr>
              <w:t>more than 2</w:t>
            </w:r>
            <w:r w:rsidRPr="002A6AD7">
              <w:rPr>
                <w:rFonts w:ascii="Arial Narrow" w:hAnsi="Arial Narrow" w:cs="Arial"/>
                <w:sz w:val="20"/>
                <w:szCs w:val="20"/>
                <w:lang w:eastAsia="en-US"/>
              </w:rPr>
              <w:t xml:space="preserve"> treatment cycles under this restriction in a lifetime.</w:t>
            </w:r>
          </w:p>
        </w:tc>
      </w:tr>
      <w:tr w:rsidR="002A6AD7"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Prescriber instructions:</w:t>
            </w:r>
          </w:p>
        </w:tc>
        <w:tc>
          <w:tcPr>
            <w:tcW w:w="3748" w:type="pct"/>
            <w:gridSpan w:val="6"/>
            <w:tcBorders>
              <w:top w:val="single" w:sz="4" w:space="0" w:color="auto"/>
              <w:left w:val="single" w:sz="4" w:space="0" w:color="auto"/>
              <w:bottom w:val="single" w:sz="4" w:space="0" w:color="auto"/>
              <w:right w:val="single" w:sz="4" w:space="0" w:color="auto"/>
            </w:tcBorders>
          </w:tcPr>
          <w:p w:rsidR="002A6AD7" w:rsidRDefault="002A6AD7" w:rsidP="002A6AD7">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 </w:t>
            </w:r>
            <w:r w:rsidR="00FD0C63" w:rsidRPr="00FD0C63">
              <w:rPr>
                <w:rFonts w:ascii="Arial Narrow" w:hAnsi="Arial Narrow" w:cs="Arial"/>
                <w:sz w:val="20"/>
                <w:szCs w:val="20"/>
                <w:lang w:eastAsia="en-US"/>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rsidR="00FD0C63" w:rsidRDefault="00FD0C63" w:rsidP="002A6AD7">
            <w:pPr>
              <w:snapToGrid w:val="0"/>
              <w:rPr>
                <w:rFonts w:ascii="Arial Narrow" w:hAnsi="Arial Narrow" w:cs="Arial"/>
                <w:sz w:val="20"/>
                <w:szCs w:val="20"/>
                <w:lang w:eastAsia="en-US"/>
              </w:rPr>
            </w:pPr>
          </w:p>
          <w:p w:rsidR="00FD0C63" w:rsidRDefault="00FD0C63" w:rsidP="002A6AD7">
            <w:pPr>
              <w:snapToGrid w:val="0"/>
              <w:rPr>
                <w:rFonts w:ascii="Arial Narrow" w:hAnsi="Arial Narrow" w:cs="Arial"/>
                <w:sz w:val="20"/>
                <w:szCs w:val="20"/>
                <w:lang w:eastAsia="en-US"/>
              </w:rPr>
            </w:pPr>
            <w:r w:rsidRPr="00FD0C63">
              <w:rPr>
                <w:rFonts w:ascii="Arial Narrow" w:hAnsi="Arial Narrow" w:cs="Arial"/>
                <w:sz w:val="20"/>
                <w:szCs w:val="20"/>
                <w:lang w:eastAsia="en-US"/>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rsidR="00FD0C63" w:rsidRDefault="00FD0C63" w:rsidP="002A6AD7">
            <w:pPr>
              <w:snapToGrid w:val="0"/>
              <w:rPr>
                <w:rFonts w:ascii="Arial Narrow" w:hAnsi="Arial Narrow" w:cs="Arial"/>
                <w:sz w:val="20"/>
                <w:szCs w:val="20"/>
                <w:lang w:eastAsia="en-US"/>
              </w:rPr>
            </w:pPr>
          </w:p>
          <w:p w:rsidR="00FD0C63" w:rsidRDefault="00FD0C63" w:rsidP="002A6AD7">
            <w:pPr>
              <w:snapToGrid w:val="0"/>
              <w:rPr>
                <w:rFonts w:ascii="Arial Narrow" w:hAnsi="Arial Narrow" w:cs="Arial"/>
                <w:sz w:val="20"/>
                <w:szCs w:val="20"/>
                <w:lang w:eastAsia="en-US"/>
              </w:rPr>
            </w:pPr>
            <w:r w:rsidRPr="00FD0C63">
              <w:rPr>
                <w:rFonts w:ascii="Arial Narrow" w:hAnsi="Arial Narrow" w:cs="Arial"/>
                <w:sz w:val="20"/>
                <w:szCs w:val="20"/>
                <w:lang w:eastAsia="en-US"/>
              </w:rPr>
              <w:t>Blinatumomab is not PBS-subsidised if it is administered to an in-patient in a public hospital setting.</w:t>
            </w:r>
          </w:p>
          <w:p w:rsidR="00FD0C63" w:rsidRDefault="00FD0C63" w:rsidP="002A6AD7">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The authority application must be made in writing and must include:</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(1) a completed authority prescription form;</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(2) a completed Acute Lymphoblastic Leukaemia PBS Authority Application - Supporting Information Form; and</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(3) date of most recent chemotherapy, and if this was the initial chemotherapy regimen or salvage therapy, including what line of salvage; and</w:t>
            </w:r>
          </w:p>
          <w:p w:rsidR="00FD0C63" w:rsidRPr="00FD0C63" w:rsidRDefault="00FD0C63" w:rsidP="00FD0C63">
            <w:pPr>
              <w:snapToGrid w:val="0"/>
              <w:rPr>
                <w:rFonts w:ascii="Arial Narrow" w:hAnsi="Arial Narrow" w:cs="Arial"/>
                <w:sz w:val="20"/>
                <w:szCs w:val="20"/>
                <w:lang w:eastAsia="en-US"/>
              </w:rPr>
            </w:pPr>
          </w:p>
          <w:p w:rsidR="00FD0C63" w:rsidRPr="002A6AD7"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(4) a copy of the most recent bone marrow biopsy report of no more than one month old at the time of application.</w:t>
            </w:r>
          </w:p>
        </w:tc>
      </w:tr>
      <w:tr w:rsidR="002A6AD7" w:rsidRPr="002A6AD7" w:rsidTr="00DE31C3">
        <w:trPr>
          <w:trHeight w:val="1136"/>
        </w:trPr>
        <w:tc>
          <w:tcPr>
            <w:tcW w:w="1252" w:type="pct"/>
            <w:tcBorders>
              <w:top w:val="single" w:sz="4" w:space="0" w:color="auto"/>
              <w:left w:val="single" w:sz="4" w:space="0" w:color="auto"/>
              <w:bottom w:val="single" w:sz="4" w:space="0" w:color="auto"/>
              <w:right w:val="single" w:sz="4" w:space="0" w:color="auto"/>
            </w:tcBorders>
            <w:hideMark/>
          </w:tcPr>
          <w:p w:rsidR="002A6AD7" w:rsidRPr="002A6AD7" w:rsidRDefault="002A6AD7" w:rsidP="002A6AD7">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Any queries concerning the arrangements to prescribe may be directed to the Department of Human Services on 1800 700 270 (hours of operation 8 a.m. to 5 p.m. EST Monday to Friday).</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Prescribing information (including Authority Application forms and other relevant documentation as applicable) is available on the Department of Human Services website at www.humanservices.gov.au</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Applications for authority to prescribe should be forwarded to:</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Department of Human Services</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Complex Drugs Programs</w:t>
            </w:r>
          </w:p>
          <w:p w:rsidR="00FD0C63" w:rsidRPr="00FD0C63" w:rsidRDefault="00FD0C63" w:rsidP="00FD0C63">
            <w:pPr>
              <w:snapToGrid w:val="0"/>
              <w:rPr>
                <w:rFonts w:ascii="Arial Narrow" w:hAnsi="Arial Narrow" w:cs="Arial"/>
                <w:sz w:val="20"/>
                <w:szCs w:val="20"/>
                <w:lang w:eastAsia="en-US"/>
              </w:rPr>
            </w:pPr>
          </w:p>
          <w:p w:rsidR="00FD0C63" w:rsidRPr="00FD0C63"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Reply Paid 9826</w:t>
            </w:r>
          </w:p>
          <w:p w:rsidR="00FD0C63" w:rsidRPr="00FD0C63" w:rsidRDefault="00FD0C63" w:rsidP="00FD0C63">
            <w:pPr>
              <w:snapToGrid w:val="0"/>
              <w:rPr>
                <w:rFonts w:ascii="Arial Narrow" w:hAnsi="Arial Narrow" w:cs="Arial"/>
                <w:sz w:val="20"/>
                <w:szCs w:val="20"/>
                <w:lang w:eastAsia="en-US"/>
              </w:rPr>
            </w:pPr>
          </w:p>
          <w:p w:rsidR="002A6AD7" w:rsidRDefault="00FD0C63" w:rsidP="00FD0C63">
            <w:pPr>
              <w:snapToGrid w:val="0"/>
              <w:rPr>
                <w:rFonts w:ascii="Arial Narrow" w:hAnsi="Arial Narrow" w:cs="Arial"/>
                <w:sz w:val="20"/>
                <w:szCs w:val="20"/>
                <w:lang w:eastAsia="en-US"/>
              </w:rPr>
            </w:pPr>
            <w:r w:rsidRPr="00FD0C63">
              <w:rPr>
                <w:rFonts w:ascii="Arial Narrow" w:hAnsi="Arial Narrow" w:cs="Arial"/>
                <w:sz w:val="20"/>
                <w:szCs w:val="20"/>
                <w:lang w:eastAsia="en-US"/>
              </w:rPr>
              <w:t>HOBART TAS 700</w:t>
            </w:r>
            <w:r>
              <w:rPr>
                <w:rFonts w:ascii="Arial Narrow" w:hAnsi="Arial Narrow" w:cs="Arial"/>
                <w:sz w:val="20"/>
                <w:szCs w:val="20"/>
                <w:lang w:eastAsia="en-US"/>
              </w:rPr>
              <w:t xml:space="preserve"> </w:t>
            </w:r>
          </w:p>
          <w:p w:rsidR="00F93058" w:rsidRDefault="00F93058" w:rsidP="00FD0C63">
            <w:pPr>
              <w:snapToGrid w:val="0"/>
              <w:rPr>
                <w:rFonts w:ascii="Arial Narrow" w:hAnsi="Arial Narrow" w:cs="Arial"/>
                <w:sz w:val="20"/>
                <w:szCs w:val="20"/>
                <w:lang w:eastAsia="en-US"/>
              </w:rPr>
            </w:pPr>
            <w:r w:rsidRPr="00F93058">
              <w:rPr>
                <w:rFonts w:ascii="Arial Narrow" w:hAnsi="Arial Narrow" w:cs="Arial"/>
                <w:sz w:val="20"/>
                <w:szCs w:val="20"/>
                <w:lang w:eastAsia="en-US"/>
              </w:rPr>
              <w:t>No increase in the maximum quantity or number of units may be authorised.</w:t>
            </w:r>
          </w:p>
          <w:p w:rsidR="00F93058" w:rsidRDefault="00F93058" w:rsidP="00FD0C63">
            <w:pPr>
              <w:snapToGrid w:val="0"/>
              <w:rPr>
                <w:rFonts w:ascii="Arial Narrow" w:hAnsi="Arial Narrow" w:cs="Arial"/>
                <w:sz w:val="20"/>
                <w:szCs w:val="20"/>
                <w:lang w:eastAsia="en-US"/>
              </w:rPr>
            </w:pPr>
          </w:p>
          <w:p w:rsidR="00F93058" w:rsidRDefault="00F93058" w:rsidP="00FD0C63">
            <w:pPr>
              <w:snapToGrid w:val="0"/>
              <w:rPr>
                <w:rFonts w:ascii="Arial Narrow" w:hAnsi="Arial Narrow" w:cs="Arial"/>
                <w:sz w:val="20"/>
                <w:szCs w:val="20"/>
                <w:lang w:eastAsia="en-US"/>
              </w:rPr>
            </w:pPr>
            <w:r w:rsidRPr="00F93058">
              <w:rPr>
                <w:rFonts w:ascii="Arial Narrow" w:hAnsi="Arial Narrow" w:cs="Arial"/>
                <w:sz w:val="20"/>
                <w:szCs w:val="20"/>
                <w:lang w:eastAsia="en-US"/>
              </w:rPr>
              <w:t>No increase in the maximum number of repeats may be authorised.</w:t>
            </w:r>
          </w:p>
          <w:p w:rsidR="00F93058" w:rsidRDefault="00F93058" w:rsidP="00FD0C63">
            <w:pPr>
              <w:snapToGrid w:val="0"/>
              <w:rPr>
                <w:rFonts w:ascii="Arial Narrow" w:hAnsi="Arial Narrow" w:cs="Arial"/>
                <w:sz w:val="20"/>
                <w:szCs w:val="20"/>
                <w:lang w:eastAsia="en-US"/>
              </w:rPr>
            </w:pPr>
          </w:p>
          <w:p w:rsidR="002A6AD7" w:rsidRPr="002A6AD7" w:rsidRDefault="00F93058" w:rsidP="002A6AD7">
            <w:pPr>
              <w:snapToGrid w:val="0"/>
              <w:rPr>
                <w:rFonts w:ascii="Arial Narrow" w:hAnsi="Arial Narrow" w:cs="Arial"/>
                <w:sz w:val="20"/>
                <w:szCs w:val="20"/>
                <w:lang w:eastAsia="en-US"/>
              </w:rPr>
            </w:pPr>
            <w:r w:rsidRPr="00F93058">
              <w:rPr>
                <w:rFonts w:ascii="Arial Narrow" w:hAnsi="Arial Narrow" w:cs="Arial"/>
                <w:sz w:val="20"/>
                <w:szCs w:val="20"/>
                <w:lang w:eastAsia="en-US"/>
              </w:rPr>
              <w:t>Special Pricing Arrangements apply.</w:t>
            </w:r>
          </w:p>
        </w:tc>
      </w:tr>
      <w:tr w:rsidR="00DE31C3" w:rsidRPr="002A6AD7" w:rsidTr="00DE31C3">
        <w:trPr>
          <w:trHeight w:val="1136"/>
        </w:trPr>
        <w:tc>
          <w:tcPr>
            <w:tcW w:w="1252" w:type="pct"/>
            <w:tcBorders>
              <w:top w:val="single" w:sz="4" w:space="0" w:color="auto"/>
              <w:left w:val="single" w:sz="4" w:space="0" w:color="auto"/>
              <w:bottom w:val="single" w:sz="4" w:space="0" w:color="auto"/>
              <w:right w:val="single" w:sz="4" w:space="0" w:color="auto"/>
            </w:tcBorders>
          </w:tcPr>
          <w:p w:rsidR="00DE31C3" w:rsidRPr="002A6AD7" w:rsidRDefault="00DE31C3" w:rsidP="00DE31C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Cautions:</w:t>
            </w:r>
          </w:p>
        </w:tc>
        <w:tc>
          <w:tcPr>
            <w:tcW w:w="3748" w:type="pct"/>
            <w:gridSpan w:val="6"/>
            <w:tcBorders>
              <w:top w:val="single" w:sz="4" w:space="0" w:color="auto"/>
              <w:left w:val="single" w:sz="4" w:space="0" w:color="auto"/>
              <w:bottom w:val="single" w:sz="4" w:space="0" w:color="auto"/>
              <w:right w:val="single" w:sz="4" w:space="0" w:color="auto"/>
            </w:tcBorders>
          </w:tcPr>
          <w:p w:rsidR="00DE31C3" w:rsidRPr="00FD0C63" w:rsidRDefault="00DE31C3" w:rsidP="00DE31C3">
            <w:pPr>
              <w:snapToGrid w:val="0"/>
              <w:rPr>
                <w:rFonts w:ascii="Arial Narrow" w:hAnsi="Arial Narrow" w:cs="Arial"/>
                <w:sz w:val="20"/>
                <w:szCs w:val="20"/>
                <w:lang w:eastAsia="en-US"/>
              </w:rPr>
            </w:pPr>
            <w:r w:rsidRPr="00FD0C63">
              <w:rPr>
                <w:rFonts w:ascii="Arial Narrow" w:hAnsi="Arial Narrow" w:cs="Arial"/>
                <w:sz w:val="20"/>
                <w:szCs w:val="20"/>
                <w:lang w:eastAsia="en-US"/>
              </w:rPr>
              <w:t>Careful monitoring of patients is required due to risk of developing life-threatening Cytokine Release Syndrome, neurological toxicities and reactivation of John Cunningham virus (JC) viral infection.</w:t>
            </w:r>
            <w:r>
              <w:rPr>
                <w:rFonts w:ascii="Arial Narrow" w:hAnsi="Arial Narrow" w:cs="Arial"/>
                <w:sz w:val="20"/>
                <w:szCs w:val="20"/>
                <w:lang w:eastAsia="en-US"/>
              </w:rPr>
              <w:t xml:space="preserve"> </w:t>
            </w:r>
          </w:p>
        </w:tc>
      </w:tr>
      <w:tr w:rsidR="002A6AD7"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tcPr>
          <w:p w:rsidR="002A6AD7" w:rsidRPr="002A6AD7" w:rsidRDefault="002A6AD7" w:rsidP="002A6AD7">
            <w:pPr>
              <w:snapToGrid w:val="0"/>
              <w:jc w:val="both"/>
              <w:rPr>
                <w:rFonts w:ascii="Arial Narrow" w:hAnsi="Arial Narrow" w:cs="Arial"/>
                <w:sz w:val="2"/>
                <w:szCs w:val="2"/>
                <w:lang w:eastAsia="en-US"/>
              </w:rPr>
            </w:pPr>
          </w:p>
        </w:tc>
        <w:tc>
          <w:tcPr>
            <w:tcW w:w="3748" w:type="pct"/>
            <w:gridSpan w:val="6"/>
            <w:tcBorders>
              <w:top w:val="single" w:sz="4" w:space="0" w:color="auto"/>
              <w:left w:val="single" w:sz="4" w:space="0" w:color="auto"/>
              <w:bottom w:val="single" w:sz="4" w:space="0" w:color="auto"/>
              <w:right w:val="single" w:sz="4" w:space="0" w:color="auto"/>
            </w:tcBorders>
          </w:tcPr>
          <w:p w:rsidR="002A6AD7" w:rsidRPr="002A6AD7" w:rsidRDefault="002A6AD7" w:rsidP="002A6AD7">
            <w:pPr>
              <w:snapToGrid w:val="0"/>
              <w:jc w:val="both"/>
              <w:rPr>
                <w:rFonts w:ascii="Arial Narrow" w:hAnsi="Arial Narrow" w:cs="Arial"/>
                <w:color w:val="000000"/>
                <w:sz w:val="2"/>
                <w:szCs w:val="2"/>
                <w:lang w:eastAsia="en-US"/>
              </w:rPr>
            </w:pPr>
          </w:p>
        </w:tc>
      </w:tr>
    </w:tbl>
    <w:p w:rsidR="00362E4D" w:rsidRDefault="00362E4D" w:rsidP="009801B1">
      <w:pPr>
        <w:rPr>
          <w:lang w:eastAsia="en-US"/>
        </w:rPr>
      </w:pPr>
    </w:p>
    <w:tbl>
      <w:tblPr>
        <w:tblW w:w="4977" w:type="pct"/>
        <w:tblInd w:w="28" w:type="dxa"/>
        <w:tblCellMar>
          <w:left w:w="28" w:type="dxa"/>
          <w:right w:w="28" w:type="dxa"/>
        </w:tblCellMar>
        <w:tblLook w:val="04A0" w:firstRow="1" w:lastRow="0" w:firstColumn="1" w:lastColumn="0" w:noHBand="0" w:noVBand="1"/>
      </w:tblPr>
      <w:tblGrid>
        <w:gridCol w:w="2247"/>
        <w:gridCol w:w="6728"/>
      </w:tblGrid>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Category/Program:</w:t>
            </w:r>
          </w:p>
        </w:tc>
        <w:tc>
          <w:tcPr>
            <w:tcW w:w="3748"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S100 – Efficient Funding of Chemotherapy (EFC)</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PBS indication:</w:t>
            </w:r>
          </w:p>
        </w:tc>
        <w:tc>
          <w:tcPr>
            <w:tcW w:w="3748"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Acute lymphoblastic leukaemia (ALL)</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Treatment phase:</w:t>
            </w:r>
          </w:p>
        </w:tc>
        <w:tc>
          <w:tcPr>
            <w:tcW w:w="3748"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Induction treatment</w:t>
            </w:r>
            <w:r>
              <w:rPr>
                <w:rFonts w:ascii="Arial Narrow" w:hAnsi="Arial Narrow" w:cs="Arial"/>
                <w:sz w:val="20"/>
                <w:szCs w:val="20"/>
                <w:lang w:eastAsia="en-US"/>
              </w:rPr>
              <w:t xml:space="preserve"> – balance of supply </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Restriction:</w:t>
            </w:r>
          </w:p>
        </w:tc>
        <w:tc>
          <w:tcPr>
            <w:tcW w:w="3748"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62E4D">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Authority Required - </w:t>
            </w:r>
            <w:r>
              <w:rPr>
                <w:rFonts w:ascii="Arial Narrow" w:hAnsi="Arial Narrow" w:cs="Arial"/>
                <w:sz w:val="20"/>
                <w:szCs w:val="20"/>
                <w:lang w:eastAsia="en-US"/>
              </w:rPr>
              <w:t>Telephone</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Clinical criteria:</w:t>
            </w:r>
          </w:p>
        </w:tc>
        <w:tc>
          <w:tcPr>
            <w:tcW w:w="3748"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be relapsed or refractory B-precursor cell ALL, with an Eastern Cooperative Oncology Group (ECOG) performance status of 2 or less</w:t>
            </w:r>
            <w:r>
              <w:rPr>
                <w:rFonts w:ascii="Arial Narrow" w:hAnsi="Arial Narrow" w:cs="Arial"/>
                <w:sz w:val="20"/>
                <w:szCs w:val="20"/>
                <w:lang w:eastAsia="en-US"/>
              </w:rPr>
              <w:t>,</w:t>
            </w:r>
          </w:p>
          <w:p w:rsidR="00362E4D"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362E4D" w:rsidRDefault="00362E4D" w:rsidP="00323918">
            <w:pPr>
              <w:snapToGrid w:val="0"/>
              <w:rPr>
                <w:rFonts w:ascii="Arial Narrow" w:hAnsi="Arial Narrow" w:cs="Arial"/>
                <w:sz w:val="20"/>
                <w:szCs w:val="20"/>
                <w:lang w:eastAsia="en-US"/>
              </w:rPr>
            </w:pPr>
            <w:r>
              <w:rPr>
                <w:rFonts w:ascii="Arial Narrow" w:hAnsi="Arial Narrow" w:cs="Arial"/>
                <w:sz w:val="20"/>
                <w:szCs w:val="20"/>
                <w:lang w:eastAsia="en-US"/>
              </w:rPr>
              <w:t>The condition must not be present in the central nervous system or testis,</w:t>
            </w:r>
          </w:p>
          <w:p w:rsidR="00362E4D" w:rsidRDefault="00362E4D" w:rsidP="00323918">
            <w:pPr>
              <w:snapToGrid w:val="0"/>
              <w:rPr>
                <w:rFonts w:ascii="Arial Narrow" w:hAnsi="Arial Narrow" w:cs="Arial"/>
                <w:sz w:val="20"/>
                <w:szCs w:val="20"/>
                <w:lang w:eastAsia="en-US"/>
              </w:rPr>
            </w:pPr>
            <w:r>
              <w:rPr>
                <w:rFonts w:ascii="Arial Narrow" w:hAnsi="Arial Narrow" w:cs="Arial"/>
                <w:sz w:val="20"/>
                <w:szCs w:val="20"/>
                <w:lang w:eastAsia="en-US"/>
              </w:rPr>
              <w:t>AND</w:t>
            </w:r>
          </w:p>
          <w:p w:rsidR="00362E4D" w:rsidRDefault="00362E4D" w:rsidP="00323918">
            <w:pPr>
              <w:snapToGrid w:val="0"/>
              <w:rPr>
                <w:rFonts w:ascii="Arial Narrow" w:hAnsi="Arial Narrow" w:cs="Arial"/>
                <w:strike/>
                <w:sz w:val="20"/>
                <w:szCs w:val="20"/>
                <w:lang w:eastAsia="en-US"/>
              </w:rPr>
            </w:pPr>
            <w:r w:rsidRPr="002A6AD7">
              <w:rPr>
                <w:rFonts w:ascii="Arial Narrow" w:hAnsi="Arial Narrow" w:cs="Arial"/>
                <w:strike/>
                <w:sz w:val="20"/>
                <w:szCs w:val="20"/>
                <w:lang w:eastAsia="en-US"/>
              </w:rPr>
              <w:t>The condition must be Philadelphia chromosome negative</w:t>
            </w:r>
          </w:p>
          <w:p w:rsidR="00362E4D" w:rsidRDefault="00362E4D" w:rsidP="00323918">
            <w:pPr>
              <w:snapToGrid w:val="0"/>
              <w:rPr>
                <w:rFonts w:ascii="Arial Narrow" w:hAnsi="Arial Narrow" w:cs="Arial"/>
                <w:i/>
                <w:sz w:val="20"/>
                <w:szCs w:val="20"/>
                <w:lang w:eastAsia="en-US"/>
              </w:rPr>
            </w:pPr>
            <w:r>
              <w:rPr>
                <w:rFonts w:ascii="Arial Narrow" w:hAnsi="Arial Narrow" w:cs="Arial"/>
                <w:i/>
                <w:sz w:val="20"/>
                <w:szCs w:val="20"/>
                <w:lang w:eastAsia="en-US"/>
              </w:rPr>
              <w:t>Patient must have previously received a tyrosine kinase inhibitor if the condition is Philadelphia chromosome positive,</w:t>
            </w:r>
          </w:p>
          <w:p w:rsidR="00362E4D" w:rsidRPr="002A6AD7" w:rsidRDefault="00362E4D" w:rsidP="00323918">
            <w:pPr>
              <w:snapToGrid w:val="0"/>
              <w:rPr>
                <w:rFonts w:ascii="Arial Narrow" w:hAnsi="Arial Narrow" w:cs="Arial"/>
                <w:sz w:val="20"/>
                <w:szCs w:val="20"/>
                <w:lang w:eastAsia="en-US"/>
              </w:rPr>
            </w:pPr>
            <w:r w:rsidRPr="00F93058">
              <w:rPr>
                <w:rFonts w:ascii="Arial Narrow" w:hAnsi="Arial Narrow" w:cs="Arial"/>
                <w:sz w:val="20"/>
                <w:szCs w:val="20"/>
                <w:lang w:eastAsia="en-US"/>
              </w:rPr>
              <w:t>AND</w:t>
            </w:r>
          </w:p>
          <w:p w:rsidR="00362E4D" w:rsidRPr="002A6AD7" w:rsidRDefault="00362E4D" w:rsidP="00323918">
            <w:pPr>
              <w:snapToGrid w:val="0"/>
              <w:rPr>
                <w:rFonts w:ascii="Arial Narrow" w:hAnsi="Arial Narrow" w:cs="Arial"/>
                <w:sz w:val="20"/>
                <w:szCs w:val="20"/>
                <w:lang w:eastAsia="en-US"/>
              </w:rPr>
            </w:pPr>
            <w:r w:rsidRPr="00362E4D">
              <w:rPr>
                <w:rFonts w:ascii="Arial Narrow" w:hAnsi="Arial Narrow" w:cs="Arial"/>
                <w:sz w:val="20"/>
                <w:szCs w:val="20"/>
                <w:lang w:eastAsia="en-US"/>
              </w:rPr>
              <w:t>Patient must have received insufficient therapy with this agent for this condition under the Induction treatment restriction to complete a maximum of 2</w:t>
            </w:r>
            <w:r>
              <w:rPr>
                <w:rFonts w:ascii="Arial Narrow" w:hAnsi="Arial Narrow" w:cs="Arial"/>
                <w:sz w:val="20"/>
                <w:szCs w:val="20"/>
                <w:lang w:eastAsia="en-US"/>
              </w:rPr>
              <w:t xml:space="preserve"> treatment cycles in a lifetime</w:t>
            </w:r>
            <w:r w:rsidRPr="002A6AD7">
              <w:rPr>
                <w:rFonts w:ascii="Arial Narrow" w:hAnsi="Arial Narrow" w:cs="Arial"/>
                <w:sz w:val="20"/>
                <w:szCs w:val="20"/>
                <w:lang w:eastAsia="en-US"/>
              </w:rPr>
              <w:t>.</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Prescriber instructions:</w:t>
            </w:r>
          </w:p>
        </w:tc>
        <w:tc>
          <w:tcPr>
            <w:tcW w:w="3748" w:type="pct"/>
            <w:tcBorders>
              <w:top w:val="single" w:sz="4" w:space="0" w:color="auto"/>
              <w:left w:val="single" w:sz="4" w:space="0" w:color="auto"/>
              <w:bottom w:val="single" w:sz="4" w:space="0" w:color="auto"/>
              <w:right w:val="single" w:sz="4" w:space="0" w:color="auto"/>
            </w:tcBorders>
          </w:tcPr>
          <w:p w:rsidR="00362E4D" w:rsidRDefault="00362E4D" w:rsidP="00362E4D">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 </w:t>
            </w:r>
            <w:r w:rsidRPr="00362E4D">
              <w:rPr>
                <w:rFonts w:ascii="Arial Narrow" w:hAnsi="Arial Narrow" w:cs="Arial"/>
                <w:sz w:val="20"/>
                <w:szCs w:val="20"/>
                <w:lang w:eastAsia="en-US"/>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rsidR="00362E4D" w:rsidRDefault="00362E4D" w:rsidP="00362E4D">
            <w:pPr>
              <w:snapToGrid w:val="0"/>
              <w:rPr>
                <w:rFonts w:ascii="Arial Narrow" w:hAnsi="Arial Narrow" w:cs="Arial"/>
                <w:sz w:val="20"/>
                <w:szCs w:val="20"/>
                <w:lang w:eastAsia="en-US"/>
              </w:rPr>
            </w:pPr>
          </w:p>
          <w:p w:rsidR="00362E4D" w:rsidRDefault="00362E4D" w:rsidP="00362E4D">
            <w:pPr>
              <w:snapToGrid w:val="0"/>
              <w:rPr>
                <w:rFonts w:ascii="Arial Narrow" w:hAnsi="Arial Narrow" w:cs="Arial"/>
                <w:sz w:val="20"/>
                <w:szCs w:val="20"/>
                <w:lang w:eastAsia="en-US"/>
              </w:rPr>
            </w:pPr>
            <w:r w:rsidRPr="00362E4D">
              <w:rPr>
                <w:rFonts w:ascii="Arial Narrow" w:hAnsi="Arial Narrow" w:cs="Arial"/>
                <w:sz w:val="20"/>
                <w:szCs w:val="20"/>
                <w:lang w:eastAsia="en-US"/>
              </w:rPr>
              <w:t>An amount of 784 mcg will be sufficient for a continuous infusion of blinatumomab over 28 days in cycle 2.</w:t>
            </w:r>
          </w:p>
          <w:p w:rsidR="00362E4D" w:rsidRDefault="00362E4D" w:rsidP="00362E4D">
            <w:pPr>
              <w:snapToGrid w:val="0"/>
              <w:rPr>
                <w:rFonts w:ascii="Arial Narrow" w:hAnsi="Arial Narrow" w:cs="Arial"/>
                <w:sz w:val="20"/>
                <w:szCs w:val="20"/>
                <w:lang w:eastAsia="en-US"/>
              </w:rPr>
            </w:pPr>
          </w:p>
          <w:p w:rsidR="00362E4D" w:rsidRPr="002A6AD7" w:rsidRDefault="00362E4D" w:rsidP="00362E4D">
            <w:pPr>
              <w:snapToGrid w:val="0"/>
              <w:rPr>
                <w:rFonts w:ascii="Arial Narrow" w:hAnsi="Arial Narrow" w:cs="Arial"/>
                <w:sz w:val="20"/>
                <w:szCs w:val="20"/>
                <w:lang w:eastAsia="en-US"/>
              </w:rPr>
            </w:pPr>
            <w:r w:rsidRPr="00362E4D">
              <w:rPr>
                <w:rFonts w:ascii="Arial Narrow" w:hAnsi="Arial Narrow" w:cs="Arial"/>
                <w:sz w:val="20"/>
                <w:szCs w:val="20"/>
                <w:lang w:eastAsia="en-US"/>
              </w:rPr>
              <w:t>Blinatumomab is not PBS-subsidised if it is administered to an in-patient in a public hospital setting.</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Administrative advice</w:t>
            </w:r>
          </w:p>
        </w:tc>
        <w:tc>
          <w:tcPr>
            <w:tcW w:w="3748" w:type="pct"/>
            <w:tcBorders>
              <w:top w:val="single" w:sz="4" w:space="0" w:color="auto"/>
              <w:left w:val="single" w:sz="4" w:space="0" w:color="auto"/>
              <w:bottom w:val="single" w:sz="4" w:space="0" w:color="auto"/>
              <w:right w:val="single" w:sz="4" w:space="0" w:color="auto"/>
            </w:tcBorders>
          </w:tcPr>
          <w:p w:rsidR="00362E4D" w:rsidRDefault="00362E4D" w:rsidP="00323918">
            <w:pPr>
              <w:snapToGrid w:val="0"/>
              <w:rPr>
                <w:rFonts w:ascii="Arial Narrow" w:hAnsi="Arial Narrow" w:cs="Arial"/>
                <w:sz w:val="20"/>
                <w:szCs w:val="20"/>
                <w:lang w:eastAsia="en-US"/>
              </w:rPr>
            </w:pPr>
            <w:r w:rsidRPr="00362E4D">
              <w:rPr>
                <w:rFonts w:ascii="Arial Narrow" w:hAnsi="Arial Narrow" w:cs="Arial"/>
                <w:sz w:val="20"/>
                <w:szCs w:val="20"/>
                <w:lang w:eastAsia="en-US"/>
              </w:rPr>
              <w:t>Applications for authorisation under this criterion may be made by telephone by contacting the Department of Human Services on 1800 700 270 (hours of operation 8 a.m. to 5 p.m. EST Monday to Friday).</w:t>
            </w:r>
          </w:p>
          <w:p w:rsidR="00B80BBC" w:rsidRDefault="00B80BBC" w:rsidP="00323918">
            <w:pPr>
              <w:snapToGrid w:val="0"/>
              <w:rPr>
                <w:rFonts w:ascii="Arial Narrow" w:hAnsi="Arial Narrow" w:cs="Arial"/>
                <w:sz w:val="20"/>
                <w:szCs w:val="20"/>
                <w:lang w:eastAsia="en-US"/>
              </w:rPr>
            </w:pPr>
          </w:p>
          <w:p w:rsidR="00B80BBC" w:rsidRDefault="00B80BBC" w:rsidP="00323918">
            <w:pPr>
              <w:snapToGrid w:val="0"/>
              <w:rPr>
                <w:rFonts w:ascii="Arial Narrow" w:hAnsi="Arial Narrow" w:cs="Arial"/>
                <w:sz w:val="20"/>
                <w:szCs w:val="20"/>
                <w:lang w:eastAsia="en-US"/>
              </w:rPr>
            </w:pPr>
            <w:r w:rsidRPr="00B80BBC">
              <w:rPr>
                <w:rFonts w:ascii="Arial Narrow" w:hAnsi="Arial Narrow" w:cs="Arial"/>
                <w:sz w:val="20"/>
                <w:szCs w:val="20"/>
                <w:lang w:eastAsia="en-US"/>
              </w:rPr>
              <w:t>No increase in the maximum quantity or number of units may be authorised.</w:t>
            </w:r>
          </w:p>
          <w:p w:rsidR="00B80BBC" w:rsidRDefault="00B80BBC" w:rsidP="00323918">
            <w:pPr>
              <w:snapToGrid w:val="0"/>
              <w:rPr>
                <w:rFonts w:ascii="Arial Narrow" w:hAnsi="Arial Narrow" w:cs="Arial"/>
                <w:sz w:val="20"/>
                <w:szCs w:val="20"/>
                <w:lang w:eastAsia="en-US"/>
              </w:rPr>
            </w:pPr>
          </w:p>
          <w:p w:rsidR="00B80BBC" w:rsidRDefault="00B80BBC" w:rsidP="00323918">
            <w:pPr>
              <w:snapToGrid w:val="0"/>
              <w:rPr>
                <w:rFonts w:ascii="Arial Narrow" w:hAnsi="Arial Narrow" w:cs="Arial"/>
                <w:sz w:val="20"/>
                <w:szCs w:val="20"/>
                <w:lang w:eastAsia="en-US"/>
              </w:rPr>
            </w:pPr>
            <w:r w:rsidRPr="00B80BBC">
              <w:rPr>
                <w:rFonts w:ascii="Arial Narrow" w:hAnsi="Arial Narrow" w:cs="Arial"/>
                <w:sz w:val="20"/>
                <w:szCs w:val="20"/>
                <w:lang w:eastAsia="en-US"/>
              </w:rPr>
              <w:t>No increase in the maximum number of repeats may be authorised.</w:t>
            </w:r>
          </w:p>
          <w:p w:rsidR="00B80BBC" w:rsidRDefault="00B80BBC" w:rsidP="00323918">
            <w:pPr>
              <w:snapToGrid w:val="0"/>
              <w:rPr>
                <w:rFonts w:ascii="Arial Narrow" w:hAnsi="Arial Narrow" w:cs="Arial"/>
                <w:sz w:val="20"/>
                <w:szCs w:val="20"/>
                <w:lang w:eastAsia="en-US"/>
              </w:rPr>
            </w:pPr>
          </w:p>
          <w:p w:rsidR="00B80BBC" w:rsidRPr="002A6AD7" w:rsidRDefault="00B80BBC" w:rsidP="00323918">
            <w:pPr>
              <w:snapToGrid w:val="0"/>
              <w:rPr>
                <w:rFonts w:ascii="Arial Narrow" w:hAnsi="Arial Narrow" w:cs="Arial"/>
                <w:sz w:val="20"/>
                <w:szCs w:val="20"/>
                <w:lang w:eastAsia="en-US"/>
              </w:rPr>
            </w:pPr>
            <w:r w:rsidRPr="00B80BBC">
              <w:rPr>
                <w:rFonts w:ascii="Arial Narrow" w:hAnsi="Arial Narrow" w:cs="Arial"/>
                <w:sz w:val="20"/>
                <w:szCs w:val="20"/>
                <w:lang w:eastAsia="en-US"/>
              </w:rPr>
              <w:t>Special Pricing Arrangements apply.</w:t>
            </w:r>
            <w:r w:rsidR="00737BFB">
              <w:rPr>
                <w:rFonts w:ascii="Arial Narrow" w:hAnsi="Arial Narrow" w:cs="Arial"/>
                <w:sz w:val="20"/>
                <w:szCs w:val="20"/>
                <w:lang w:eastAsia="en-US"/>
              </w:rPr>
              <w:t xml:space="preserve"> </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Cautions:</w:t>
            </w:r>
          </w:p>
        </w:tc>
        <w:tc>
          <w:tcPr>
            <w:tcW w:w="3748"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362E4D">
              <w:rPr>
                <w:rFonts w:ascii="Arial Narrow" w:hAnsi="Arial Narrow" w:cs="Arial"/>
                <w:sz w:val="20"/>
                <w:szCs w:val="20"/>
                <w:lang w:eastAsia="en-US"/>
              </w:rPr>
              <w:t>Careful monitoring of patients is required due to risk of developing life-threatening Cytokine Release Syndrome, neurological toxicities and reactivation of John Cunningham virus (JC) viral infection.</w:t>
            </w:r>
            <w:r>
              <w:rPr>
                <w:rFonts w:ascii="Arial Narrow" w:hAnsi="Arial Narrow" w:cs="Arial"/>
                <w:sz w:val="20"/>
                <w:szCs w:val="20"/>
                <w:lang w:eastAsia="en-US"/>
              </w:rPr>
              <w:t xml:space="preserve"> </w:t>
            </w:r>
          </w:p>
        </w:tc>
      </w:tr>
    </w:tbl>
    <w:p w:rsidR="00C82E79" w:rsidRDefault="00C82E79" w:rsidP="00362E4D">
      <w:pPr>
        <w:rPr>
          <w:lang w:eastAsia="en-US"/>
        </w:rPr>
      </w:pPr>
    </w:p>
    <w:p w:rsidR="00362E4D" w:rsidRDefault="00362E4D" w:rsidP="00362E4D">
      <w:pPr>
        <w:rPr>
          <w:lang w:eastAsia="en-US"/>
        </w:rPr>
      </w:pP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558"/>
        <w:gridCol w:w="564"/>
        <w:gridCol w:w="2084"/>
        <w:gridCol w:w="1405"/>
      </w:tblGrid>
      <w:tr w:rsidR="00362E4D" w:rsidRPr="002A6AD7" w:rsidTr="00323918">
        <w:trPr>
          <w:cantSplit/>
          <w:trHeight w:val="463"/>
        </w:trPr>
        <w:tc>
          <w:tcPr>
            <w:tcW w:w="1405" w:type="pct"/>
            <w:gridSpan w:val="2"/>
            <w:tcBorders>
              <w:top w:val="single" w:sz="4" w:space="0" w:color="auto"/>
              <w:left w:val="nil"/>
              <w:bottom w:val="single" w:sz="4" w:space="0" w:color="auto"/>
              <w:right w:val="nil"/>
            </w:tcBorders>
            <w:vAlign w:val="center"/>
            <w:hideMark/>
          </w:tcPr>
          <w:p w:rsidR="00362E4D" w:rsidRPr="002A6AD7" w:rsidRDefault="00362E4D" w:rsidP="00323918">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Name, Restriction,</w:t>
            </w:r>
          </w:p>
          <w:p w:rsidR="00362E4D" w:rsidRPr="002A6AD7" w:rsidRDefault="00362E4D" w:rsidP="00323918">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Manner of administration and form</w:t>
            </w:r>
          </w:p>
        </w:tc>
        <w:tc>
          <w:tcPr>
            <w:tcW w:w="472" w:type="pct"/>
            <w:tcBorders>
              <w:top w:val="single" w:sz="4" w:space="0" w:color="auto"/>
              <w:left w:val="nil"/>
              <w:bottom w:val="single" w:sz="4" w:space="0" w:color="auto"/>
              <w:right w:val="nil"/>
            </w:tcBorders>
            <w:vAlign w:val="center"/>
            <w:hideMark/>
          </w:tcPr>
          <w:p w:rsidR="00362E4D" w:rsidRPr="002A6AD7" w:rsidRDefault="00362E4D"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Max.</w:t>
            </w:r>
          </w:p>
          <w:p w:rsidR="00362E4D" w:rsidRPr="002A6AD7" w:rsidRDefault="00362E4D"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Amt</w:t>
            </w:r>
          </w:p>
        </w:tc>
        <w:tc>
          <w:tcPr>
            <w:tcW w:w="867" w:type="pct"/>
            <w:tcBorders>
              <w:top w:val="single" w:sz="4" w:space="0" w:color="auto"/>
              <w:left w:val="nil"/>
              <w:bottom w:val="single" w:sz="4" w:space="0" w:color="auto"/>
              <w:right w:val="nil"/>
            </w:tcBorders>
            <w:vAlign w:val="center"/>
            <w:hideMark/>
          </w:tcPr>
          <w:p w:rsidR="00362E4D" w:rsidRPr="002A6AD7" w:rsidRDefault="00362E4D"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№.of</w:t>
            </w:r>
          </w:p>
          <w:p w:rsidR="00362E4D" w:rsidRPr="002A6AD7" w:rsidRDefault="00362E4D"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Rpts</w:t>
            </w:r>
          </w:p>
        </w:tc>
        <w:tc>
          <w:tcPr>
            <w:tcW w:w="314" w:type="pct"/>
            <w:tcBorders>
              <w:top w:val="single" w:sz="4" w:space="0" w:color="auto"/>
              <w:left w:val="nil"/>
              <w:bottom w:val="single" w:sz="4" w:space="0" w:color="auto"/>
              <w:right w:val="nil"/>
            </w:tcBorders>
            <w:vAlign w:val="center"/>
          </w:tcPr>
          <w:p w:rsidR="00362E4D" w:rsidRPr="002A6AD7" w:rsidRDefault="00362E4D" w:rsidP="00323918">
            <w:pPr>
              <w:keepNext/>
              <w:snapToGrid w:val="0"/>
              <w:jc w:val="center"/>
              <w:rPr>
                <w:rFonts w:ascii="Arial Narrow" w:hAnsi="Arial Narrow" w:cs="Arial"/>
                <w:b/>
                <w:sz w:val="20"/>
                <w:szCs w:val="22"/>
                <w:lang w:eastAsia="en-US"/>
              </w:rPr>
            </w:pPr>
          </w:p>
        </w:tc>
        <w:tc>
          <w:tcPr>
            <w:tcW w:w="1942" w:type="pct"/>
            <w:gridSpan w:val="2"/>
            <w:tcBorders>
              <w:top w:val="single" w:sz="4" w:space="0" w:color="auto"/>
              <w:left w:val="nil"/>
              <w:bottom w:val="single" w:sz="4" w:space="0" w:color="auto"/>
              <w:right w:val="nil"/>
            </w:tcBorders>
            <w:vAlign w:val="center"/>
            <w:hideMark/>
          </w:tcPr>
          <w:p w:rsidR="00362E4D" w:rsidRPr="002A6AD7" w:rsidRDefault="00362E4D" w:rsidP="00323918">
            <w:pPr>
              <w:keepNext/>
              <w:snapToGrid w:val="0"/>
              <w:jc w:val="center"/>
              <w:rPr>
                <w:rFonts w:ascii="Arial Narrow" w:hAnsi="Arial Narrow" w:cs="Arial"/>
                <w:b/>
                <w:sz w:val="20"/>
                <w:szCs w:val="22"/>
                <w:lang w:val="fr-FR" w:eastAsia="en-US"/>
              </w:rPr>
            </w:pPr>
            <w:r w:rsidRPr="002A6AD7">
              <w:rPr>
                <w:rFonts w:ascii="Arial Narrow" w:hAnsi="Arial Narrow" w:cs="Arial"/>
                <w:b/>
                <w:sz w:val="20"/>
                <w:szCs w:val="22"/>
                <w:lang w:eastAsia="en-US"/>
              </w:rPr>
              <w:t>Proprietary Name and Manufacturer</w:t>
            </w:r>
          </w:p>
        </w:tc>
      </w:tr>
      <w:tr w:rsidR="00362E4D" w:rsidRPr="002A6AD7" w:rsidTr="00323918">
        <w:trPr>
          <w:cantSplit/>
          <w:trHeight w:val="259"/>
        </w:trPr>
        <w:tc>
          <w:tcPr>
            <w:tcW w:w="1405" w:type="pct"/>
            <w:gridSpan w:val="2"/>
            <w:hideMark/>
          </w:tcPr>
          <w:p w:rsidR="00362E4D" w:rsidRDefault="00362E4D" w:rsidP="00323918">
            <w:pPr>
              <w:keepNext/>
              <w:snapToGrid w:val="0"/>
              <w:jc w:val="both"/>
              <w:rPr>
                <w:rFonts w:ascii="Arial Narrow" w:hAnsi="Arial Narrow" w:cs="Arial"/>
                <w:smallCaps/>
                <w:sz w:val="20"/>
                <w:szCs w:val="22"/>
                <w:lang w:eastAsia="en-US"/>
              </w:rPr>
            </w:pPr>
            <w:r>
              <w:rPr>
                <w:rFonts w:ascii="Arial Narrow" w:hAnsi="Arial Narrow" w:cs="Arial"/>
                <w:smallCaps/>
                <w:sz w:val="20"/>
                <w:szCs w:val="22"/>
                <w:lang w:eastAsia="en-US"/>
              </w:rPr>
              <w:t>INOTUZUMAB OZOGAMICIN</w:t>
            </w:r>
          </w:p>
          <w:p w:rsidR="00362E4D" w:rsidRPr="002A6AD7" w:rsidRDefault="00362E4D" w:rsidP="00323918">
            <w:pPr>
              <w:keepNext/>
              <w:snapToGrid w:val="0"/>
              <w:jc w:val="both"/>
              <w:rPr>
                <w:rFonts w:ascii="Arial Narrow" w:hAnsi="Arial Narrow" w:cs="Arial"/>
                <w:sz w:val="20"/>
                <w:szCs w:val="22"/>
                <w:lang w:eastAsia="en-US"/>
              </w:rPr>
            </w:pPr>
          </w:p>
        </w:tc>
        <w:tc>
          <w:tcPr>
            <w:tcW w:w="472" w:type="pct"/>
            <w:vAlign w:val="center"/>
          </w:tcPr>
          <w:p w:rsidR="00362E4D" w:rsidRPr="002A6AD7" w:rsidRDefault="00362E4D" w:rsidP="00323918">
            <w:pPr>
              <w:keepNext/>
              <w:snapToGrid w:val="0"/>
              <w:jc w:val="both"/>
              <w:rPr>
                <w:rFonts w:ascii="Arial Narrow" w:hAnsi="Arial Narrow" w:cs="Arial"/>
                <w:sz w:val="20"/>
                <w:szCs w:val="22"/>
                <w:lang w:eastAsia="en-US"/>
              </w:rPr>
            </w:pPr>
          </w:p>
        </w:tc>
        <w:tc>
          <w:tcPr>
            <w:tcW w:w="867" w:type="pct"/>
            <w:vAlign w:val="center"/>
          </w:tcPr>
          <w:p w:rsidR="00362E4D" w:rsidRPr="002A6AD7" w:rsidRDefault="00362E4D" w:rsidP="00323918">
            <w:pPr>
              <w:keepNext/>
              <w:snapToGrid w:val="0"/>
              <w:jc w:val="both"/>
              <w:rPr>
                <w:rFonts w:ascii="Arial Narrow" w:hAnsi="Arial Narrow" w:cs="Arial"/>
                <w:sz w:val="20"/>
                <w:szCs w:val="22"/>
                <w:lang w:eastAsia="en-US"/>
              </w:rPr>
            </w:pPr>
          </w:p>
        </w:tc>
        <w:tc>
          <w:tcPr>
            <w:tcW w:w="314" w:type="pct"/>
            <w:vAlign w:val="center"/>
          </w:tcPr>
          <w:p w:rsidR="00362E4D" w:rsidRPr="002A6AD7" w:rsidRDefault="00362E4D" w:rsidP="00323918">
            <w:pPr>
              <w:keepNext/>
              <w:snapToGrid w:val="0"/>
              <w:jc w:val="both"/>
              <w:rPr>
                <w:rFonts w:ascii="Arial Narrow" w:hAnsi="Arial Narrow" w:cs="Arial"/>
                <w:sz w:val="20"/>
                <w:szCs w:val="22"/>
                <w:lang w:eastAsia="en-US"/>
              </w:rPr>
            </w:pPr>
          </w:p>
        </w:tc>
        <w:tc>
          <w:tcPr>
            <w:tcW w:w="1160" w:type="pct"/>
            <w:vAlign w:val="center"/>
          </w:tcPr>
          <w:p w:rsidR="00362E4D" w:rsidRPr="002A6AD7" w:rsidRDefault="00362E4D" w:rsidP="00323918">
            <w:pPr>
              <w:keepNext/>
              <w:snapToGrid w:val="0"/>
              <w:jc w:val="center"/>
              <w:rPr>
                <w:rFonts w:ascii="Arial Narrow" w:hAnsi="Arial Narrow" w:cs="Arial"/>
                <w:sz w:val="20"/>
                <w:szCs w:val="22"/>
                <w:lang w:eastAsia="en-US"/>
              </w:rPr>
            </w:pPr>
          </w:p>
        </w:tc>
        <w:tc>
          <w:tcPr>
            <w:tcW w:w="782" w:type="pct"/>
            <w:vAlign w:val="center"/>
          </w:tcPr>
          <w:p w:rsidR="00362E4D" w:rsidRPr="002A6AD7" w:rsidRDefault="00362E4D" w:rsidP="00323918">
            <w:pPr>
              <w:keepNext/>
              <w:snapToGrid w:val="0"/>
              <w:jc w:val="both"/>
              <w:rPr>
                <w:rFonts w:ascii="Arial Narrow" w:hAnsi="Arial Narrow" w:cs="Arial"/>
                <w:sz w:val="20"/>
                <w:szCs w:val="22"/>
                <w:lang w:eastAsia="en-US"/>
              </w:rPr>
            </w:pPr>
          </w:p>
        </w:tc>
      </w:tr>
      <w:tr w:rsidR="00362E4D" w:rsidRPr="002A6AD7" w:rsidTr="00323918">
        <w:trPr>
          <w:cantSplit/>
          <w:trHeight w:val="538"/>
        </w:trPr>
        <w:tc>
          <w:tcPr>
            <w:tcW w:w="1405" w:type="pct"/>
            <w:gridSpan w:val="2"/>
            <w:vAlign w:val="center"/>
            <w:hideMark/>
          </w:tcPr>
          <w:p w:rsidR="00362E4D" w:rsidRPr="002A6AD7" w:rsidRDefault="00AA6236" w:rsidP="00AA6236">
            <w:pPr>
              <w:snapToGrid w:val="0"/>
              <w:jc w:val="both"/>
              <w:rPr>
                <w:rFonts w:ascii="Arial Narrow" w:hAnsi="Arial Narrow" w:cs="Arial"/>
                <w:sz w:val="20"/>
                <w:szCs w:val="22"/>
                <w:lang w:eastAsia="en-US"/>
              </w:rPr>
            </w:pPr>
            <w:r>
              <w:rPr>
                <w:rFonts w:ascii="Arial Narrow" w:hAnsi="Arial Narrow" w:cs="Arial"/>
                <w:sz w:val="20"/>
                <w:szCs w:val="22"/>
                <w:lang w:eastAsia="en-US"/>
              </w:rPr>
              <w:t xml:space="preserve">1 mg injection, 1 vial </w:t>
            </w:r>
          </w:p>
        </w:tc>
        <w:tc>
          <w:tcPr>
            <w:tcW w:w="472" w:type="pct"/>
            <w:vAlign w:val="center"/>
            <w:hideMark/>
          </w:tcPr>
          <w:p w:rsidR="00362E4D" w:rsidRPr="002A6AD7" w:rsidRDefault="00AA6236" w:rsidP="00323918">
            <w:pPr>
              <w:snapToGrid w:val="0"/>
              <w:jc w:val="center"/>
              <w:rPr>
                <w:rFonts w:ascii="Arial Narrow" w:hAnsi="Arial Narrow" w:cs="Arial"/>
                <w:sz w:val="20"/>
                <w:szCs w:val="22"/>
                <w:lang w:eastAsia="en-US"/>
              </w:rPr>
            </w:pPr>
            <w:r>
              <w:rPr>
                <w:rFonts w:ascii="Arial Narrow" w:hAnsi="Arial Narrow" w:cs="Arial"/>
                <w:sz w:val="20"/>
                <w:szCs w:val="22"/>
                <w:lang w:eastAsia="en-US"/>
              </w:rPr>
              <w:t>3384</w:t>
            </w:r>
            <w:r w:rsidR="00362E4D" w:rsidRPr="002A6AD7">
              <w:rPr>
                <w:rFonts w:ascii="Arial Narrow" w:hAnsi="Arial Narrow" w:cs="Arial"/>
                <w:sz w:val="20"/>
                <w:szCs w:val="22"/>
                <w:lang w:eastAsia="en-US"/>
              </w:rPr>
              <w:t xml:space="preserve"> mcg</w:t>
            </w:r>
          </w:p>
        </w:tc>
        <w:tc>
          <w:tcPr>
            <w:tcW w:w="867" w:type="pct"/>
            <w:vAlign w:val="center"/>
            <w:hideMark/>
          </w:tcPr>
          <w:p w:rsidR="00362E4D" w:rsidRPr="002A6AD7" w:rsidRDefault="00AA6236" w:rsidP="00323918">
            <w:pPr>
              <w:keepNext/>
              <w:snapToGrid w:val="0"/>
              <w:jc w:val="center"/>
              <w:rPr>
                <w:rFonts w:ascii="Arial Narrow" w:hAnsi="Arial Narrow" w:cs="Arial"/>
                <w:sz w:val="20"/>
                <w:szCs w:val="22"/>
                <w:lang w:eastAsia="en-US"/>
              </w:rPr>
            </w:pPr>
            <w:r>
              <w:rPr>
                <w:rFonts w:ascii="Arial Narrow" w:hAnsi="Arial Narrow" w:cs="Arial"/>
                <w:sz w:val="20"/>
                <w:szCs w:val="22"/>
                <w:lang w:eastAsia="en-US"/>
              </w:rPr>
              <w:t>2</w:t>
            </w:r>
          </w:p>
        </w:tc>
        <w:tc>
          <w:tcPr>
            <w:tcW w:w="314" w:type="pct"/>
          </w:tcPr>
          <w:p w:rsidR="00362E4D" w:rsidRPr="002A6AD7" w:rsidRDefault="00362E4D" w:rsidP="00323918">
            <w:pPr>
              <w:keepNext/>
              <w:snapToGrid w:val="0"/>
              <w:jc w:val="both"/>
              <w:rPr>
                <w:rFonts w:ascii="Arial Narrow" w:hAnsi="Arial Narrow" w:cs="Arial"/>
                <w:sz w:val="20"/>
                <w:szCs w:val="22"/>
                <w:lang w:eastAsia="en-US"/>
              </w:rPr>
            </w:pPr>
          </w:p>
        </w:tc>
        <w:tc>
          <w:tcPr>
            <w:tcW w:w="1160" w:type="pct"/>
            <w:vAlign w:val="center"/>
            <w:hideMark/>
          </w:tcPr>
          <w:p w:rsidR="00362E4D" w:rsidRPr="002A6AD7" w:rsidRDefault="00362E4D" w:rsidP="00323918">
            <w:pPr>
              <w:keepNext/>
              <w:snapToGrid w:val="0"/>
              <w:jc w:val="center"/>
              <w:rPr>
                <w:rFonts w:ascii="Arial Narrow" w:hAnsi="Arial Narrow" w:cs="Arial"/>
                <w:sz w:val="20"/>
                <w:szCs w:val="22"/>
                <w:lang w:eastAsia="en-US"/>
              </w:rPr>
            </w:pPr>
            <w:r>
              <w:rPr>
                <w:rFonts w:ascii="Arial Narrow" w:hAnsi="Arial Narrow" w:cs="Arial"/>
                <w:sz w:val="20"/>
                <w:szCs w:val="22"/>
                <w:lang w:eastAsia="en-US"/>
              </w:rPr>
              <w:t>Besponsa</w:t>
            </w:r>
            <w:r w:rsidRPr="002A6AD7">
              <w:rPr>
                <w:rFonts w:ascii="Arial Narrow" w:hAnsi="Arial Narrow" w:cs="Arial"/>
                <w:sz w:val="20"/>
                <w:szCs w:val="22"/>
                <w:lang w:eastAsia="en-US"/>
              </w:rPr>
              <w:t>®</w:t>
            </w:r>
          </w:p>
        </w:tc>
        <w:tc>
          <w:tcPr>
            <w:tcW w:w="782" w:type="pct"/>
            <w:vAlign w:val="center"/>
            <w:hideMark/>
          </w:tcPr>
          <w:p w:rsidR="00362E4D" w:rsidRPr="002A6AD7" w:rsidRDefault="00362E4D" w:rsidP="00323918">
            <w:pPr>
              <w:keepNext/>
              <w:snapToGrid w:val="0"/>
              <w:jc w:val="center"/>
              <w:rPr>
                <w:rFonts w:ascii="Arial Narrow" w:hAnsi="Arial Narrow" w:cs="Arial"/>
                <w:sz w:val="20"/>
                <w:szCs w:val="22"/>
                <w:lang w:eastAsia="en-US"/>
              </w:rPr>
            </w:pPr>
            <w:r>
              <w:rPr>
                <w:rFonts w:ascii="Arial Narrow" w:hAnsi="Arial Narrow" w:cs="Arial"/>
                <w:sz w:val="20"/>
                <w:szCs w:val="22"/>
                <w:lang w:eastAsia="en-US"/>
              </w:rPr>
              <w:t>Pfizer</w:t>
            </w:r>
            <w:r w:rsidRPr="002A6AD7">
              <w:rPr>
                <w:rFonts w:ascii="Arial Narrow" w:hAnsi="Arial Narrow" w:cs="Arial"/>
                <w:sz w:val="20"/>
                <w:szCs w:val="22"/>
                <w:lang w:eastAsia="en-US"/>
              </w:rPr>
              <w:t xml:space="preserve"> Australia </w:t>
            </w:r>
          </w:p>
          <w:p w:rsidR="00362E4D" w:rsidRPr="002A6AD7" w:rsidRDefault="00362E4D" w:rsidP="00323918">
            <w:pPr>
              <w:keepNext/>
              <w:snapToGrid w:val="0"/>
              <w:jc w:val="center"/>
              <w:rPr>
                <w:rFonts w:ascii="Arial Narrow" w:hAnsi="Arial Narrow" w:cs="Arial"/>
                <w:sz w:val="20"/>
                <w:szCs w:val="22"/>
                <w:lang w:eastAsia="en-US"/>
              </w:rPr>
            </w:pPr>
            <w:r w:rsidRPr="002A6AD7">
              <w:rPr>
                <w:rFonts w:ascii="Arial Narrow" w:hAnsi="Arial Narrow" w:cs="Arial"/>
                <w:sz w:val="20"/>
                <w:szCs w:val="22"/>
                <w:lang w:eastAsia="en-US"/>
              </w:rPr>
              <w:t>P/L</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S100 – Efficient Funding of Chemotherapy (EFC)</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Acute lymphoblastic leukaemia (ALL)</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Induction treatment</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Authority Required - In Writing</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be relapsed or refractory B-precursor cell ALL, with an Eastern Cooperative Oncology Group (ECOG) performance status of 2 or less</w:t>
            </w:r>
            <w:r>
              <w:rPr>
                <w:rFonts w:ascii="Arial Narrow" w:hAnsi="Arial Narrow" w:cs="Arial"/>
                <w:sz w:val="20"/>
                <w:szCs w:val="20"/>
                <w:lang w:eastAsia="en-US"/>
              </w:rPr>
              <w:t>,</w:t>
            </w:r>
          </w:p>
          <w:p w:rsidR="00362E4D"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AA6236" w:rsidRPr="002A6AD7" w:rsidRDefault="00AA6236" w:rsidP="00AA6236">
            <w:pPr>
              <w:snapToGrid w:val="0"/>
              <w:rPr>
                <w:rFonts w:ascii="Arial Narrow" w:hAnsi="Arial Narrow" w:cs="Arial"/>
                <w:sz w:val="20"/>
                <w:szCs w:val="20"/>
                <w:lang w:eastAsia="en-US"/>
              </w:rPr>
            </w:pPr>
            <w:r w:rsidRPr="002A6AD7">
              <w:rPr>
                <w:rFonts w:ascii="Arial Narrow" w:hAnsi="Arial Narrow" w:cs="Arial"/>
                <w:sz w:val="20"/>
                <w:szCs w:val="20"/>
                <w:lang w:eastAsia="en-US"/>
              </w:rPr>
              <w:t>Patient must have received intensive combination chemotherapy for initial treatment of ALL or subsequent salvage therapy,</w:t>
            </w:r>
          </w:p>
          <w:p w:rsidR="00AA6236" w:rsidRDefault="00AA6236" w:rsidP="00323918">
            <w:pPr>
              <w:snapToGrid w:val="0"/>
              <w:rPr>
                <w:rFonts w:ascii="Arial Narrow" w:hAnsi="Arial Narrow" w:cs="Arial"/>
                <w:sz w:val="20"/>
                <w:szCs w:val="20"/>
                <w:lang w:eastAsia="en-US"/>
              </w:rPr>
            </w:pPr>
            <w:r>
              <w:rPr>
                <w:rFonts w:ascii="Arial Narrow" w:hAnsi="Arial Narrow" w:cs="Arial"/>
                <w:sz w:val="20"/>
                <w:szCs w:val="20"/>
                <w:lang w:eastAsia="en-US"/>
              </w:rPr>
              <w:t xml:space="preserve">AND </w:t>
            </w: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Patient must not have received more</w:t>
            </w:r>
            <w:r>
              <w:rPr>
                <w:rFonts w:ascii="Arial Narrow" w:hAnsi="Arial Narrow" w:cs="Arial"/>
                <w:sz w:val="20"/>
                <w:szCs w:val="20"/>
                <w:lang w:eastAsia="en-US"/>
              </w:rPr>
              <w:t xml:space="preserve"> than 1 line of salvage therapy, </w:t>
            </w:r>
          </w:p>
          <w:p w:rsidR="00AA6236" w:rsidRDefault="00AA6236" w:rsidP="00323918">
            <w:pPr>
              <w:snapToGrid w:val="0"/>
              <w:rPr>
                <w:rFonts w:ascii="Arial Narrow" w:hAnsi="Arial Narrow" w:cs="Arial"/>
                <w:sz w:val="20"/>
                <w:szCs w:val="20"/>
                <w:lang w:eastAsia="en-US"/>
              </w:rPr>
            </w:pPr>
            <w:r>
              <w:rPr>
                <w:rFonts w:ascii="Arial Narrow" w:hAnsi="Arial Narrow" w:cs="Arial"/>
                <w:sz w:val="20"/>
                <w:szCs w:val="20"/>
                <w:lang w:eastAsia="en-US"/>
              </w:rPr>
              <w:t>AND</w:t>
            </w:r>
          </w:p>
          <w:p w:rsidR="00362E4D" w:rsidRDefault="00362E4D" w:rsidP="00323918">
            <w:pPr>
              <w:snapToGrid w:val="0"/>
              <w:rPr>
                <w:rFonts w:ascii="Arial Narrow" w:hAnsi="Arial Narrow" w:cs="Arial"/>
                <w:strike/>
                <w:sz w:val="20"/>
                <w:szCs w:val="20"/>
                <w:lang w:eastAsia="en-US"/>
              </w:rPr>
            </w:pPr>
            <w:r w:rsidRPr="002A6AD7">
              <w:rPr>
                <w:rFonts w:ascii="Arial Narrow" w:hAnsi="Arial Narrow" w:cs="Arial"/>
                <w:strike/>
                <w:sz w:val="20"/>
                <w:szCs w:val="20"/>
                <w:lang w:eastAsia="en-US"/>
              </w:rPr>
              <w:t>The condition must be Philadelphia chromosome negative</w:t>
            </w:r>
          </w:p>
          <w:p w:rsidR="00362E4D" w:rsidRPr="002A6AD7" w:rsidRDefault="00362E4D" w:rsidP="00323918">
            <w:pPr>
              <w:snapToGrid w:val="0"/>
              <w:rPr>
                <w:rFonts w:ascii="Arial Narrow" w:hAnsi="Arial Narrow" w:cs="Arial"/>
                <w:i/>
                <w:sz w:val="20"/>
                <w:szCs w:val="20"/>
                <w:lang w:eastAsia="en-US"/>
              </w:rPr>
            </w:pPr>
            <w:r>
              <w:rPr>
                <w:rFonts w:ascii="Arial Narrow" w:hAnsi="Arial Narrow" w:cs="Arial"/>
                <w:i/>
                <w:sz w:val="20"/>
                <w:szCs w:val="20"/>
                <w:lang w:eastAsia="en-US"/>
              </w:rPr>
              <w:t>Patient must have previously received a tyrosine kinase</w:t>
            </w:r>
            <w:r w:rsidR="00C9690C">
              <w:rPr>
                <w:rFonts w:ascii="Arial Narrow" w:hAnsi="Arial Narrow" w:cs="Arial"/>
                <w:i/>
                <w:sz w:val="20"/>
                <w:szCs w:val="20"/>
                <w:lang w:eastAsia="en-US"/>
              </w:rPr>
              <w:t xml:space="preserve"> inhibitor</w:t>
            </w:r>
            <w:r>
              <w:rPr>
                <w:rFonts w:ascii="Arial Narrow" w:hAnsi="Arial Narrow" w:cs="Arial"/>
                <w:i/>
                <w:sz w:val="20"/>
                <w:szCs w:val="20"/>
                <w:lang w:eastAsia="en-US"/>
              </w:rPr>
              <w:t xml:space="preserve"> i</w:t>
            </w:r>
            <w:r w:rsidR="0016320B">
              <w:rPr>
                <w:rFonts w:ascii="Arial Narrow" w:hAnsi="Arial Narrow" w:cs="Arial"/>
                <w:i/>
                <w:sz w:val="20"/>
                <w:szCs w:val="20"/>
                <w:lang w:eastAsia="en-US"/>
              </w:rPr>
              <w:t>f</w:t>
            </w:r>
            <w:r>
              <w:rPr>
                <w:rFonts w:ascii="Arial Narrow" w:hAnsi="Arial Narrow" w:cs="Arial"/>
                <w:i/>
                <w:sz w:val="20"/>
                <w:szCs w:val="20"/>
                <w:lang w:eastAsia="en-US"/>
              </w:rPr>
              <w:t xml:space="preserve"> the condition is Philadelphia chromosome positive,</w:t>
            </w:r>
          </w:p>
          <w:p w:rsidR="00362E4D"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 xml:space="preserve">The </w:t>
            </w:r>
            <w:r>
              <w:rPr>
                <w:rFonts w:ascii="Arial Narrow" w:hAnsi="Arial Narrow" w:cs="Arial"/>
                <w:sz w:val="20"/>
                <w:szCs w:val="20"/>
                <w:lang w:eastAsia="en-US"/>
              </w:rPr>
              <w:t>condition must be CD22-positive,</w:t>
            </w:r>
          </w:p>
          <w:p w:rsidR="00AA6236" w:rsidRDefault="00AA6236" w:rsidP="00323918">
            <w:pPr>
              <w:snapToGrid w:val="0"/>
              <w:rPr>
                <w:rFonts w:ascii="Arial Narrow" w:hAnsi="Arial Narrow" w:cs="Arial"/>
                <w:sz w:val="20"/>
                <w:szCs w:val="20"/>
                <w:lang w:eastAsia="en-US"/>
              </w:rPr>
            </w:pPr>
            <w:r>
              <w:rPr>
                <w:rFonts w:ascii="Arial Narrow" w:hAnsi="Arial Narrow" w:cs="Arial"/>
                <w:sz w:val="20"/>
                <w:szCs w:val="20"/>
                <w:lang w:eastAsia="en-US"/>
              </w:rPr>
              <w:t>AND</w:t>
            </w:r>
          </w:p>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have more than 5% blasts in bone marrow,</w:t>
            </w:r>
          </w:p>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362E4D" w:rsidRPr="002A6AD7" w:rsidRDefault="00362E4D"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The treatment must not be </w:t>
            </w:r>
            <w:r w:rsidR="00AA6236">
              <w:rPr>
                <w:rFonts w:ascii="Arial Narrow" w:hAnsi="Arial Narrow" w:cs="Arial"/>
                <w:sz w:val="20"/>
                <w:szCs w:val="20"/>
                <w:lang w:eastAsia="en-US"/>
              </w:rPr>
              <w:t>more than 3</w:t>
            </w:r>
            <w:r w:rsidRPr="002A6AD7">
              <w:rPr>
                <w:rFonts w:ascii="Arial Narrow" w:hAnsi="Arial Narrow" w:cs="Arial"/>
                <w:sz w:val="20"/>
                <w:szCs w:val="20"/>
                <w:lang w:eastAsia="en-US"/>
              </w:rPr>
              <w:t xml:space="preserve"> treatment cycles under this restriction in a lifetime.</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Prescriber instructions:</w:t>
            </w:r>
          </w:p>
        </w:tc>
        <w:tc>
          <w:tcPr>
            <w:tcW w:w="3748" w:type="pct"/>
            <w:gridSpan w:val="6"/>
            <w:tcBorders>
              <w:top w:val="single" w:sz="4" w:space="0" w:color="auto"/>
              <w:left w:val="single" w:sz="4" w:space="0" w:color="auto"/>
              <w:bottom w:val="single" w:sz="4" w:space="0" w:color="auto"/>
              <w:right w:val="single" w:sz="4" w:space="0" w:color="auto"/>
            </w:tcBorders>
          </w:tcPr>
          <w:p w:rsidR="00AA6236" w:rsidRDefault="00362E4D" w:rsidP="00AA6236">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 </w:t>
            </w:r>
            <w:r w:rsidR="00AA6236" w:rsidRPr="00AA6236">
              <w:rPr>
                <w:rFonts w:ascii="Arial Narrow" w:hAnsi="Arial Narrow" w:cs="Arial"/>
                <w:sz w:val="20"/>
                <w:szCs w:val="20"/>
                <w:lang w:eastAsia="en-US"/>
              </w:rPr>
              <w:t>This drug is not PBS-subsidised if it is administered to an in-patient in a public hospital setting.</w:t>
            </w:r>
          </w:p>
          <w:p w:rsid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The authority application must be made in writing and must include:</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(1) two completed authority prescription forms;</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(2) a completed Acute Lymphoblastic Leukaemia PBS Authority Application - Supporting Information Form; and</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(3) evidence that the condition is CD22-positive; and</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(4) date of most recent chemotherapy, and if this was the initial chemotherapy regimen or salvage therapy, including what line of salvage; and</w:t>
            </w:r>
          </w:p>
          <w:p w:rsidR="00AA6236" w:rsidRPr="00AA6236" w:rsidRDefault="00AA6236" w:rsidP="00AA6236">
            <w:pPr>
              <w:snapToGrid w:val="0"/>
              <w:rPr>
                <w:rFonts w:ascii="Arial Narrow" w:hAnsi="Arial Narrow" w:cs="Arial"/>
                <w:sz w:val="20"/>
                <w:szCs w:val="20"/>
                <w:lang w:eastAsia="en-US"/>
              </w:rPr>
            </w:pPr>
          </w:p>
          <w:p w:rsid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(5) a copy of the most recent bone marrow biopsy report of no more than one month old at the time of application.</w:t>
            </w:r>
          </w:p>
          <w:p w:rsidR="00AA6236" w:rsidRDefault="00AA6236" w:rsidP="00AA6236">
            <w:pPr>
              <w:snapToGrid w:val="0"/>
              <w:rPr>
                <w:rFonts w:ascii="Arial Narrow" w:hAnsi="Arial Narrow" w:cs="Arial"/>
                <w:sz w:val="20"/>
                <w:szCs w:val="20"/>
                <w:lang w:eastAsia="en-US"/>
              </w:rPr>
            </w:pPr>
          </w:p>
          <w:p w:rsid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The treatment must not exceed 0.8mg per m2 for the first dose of a treatment cycle (Day 1), and 0.5mg per m2 for subsequent doses (Days 8 and 15) within a treatment cycle.</w:t>
            </w:r>
          </w:p>
          <w:p w:rsidR="00AA6236" w:rsidRDefault="00AA6236" w:rsidP="00AA6236">
            <w:pPr>
              <w:snapToGrid w:val="0"/>
              <w:rPr>
                <w:rFonts w:ascii="Arial Narrow" w:hAnsi="Arial Narrow" w:cs="Arial"/>
                <w:sz w:val="20"/>
                <w:szCs w:val="20"/>
                <w:lang w:eastAsia="en-US"/>
              </w:rPr>
            </w:pPr>
          </w:p>
          <w:p w:rsidR="00362E4D" w:rsidRPr="002A6AD7"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Treatment with this drug for this condition must not exceed 6 treatment cycles in a lifetime.</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362E4D"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Patients are eligible to receive a loading dose for the first dose of a treatment cycle while receiving induction treatment. Two prescriptions are required, the first prescription for the loading dose at a dose no higher than 0.8mg per m2, and the second prescription for two doses at a dose no higher than 0.5mg per m2. Both prescriptions must be submitted with the initial application.</w:t>
            </w:r>
          </w:p>
          <w:p w:rsidR="00AA6236" w:rsidRDefault="00AA6236" w:rsidP="00AA6236">
            <w:pPr>
              <w:snapToGrid w:val="0"/>
              <w:rPr>
                <w:rFonts w:ascii="Arial Narrow" w:hAnsi="Arial Narrow" w:cs="Arial"/>
                <w:sz w:val="20"/>
                <w:szCs w:val="20"/>
                <w:lang w:eastAsia="en-US"/>
              </w:rPr>
            </w:pPr>
          </w:p>
          <w:p w:rsid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Once a patient achieves complete remission or complete remission with partial haematological recovery, a new prescription must be written under the consolidation treatment phase.</w:t>
            </w:r>
          </w:p>
          <w:p w:rsidR="00AA6236" w:rsidRDefault="00AA6236" w:rsidP="00AA6236">
            <w:pPr>
              <w:snapToGrid w:val="0"/>
              <w:rPr>
                <w:rFonts w:ascii="Arial Narrow" w:hAnsi="Arial Narrow" w:cs="Arial"/>
                <w:sz w:val="20"/>
                <w:szCs w:val="20"/>
                <w:lang w:eastAsia="en-US"/>
              </w:rPr>
            </w:pPr>
          </w:p>
          <w:p w:rsid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AA6236" w:rsidRDefault="00AA6236" w:rsidP="00AA6236">
            <w:pPr>
              <w:snapToGrid w:val="0"/>
              <w:rPr>
                <w:rFonts w:ascii="Arial Narrow" w:hAnsi="Arial Narrow" w:cs="Arial"/>
                <w:sz w:val="20"/>
                <w:szCs w:val="20"/>
                <w:lang w:eastAsia="en-US"/>
              </w:rPr>
            </w:pPr>
          </w:p>
          <w:p w:rsid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w:t>
            </w:r>
          </w:p>
          <w:p w:rsidR="00AA6236" w:rsidRDefault="00AA6236" w:rsidP="00AA6236">
            <w:pPr>
              <w:snapToGrid w:val="0"/>
              <w:rPr>
                <w:rFonts w:ascii="Arial Narrow" w:hAnsi="Arial Narrow" w:cs="Arial"/>
                <w:sz w:val="20"/>
                <w:szCs w:val="20"/>
                <w:lang w:eastAsia="en-US"/>
              </w:rPr>
            </w:pPr>
          </w:p>
          <w:p w:rsid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Patients who fail to demonstrate a response to PBS-subsidised treatment with this agent at the time when an assessment is required must cease PBS-subsidised therapy with this agent.</w:t>
            </w:r>
          </w:p>
          <w:p w:rsid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Any queries concerning the arrangements to prescribe may be directed to the Department of Human Services on 1800 700 270 (hours of operation 8 a.m. to 5 p.m. EST Monday to Friday).</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Prescribing information (including Authority Application forms and other relevant documentation as applicable) is available on the Department of Human Services website at www.humanservices.gov.au</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Applications for authority to prescribe should be forwarded to:</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Department of Human Services</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lastRenderedPageBreak/>
              <w:t>Complex Drugs Programs</w:t>
            </w:r>
          </w:p>
          <w:p w:rsidR="00AA6236" w:rsidRPr="00AA6236" w:rsidRDefault="00AA6236" w:rsidP="00AA6236">
            <w:pPr>
              <w:snapToGrid w:val="0"/>
              <w:rPr>
                <w:rFonts w:ascii="Arial Narrow" w:hAnsi="Arial Narrow" w:cs="Arial"/>
                <w:sz w:val="20"/>
                <w:szCs w:val="20"/>
                <w:lang w:eastAsia="en-US"/>
              </w:rPr>
            </w:pPr>
          </w:p>
          <w:p w:rsidR="00AA6236" w:rsidRPr="00AA6236"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Reply Paid 9826</w:t>
            </w:r>
          </w:p>
          <w:p w:rsidR="00AA6236" w:rsidRPr="00AA6236" w:rsidRDefault="00AA6236" w:rsidP="00AA6236">
            <w:pPr>
              <w:snapToGrid w:val="0"/>
              <w:rPr>
                <w:rFonts w:ascii="Arial Narrow" w:hAnsi="Arial Narrow" w:cs="Arial"/>
                <w:sz w:val="20"/>
                <w:szCs w:val="20"/>
                <w:lang w:eastAsia="en-US"/>
              </w:rPr>
            </w:pPr>
          </w:p>
          <w:p w:rsidR="00AA6236" w:rsidRPr="002A6AD7" w:rsidRDefault="00AA6236" w:rsidP="00AA6236">
            <w:pPr>
              <w:snapToGrid w:val="0"/>
              <w:rPr>
                <w:rFonts w:ascii="Arial Narrow" w:hAnsi="Arial Narrow" w:cs="Arial"/>
                <w:sz w:val="20"/>
                <w:szCs w:val="20"/>
                <w:lang w:eastAsia="en-US"/>
              </w:rPr>
            </w:pPr>
            <w:r w:rsidRPr="00AA6236">
              <w:rPr>
                <w:rFonts w:ascii="Arial Narrow" w:hAnsi="Arial Narrow" w:cs="Arial"/>
                <w:sz w:val="20"/>
                <w:szCs w:val="20"/>
                <w:lang w:eastAsia="en-US"/>
              </w:rPr>
              <w:t>HOBART TAS 7001</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Cautions: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362E4D" w:rsidRPr="002A6AD7" w:rsidRDefault="00362E4D" w:rsidP="00323918">
            <w:pPr>
              <w:snapToGrid w:val="0"/>
              <w:rPr>
                <w:rFonts w:ascii="Arial Narrow" w:hAnsi="Arial Narrow" w:cs="Arial"/>
                <w:sz w:val="20"/>
                <w:szCs w:val="20"/>
                <w:lang w:eastAsia="en-US"/>
              </w:rPr>
            </w:pPr>
            <w:r w:rsidRPr="00FD0C63">
              <w:rPr>
                <w:rFonts w:ascii="Arial Narrow" w:hAnsi="Arial Narrow" w:cs="Arial"/>
                <w:sz w:val="20"/>
                <w:szCs w:val="20"/>
                <w:lang w:eastAsia="en-US"/>
              </w:rPr>
              <w:t>Careful monitoring of patients is required due to risk of developing life-threatening Cytokine Release Syndrome, neurological toxicities and reactivation of John Cunningham virus (JC) viral infection.</w:t>
            </w:r>
            <w:r>
              <w:rPr>
                <w:rFonts w:ascii="Arial Narrow" w:hAnsi="Arial Narrow" w:cs="Arial"/>
                <w:sz w:val="20"/>
                <w:szCs w:val="20"/>
                <w:lang w:eastAsia="en-US"/>
              </w:rPr>
              <w:t xml:space="preserve"> </w:t>
            </w:r>
          </w:p>
        </w:tc>
      </w:tr>
      <w:tr w:rsidR="00362E4D"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tcPr>
          <w:p w:rsidR="00362E4D" w:rsidRPr="002A6AD7" w:rsidRDefault="00362E4D" w:rsidP="00323918">
            <w:pPr>
              <w:snapToGrid w:val="0"/>
              <w:jc w:val="both"/>
              <w:rPr>
                <w:rFonts w:ascii="Arial Narrow" w:hAnsi="Arial Narrow" w:cs="Arial"/>
                <w:sz w:val="2"/>
                <w:szCs w:val="2"/>
                <w:lang w:eastAsia="en-US"/>
              </w:rPr>
            </w:pPr>
          </w:p>
        </w:tc>
        <w:tc>
          <w:tcPr>
            <w:tcW w:w="3748" w:type="pct"/>
            <w:gridSpan w:val="6"/>
            <w:tcBorders>
              <w:top w:val="single" w:sz="4" w:space="0" w:color="auto"/>
              <w:left w:val="single" w:sz="4" w:space="0" w:color="auto"/>
              <w:bottom w:val="single" w:sz="4" w:space="0" w:color="auto"/>
              <w:right w:val="single" w:sz="4" w:space="0" w:color="auto"/>
            </w:tcBorders>
          </w:tcPr>
          <w:p w:rsidR="00362E4D" w:rsidRPr="002A6AD7" w:rsidRDefault="00362E4D" w:rsidP="00323918">
            <w:pPr>
              <w:snapToGrid w:val="0"/>
              <w:jc w:val="both"/>
              <w:rPr>
                <w:rFonts w:ascii="Arial Narrow" w:hAnsi="Arial Narrow" w:cs="Arial"/>
                <w:color w:val="000000"/>
                <w:sz w:val="2"/>
                <w:szCs w:val="2"/>
                <w:lang w:eastAsia="en-US"/>
              </w:rPr>
            </w:pPr>
          </w:p>
        </w:tc>
      </w:tr>
    </w:tbl>
    <w:p w:rsidR="00362E4D" w:rsidRDefault="00362E4D" w:rsidP="00362E4D">
      <w:pPr>
        <w:rPr>
          <w:lang w:eastAsia="en-US"/>
        </w:rPr>
      </w:pPr>
    </w:p>
    <w:p w:rsidR="00AA6236" w:rsidRDefault="00AA6236" w:rsidP="00362E4D">
      <w:pPr>
        <w:rPr>
          <w:lang w:eastAsia="en-US"/>
        </w:rPr>
      </w:pPr>
    </w:p>
    <w:tbl>
      <w:tblPr>
        <w:tblW w:w="4977" w:type="pct"/>
        <w:tblInd w:w="28" w:type="dxa"/>
        <w:tblCellMar>
          <w:left w:w="28" w:type="dxa"/>
          <w:right w:w="28" w:type="dxa"/>
        </w:tblCellMar>
        <w:tblLook w:val="04A0" w:firstRow="1" w:lastRow="0" w:firstColumn="1" w:lastColumn="0" w:noHBand="0" w:noVBand="1"/>
      </w:tblPr>
      <w:tblGrid>
        <w:gridCol w:w="2247"/>
        <w:gridCol w:w="6728"/>
      </w:tblGrid>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Category/Program:</w:t>
            </w:r>
          </w:p>
        </w:tc>
        <w:tc>
          <w:tcPr>
            <w:tcW w:w="3748"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S100 – Efficient Funding of Chemotherapy (EFC)</w:t>
            </w:r>
          </w:p>
        </w:tc>
      </w:tr>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PBS indication:</w:t>
            </w:r>
          </w:p>
        </w:tc>
        <w:tc>
          <w:tcPr>
            <w:tcW w:w="3748"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Acute lymphoblastic leukaemia (ALL)</w:t>
            </w:r>
          </w:p>
        </w:tc>
      </w:tr>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Treatment phase:</w:t>
            </w:r>
          </w:p>
        </w:tc>
        <w:tc>
          <w:tcPr>
            <w:tcW w:w="3748"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Induction treatment</w:t>
            </w:r>
          </w:p>
        </w:tc>
      </w:tr>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Restriction:</w:t>
            </w:r>
          </w:p>
        </w:tc>
        <w:tc>
          <w:tcPr>
            <w:tcW w:w="3748"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Authority Required - In Writing</w:t>
            </w:r>
          </w:p>
        </w:tc>
      </w:tr>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Clinical criteria:</w:t>
            </w:r>
          </w:p>
        </w:tc>
        <w:tc>
          <w:tcPr>
            <w:tcW w:w="3748"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be relapsed or refractory B-precursor cell ALL, with an Eastern Cooperative Oncology Group (ECOG) performance status of 2 or less</w:t>
            </w:r>
            <w:r>
              <w:rPr>
                <w:rFonts w:ascii="Arial Narrow" w:hAnsi="Arial Narrow" w:cs="Arial"/>
                <w:sz w:val="20"/>
                <w:szCs w:val="20"/>
                <w:lang w:eastAsia="en-US"/>
              </w:rPr>
              <w:t>,</w:t>
            </w:r>
          </w:p>
          <w:p w:rsidR="00AA6236"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Patient must have received intensive combination chemotherapy for initial treatment of ALL or subsequent salvage therapy,</w:t>
            </w:r>
          </w:p>
          <w:p w:rsidR="00AA6236" w:rsidRDefault="00AA6236" w:rsidP="00323918">
            <w:pPr>
              <w:snapToGrid w:val="0"/>
              <w:rPr>
                <w:rFonts w:ascii="Arial Narrow" w:hAnsi="Arial Narrow" w:cs="Arial"/>
                <w:sz w:val="20"/>
                <w:szCs w:val="20"/>
                <w:lang w:eastAsia="en-US"/>
              </w:rPr>
            </w:pPr>
            <w:r>
              <w:rPr>
                <w:rFonts w:ascii="Arial Narrow" w:hAnsi="Arial Narrow" w:cs="Arial"/>
                <w:sz w:val="20"/>
                <w:szCs w:val="20"/>
                <w:lang w:eastAsia="en-US"/>
              </w:rPr>
              <w:t xml:space="preserve">AND </w:t>
            </w: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Patient must not have received more</w:t>
            </w:r>
            <w:r>
              <w:rPr>
                <w:rFonts w:ascii="Arial Narrow" w:hAnsi="Arial Narrow" w:cs="Arial"/>
                <w:sz w:val="20"/>
                <w:szCs w:val="20"/>
                <w:lang w:eastAsia="en-US"/>
              </w:rPr>
              <w:t xml:space="preserve"> than 1 line of salvage therapy, </w:t>
            </w:r>
          </w:p>
          <w:p w:rsidR="00AA6236" w:rsidRDefault="00AA6236" w:rsidP="00323918">
            <w:pPr>
              <w:snapToGrid w:val="0"/>
              <w:rPr>
                <w:rFonts w:ascii="Arial Narrow" w:hAnsi="Arial Narrow" w:cs="Arial"/>
                <w:sz w:val="20"/>
                <w:szCs w:val="20"/>
                <w:lang w:eastAsia="en-US"/>
              </w:rPr>
            </w:pPr>
            <w:r>
              <w:rPr>
                <w:rFonts w:ascii="Arial Narrow" w:hAnsi="Arial Narrow" w:cs="Arial"/>
                <w:sz w:val="20"/>
                <w:szCs w:val="20"/>
                <w:lang w:eastAsia="en-US"/>
              </w:rPr>
              <w:t>AND</w:t>
            </w:r>
          </w:p>
          <w:p w:rsidR="00AA6236" w:rsidRDefault="00AA6236" w:rsidP="00323918">
            <w:pPr>
              <w:snapToGrid w:val="0"/>
              <w:rPr>
                <w:rFonts w:ascii="Arial Narrow" w:hAnsi="Arial Narrow" w:cs="Arial"/>
                <w:strike/>
                <w:sz w:val="20"/>
                <w:szCs w:val="20"/>
                <w:lang w:eastAsia="en-US"/>
              </w:rPr>
            </w:pPr>
            <w:r w:rsidRPr="002A6AD7">
              <w:rPr>
                <w:rFonts w:ascii="Arial Narrow" w:hAnsi="Arial Narrow" w:cs="Arial"/>
                <w:strike/>
                <w:sz w:val="20"/>
                <w:szCs w:val="20"/>
                <w:lang w:eastAsia="en-US"/>
              </w:rPr>
              <w:t>The condition must be Philadelphia chromosome negative</w:t>
            </w:r>
          </w:p>
          <w:p w:rsidR="00AA6236" w:rsidRPr="002A6AD7" w:rsidRDefault="00AA6236" w:rsidP="00323918">
            <w:pPr>
              <w:snapToGrid w:val="0"/>
              <w:rPr>
                <w:rFonts w:ascii="Arial Narrow" w:hAnsi="Arial Narrow" w:cs="Arial"/>
                <w:i/>
                <w:sz w:val="20"/>
                <w:szCs w:val="20"/>
                <w:lang w:eastAsia="en-US"/>
              </w:rPr>
            </w:pPr>
            <w:r>
              <w:rPr>
                <w:rFonts w:ascii="Arial Narrow" w:hAnsi="Arial Narrow" w:cs="Arial"/>
                <w:i/>
                <w:sz w:val="20"/>
                <w:szCs w:val="20"/>
                <w:lang w:eastAsia="en-US"/>
              </w:rPr>
              <w:t xml:space="preserve">Patient must have previously received a tyrosine kinase inhibitor </w:t>
            </w:r>
            <w:r w:rsidR="0016320B">
              <w:rPr>
                <w:rFonts w:ascii="Arial Narrow" w:hAnsi="Arial Narrow" w:cs="Arial"/>
                <w:i/>
                <w:sz w:val="20"/>
                <w:szCs w:val="20"/>
                <w:lang w:eastAsia="en-US"/>
              </w:rPr>
              <w:t>if</w:t>
            </w:r>
            <w:r>
              <w:rPr>
                <w:rFonts w:ascii="Arial Narrow" w:hAnsi="Arial Narrow" w:cs="Arial"/>
                <w:i/>
                <w:sz w:val="20"/>
                <w:szCs w:val="20"/>
                <w:lang w:eastAsia="en-US"/>
              </w:rPr>
              <w:t xml:space="preserve"> the condition is Philadelphia chromosome positive,</w:t>
            </w:r>
          </w:p>
          <w:p w:rsidR="00AA6236"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 xml:space="preserve">The </w:t>
            </w:r>
            <w:r>
              <w:rPr>
                <w:rFonts w:ascii="Arial Narrow" w:hAnsi="Arial Narrow" w:cs="Arial"/>
                <w:sz w:val="20"/>
                <w:szCs w:val="20"/>
                <w:lang w:eastAsia="en-US"/>
              </w:rPr>
              <w:t>condition must be CD22-positive,</w:t>
            </w:r>
          </w:p>
          <w:p w:rsidR="00AA6236" w:rsidRDefault="00AA6236" w:rsidP="00323918">
            <w:pPr>
              <w:snapToGrid w:val="0"/>
              <w:rPr>
                <w:rFonts w:ascii="Arial Narrow" w:hAnsi="Arial Narrow" w:cs="Arial"/>
                <w:sz w:val="20"/>
                <w:szCs w:val="20"/>
                <w:lang w:eastAsia="en-US"/>
              </w:rPr>
            </w:pPr>
            <w:r>
              <w:rPr>
                <w:rFonts w:ascii="Arial Narrow" w:hAnsi="Arial Narrow" w:cs="Arial"/>
                <w:sz w:val="20"/>
                <w:szCs w:val="20"/>
                <w:lang w:eastAsia="en-US"/>
              </w:rPr>
              <w:t>AND</w:t>
            </w:r>
          </w:p>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have more than 5% blasts in bone marrow,</w:t>
            </w:r>
          </w:p>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AA6236" w:rsidRPr="002A6AD7"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The treatment must not be </w:t>
            </w:r>
            <w:r>
              <w:rPr>
                <w:rFonts w:ascii="Arial Narrow" w:hAnsi="Arial Narrow" w:cs="Arial"/>
                <w:sz w:val="20"/>
                <w:szCs w:val="20"/>
                <w:lang w:eastAsia="en-US"/>
              </w:rPr>
              <w:t>more than 3</w:t>
            </w:r>
            <w:r w:rsidRPr="002A6AD7">
              <w:rPr>
                <w:rFonts w:ascii="Arial Narrow" w:hAnsi="Arial Narrow" w:cs="Arial"/>
                <w:sz w:val="20"/>
                <w:szCs w:val="20"/>
                <w:lang w:eastAsia="en-US"/>
              </w:rPr>
              <w:t xml:space="preserve"> treatment cycles under this restriction in a lifetime.</w:t>
            </w:r>
          </w:p>
        </w:tc>
      </w:tr>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Prescriber instructions:</w:t>
            </w:r>
          </w:p>
        </w:tc>
        <w:tc>
          <w:tcPr>
            <w:tcW w:w="3748" w:type="pct"/>
            <w:tcBorders>
              <w:top w:val="single" w:sz="4" w:space="0" w:color="auto"/>
              <w:left w:val="single" w:sz="4" w:space="0" w:color="auto"/>
              <w:bottom w:val="single" w:sz="4" w:space="0" w:color="auto"/>
              <w:right w:val="single" w:sz="4" w:space="0" w:color="auto"/>
            </w:tcBorders>
          </w:tcPr>
          <w:p w:rsidR="00AA6236" w:rsidRDefault="00AA6236"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 </w:t>
            </w:r>
            <w:r w:rsidRPr="00AA6236">
              <w:rPr>
                <w:rFonts w:ascii="Arial Narrow" w:hAnsi="Arial Narrow" w:cs="Arial"/>
                <w:sz w:val="20"/>
                <w:szCs w:val="20"/>
                <w:lang w:eastAsia="en-US"/>
              </w:rPr>
              <w:t>This drug is not PBS-subsidised if it is administered to an in-patient in a public hospital setting.</w:t>
            </w:r>
          </w:p>
          <w:p w:rsid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The authority application must be made in writing and must include:</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(1) two completed authority prescription forms;</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(2) a completed Acute Lymphoblastic Leukaemia PBS Authority Application - Supporting Information Form; and</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(3) evidence that the condition is CD22-positive; and</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(4) date of most recent chemotherapy, and if this was the initial chemotherapy regimen or salvage therapy, including what line of salvage; and</w:t>
            </w:r>
          </w:p>
          <w:p w:rsidR="00AA6236" w:rsidRPr="00AA6236" w:rsidRDefault="00AA6236" w:rsidP="00323918">
            <w:pPr>
              <w:snapToGrid w:val="0"/>
              <w:rPr>
                <w:rFonts w:ascii="Arial Narrow" w:hAnsi="Arial Narrow" w:cs="Arial"/>
                <w:sz w:val="20"/>
                <w:szCs w:val="20"/>
                <w:lang w:eastAsia="en-US"/>
              </w:rPr>
            </w:pP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(5) a copy of the most recent bone marrow biopsy report of no more than one month old at the time of application.</w:t>
            </w:r>
          </w:p>
          <w:p w:rsidR="00AA6236" w:rsidRDefault="00AA6236" w:rsidP="00323918">
            <w:pPr>
              <w:snapToGrid w:val="0"/>
              <w:rPr>
                <w:rFonts w:ascii="Arial Narrow" w:hAnsi="Arial Narrow" w:cs="Arial"/>
                <w:sz w:val="20"/>
                <w:szCs w:val="20"/>
                <w:lang w:eastAsia="en-US"/>
              </w:rPr>
            </w:pP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The treatment must not exceed 0.8mg per m2 for the first dose of a treatment cycle (Day 1), and 0.5mg per m2 for subsequent doses (Days 8 and 15) within a treatment cycle.</w:t>
            </w:r>
          </w:p>
          <w:p w:rsidR="00AA6236" w:rsidRDefault="00AA6236" w:rsidP="00323918">
            <w:pPr>
              <w:snapToGrid w:val="0"/>
              <w:rPr>
                <w:rFonts w:ascii="Arial Narrow" w:hAnsi="Arial Narrow" w:cs="Arial"/>
                <w:sz w:val="20"/>
                <w:szCs w:val="20"/>
                <w:lang w:eastAsia="en-US"/>
              </w:rPr>
            </w:pPr>
          </w:p>
          <w:p w:rsidR="00AA6236" w:rsidRPr="002A6AD7"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Treatment with this drug for this condition must not exceed 6 treatment cycles in a lifetime.</w:t>
            </w:r>
          </w:p>
        </w:tc>
      </w:tr>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Administrative advice</w:t>
            </w:r>
          </w:p>
        </w:tc>
        <w:tc>
          <w:tcPr>
            <w:tcW w:w="3748" w:type="pct"/>
            <w:tcBorders>
              <w:top w:val="single" w:sz="4" w:space="0" w:color="auto"/>
              <w:left w:val="single" w:sz="4" w:space="0" w:color="auto"/>
              <w:bottom w:val="single" w:sz="4" w:space="0" w:color="auto"/>
              <w:right w:val="single" w:sz="4" w:space="0" w:color="auto"/>
            </w:tcBorders>
          </w:tcPr>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 xml:space="preserve">Patients are eligible to receive a loading dose for the first dose of a treatment cycle while receiving induction treatment. Two prescriptions are required, the first prescription for the </w:t>
            </w:r>
            <w:r w:rsidRPr="00AA6236">
              <w:rPr>
                <w:rFonts w:ascii="Arial Narrow" w:hAnsi="Arial Narrow" w:cs="Arial"/>
                <w:sz w:val="20"/>
                <w:szCs w:val="20"/>
                <w:lang w:eastAsia="en-US"/>
              </w:rPr>
              <w:lastRenderedPageBreak/>
              <w:t>loading dose at a dose no higher than 0.8mg per m2, and the second prescription for two doses at a dose no higher than 0.5mg per m2. Both prescriptions must be submitted with the initial application.</w:t>
            </w:r>
          </w:p>
          <w:p w:rsidR="00AA6236" w:rsidRDefault="00AA6236" w:rsidP="00323918">
            <w:pPr>
              <w:snapToGrid w:val="0"/>
              <w:rPr>
                <w:rFonts w:ascii="Arial Narrow" w:hAnsi="Arial Narrow" w:cs="Arial"/>
                <w:sz w:val="20"/>
                <w:szCs w:val="20"/>
                <w:lang w:eastAsia="en-US"/>
              </w:rPr>
            </w:pP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Once a patient achieves complete remission or complete remission with partial haematological recovery, a new prescription must be written under the consolidation treatment phase.</w:t>
            </w:r>
          </w:p>
          <w:p w:rsidR="00AA6236" w:rsidRDefault="00AA6236" w:rsidP="00323918">
            <w:pPr>
              <w:snapToGrid w:val="0"/>
              <w:rPr>
                <w:rFonts w:ascii="Arial Narrow" w:hAnsi="Arial Narrow" w:cs="Arial"/>
                <w:sz w:val="20"/>
                <w:szCs w:val="20"/>
                <w:lang w:eastAsia="en-US"/>
              </w:rPr>
            </w:pP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AA6236" w:rsidRDefault="00AA6236" w:rsidP="00323918">
            <w:pPr>
              <w:snapToGrid w:val="0"/>
              <w:rPr>
                <w:rFonts w:ascii="Arial Narrow" w:hAnsi="Arial Narrow" w:cs="Arial"/>
                <w:sz w:val="20"/>
                <w:szCs w:val="20"/>
                <w:lang w:eastAsia="en-US"/>
              </w:rPr>
            </w:pP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w:t>
            </w:r>
          </w:p>
          <w:p w:rsidR="00AA6236" w:rsidRDefault="00AA6236" w:rsidP="00323918">
            <w:pPr>
              <w:snapToGrid w:val="0"/>
              <w:rPr>
                <w:rFonts w:ascii="Arial Narrow" w:hAnsi="Arial Narrow" w:cs="Arial"/>
                <w:sz w:val="20"/>
                <w:szCs w:val="20"/>
                <w:lang w:eastAsia="en-US"/>
              </w:rPr>
            </w:pP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Patients who fail to demonstrate a response to PBS-subsidised treatment with this agent at the time when an assessment is required must cease PBS-subsidised therapy with this agent.</w:t>
            </w:r>
          </w:p>
          <w:p w:rsid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Any queries concerning the arrangements to prescribe may be directed to the Department of Human Services on 1800 700 270 (hours of operation 8 a.m. to 5 p.m. EST Monday to Friday).</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Prescribing information (including Authority Application forms and other relevant documentation as applicable) is available on the Department of Human Services website at www.humanservices.gov.au</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Applications for authority to prescribe should be forwarded to:</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Department of Human Services</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Complex Drugs Programs</w:t>
            </w:r>
          </w:p>
          <w:p w:rsidR="00AA6236" w:rsidRPr="00AA6236" w:rsidRDefault="00AA6236" w:rsidP="00323918">
            <w:pPr>
              <w:snapToGrid w:val="0"/>
              <w:rPr>
                <w:rFonts w:ascii="Arial Narrow" w:hAnsi="Arial Narrow" w:cs="Arial"/>
                <w:sz w:val="20"/>
                <w:szCs w:val="20"/>
                <w:lang w:eastAsia="en-US"/>
              </w:rPr>
            </w:pPr>
          </w:p>
          <w:p w:rsidR="00AA6236" w:rsidRP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Reply Paid 9826</w:t>
            </w:r>
          </w:p>
          <w:p w:rsidR="00AA6236" w:rsidRPr="00AA6236" w:rsidRDefault="00AA6236" w:rsidP="00323918">
            <w:pPr>
              <w:snapToGrid w:val="0"/>
              <w:rPr>
                <w:rFonts w:ascii="Arial Narrow" w:hAnsi="Arial Narrow" w:cs="Arial"/>
                <w:sz w:val="20"/>
                <w:szCs w:val="20"/>
                <w:lang w:eastAsia="en-US"/>
              </w:rPr>
            </w:pPr>
          </w:p>
          <w:p w:rsidR="00AA6236" w:rsidRDefault="00AA6236" w:rsidP="00323918">
            <w:pPr>
              <w:snapToGrid w:val="0"/>
              <w:rPr>
                <w:rFonts w:ascii="Arial Narrow" w:hAnsi="Arial Narrow" w:cs="Arial"/>
                <w:sz w:val="20"/>
                <w:szCs w:val="20"/>
                <w:lang w:eastAsia="en-US"/>
              </w:rPr>
            </w:pPr>
            <w:r w:rsidRPr="00AA6236">
              <w:rPr>
                <w:rFonts w:ascii="Arial Narrow" w:hAnsi="Arial Narrow" w:cs="Arial"/>
                <w:sz w:val="20"/>
                <w:szCs w:val="20"/>
                <w:lang w:eastAsia="en-US"/>
              </w:rPr>
              <w:t>HOBART TAS 7001</w:t>
            </w:r>
          </w:p>
          <w:p w:rsidR="00F93058" w:rsidRDefault="00F93058" w:rsidP="00323918">
            <w:pPr>
              <w:snapToGrid w:val="0"/>
              <w:rPr>
                <w:rFonts w:ascii="Arial Narrow" w:hAnsi="Arial Narrow" w:cs="Arial"/>
                <w:sz w:val="20"/>
                <w:szCs w:val="20"/>
                <w:lang w:eastAsia="en-US"/>
              </w:rPr>
            </w:pPr>
          </w:p>
          <w:p w:rsidR="00F93058" w:rsidRDefault="00F93058" w:rsidP="00323918">
            <w:pPr>
              <w:snapToGrid w:val="0"/>
              <w:rPr>
                <w:rFonts w:ascii="Arial Narrow" w:hAnsi="Arial Narrow" w:cs="Arial"/>
                <w:sz w:val="20"/>
                <w:szCs w:val="20"/>
                <w:lang w:eastAsia="en-US"/>
              </w:rPr>
            </w:pPr>
            <w:r w:rsidRPr="00F93058">
              <w:rPr>
                <w:rFonts w:ascii="Arial Narrow" w:hAnsi="Arial Narrow" w:cs="Arial"/>
                <w:sz w:val="20"/>
                <w:szCs w:val="20"/>
                <w:lang w:eastAsia="en-US"/>
              </w:rPr>
              <w:t>No increase in the maximum quantity or number of units may be authorised.</w:t>
            </w:r>
          </w:p>
          <w:p w:rsidR="00F93058" w:rsidRDefault="00F93058" w:rsidP="00323918">
            <w:pPr>
              <w:snapToGrid w:val="0"/>
              <w:rPr>
                <w:rFonts w:ascii="Arial Narrow" w:hAnsi="Arial Narrow" w:cs="Arial"/>
                <w:sz w:val="20"/>
                <w:szCs w:val="20"/>
                <w:lang w:eastAsia="en-US"/>
              </w:rPr>
            </w:pPr>
          </w:p>
          <w:p w:rsidR="00F93058" w:rsidRDefault="00F93058" w:rsidP="00323918">
            <w:pPr>
              <w:snapToGrid w:val="0"/>
              <w:rPr>
                <w:rFonts w:ascii="Arial Narrow" w:hAnsi="Arial Narrow" w:cs="Arial"/>
                <w:sz w:val="20"/>
                <w:szCs w:val="20"/>
                <w:lang w:eastAsia="en-US"/>
              </w:rPr>
            </w:pPr>
            <w:r w:rsidRPr="00F93058">
              <w:rPr>
                <w:rFonts w:ascii="Arial Narrow" w:hAnsi="Arial Narrow" w:cs="Arial"/>
                <w:sz w:val="20"/>
                <w:szCs w:val="20"/>
                <w:lang w:eastAsia="en-US"/>
              </w:rPr>
              <w:t>No increase in the maximum number of repeats may be authorised.</w:t>
            </w:r>
          </w:p>
          <w:p w:rsidR="00F93058" w:rsidRDefault="00F93058" w:rsidP="00323918">
            <w:pPr>
              <w:snapToGrid w:val="0"/>
              <w:rPr>
                <w:rFonts w:ascii="Arial Narrow" w:hAnsi="Arial Narrow" w:cs="Arial"/>
                <w:sz w:val="20"/>
                <w:szCs w:val="20"/>
                <w:lang w:eastAsia="en-US"/>
              </w:rPr>
            </w:pPr>
          </w:p>
          <w:p w:rsidR="00F93058" w:rsidRPr="002A6AD7" w:rsidRDefault="00F93058" w:rsidP="00323918">
            <w:pPr>
              <w:snapToGrid w:val="0"/>
              <w:rPr>
                <w:rFonts w:ascii="Arial Narrow" w:hAnsi="Arial Narrow" w:cs="Arial"/>
                <w:sz w:val="20"/>
                <w:szCs w:val="20"/>
                <w:lang w:eastAsia="en-US"/>
              </w:rPr>
            </w:pPr>
            <w:r w:rsidRPr="00F93058">
              <w:rPr>
                <w:rFonts w:ascii="Arial Narrow" w:hAnsi="Arial Narrow" w:cs="Arial"/>
                <w:sz w:val="20"/>
                <w:szCs w:val="20"/>
                <w:lang w:eastAsia="en-US"/>
              </w:rPr>
              <w:t>Special Pricing Arrangements apply.</w:t>
            </w:r>
          </w:p>
        </w:tc>
      </w:tr>
      <w:tr w:rsidR="00AA6236"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Cautions:</w:t>
            </w:r>
          </w:p>
        </w:tc>
        <w:tc>
          <w:tcPr>
            <w:tcW w:w="3748" w:type="pct"/>
            <w:tcBorders>
              <w:top w:val="single" w:sz="4" w:space="0" w:color="auto"/>
              <w:left w:val="single" w:sz="4" w:space="0" w:color="auto"/>
              <w:bottom w:val="single" w:sz="4" w:space="0" w:color="auto"/>
              <w:right w:val="single" w:sz="4" w:space="0" w:color="auto"/>
            </w:tcBorders>
            <w:hideMark/>
          </w:tcPr>
          <w:p w:rsidR="00AA6236" w:rsidRPr="002A6AD7" w:rsidRDefault="00AA6236" w:rsidP="00323918">
            <w:pPr>
              <w:snapToGrid w:val="0"/>
              <w:rPr>
                <w:rFonts w:ascii="Arial Narrow" w:hAnsi="Arial Narrow" w:cs="Arial"/>
                <w:sz w:val="20"/>
                <w:szCs w:val="20"/>
                <w:lang w:eastAsia="en-US"/>
              </w:rPr>
            </w:pPr>
            <w:r w:rsidRPr="00FD0C63">
              <w:rPr>
                <w:rFonts w:ascii="Arial Narrow" w:hAnsi="Arial Narrow" w:cs="Arial"/>
                <w:sz w:val="20"/>
                <w:szCs w:val="20"/>
                <w:lang w:eastAsia="en-US"/>
              </w:rPr>
              <w:t>Careful monitoring of patients is required due to risk of developing life-threatening Cytokine Release Syndrome, neurological toxicities and reactivation of John Cunningham virus (JC) viral infection.</w:t>
            </w:r>
            <w:r>
              <w:rPr>
                <w:rFonts w:ascii="Arial Narrow" w:hAnsi="Arial Narrow" w:cs="Arial"/>
                <w:sz w:val="20"/>
                <w:szCs w:val="20"/>
                <w:lang w:eastAsia="en-US"/>
              </w:rPr>
              <w:t xml:space="preserve"> </w:t>
            </w:r>
          </w:p>
        </w:tc>
      </w:tr>
    </w:tbl>
    <w:p w:rsidR="00AA6236" w:rsidRDefault="00AA6236" w:rsidP="00362E4D">
      <w:pPr>
        <w:rPr>
          <w:lang w:eastAsia="en-US"/>
        </w:rPr>
      </w:pPr>
    </w:p>
    <w:p w:rsidR="0008373F" w:rsidRDefault="0008373F" w:rsidP="00CC7301">
      <w:pPr>
        <w:widowControl w:val="0"/>
        <w:spacing w:after="120"/>
        <w:jc w:val="both"/>
        <w:rPr>
          <w:rFonts w:asciiTheme="minorHAnsi" w:eastAsiaTheme="minorEastAsia" w:hAnsiTheme="minorHAnsi" w:cs="Arial"/>
          <w:bCs/>
          <w:snapToGrid w:val="0"/>
          <w:szCs w:val="22"/>
          <w:lang w:eastAsia="en-US"/>
        </w:rPr>
      </w:pPr>
    </w:p>
    <w:p w:rsidR="0008373F" w:rsidRDefault="0008373F" w:rsidP="00CC7301">
      <w:pPr>
        <w:widowControl w:val="0"/>
        <w:spacing w:after="120"/>
        <w:jc w:val="both"/>
        <w:rPr>
          <w:rFonts w:asciiTheme="minorHAnsi" w:eastAsiaTheme="minorEastAsia" w:hAnsiTheme="minorHAnsi" w:cs="Arial"/>
          <w:bCs/>
          <w:snapToGrid w:val="0"/>
          <w:szCs w:val="22"/>
          <w:lang w:eastAsia="en-US"/>
        </w:rPr>
      </w:pPr>
    </w:p>
    <w:p w:rsidR="0008373F" w:rsidRDefault="0008373F" w:rsidP="00CC7301">
      <w:pPr>
        <w:widowControl w:val="0"/>
        <w:spacing w:after="120"/>
        <w:jc w:val="both"/>
        <w:rPr>
          <w:rFonts w:asciiTheme="minorHAnsi" w:eastAsiaTheme="minorEastAsia" w:hAnsiTheme="minorHAnsi" w:cs="Arial"/>
          <w:bCs/>
          <w:snapToGrid w:val="0"/>
          <w:szCs w:val="22"/>
          <w:lang w:eastAsia="en-US"/>
        </w:rPr>
      </w:pPr>
    </w:p>
    <w:p w:rsidR="0008373F" w:rsidRDefault="0008373F" w:rsidP="00CC7301">
      <w:pPr>
        <w:widowControl w:val="0"/>
        <w:spacing w:after="120"/>
        <w:jc w:val="both"/>
        <w:rPr>
          <w:rFonts w:asciiTheme="minorHAnsi" w:eastAsiaTheme="minorEastAsia" w:hAnsiTheme="minorHAnsi" w:cs="Arial"/>
          <w:bCs/>
          <w:snapToGrid w:val="0"/>
          <w:szCs w:val="22"/>
          <w:lang w:eastAsia="en-US"/>
        </w:rPr>
      </w:pPr>
    </w:p>
    <w:p w:rsidR="0092169A" w:rsidRDefault="00CC7301" w:rsidP="00CC7301">
      <w:pPr>
        <w:widowControl w:val="0"/>
        <w:spacing w:after="120"/>
        <w:jc w:val="both"/>
        <w:rPr>
          <w:rFonts w:asciiTheme="minorHAnsi" w:eastAsiaTheme="minorEastAsia" w:hAnsiTheme="minorHAnsi" w:cs="Arial"/>
          <w:bCs/>
          <w:snapToGrid w:val="0"/>
          <w:szCs w:val="22"/>
          <w:lang w:eastAsia="en-US"/>
        </w:rPr>
      </w:pPr>
      <w:r>
        <w:rPr>
          <w:rFonts w:asciiTheme="minorHAnsi" w:eastAsiaTheme="minorEastAsia" w:hAnsiTheme="minorHAnsi" w:cs="Arial"/>
          <w:bCs/>
          <w:snapToGrid w:val="0"/>
          <w:szCs w:val="22"/>
          <w:lang w:eastAsia="en-US"/>
        </w:rPr>
        <w:lastRenderedPageBreak/>
        <w:t>Remove the criteria “The treatment must be the sole PBS-subsidised therapy for this condition” from the dasatinib listings (9127J, 9343R, 9126H and 9125G) and ponatinib listings (11453T and 11454W) for acute lymphoblastic leukaemia</w:t>
      </w:r>
    </w:p>
    <w:p w:rsidR="00224BCB" w:rsidRPr="0092169A" w:rsidRDefault="00224BCB" w:rsidP="00CC7301">
      <w:pPr>
        <w:widowControl w:val="0"/>
        <w:spacing w:after="120"/>
        <w:jc w:val="both"/>
        <w:rPr>
          <w:rFonts w:asciiTheme="minorHAnsi" w:eastAsiaTheme="minorEastAsia" w:hAnsiTheme="minorHAnsi" w:cs="Arial"/>
          <w:bCs/>
          <w:snapToGrid w:val="0"/>
          <w:szCs w:val="22"/>
          <w:lang w:eastAsia="en-US"/>
        </w:rPr>
      </w:pPr>
    </w:p>
    <w:p w:rsidR="00323918" w:rsidRPr="009801B1" w:rsidRDefault="00323918" w:rsidP="00323918">
      <w:pPr>
        <w:widowControl w:val="0"/>
        <w:numPr>
          <w:ilvl w:val="1"/>
          <w:numId w:val="5"/>
        </w:numPr>
        <w:spacing w:after="120"/>
        <w:jc w:val="both"/>
        <w:rPr>
          <w:rFonts w:asciiTheme="minorHAnsi" w:eastAsiaTheme="minorEastAsia" w:hAnsiTheme="minorHAnsi" w:cs="Arial"/>
          <w:bCs/>
          <w:snapToGrid w:val="0"/>
          <w:szCs w:val="22"/>
          <w:lang w:eastAsia="en-US"/>
        </w:rPr>
      </w:pPr>
      <w:r>
        <w:rPr>
          <w:rFonts w:asciiTheme="minorHAnsi" w:eastAsiaTheme="minorEastAsia" w:hAnsiTheme="minorHAnsi" w:cs="Arial"/>
          <w:bCs/>
          <w:snapToGrid w:val="0"/>
          <w:szCs w:val="22"/>
          <w:lang w:eastAsia="en-US"/>
        </w:rPr>
        <w:t>Add new item:</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558"/>
        <w:gridCol w:w="564"/>
        <w:gridCol w:w="2084"/>
        <w:gridCol w:w="1405"/>
      </w:tblGrid>
      <w:tr w:rsidR="00323918" w:rsidRPr="002A6AD7" w:rsidTr="00323918">
        <w:trPr>
          <w:cantSplit/>
          <w:trHeight w:val="463"/>
        </w:trPr>
        <w:tc>
          <w:tcPr>
            <w:tcW w:w="1405" w:type="pct"/>
            <w:gridSpan w:val="2"/>
            <w:tcBorders>
              <w:top w:val="single" w:sz="4" w:space="0" w:color="auto"/>
              <w:left w:val="nil"/>
              <w:bottom w:val="single" w:sz="4" w:space="0" w:color="auto"/>
              <w:right w:val="nil"/>
            </w:tcBorders>
            <w:vAlign w:val="center"/>
            <w:hideMark/>
          </w:tcPr>
          <w:p w:rsidR="00323918" w:rsidRPr="002A6AD7" w:rsidRDefault="00323918" w:rsidP="00323918">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Name, Restriction,</w:t>
            </w:r>
          </w:p>
          <w:p w:rsidR="00323918" w:rsidRPr="002A6AD7" w:rsidRDefault="00323918" w:rsidP="00323918">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Manner of administration and form</w:t>
            </w:r>
          </w:p>
        </w:tc>
        <w:tc>
          <w:tcPr>
            <w:tcW w:w="472" w:type="pct"/>
            <w:tcBorders>
              <w:top w:val="single" w:sz="4" w:space="0" w:color="auto"/>
              <w:left w:val="nil"/>
              <w:bottom w:val="single" w:sz="4" w:space="0" w:color="auto"/>
              <w:right w:val="nil"/>
            </w:tcBorders>
            <w:vAlign w:val="center"/>
            <w:hideMark/>
          </w:tcPr>
          <w:p w:rsidR="00323918" w:rsidRPr="002A6AD7" w:rsidRDefault="00323918"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Max.</w:t>
            </w:r>
          </w:p>
          <w:p w:rsidR="00323918" w:rsidRPr="002A6AD7" w:rsidRDefault="00323918"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Amt</w:t>
            </w:r>
          </w:p>
        </w:tc>
        <w:tc>
          <w:tcPr>
            <w:tcW w:w="867" w:type="pct"/>
            <w:tcBorders>
              <w:top w:val="single" w:sz="4" w:space="0" w:color="auto"/>
              <w:left w:val="nil"/>
              <w:bottom w:val="single" w:sz="4" w:space="0" w:color="auto"/>
              <w:right w:val="nil"/>
            </w:tcBorders>
            <w:vAlign w:val="center"/>
            <w:hideMark/>
          </w:tcPr>
          <w:p w:rsidR="00323918" w:rsidRPr="002A6AD7" w:rsidRDefault="00323918"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№.of</w:t>
            </w:r>
          </w:p>
          <w:p w:rsidR="00323918" w:rsidRPr="002A6AD7" w:rsidRDefault="00323918" w:rsidP="00323918">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Rpts</w:t>
            </w:r>
          </w:p>
        </w:tc>
        <w:tc>
          <w:tcPr>
            <w:tcW w:w="314" w:type="pct"/>
            <w:tcBorders>
              <w:top w:val="single" w:sz="4" w:space="0" w:color="auto"/>
              <w:left w:val="nil"/>
              <w:bottom w:val="single" w:sz="4" w:space="0" w:color="auto"/>
              <w:right w:val="nil"/>
            </w:tcBorders>
            <w:vAlign w:val="center"/>
          </w:tcPr>
          <w:p w:rsidR="00323918" w:rsidRPr="002A6AD7" w:rsidRDefault="00323918" w:rsidP="00323918">
            <w:pPr>
              <w:keepNext/>
              <w:snapToGrid w:val="0"/>
              <w:jc w:val="center"/>
              <w:rPr>
                <w:rFonts w:ascii="Arial Narrow" w:hAnsi="Arial Narrow" w:cs="Arial"/>
                <w:b/>
                <w:sz w:val="20"/>
                <w:szCs w:val="22"/>
                <w:lang w:eastAsia="en-US"/>
              </w:rPr>
            </w:pPr>
          </w:p>
        </w:tc>
        <w:tc>
          <w:tcPr>
            <w:tcW w:w="1942" w:type="pct"/>
            <w:gridSpan w:val="2"/>
            <w:tcBorders>
              <w:top w:val="single" w:sz="4" w:space="0" w:color="auto"/>
              <w:left w:val="nil"/>
              <w:bottom w:val="single" w:sz="4" w:space="0" w:color="auto"/>
              <w:right w:val="nil"/>
            </w:tcBorders>
            <w:vAlign w:val="center"/>
            <w:hideMark/>
          </w:tcPr>
          <w:p w:rsidR="00323918" w:rsidRPr="002A6AD7" w:rsidRDefault="00323918" w:rsidP="00323918">
            <w:pPr>
              <w:keepNext/>
              <w:snapToGrid w:val="0"/>
              <w:jc w:val="center"/>
              <w:rPr>
                <w:rFonts w:ascii="Arial Narrow" w:hAnsi="Arial Narrow" w:cs="Arial"/>
                <w:b/>
                <w:sz w:val="20"/>
                <w:szCs w:val="22"/>
                <w:lang w:val="fr-FR" w:eastAsia="en-US"/>
              </w:rPr>
            </w:pPr>
            <w:r w:rsidRPr="002A6AD7">
              <w:rPr>
                <w:rFonts w:ascii="Arial Narrow" w:hAnsi="Arial Narrow" w:cs="Arial"/>
                <w:b/>
                <w:sz w:val="20"/>
                <w:szCs w:val="22"/>
                <w:lang w:eastAsia="en-US"/>
              </w:rPr>
              <w:t>Proprietary Name and Manufacturer</w:t>
            </w:r>
          </w:p>
        </w:tc>
      </w:tr>
      <w:tr w:rsidR="00323918" w:rsidRPr="002A6AD7" w:rsidTr="00323918">
        <w:trPr>
          <w:cantSplit/>
          <w:trHeight w:val="259"/>
        </w:trPr>
        <w:tc>
          <w:tcPr>
            <w:tcW w:w="1405" w:type="pct"/>
            <w:gridSpan w:val="2"/>
            <w:hideMark/>
          </w:tcPr>
          <w:p w:rsidR="00323918" w:rsidRDefault="00323918" w:rsidP="00323918">
            <w:pPr>
              <w:keepNext/>
              <w:snapToGrid w:val="0"/>
              <w:jc w:val="both"/>
              <w:rPr>
                <w:rFonts w:ascii="Arial Narrow" w:hAnsi="Arial Narrow" w:cs="Arial"/>
                <w:smallCaps/>
                <w:sz w:val="20"/>
                <w:szCs w:val="22"/>
                <w:lang w:eastAsia="en-US"/>
              </w:rPr>
            </w:pPr>
            <w:r>
              <w:rPr>
                <w:rFonts w:ascii="Arial Narrow" w:hAnsi="Arial Narrow" w:cs="Arial"/>
                <w:smallCaps/>
                <w:sz w:val="20"/>
                <w:szCs w:val="22"/>
                <w:lang w:eastAsia="en-US"/>
              </w:rPr>
              <w:t>BLINATUMOMAB</w:t>
            </w:r>
          </w:p>
          <w:p w:rsidR="00323918" w:rsidRPr="002A6AD7" w:rsidRDefault="00323918" w:rsidP="00323918">
            <w:pPr>
              <w:keepNext/>
              <w:snapToGrid w:val="0"/>
              <w:jc w:val="both"/>
              <w:rPr>
                <w:rFonts w:ascii="Arial Narrow" w:hAnsi="Arial Narrow" w:cs="Arial"/>
                <w:sz w:val="20"/>
                <w:szCs w:val="22"/>
                <w:lang w:eastAsia="en-US"/>
              </w:rPr>
            </w:pPr>
          </w:p>
        </w:tc>
        <w:tc>
          <w:tcPr>
            <w:tcW w:w="472" w:type="pct"/>
            <w:vAlign w:val="center"/>
          </w:tcPr>
          <w:p w:rsidR="00323918" w:rsidRPr="002A6AD7" w:rsidRDefault="00323918" w:rsidP="00323918">
            <w:pPr>
              <w:keepNext/>
              <w:snapToGrid w:val="0"/>
              <w:jc w:val="both"/>
              <w:rPr>
                <w:rFonts w:ascii="Arial Narrow" w:hAnsi="Arial Narrow" w:cs="Arial"/>
                <w:sz w:val="20"/>
                <w:szCs w:val="22"/>
                <w:lang w:eastAsia="en-US"/>
              </w:rPr>
            </w:pPr>
          </w:p>
        </w:tc>
        <w:tc>
          <w:tcPr>
            <w:tcW w:w="867" w:type="pct"/>
            <w:vAlign w:val="center"/>
          </w:tcPr>
          <w:p w:rsidR="00323918" w:rsidRPr="002A6AD7" w:rsidRDefault="00323918" w:rsidP="00323918">
            <w:pPr>
              <w:keepNext/>
              <w:snapToGrid w:val="0"/>
              <w:jc w:val="both"/>
              <w:rPr>
                <w:rFonts w:ascii="Arial Narrow" w:hAnsi="Arial Narrow" w:cs="Arial"/>
                <w:sz w:val="20"/>
                <w:szCs w:val="22"/>
                <w:lang w:eastAsia="en-US"/>
              </w:rPr>
            </w:pPr>
          </w:p>
        </w:tc>
        <w:tc>
          <w:tcPr>
            <w:tcW w:w="314" w:type="pct"/>
            <w:vAlign w:val="center"/>
          </w:tcPr>
          <w:p w:rsidR="00323918" w:rsidRPr="002A6AD7" w:rsidRDefault="00323918" w:rsidP="00323918">
            <w:pPr>
              <w:keepNext/>
              <w:snapToGrid w:val="0"/>
              <w:jc w:val="both"/>
              <w:rPr>
                <w:rFonts w:ascii="Arial Narrow" w:hAnsi="Arial Narrow" w:cs="Arial"/>
                <w:sz w:val="20"/>
                <w:szCs w:val="22"/>
                <w:lang w:eastAsia="en-US"/>
              </w:rPr>
            </w:pPr>
          </w:p>
        </w:tc>
        <w:tc>
          <w:tcPr>
            <w:tcW w:w="1160" w:type="pct"/>
            <w:vAlign w:val="center"/>
          </w:tcPr>
          <w:p w:rsidR="00323918" w:rsidRPr="002A6AD7" w:rsidRDefault="00323918" w:rsidP="00323918">
            <w:pPr>
              <w:keepNext/>
              <w:snapToGrid w:val="0"/>
              <w:jc w:val="center"/>
              <w:rPr>
                <w:rFonts w:ascii="Arial Narrow" w:hAnsi="Arial Narrow" w:cs="Arial"/>
                <w:sz w:val="20"/>
                <w:szCs w:val="22"/>
                <w:lang w:eastAsia="en-US"/>
              </w:rPr>
            </w:pPr>
          </w:p>
        </w:tc>
        <w:tc>
          <w:tcPr>
            <w:tcW w:w="782" w:type="pct"/>
            <w:vAlign w:val="center"/>
          </w:tcPr>
          <w:p w:rsidR="00323918" w:rsidRPr="002A6AD7" w:rsidRDefault="00323918" w:rsidP="00323918">
            <w:pPr>
              <w:keepNext/>
              <w:snapToGrid w:val="0"/>
              <w:jc w:val="both"/>
              <w:rPr>
                <w:rFonts w:ascii="Arial Narrow" w:hAnsi="Arial Narrow" w:cs="Arial"/>
                <w:sz w:val="20"/>
                <w:szCs w:val="22"/>
                <w:lang w:eastAsia="en-US"/>
              </w:rPr>
            </w:pPr>
          </w:p>
        </w:tc>
      </w:tr>
      <w:tr w:rsidR="00323918" w:rsidRPr="002A6AD7" w:rsidTr="00323918">
        <w:trPr>
          <w:cantSplit/>
          <w:trHeight w:val="538"/>
        </w:trPr>
        <w:tc>
          <w:tcPr>
            <w:tcW w:w="1405" w:type="pct"/>
            <w:gridSpan w:val="2"/>
            <w:vAlign w:val="center"/>
            <w:hideMark/>
          </w:tcPr>
          <w:p w:rsidR="00323918" w:rsidRPr="002A6AD7" w:rsidRDefault="00323918" w:rsidP="00323918">
            <w:pPr>
              <w:snapToGrid w:val="0"/>
              <w:jc w:val="both"/>
              <w:rPr>
                <w:rFonts w:ascii="Arial Narrow" w:hAnsi="Arial Narrow" w:cs="Arial"/>
                <w:sz w:val="20"/>
                <w:szCs w:val="22"/>
                <w:lang w:eastAsia="en-US"/>
              </w:rPr>
            </w:pPr>
            <w:r w:rsidRPr="002A6AD7">
              <w:rPr>
                <w:rFonts w:ascii="Arial Narrow" w:hAnsi="Arial Narrow" w:cs="Arial"/>
                <w:sz w:val="20"/>
                <w:szCs w:val="22"/>
                <w:lang w:eastAsia="en-US"/>
              </w:rPr>
              <w:t>38.5 microgram injection [1 vial] (&amp;) inert substance solution [10 mL vial], 1 pack</w:t>
            </w:r>
          </w:p>
        </w:tc>
        <w:tc>
          <w:tcPr>
            <w:tcW w:w="472" w:type="pct"/>
            <w:vAlign w:val="center"/>
            <w:hideMark/>
          </w:tcPr>
          <w:p w:rsidR="00323918" w:rsidRPr="002A6AD7" w:rsidRDefault="00323918" w:rsidP="00323918">
            <w:pPr>
              <w:snapToGrid w:val="0"/>
              <w:jc w:val="center"/>
              <w:rPr>
                <w:rFonts w:ascii="Arial Narrow" w:hAnsi="Arial Narrow" w:cs="Arial"/>
                <w:sz w:val="20"/>
                <w:szCs w:val="22"/>
                <w:lang w:eastAsia="en-US"/>
              </w:rPr>
            </w:pPr>
            <w:r>
              <w:rPr>
                <w:rFonts w:ascii="Arial Narrow" w:hAnsi="Arial Narrow" w:cs="Arial"/>
                <w:sz w:val="20"/>
                <w:szCs w:val="22"/>
                <w:lang w:eastAsia="en-US"/>
              </w:rPr>
              <w:t>651</w:t>
            </w:r>
            <w:r w:rsidRPr="002A6AD7">
              <w:rPr>
                <w:rFonts w:ascii="Arial Narrow" w:hAnsi="Arial Narrow" w:cs="Arial"/>
                <w:sz w:val="20"/>
                <w:szCs w:val="22"/>
                <w:lang w:eastAsia="en-US"/>
              </w:rPr>
              <w:t xml:space="preserve"> mcg</w:t>
            </w:r>
          </w:p>
        </w:tc>
        <w:tc>
          <w:tcPr>
            <w:tcW w:w="867" w:type="pct"/>
            <w:vAlign w:val="center"/>
            <w:hideMark/>
          </w:tcPr>
          <w:p w:rsidR="00323918" w:rsidRPr="002A6AD7" w:rsidRDefault="00323918" w:rsidP="00323918">
            <w:pPr>
              <w:keepNext/>
              <w:snapToGrid w:val="0"/>
              <w:jc w:val="center"/>
              <w:rPr>
                <w:rFonts w:ascii="Arial Narrow" w:hAnsi="Arial Narrow" w:cs="Arial"/>
                <w:sz w:val="20"/>
                <w:szCs w:val="22"/>
                <w:lang w:eastAsia="en-US"/>
              </w:rPr>
            </w:pPr>
            <w:r>
              <w:rPr>
                <w:rFonts w:ascii="Arial Narrow" w:hAnsi="Arial Narrow" w:cs="Arial"/>
                <w:sz w:val="20"/>
                <w:szCs w:val="22"/>
                <w:lang w:eastAsia="en-US"/>
              </w:rPr>
              <w:t>0</w:t>
            </w:r>
          </w:p>
        </w:tc>
        <w:tc>
          <w:tcPr>
            <w:tcW w:w="314" w:type="pct"/>
          </w:tcPr>
          <w:p w:rsidR="00323918" w:rsidRPr="002A6AD7" w:rsidRDefault="00323918" w:rsidP="00323918">
            <w:pPr>
              <w:keepNext/>
              <w:snapToGrid w:val="0"/>
              <w:jc w:val="both"/>
              <w:rPr>
                <w:rFonts w:ascii="Arial Narrow" w:hAnsi="Arial Narrow" w:cs="Arial"/>
                <w:sz w:val="20"/>
                <w:szCs w:val="22"/>
                <w:lang w:eastAsia="en-US"/>
              </w:rPr>
            </w:pPr>
          </w:p>
        </w:tc>
        <w:tc>
          <w:tcPr>
            <w:tcW w:w="1160" w:type="pct"/>
            <w:vAlign w:val="center"/>
            <w:hideMark/>
          </w:tcPr>
          <w:p w:rsidR="00323918" w:rsidRPr="002A6AD7" w:rsidRDefault="00323918" w:rsidP="00323918">
            <w:pPr>
              <w:keepNext/>
              <w:snapToGrid w:val="0"/>
              <w:jc w:val="center"/>
              <w:rPr>
                <w:rFonts w:ascii="Arial Narrow" w:hAnsi="Arial Narrow" w:cs="Arial"/>
                <w:sz w:val="20"/>
                <w:szCs w:val="22"/>
                <w:lang w:eastAsia="en-US"/>
              </w:rPr>
            </w:pPr>
            <w:r>
              <w:rPr>
                <w:rFonts w:ascii="Arial Narrow" w:hAnsi="Arial Narrow" w:cs="Arial"/>
                <w:sz w:val="20"/>
                <w:szCs w:val="22"/>
                <w:lang w:eastAsia="en-US"/>
              </w:rPr>
              <w:t>Blincyto</w:t>
            </w:r>
            <w:r w:rsidRPr="002A6AD7">
              <w:rPr>
                <w:rFonts w:ascii="Arial Narrow" w:hAnsi="Arial Narrow" w:cs="Arial"/>
                <w:sz w:val="20"/>
                <w:szCs w:val="22"/>
                <w:lang w:eastAsia="en-US"/>
              </w:rPr>
              <w:t>®</w:t>
            </w:r>
          </w:p>
        </w:tc>
        <w:tc>
          <w:tcPr>
            <w:tcW w:w="782" w:type="pct"/>
            <w:vAlign w:val="center"/>
            <w:hideMark/>
          </w:tcPr>
          <w:p w:rsidR="00323918" w:rsidRPr="002A6AD7" w:rsidRDefault="00323918" w:rsidP="00323918">
            <w:pPr>
              <w:keepNext/>
              <w:snapToGrid w:val="0"/>
              <w:jc w:val="center"/>
              <w:rPr>
                <w:rFonts w:ascii="Arial Narrow" w:hAnsi="Arial Narrow" w:cs="Arial"/>
                <w:sz w:val="20"/>
                <w:szCs w:val="22"/>
                <w:lang w:eastAsia="en-US"/>
              </w:rPr>
            </w:pPr>
            <w:r>
              <w:rPr>
                <w:rFonts w:ascii="Arial Narrow" w:hAnsi="Arial Narrow" w:cs="Arial"/>
                <w:sz w:val="20"/>
                <w:szCs w:val="22"/>
                <w:lang w:eastAsia="en-US"/>
              </w:rPr>
              <w:t>Amgen</w:t>
            </w:r>
            <w:r w:rsidRPr="002A6AD7">
              <w:rPr>
                <w:rFonts w:ascii="Arial Narrow" w:hAnsi="Arial Narrow" w:cs="Arial"/>
                <w:sz w:val="20"/>
                <w:szCs w:val="22"/>
                <w:lang w:eastAsia="en-US"/>
              </w:rPr>
              <w:t xml:space="preserve"> Australia </w:t>
            </w:r>
          </w:p>
          <w:p w:rsidR="00323918" w:rsidRPr="002A6AD7" w:rsidRDefault="00323918" w:rsidP="00323918">
            <w:pPr>
              <w:keepNext/>
              <w:snapToGrid w:val="0"/>
              <w:jc w:val="center"/>
              <w:rPr>
                <w:rFonts w:ascii="Arial Narrow" w:hAnsi="Arial Narrow" w:cs="Arial"/>
                <w:sz w:val="20"/>
                <w:szCs w:val="22"/>
                <w:lang w:eastAsia="en-US"/>
              </w:rPr>
            </w:pPr>
            <w:r w:rsidRPr="002A6AD7">
              <w:rPr>
                <w:rFonts w:ascii="Arial Narrow" w:hAnsi="Arial Narrow" w:cs="Arial"/>
                <w:sz w:val="20"/>
                <w:szCs w:val="22"/>
                <w:lang w:eastAsia="en-US"/>
              </w:rPr>
              <w:t>P/L</w:t>
            </w:r>
          </w:p>
        </w:tc>
      </w:tr>
      <w:tr w:rsidR="00323918"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S100 – Efficient Funding of Chemotherapy (EFC)</w:t>
            </w:r>
          </w:p>
        </w:tc>
      </w:tr>
      <w:tr w:rsidR="00323918"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Acute lymphoblastic leukaemia (ALL)</w:t>
            </w:r>
          </w:p>
        </w:tc>
      </w:tr>
      <w:tr w:rsidR="00323918"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rPr>
                <w:rFonts w:ascii="Arial Narrow" w:hAnsi="Arial Narrow" w:cs="Arial"/>
                <w:sz w:val="20"/>
                <w:szCs w:val="20"/>
                <w:lang w:eastAsia="en-US"/>
              </w:rPr>
            </w:pPr>
            <w:r>
              <w:rPr>
                <w:rFonts w:ascii="Arial Narrow" w:hAnsi="Arial Narrow" w:cs="Arial"/>
                <w:sz w:val="20"/>
                <w:szCs w:val="20"/>
                <w:lang w:eastAsia="en-US"/>
              </w:rPr>
              <w:t xml:space="preserve">Grandfather treatment </w:t>
            </w:r>
          </w:p>
        </w:tc>
      </w:tr>
      <w:tr w:rsidR="00323918"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rPr>
                <w:rFonts w:ascii="Arial Narrow" w:hAnsi="Arial Narrow" w:cs="Arial"/>
                <w:sz w:val="20"/>
                <w:szCs w:val="20"/>
                <w:lang w:eastAsia="en-US"/>
              </w:rPr>
            </w:pPr>
            <w:r w:rsidRPr="002A6AD7">
              <w:rPr>
                <w:rFonts w:ascii="Arial Narrow" w:hAnsi="Arial Narrow" w:cs="Arial"/>
                <w:sz w:val="20"/>
                <w:szCs w:val="20"/>
                <w:lang w:eastAsia="en-US"/>
              </w:rPr>
              <w:t>Authority Required - In Writing</w:t>
            </w:r>
          </w:p>
        </w:tc>
      </w:tr>
      <w:tr w:rsidR="00323918"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323918" w:rsidRPr="00337E3D" w:rsidRDefault="00337E3D"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Patient must have a documented history of</w:t>
            </w:r>
            <w:r w:rsidR="00323918" w:rsidRPr="00337E3D">
              <w:rPr>
                <w:rFonts w:ascii="Arial Narrow" w:hAnsi="Arial Narrow" w:cs="Arial"/>
                <w:i/>
                <w:sz w:val="20"/>
                <w:szCs w:val="20"/>
                <w:lang w:eastAsia="en-US"/>
              </w:rPr>
              <w:t xml:space="preserve"> relapsed or refractory B-precursor cell ALL, with an Eastern Cooperative Oncology Group (ECOG) performance status of 2 or less,</w:t>
            </w:r>
          </w:p>
          <w:p w:rsidR="00323918" w:rsidRPr="00337E3D" w:rsidRDefault="00323918"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AND</w:t>
            </w:r>
          </w:p>
          <w:p w:rsidR="00337E3D" w:rsidRPr="00337E3D" w:rsidRDefault="00337E3D"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Patient must have a documented history of receiving intensive combination chemotherapy for initial treatment of ALL or for subsequent salvage therapy,</w:t>
            </w:r>
          </w:p>
          <w:p w:rsidR="00337E3D" w:rsidRPr="00337E3D" w:rsidRDefault="00337E3D"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AND</w:t>
            </w:r>
          </w:p>
          <w:p w:rsidR="00323918" w:rsidRPr="00337E3D" w:rsidRDefault="00337E3D"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P</w:t>
            </w:r>
            <w:r w:rsidR="00323918" w:rsidRPr="00337E3D">
              <w:rPr>
                <w:rFonts w:ascii="Arial Narrow" w:hAnsi="Arial Narrow" w:cs="Arial"/>
                <w:i/>
                <w:sz w:val="20"/>
                <w:szCs w:val="20"/>
                <w:lang w:eastAsia="en-US"/>
              </w:rPr>
              <w:t>atient must not have received more than 1 line of salvage therapy,</w:t>
            </w:r>
          </w:p>
          <w:p w:rsidR="00323918" w:rsidRPr="00337E3D" w:rsidRDefault="00323918"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AND</w:t>
            </w:r>
          </w:p>
          <w:p w:rsidR="00323918" w:rsidRPr="00337E3D" w:rsidRDefault="00337E3D"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Patient must have a documented history of</w:t>
            </w:r>
            <w:r w:rsidR="00323918" w:rsidRPr="00337E3D">
              <w:rPr>
                <w:rFonts w:ascii="Arial Narrow" w:hAnsi="Arial Narrow" w:cs="Arial"/>
                <w:i/>
                <w:sz w:val="20"/>
                <w:szCs w:val="20"/>
                <w:lang w:eastAsia="en-US"/>
              </w:rPr>
              <w:t xml:space="preserve"> more than 5% blasts in bone marrow,</w:t>
            </w:r>
          </w:p>
          <w:p w:rsidR="00323918" w:rsidRPr="00337E3D" w:rsidRDefault="00323918"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AND</w:t>
            </w:r>
          </w:p>
          <w:p w:rsidR="00323918" w:rsidRPr="00337E3D" w:rsidRDefault="00337E3D"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Patient must have received treatment with this drug for this condition prior to &lt;listing date&gt;</w:t>
            </w:r>
          </w:p>
          <w:p w:rsidR="00337E3D" w:rsidRPr="00337E3D" w:rsidRDefault="00337E3D" w:rsidP="00323918">
            <w:pPr>
              <w:snapToGrid w:val="0"/>
              <w:rPr>
                <w:rFonts w:ascii="Arial Narrow" w:hAnsi="Arial Narrow" w:cs="Arial"/>
                <w:i/>
                <w:sz w:val="20"/>
                <w:szCs w:val="20"/>
                <w:lang w:eastAsia="en-US"/>
              </w:rPr>
            </w:pPr>
            <w:r w:rsidRPr="00337E3D">
              <w:rPr>
                <w:rFonts w:ascii="Arial Narrow" w:hAnsi="Arial Narrow" w:cs="Arial"/>
                <w:i/>
                <w:sz w:val="20"/>
                <w:szCs w:val="20"/>
                <w:lang w:eastAsia="en-US"/>
              </w:rPr>
              <w:t xml:space="preserve">AND </w:t>
            </w:r>
          </w:p>
          <w:p w:rsidR="00337E3D" w:rsidRPr="002A6AD7" w:rsidRDefault="00337E3D" w:rsidP="00323918">
            <w:pPr>
              <w:snapToGrid w:val="0"/>
              <w:rPr>
                <w:rFonts w:ascii="Arial Narrow" w:hAnsi="Arial Narrow" w:cs="Arial"/>
                <w:sz w:val="20"/>
                <w:szCs w:val="20"/>
                <w:lang w:eastAsia="en-US"/>
              </w:rPr>
            </w:pPr>
            <w:r w:rsidRPr="00337E3D">
              <w:rPr>
                <w:rFonts w:ascii="Arial Narrow" w:hAnsi="Arial Narrow" w:cs="Arial"/>
                <w:i/>
                <w:sz w:val="20"/>
                <w:szCs w:val="20"/>
                <w:lang w:eastAsia="en-US"/>
              </w:rPr>
              <w:t>Patient must not receive PBS-subsidised treatment with this drug if progressive disease develops while on this drug.</w:t>
            </w:r>
            <w:r>
              <w:rPr>
                <w:rFonts w:ascii="Arial Narrow" w:hAnsi="Arial Narrow" w:cs="Arial"/>
                <w:sz w:val="20"/>
                <w:szCs w:val="20"/>
                <w:lang w:eastAsia="en-US"/>
              </w:rPr>
              <w:t xml:space="preserve"> </w:t>
            </w:r>
          </w:p>
        </w:tc>
      </w:tr>
      <w:tr w:rsidR="00323918" w:rsidRPr="002A6AD7" w:rsidTr="00323918">
        <w:trPr>
          <w:trHeight w:val="20"/>
        </w:trPr>
        <w:tc>
          <w:tcPr>
            <w:tcW w:w="1252" w:type="pct"/>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Prescriber instructions:</w:t>
            </w:r>
          </w:p>
        </w:tc>
        <w:tc>
          <w:tcPr>
            <w:tcW w:w="3748" w:type="pct"/>
            <w:gridSpan w:val="6"/>
            <w:tcBorders>
              <w:top w:val="single" w:sz="4" w:space="0" w:color="auto"/>
              <w:left w:val="single" w:sz="4" w:space="0" w:color="auto"/>
              <w:bottom w:val="single" w:sz="4" w:space="0" w:color="auto"/>
              <w:right w:val="single" w:sz="4" w:space="0" w:color="auto"/>
            </w:tcBorders>
          </w:tcPr>
          <w:p w:rsidR="00323918" w:rsidRPr="00D57BAB" w:rsidRDefault="00323918"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rsidR="00323918" w:rsidRPr="00D57BAB" w:rsidRDefault="00323918" w:rsidP="00323918">
            <w:pPr>
              <w:snapToGrid w:val="0"/>
              <w:rPr>
                <w:rFonts w:ascii="Arial Narrow" w:hAnsi="Arial Narrow" w:cs="Arial"/>
                <w:i/>
                <w:sz w:val="20"/>
                <w:szCs w:val="20"/>
                <w:lang w:eastAsia="en-US"/>
              </w:rPr>
            </w:pPr>
          </w:p>
          <w:p w:rsidR="00323918" w:rsidRPr="00D57BAB" w:rsidRDefault="00323918"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Blinatumomab is not PBS-subsidised if it is administered to an in-patient in a public hospital setting.</w:t>
            </w:r>
          </w:p>
          <w:p w:rsidR="00323918" w:rsidRPr="00D57BAB" w:rsidRDefault="00323918" w:rsidP="00323918">
            <w:pPr>
              <w:snapToGrid w:val="0"/>
              <w:rPr>
                <w:rFonts w:ascii="Arial Narrow" w:hAnsi="Arial Narrow" w:cs="Arial"/>
                <w:i/>
                <w:sz w:val="20"/>
                <w:szCs w:val="20"/>
                <w:lang w:eastAsia="en-US"/>
              </w:rPr>
            </w:pPr>
          </w:p>
          <w:p w:rsidR="00337E3D" w:rsidRPr="00D57BAB" w:rsidRDefault="00337E3D"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A patient may qualify for PBS-subsidised treatment under this restriction once only.</w:t>
            </w:r>
          </w:p>
          <w:p w:rsidR="002369CA" w:rsidRPr="00D57BAB" w:rsidRDefault="002369CA" w:rsidP="00323918">
            <w:pPr>
              <w:snapToGrid w:val="0"/>
              <w:rPr>
                <w:rFonts w:ascii="Arial Narrow" w:hAnsi="Arial Narrow" w:cs="Arial"/>
                <w:i/>
                <w:sz w:val="20"/>
                <w:szCs w:val="20"/>
                <w:lang w:eastAsia="en-US"/>
              </w:rPr>
            </w:pPr>
          </w:p>
          <w:p w:rsidR="002369CA" w:rsidRPr="00D57BAB" w:rsidRDefault="002369CA"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Treatment with this drug for this condition must not exceed 5 treatment cycles in a lifetime.</w:t>
            </w:r>
          </w:p>
          <w:p w:rsidR="00337E3D" w:rsidRPr="00D57BAB" w:rsidRDefault="00337E3D" w:rsidP="00323918">
            <w:pPr>
              <w:snapToGrid w:val="0"/>
              <w:rPr>
                <w:rFonts w:ascii="Arial Narrow" w:hAnsi="Arial Narrow" w:cs="Arial"/>
                <w:i/>
                <w:sz w:val="20"/>
                <w:szCs w:val="20"/>
                <w:lang w:eastAsia="en-US"/>
              </w:rPr>
            </w:pPr>
          </w:p>
          <w:p w:rsidR="002369CA" w:rsidRPr="00D57BAB" w:rsidRDefault="002369CA"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Patients who have received up to two treatment cycles as induction therapy with this drug for this condition prior to &lt;listing date&gt; must have achieved a complete remission or a complete remission with partial haematological recovery in order to continue with PBS-subsidised treatment with this drug.</w:t>
            </w:r>
          </w:p>
          <w:p w:rsidR="002369CA" w:rsidRPr="00D57BAB" w:rsidRDefault="002369CA" w:rsidP="00323918">
            <w:pPr>
              <w:snapToGrid w:val="0"/>
              <w:rPr>
                <w:rFonts w:ascii="Arial Narrow" w:hAnsi="Arial Narrow" w:cs="Arial"/>
                <w:i/>
                <w:sz w:val="20"/>
                <w:szCs w:val="20"/>
                <w:lang w:eastAsia="en-US"/>
              </w:rPr>
            </w:pPr>
          </w:p>
          <w:p w:rsidR="002369CA" w:rsidRPr="00D57BAB" w:rsidRDefault="002369CA"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Patients who have received at least one treatment cycle as consolidation therapy with this drug for this condition prior to &lt;listing date&gt; must have achieved a complete remission or a complete remission with partial haematological recovery in order to continue with PBS-subsidised treatment with this drug.</w:t>
            </w:r>
          </w:p>
          <w:p w:rsidR="002369CA" w:rsidRPr="00D57BAB" w:rsidRDefault="002369CA" w:rsidP="00323918">
            <w:pPr>
              <w:snapToGrid w:val="0"/>
              <w:rPr>
                <w:rFonts w:ascii="Arial Narrow" w:hAnsi="Arial Narrow" w:cs="Arial"/>
                <w:i/>
                <w:sz w:val="20"/>
                <w:szCs w:val="20"/>
                <w:lang w:eastAsia="en-US"/>
              </w:rPr>
            </w:pPr>
          </w:p>
          <w:p w:rsidR="002369CA" w:rsidRPr="00D57BAB" w:rsidRDefault="002369CA"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Patients who fail to demonstrate a complete remission (CR) or complete remission with incomplete haematological recovery (CRi) after 2 cycles of PBS-subsidised treatment with this agent must cease PBS-subsidised treatment with this agent.</w:t>
            </w:r>
          </w:p>
          <w:p w:rsidR="002369CA" w:rsidRPr="00D57BAB" w:rsidRDefault="002369CA" w:rsidP="00323918">
            <w:pPr>
              <w:snapToGrid w:val="0"/>
              <w:rPr>
                <w:rFonts w:ascii="Arial Narrow" w:hAnsi="Arial Narrow" w:cs="Arial"/>
                <w:i/>
                <w:sz w:val="20"/>
                <w:szCs w:val="20"/>
                <w:lang w:eastAsia="en-US"/>
              </w:rPr>
            </w:pPr>
          </w:p>
          <w:p w:rsidR="00323918" w:rsidRPr="00D57BAB" w:rsidRDefault="00323918"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The authority application must be made in writing and must include:</w:t>
            </w:r>
          </w:p>
          <w:p w:rsidR="00323918" w:rsidRPr="00D57BAB" w:rsidRDefault="00323918" w:rsidP="00323918">
            <w:pPr>
              <w:snapToGrid w:val="0"/>
              <w:rPr>
                <w:rFonts w:ascii="Arial Narrow" w:hAnsi="Arial Narrow" w:cs="Arial"/>
                <w:i/>
                <w:sz w:val="20"/>
                <w:szCs w:val="20"/>
                <w:lang w:eastAsia="en-US"/>
              </w:rPr>
            </w:pPr>
          </w:p>
          <w:p w:rsidR="00323918" w:rsidRPr="00D57BAB" w:rsidRDefault="00323918"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(1) a completed authority prescription form;</w:t>
            </w:r>
          </w:p>
          <w:p w:rsidR="00323918" w:rsidRPr="00D57BAB" w:rsidRDefault="00323918" w:rsidP="00323918">
            <w:pPr>
              <w:snapToGrid w:val="0"/>
              <w:rPr>
                <w:rFonts w:ascii="Arial Narrow" w:hAnsi="Arial Narrow" w:cs="Arial"/>
                <w:i/>
                <w:sz w:val="20"/>
                <w:szCs w:val="20"/>
                <w:lang w:eastAsia="en-US"/>
              </w:rPr>
            </w:pPr>
          </w:p>
          <w:p w:rsidR="00323918" w:rsidRPr="00D57BAB" w:rsidRDefault="00323918"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(2) a completed Acute Lymphoblastic Leukaemia PBS Authority Application - Supporting Information Form; and</w:t>
            </w:r>
          </w:p>
          <w:p w:rsidR="00337E3D" w:rsidRPr="00D57BAB" w:rsidRDefault="00337E3D" w:rsidP="00323918">
            <w:pPr>
              <w:snapToGrid w:val="0"/>
              <w:rPr>
                <w:rFonts w:ascii="Arial Narrow" w:hAnsi="Arial Narrow" w:cs="Arial"/>
                <w:i/>
                <w:sz w:val="20"/>
                <w:szCs w:val="20"/>
                <w:lang w:eastAsia="en-US"/>
              </w:rPr>
            </w:pPr>
          </w:p>
          <w:p w:rsidR="00337E3D" w:rsidRPr="00D57BAB" w:rsidRDefault="00337E3D"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(3) date of the most recent blinatumomab dose, if this was for induction or consolidation therapy, an how many treatment cycle(s) of PBS-subsidised blinatumomab will be required for completion of induction or consolidation therapy; and</w:t>
            </w:r>
          </w:p>
          <w:p w:rsidR="00323918" w:rsidRPr="00D57BAB" w:rsidRDefault="00323918" w:rsidP="00323918">
            <w:pPr>
              <w:snapToGrid w:val="0"/>
              <w:rPr>
                <w:rFonts w:ascii="Arial Narrow" w:hAnsi="Arial Narrow" w:cs="Arial"/>
                <w:i/>
                <w:sz w:val="20"/>
                <w:szCs w:val="20"/>
                <w:lang w:eastAsia="en-US"/>
              </w:rPr>
            </w:pPr>
          </w:p>
          <w:p w:rsidR="00323918" w:rsidRPr="00D57BAB" w:rsidRDefault="00337E3D"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(4</w:t>
            </w:r>
            <w:r w:rsidR="00323918" w:rsidRPr="00D57BAB">
              <w:rPr>
                <w:rFonts w:ascii="Arial Narrow" w:hAnsi="Arial Narrow" w:cs="Arial"/>
                <w:i/>
                <w:sz w:val="20"/>
                <w:szCs w:val="20"/>
                <w:lang w:eastAsia="en-US"/>
              </w:rPr>
              <w:t>) date of most recent chemotherapy</w:t>
            </w:r>
            <w:r w:rsidRPr="00D57BAB">
              <w:rPr>
                <w:rFonts w:ascii="Arial Narrow" w:hAnsi="Arial Narrow" w:cs="Arial"/>
                <w:i/>
                <w:sz w:val="20"/>
                <w:szCs w:val="20"/>
                <w:lang w:eastAsia="en-US"/>
              </w:rPr>
              <w:t xml:space="preserve"> prior to receiving non-PBS subsidised blinatumomab</w:t>
            </w:r>
            <w:r w:rsidR="00323918" w:rsidRPr="00D57BAB">
              <w:rPr>
                <w:rFonts w:ascii="Arial Narrow" w:hAnsi="Arial Narrow" w:cs="Arial"/>
                <w:i/>
                <w:sz w:val="20"/>
                <w:szCs w:val="20"/>
                <w:lang w:eastAsia="en-US"/>
              </w:rPr>
              <w:t>, and if this was the initial chemotherapy regimen or salvage therapy, including what line of salvage; and</w:t>
            </w:r>
          </w:p>
          <w:p w:rsidR="00323918" w:rsidRPr="00D57BAB" w:rsidRDefault="00323918" w:rsidP="00323918">
            <w:pPr>
              <w:snapToGrid w:val="0"/>
              <w:rPr>
                <w:rFonts w:ascii="Arial Narrow" w:hAnsi="Arial Narrow" w:cs="Arial"/>
                <w:i/>
                <w:sz w:val="20"/>
                <w:szCs w:val="20"/>
                <w:lang w:eastAsia="en-US"/>
              </w:rPr>
            </w:pPr>
          </w:p>
          <w:p w:rsidR="00323918" w:rsidRPr="002A6AD7" w:rsidRDefault="00337E3D" w:rsidP="00337E3D">
            <w:pPr>
              <w:snapToGrid w:val="0"/>
              <w:rPr>
                <w:rFonts w:ascii="Arial Narrow" w:hAnsi="Arial Narrow" w:cs="Arial"/>
                <w:sz w:val="20"/>
                <w:szCs w:val="20"/>
                <w:lang w:eastAsia="en-US"/>
              </w:rPr>
            </w:pPr>
            <w:r w:rsidRPr="00D57BAB">
              <w:rPr>
                <w:rFonts w:ascii="Arial Narrow" w:hAnsi="Arial Narrow" w:cs="Arial"/>
                <w:i/>
                <w:sz w:val="20"/>
                <w:szCs w:val="20"/>
                <w:lang w:eastAsia="en-US"/>
              </w:rPr>
              <w:t>(5</w:t>
            </w:r>
            <w:r w:rsidR="00323918" w:rsidRPr="00D57BAB">
              <w:rPr>
                <w:rFonts w:ascii="Arial Narrow" w:hAnsi="Arial Narrow" w:cs="Arial"/>
                <w:i/>
                <w:sz w:val="20"/>
                <w:szCs w:val="20"/>
                <w:lang w:eastAsia="en-US"/>
              </w:rPr>
              <w:t xml:space="preserve">) a copy of the most recent bone marrow biopsy report </w:t>
            </w:r>
            <w:r w:rsidRPr="00D57BAB">
              <w:rPr>
                <w:rFonts w:ascii="Arial Narrow" w:hAnsi="Arial Narrow" w:cs="Arial"/>
                <w:i/>
                <w:sz w:val="20"/>
                <w:szCs w:val="20"/>
                <w:lang w:eastAsia="en-US"/>
              </w:rPr>
              <w:t xml:space="preserve">prior to receiving non-PBS subsidised blinatumomab. </w:t>
            </w:r>
          </w:p>
        </w:tc>
      </w:tr>
      <w:tr w:rsidR="00323918" w:rsidRPr="002A6AD7" w:rsidTr="00401B60">
        <w:trPr>
          <w:trHeight w:val="1136"/>
        </w:trPr>
        <w:tc>
          <w:tcPr>
            <w:tcW w:w="1252" w:type="pct"/>
            <w:tcBorders>
              <w:top w:val="single" w:sz="4" w:space="0" w:color="auto"/>
              <w:left w:val="single" w:sz="4" w:space="0" w:color="auto"/>
              <w:bottom w:val="single" w:sz="4" w:space="0" w:color="auto"/>
              <w:right w:val="single" w:sz="4" w:space="0" w:color="auto"/>
            </w:tcBorders>
            <w:hideMark/>
          </w:tcPr>
          <w:p w:rsidR="00323918" w:rsidRPr="002A6AD7" w:rsidRDefault="00323918" w:rsidP="00323918">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2369CA" w:rsidRPr="00D57BAB" w:rsidRDefault="002369CA"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2369CA" w:rsidRPr="00D57BAB" w:rsidRDefault="002369CA" w:rsidP="00323918">
            <w:pPr>
              <w:snapToGrid w:val="0"/>
              <w:rPr>
                <w:rFonts w:ascii="Arial Narrow" w:hAnsi="Arial Narrow" w:cs="Arial"/>
                <w:i/>
                <w:sz w:val="20"/>
                <w:szCs w:val="20"/>
                <w:lang w:eastAsia="en-US"/>
              </w:rPr>
            </w:pPr>
          </w:p>
          <w:p w:rsidR="002369CA" w:rsidRPr="00D57BAB" w:rsidRDefault="002369CA"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t>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w:t>
            </w:r>
          </w:p>
          <w:p w:rsidR="002369CA" w:rsidRPr="00D57BAB" w:rsidRDefault="002369CA" w:rsidP="00323918">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Any queries concerning the arrangements to prescribe may be directed to the Department of Human Services on 1800 700 270 (hours of operation 8 a.m. to 5 p.m. EST Monday to Friday).</w:t>
            </w:r>
          </w:p>
          <w:p w:rsidR="002369CA" w:rsidRPr="00D57BAB" w:rsidRDefault="002369CA" w:rsidP="002369CA">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 xml:space="preserve">Prescribing information (including Authority Application forms and other relevant documentation as applicable) is available on the Department of Human Services website at </w:t>
            </w:r>
            <w:r w:rsidRPr="00BD75F9">
              <w:rPr>
                <w:rFonts w:ascii="Arial Narrow" w:hAnsi="Arial Narrow" w:cs="Arial"/>
                <w:i/>
                <w:sz w:val="20"/>
                <w:szCs w:val="20"/>
                <w:lang w:eastAsia="en-US"/>
              </w:rPr>
              <w:t>www.humanservices.gov.au</w:t>
            </w:r>
          </w:p>
          <w:p w:rsidR="002369CA" w:rsidRPr="00D57BAB" w:rsidRDefault="002369CA" w:rsidP="002369CA">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Applications for authority to prescribe should be forwarded to:</w:t>
            </w:r>
          </w:p>
          <w:p w:rsidR="002369CA" w:rsidRPr="00D57BAB" w:rsidRDefault="002369CA" w:rsidP="002369CA">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Department of Human Services</w:t>
            </w:r>
          </w:p>
          <w:p w:rsidR="002369CA" w:rsidRPr="00D57BAB" w:rsidRDefault="002369CA" w:rsidP="002369CA">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Complex Drugs Programs</w:t>
            </w:r>
          </w:p>
          <w:p w:rsidR="002369CA" w:rsidRPr="00D57BAB" w:rsidRDefault="002369CA" w:rsidP="002369CA">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Reply Paid 9826</w:t>
            </w:r>
          </w:p>
          <w:p w:rsidR="002369CA" w:rsidRPr="00D57BAB" w:rsidRDefault="002369CA" w:rsidP="002369CA">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HOBART TAS 7001</w:t>
            </w:r>
          </w:p>
          <w:p w:rsidR="002369CA" w:rsidRPr="00D57BAB" w:rsidRDefault="002369CA" w:rsidP="002369CA">
            <w:pPr>
              <w:snapToGrid w:val="0"/>
              <w:rPr>
                <w:rFonts w:ascii="Arial Narrow" w:hAnsi="Arial Narrow" w:cs="Arial"/>
                <w:i/>
                <w:sz w:val="20"/>
                <w:szCs w:val="20"/>
                <w:lang w:eastAsia="en-US"/>
              </w:rPr>
            </w:pPr>
          </w:p>
          <w:p w:rsidR="002369CA" w:rsidRPr="00D57BAB" w:rsidRDefault="00D57BAB"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No increase in the</w:t>
            </w:r>
            <w:r w:rsidR="002369CA" w:rsidRPr="00D57BAB">
              <w:rPr>
                <w:rFonts w:ascii="Arial Narrow" w:hAnsi="Arial Narrow" w:cs="Arial"/>
                <w:i/>
                <w:sz w:val="20"/>
                <w:szCs w:val="20"/>
                <w:lang w:eastAsia="en-US"/>
              </w:rPr>
              <w:t xml:space="preserve"> maximum number of repeats will be allowed for completion of induction therapy.</w:t>
            </w:r>
          </w:p>
          <w:p w:rsidR="002369CA" w:rsidRPr="00D57BAB" w:rsidRDefault="002369CA" w:rsidP="002369CA">
            <w:pPr>
              <w:snapToGrid w:val="0"/>
              <w:rPr>
                <w:rFonts w:ascii="Arial Narrow" w:hAnsi="Arial Narrow" w:cs="Arial"/>
                <w:i/>
                <w:sz w:val="20"/>
                <w:szCs w:val="20"/>
                <w:lang w:eastAsia="en-US"/>
              </w:rPr>
            </w:pPr>
          </w:p>
          <w:p w:rsidR="002369CA" w:rsidRPr="00D57BAB" w:rsidRDefault="002369CA" w:rsidP="002369CA">
            <w:pPr>
              <w:snapToGrid w:val="0"/>
              <w:rPr>
                <w:rFonts w:ascii="Arial Narrow" w:hAnsi="Arial Narrow" w:cs="Arial"/>
                <w:i/>
                <w:sz w:val="20"/>
                <w:szCs w:val="20"/>
                <w:lang w:eastAsia="en-US"/>
              </w:rPr>
            </w:pPr>
            <w:r w:rsidRPr="00D57BAB">
              <w:rPr>
                <w:rFonts w:ascii="Arial Narrow" w:hAnsi="Arial Narrow" w:cs="Arial"/>
                <w:i/>
                <w:sz w:val="20"/>
                <w:szCs w:val="20"/>
                <w:lang w:eastAsia="en-US"/>
              </w:rPr>
              <w:t xml:space="preserve">An increase in the maximum number of repeats of up to 2 will be allowed for completion of consolidation therapy. </w:t>
            </w:r>
          </w:p>
          <w:p w:rsidR="002369CA" w:rsidRPr="00D57BAB" w:rsidRDefault="002369CA" w:rsidP="00323918">
            <w:pPr>
              <w:snapToGrid w:val="0"/>
              <w:rPr>
                <w:rFonts w:ascii="Arial Narrow" w:hAnsi="Arial Narrow" w:cs="Arial"/>
                <w:i/>
                <w:sz w:val="20"/>
                <w:szCs w:val="20"/>
                <w:lang w:eastAsia="en-US"/>
              </w:rPr>
            </w:pPr>
          </w:p>
          <w:p w:rsidR="00323918" w:rsidRPr="00D57BAB" w:rsidRDefault="00337E3D" w:rsidP="00323918">
            <w:pPr>
              <w:snapToGrid w:val="0"/>
              <w:rPr>
                <w:rFonts w:ascii="Arial Narrow" w:hAnsi="Arial Narrow" w:cs="Arial"/>
                <w:i/>
                <w:sz w:val="20"/>
                <w:szCs w:val="20"/>
                <w:lang w:eastAsia="en-US"/>
              </w:rPr>
            </w:pPr>
            <w:r w:rsidRPr="00D57BAB">
              <w:rPr>
                <w:rFonts w:ascii="Arial Narrow" w:hAnsi="Arial Narrow" w:cs="Arial"/>
                <w:i/>
                <w:sz w:val="20"/>
                <w:szCs w:val="20"/>
                <w:lang w:eastAsia="en-US"/>
              </w:rPr>
              <w:lastRenderedPageBreak/>
              <w:t>No increase in the maximum quantity or number of units may be authorised.</w:t>
            </w:r>
          </w:p>
          <w:p w:rsidR="00337E3D" w:rsidRPr="00D57BAB" w:rsidRDefault="00337E3D" w:rsidP="00323918">
            <w:pPr>
              <w:snapToGrid w:val="0"/>
              <w:rPr>
                <w:rFonts w:ascii="Arial Narrow" w:hAnsi="Arial Narrow" w:cs="Arial"/>
                <w:i/>
                <w:sz w:val="20"/>
                <w:szCs w:val="20"/>
                <w:lang w:eastAsia="en-US"/>
              </w:rPr>
            </w:pPr>
          </w:p>
          <w:p w:rsidR="00323918" w:rsidRPr="002A6AD7" w:rsidRDefault="00323918" w:rsidP="00323918">
            <w:pPr>
              <w:snapToGrid w:val="0"/>
              <w:rPr>
                <w:rFonts w:ascii="Arial Narrow" w:hAnsi="Arial Narrow" w:cs="Arial"/>
                <w:sz w:val="20"/>
                <w:szCs w:val="20"/>
                <w:lang w:eastAsia="en-US"/>
              </w:rPr>
            </w:pPr>
            <w:r w:rsidRPr="00D57BAB">
              <w:rPr>
                <w:rFonts w:ascii="Arial Narrow" w:hAnsi="Arial Narrow" w:cs="Arial"/>
                <w:i/>
                <w:sz w:val="20"/>
                <w:szCs w:val="20"/>
                <w:lang w:eastAsia="en-US"/>
              </w:rPr>
              <w:t>Special Pricing Arrangements apply.</w:t>
            </w:r>
          </w:p>
        </w:tc>
      </w:tr>
      <w:tr w:rsidR="00401B60" w:rsidRPr="002A6AD7" w:rsidTr="00401B60">
        <w:trPr>
          <w:trHeight w:val="1169"/>
        </w:trPr>
        <w:tc>
          <w:tcPr>
            <w:tcW w:w="1252" w:type="pct"/>
            <w:tcBorders>
              <w:top w:val="single" w:sz="4" w:space="0" w:color="auto"/>
              <w:left w:val="single" w:sz="4" w:space="0" w:color="auto"/>
              <w:bottom w:val="single" w:sz="4" w:space="0" w:color="auto"/>
              <w:right w:val="single" w:sz="4" w:space="0" w:color="auto"/>
            </w:tcBorders>
          </w:tcPr>
          <w:p w:rsidR="00401B60" w:rsidRPr="002A6AD7" w:rsidRDefault="00401B60" w:rsidP="00D57BAB">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Cautions:</w:t>
            </w:r>
          </w:p>
        </w:tc>
        <w:tc>
          <w:tcPr>
            <w:tcW w:w="3748" w:type="pct"/>
            <w:gridSpan w:val="6"/>
            <w:tcBorders>
              <w:top w:val="single" w:sz="4" w:space="0" w:color="auto"/>
              <w:left w:val="single" w:sz="4" w:space="0" w:color="auto"/>
              <w:bottom w:val="single" w:sz="4" w:space="0" w:color="auto"/>
              <w:right w:val="single" w:sz="4" w:space="0" w:color="auto"/>
            </w:tcBorders>
          </w:tcPr>
          <w:p w:rsidR="00401B60" w:rsidRPr="00D57BAB" w:rsidRDefault="00401B60" w:rsidP="00D57BAB">
            <w:pPr>
              <w:snapToGrid w:val="0"/>
              <w:rPr>
                <w:rFonts w:ascii="Arial Narrow" w:hAnsi="Arial Narrow" w:cs="Arial"/>
                <w:i/>
                <w:sz w:val="20"/>
                <w:szCs w:val="20"/>
                <w:lang w:eastAsia="en-US"/>
              </w:rPr>
            </w:pPr>
            <w:r w:rsidRPr="00D57BAB">
              <w:rPr>
                <w:rFonts w:ascii="Arial Narrow" w:hAnsi="Arial Narrow" w:cs="Arial"/>
                <w:i/>
                <w:sz w:val="20"/>
                <w:szCs w:val="20"/>
                <w:lang w:eastAsia="en-US"/>
              </w:rPr>
              <w:t xml:space="preserve">Careful monitoring of patients is required due to risk of developing life-threatening Cytokine Release Syndrome, neurological toxicities and reactivation of John Cunningham virus (JC) viral infection. </w:t>
            </w:r>
          </w:p>
        </w:tc>
      </w:tr>
    </w:tbl>
    <w:p w:rsidR="00323918" w:rsidRDefault="00323918" w:rsidP="00362E4D">
      <w:pPr>
        <w:rPr>
          <w:lang w:eastAsia="en-US"/>
        </w:rPr>
      </w:pPr>
    </w:p>
    <w:p w:rsidR="002D24FC" w:rsidRPr="002D24FC" w:rsidRDefault="002D24FC" w:rsidP="002D24FC">
      <w:pPr>
        <w:widowControl w:val="0"/>
        <w:numPr>
          <w:ilvl w:val="0"/>
          <w:numId w:val="5"/>
        </w:numPr>
        <w:spacing w:before="240" w:after="120"/>
        <w:jc w:val="both"/>
        <w:outlineLvl w:val="0"/>
        <w:rPr>
          <w:rFonts w:asciiTheme="minorHAnsi" w:eastAsiaTheme="minorEastAsia" w:hAnsiTheme="minorHAnsi" w:cs="Arial"/>
          <w:b/>
          <w:bCs/>
          <w:snapToGrid w:val="0"/>
          <w:sz w:val="32"/>
          <w:szCs w:val="22"/>
          <w:lang w:eastAsia="en-US"/>
        </w:rPr>
      </w:pPr>
      <w:r w:rsidRPr="002D24FC">
        <w:rPr>
          <w:rFonts w:asciiTheme="minorHAnsi" w:eastAsiaTheme="minorEastAsia" w:hAnsiTheme="minorHAnsi" w:cs="Arial"/>
          <w:b/>
          <w:bCs/>
          <w:snapToGrid w:val="0"/>
          <w:sz w:val="32"/>
          <w:szCs w:val="22"/>
          <w:lang w:eastAsia="en-US"/>
        </w:rPr>
        <w:t>Context for Decision</w:t>
      </w:r>
    </w:p>
    <w:p w:rsidR="002D24FC" w:rsidRPr="002D24FC" w:rsidRDefault="002D24FC" w:rsidP="002D24FC">
      <w:pPr>
        <w:widowControl w:val="0"/>
        <w:spacing w:after="120"/>
        <w:ind w:left="720"/>
        <w:jc w:val="both"/>
        <w:rPr>
          <w:rFonts w:asciiTheme="minorHAnsi" w:eastAsiaTheme="minorEastAsia" w:hAnsiTheme="minorHAnsi" w:cs="Arial"/>
          <w:bCs/>
          <w:snapToGrid w:val="0"/>
          <w:szCs w:val="22"/>
          <w:lang w:eastAsia="en-US"/>
        </w:rPr>
      </w:pPr>
      <w:r w:rsidRPr="002D24FC">
        <w:rPr>
          <w:rFonts w:asciiTheme="minorHAnsi" w:eastAsiaTheme="minorEastAsia" w:hAnsiTheme="minorHAnsi" w:cs="Arial"/>
          <w:bCs/>
          <w:snapToGrid w:val="0"/>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D24FC" w:rsidRPr="002D24FC" w:rsidRDefault="002D24FC" w:rsidP="002D24FC">
      <w:pPr>
        <w:widowControl w:val="0"/>
        <w:numPr>
          <w:ilvl w:val="0"/>
          <w:numId w:val="5"/>
        </w:numPr>
        <w:spacing w:before="240" w:after="120"/>
        <w:jc w:val="both"/>
        <w:outlineLvl w:val="0"/>
        <w:rPr>
          <w:rFonts w:asciiTheme="minorHAnsi" w:eastAsiaTheme="minorEastAsia" w:hAnsiTheme="minorHAnsi" w:cs="Arial"/>
          <w:b/>
          <w:bCs/>
          <w:snapToGrid w:val="0"/>
          <w:sz w:val="32"/>
          <w:szCs w:val="22"/>
          <w:lang w:eastAsia="en-US"/>
        </w:rPr>
      </w:pPr>
      <w:r w:rsidRPr="002D24FC">
        <w:rPr>
          <w:rFonts w:asciiTheme="minorHAnsi" w:eastAsiaTheme="minorEastAsia" w:hAnsiTheme="minorHAnsi" w:cs="Arial"/>
          <w:b/>
          <w:bCs/>
          <w:snapToGrid w:val="0"/>
          <w:sz w:val="32"/>
          <w:szCs w:val="22"/>
          <w:lang w:eastAsia="en-US"/>
        </w:rPr>
        <w:t>Sponsor’s Comment</w:t>
      </w:r>
    </w:p>
    <w:p w:rsidR="002D24FC" w:rsidRPr="002D24FC" w:rsidRDefault="00F414D6" w:rsidP="00F414D6">
      <w:pPr>
        <w:widowControl w:val="0"/>
        <w:spacing w:after="120"/>
        <w:ind w:left="720"/>
        <w:jc w:val="both"/>
        <w:rPr>
          <w:rFonts w:asciiTheme="minorHAnsi" w:eastAsiaTheme="minorEastAsia" w:hAnsiTheme="minorHAnsi" w:cs="Arial"/>
          <w:bCs/>
          <w:snapToGrid w:val="0"/>
          <w:szCs w:val="22"/>
          <w:lang w:eastAsia="en-US"/>
        </w:rPr>
      </w:pPr>
      <w:r w:rsidRPr="00F414D6">
        <w:rPr>
          <w:rFonts w:asciiTheme="minorHAnsi" w:eastAsiaTheme="minorEastAsia" w:hAnsiTheme="minorHAnsi" w:cs="Arial"/>
          <w:bCs/>
          <w:snapToGrid w:val="0"/>
          <w:szCs w:val="22"/>
          <w:lang w:eastAsia="en-US"/>
        </w:rPr>
        <w:t>Amgen is pleased that blinatumomab will be available on the PBS for patients with Ph+ acute lymphoblastic leukaemia.</w:t>
      </w:r>
    </w:p>
    <w:p w:rsidR="002D24FC" w:rsidRDefault="002D24FC" w:rsidP="002D24FC">
      <w:pPr>
        <w:spacing w:after="120"/>
        <w:jc w:val="both"/>
        <w:rPr>
          <w:rFonts w:ascii="Arial" w:hAnsi="Arial" w:cs="Arial"/>
          <w:bCs/>
          <w:sz w:val="22"/>
        </w:rPr>
      </w:pPr>
    </w:p>
    <w:p w:rsidR="002D24FC" w:rsidRDefault="002D24FC" w:rsidP="002D24FC">
      <w:pPr>
        <w:spacing w:after="120"/>
        <w:jc w:val="both"/>
        <w:rPr>
          <w:rFonts w:ascii="Arial" w:hAnsi="Arial" w:cs="Arial"/>
          <w:bCs/>
          <w:sz w:val="22"/>
        </w:rPr>
      </w:pPr>
    </w:p>
    <w:p w:rsidR="002D24FC" w:rsidRDefault="002D24FC" w:rsidP="00362E4D">
      <w:pPr>
        <w:rPr>
          <w:lang w:eastAsia="en-US"/>
        </w:rPr>
      </w:pPr>
    </w:p>
    <w:p w:rsidR="00F45DF1" w:rsidRDefault="00F45DF1" w:rsidP="00362E4D">
      <w:pPr>
        <w:rPr>
          <w:lang w:eastAsia="en-US"/>
        </w:rPr>
      </w:pPr>
    </w:p>
    <w:p w:rsidR="00F45DF1" w:rsidRPr="00362E4D" w:rsidRDefault="00F45DF1" w:rsidP="00362E4D">
      <w:pPr>
        <w:rPr>
          <w:lang w:eastAsia="en-US"/>
        </w:rPr>
      </w:pPr>
    </w:p>
    <w:sectPr w:rsidR="00F45DF1" w:rsidRPr="00362E4D"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F9" w:rsidRDefault="00BD75F9">
      <w:r>
        <w:separator/>
      </w:r>
    </w:p>
    <w:p w:rsidR="00BD75F9" w:rsidRDefault="00BD75F9"/>
  </w:endnote>
  <w:endnote w:type="continuationSeparator" w:id="0">
    <w:p w:rsidR="00BD75F9" w:rsidRDefault="00BD75F9">
      <w:r>
        <w:continuationSeparator/>
      </w:r>
    </w:p>
    <w:p w:rsidR="00BD75F9" w:rsidRDefault="00BD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D24FC" w:rsidTr="005A3173">
      <w:trPr>
        <w:trHeight w:val="151"/>
      </w:trPr>
      <w:tc>
        <w:tcPr>
          <w:tcW w:w="2250" w:type="pct"/>
          <w:tcBorders>
            <w:top w:val="nil"/>
            <w:left w:val="nil"/>
            <w:bottom w:val="single" w:sz="4" w:space="0" w:color="4F81BD"/>
            <w:right w:val="nil"/>
          </w:tcBorders>
        </w:tcPr>
        <w:p w:rsidR="002D24FC" w:rsidRPr="005A3173" w:rsidRDefault="002D24F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24FC" w:rsidRPr="005A3173" w:rsidRDefault="002D24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24FC" w:rsidRPr="005A3173" w:rsidRDefault="002D24FC" w:rsidP="005A3173">
          <w:pPr>
            <w:pStyle w:val="Header"/>
            <w:spacing w:line="276" w:lineRule="auto"/>
            <w:rPr>
              <w:rFonts w:ascii="Calibri" w:eastAsia="MS Gothic" w:hAnsi="Calibri"/>
              <w:b/>
              <w:bCs/>
              <w:color w:val="4F81BD"/>
            </w:rPr>
          </w:pPr>
        </w:p>
      </w:tc>
    </w:tr>
    <w:tr w:rsidR="002D24FC" w:rsidTr="005A3173">
      <w:trPr>
        <w:trHeight w:val="150"/>
      </w:trPr>
      <w:tc>
        <w:tcPr>
          <w:tcW w:w="2250" w:type="pct"/>
          <w:tcBorders>
            <w:top w:val="single" w:sz="4" w:space="0" w:color="4F81BD"/>
            <w:left w:val="nil"/>
            <w:bottom w:val="nil"/>
            <w:right w:val="nil"/>
          </w:tcBorders>
        </w:tcPr>
        <w:p w:rsidR="002D24FC" w:rsidRPr="005A3173" w:rsidRDefault="002D24FC" w:rsidP="005A3173">
          <w:pPr>
            <w:pStyle w:val="Header"/>
            <w:spacing w:line="276" w:lineRule="auto"/>
            <w:rPr>
              <w:rFonts w:ascii="Calibri" w:eastAsia="MS Gothic" w:hAnsi="Calibri"/>
              <w:b/>
              <w:bCs/>
              <w:color w:val="4F81BD"/>
            </w:rPr>
          </w:pPr>
        </w:p>
      </w:tc>
      <w:tc>
        <w:tcPr>
          <w:tcW w:w="0" w:type="auto"/>
          <w:vMerge/>
          <w:vAlign w:val="center"/>
          <w:hideMark/>
        </w:tcPr>
        <w:p w:rsidR="002D24FC" w:rsidRPr="005A3173" w:rsidRDefault="002D24F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24FC" w:rsidRPr="005A3173" w:rsidRDefault="002D24FC" w:rsidP="005A3173">
          <w:pPr>
            <w:pStyle w:val="Header"/>
            <w:spacing w:line="276" w:lineRule="auto"/>
            <w:rPr>
              <w:rFonts w:ascii="Calibri" w:eastAsia="MS Gothic" w:hAnsi="Calibri"/>
              <w:b/>
              <w:bCs/>
              <w:color w:val="4F81BD"/>
            </w:rPr>
          </w:pPr>
        </w:p>
      </w:tc>
    </w:tr>
  </w:tbl>
  <w:p w:rsidR="002D24FC" w:rsidRDefault="002D24F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4FC" w:rsidRDefault="002D24FC">
    <w:pPr>
      <w:pStyle w:val="Footer"/>
    </w:pPr>
  </w:p>
  <w:p w:rsidR="002D24FC" w:rsidRDefault="002D24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FC" w:rsidRDefault="002D24FC" w:rsidP="00EF44A0">
    <w:pPr>
      <w:pStyle w:val="Footer"/>
      <w:jc w:val="center"/>
      <w:rPr>
        <w:rFonts w:ascii="Arial" w:hAnsi="Arial" w:cs="Arial"/>
        <w:b/>
        <w:sz w:val="20"/>
        <w:szCs w:val="20"/>
      </w:rPr>
    </w:pPr>
  </w:p>
  <w:sdt>
    <w:sdtPr>
      <w:rPr>
        <w:rFonts w:ascii="Arial" w:hAnsi="Arial" w:cs="Arial"/>
        <w:snapToGrid w:val="0"/>
        <w:sz w:val="22"/>
        <w:szCs w:val="20"/>
        <w:lang w:eastAsia="en-US"/>
      </w:rPr>
      <w:id w:val="-491800710"/>
      <w:docPartObj>
        <w:docPartGallery w:val="Page Numbers (Bottom of Page)"/>
        <w:docPartUnique/>
      </w:docPartObj>
    </w:sdtPr>
    <w:sdtEndPr>
      <w:rPr>
        <w:rFonts w:asciiTheme="minorHAnsi" w:hAnsiTheme="minorHAnsi" w:cstheme="minorHAnsi"/>
        <w:b/>
        <w:noProof/>
      </w:rPr>
    </w:sdtEndPr>
    <w:sdtContent>
      <w:p w:rsidR="002D24FC" w:rsidRPr="009F75FC" w:rsidRDefault="002D24FC" w:rsidP="009F75FC">
        <w:pPr>
          <w:widowControl w:val="0"/>
          <w:tabs>
            <w:tab w:val="center" w:pos="4513"/>
            <w:tab w:val="right" w:pos="9026"/>
          </w:tabs>
          <w:jc w:val="center"/>
          <w:rPr>
            <w:rFonts w:asciiTheme="minorHAnsi" w:hAnsiTheme="minorHAnsi" w:cstheme="minorHAnsi"/>
            <w:b/>
            <w:snapToGrid w:val="0"/>
            <w:sz w:val="22"/>
            <w:szCs w:val="20"/>
            <w:lang w:eastAsia="en-US"/>
          </w:rPr>
        </w:pPr>
        <w:r w:rsidRPr="009F75FC">
          <w:rPr>
            <w:rFonts w:asciiTheme="minorHAnsi" w:hAnsiTheme="minorHAnsi" w:cstheme="minorHAnsi"/>
            <w:b/>
            <w:snapToGrid w:val="0"/>
            <w:sz w:val="22"/>
            <w:szCs w:val="20"/>
            <w:lang w:eastAsia="en-US"/>
          </w:rPr>
          <w:fldChar w:fldCharType="begin"/>
        </w:r>
        <w:r w:rsidRPr="009F75FC">
          <w:rPr>
            <w:rFonts w:asciiTheme="minorHAnsi" w:hAnsiTheme="minorHAnsi" w:cstheme="minorHAnsi"/>
            <w:b/>
            <w:snapToGrid w:val="0"/>
            <w:sz w:val="22"/>
            <w:szCs w:val="20"/>
            <w:lang w:eastAsia="en-US"/>
          </w:rPr>
          <w:instrText xml:space="preserve"> PAGE   \* MERGEFORMAT </w:instrText>
        </w:r>
        <w:r w:rsidRPr="009F75FC">
          <w:rPr>
            <w:rFonts w:asciiTheme="minorHAnsi" w:hAnsiTheme="minorHAnsi" w:cstheme="minorHAnsi"/>
            <w:b/>
            <w:snapToGrid w:val="0"/>
            <w:sz w:val="22"/>
            <w:szCs w:val="20"/>
            <w:lang w:eastAsia="en-US"/>
          </w:rPr>
          <w:fldChar w:fldCharType="separate"/>
        </w:r>
        <w:r w:rsidR="00842E09">
          <w:rPr>
            <w:rFonts w:asciiTheme="minorHAnsi" w:hAnsiTheme="minorHAnsi" w:cstheme="minorHAnsi"/>
            <w:b/>
            <w:noProof/>
            <w:snapToGrid w:val="0"/>
            <w:sz w:val="22"/>
            <w:szCs w:val="20"/>
            <w:lang w:eastAsia="en-US"/>
          </w:rPr>
          <w:t>12</w:t>
        </w:r>
        <w:r w:rsidRPr="009F75FC">
          <w:rPr>
            <w:rFonts w:asciiTheme="minorHAnsi" w:hAnsiTheme="minorHAnsi" w:cstheme="minorHAnsi"/>
            <w:b/>
            <w:noProof/>
            <w:snapToGrid w:val="0"/>
            <w:sz w:val="22"/>
            <w:szCs w:val="20"/>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D24FC" w:rsidTr="005A3173">
      <w:trPr>
        <w:trHeight w:val="151"/>
      </w:trPr>
      <w:tc>
        <w:tcPr>
          <w:tcW w:w="2250" w:type="pct"/>
          <w:tcBorders>
            <w:top w:val="nil"/>
            <w:left w:val="nil"/>
            <w:bottom w:val="single" w:sz="4" w:space="0" w:color="4F81BD"/>
            <w:right w:val="nil"/>
          </w:tcBorders>
        </w:tcPr>
        <w:p w:rsidR="002D24FC" w:rsidRPr="005A3173" w:rsidRDefault="002D24F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24FC" w:rsidRPr="005A3173" w:rsidRDefault="002D24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24FC" w:rsidRPr="005A3173" w:rsidRDefault="002D24FC" w:rsidP="005A3173">
          <w:pPr>
            <w:pStyle w:val="Header"/>
            <w:spacing w:line="276" w:lineRule="auto"/>
            <w:rPr>
              <w:rFonts w:ascii="Calibri" w:eastAsia="MS Gothic" w:hAnsi="Calibri"/>
              <w:b/>
              <w:bCs/>
              <w:color w:val="4F81BD"/>
            </w:rPr>
          </w:pPr>
        </w:p>
      </w:tc>
    </w:tr>
    <w:tr w:rsidR="002D24FC" w:rsidTr="005A3173">
      <w:trPr>
        <w:trHeight w:val="150"/>
      </w:trPr>
      <w:tc>
        <w:tcPr>
          <w:tcW w:w="2250" w:type="pct"/>
          <w:tcBorders>
            <w:top w:val="single" w:sz="4" w:space="0" w:color="4F81BD"/>
            <w:left w:val="nil"/>
            <w:bottom w:val="nil"/>
            <w:right w:val="nil"/>
          </w:tcBorders>
        </w:tcPr>
        <w:p w:rsidR="002D24FC" w:rsidRPr="005A3173" w:rsidRDefault="002D24FC" w:rsidP="005A3173">
          <w:pPr>
            <w:pStyle w:val="Header"/>
            <w:spacing w:line="276" w:lineRule="auto"/>
            <w:rPr>
              <w:rFonts w:ascii="Calibri" w:eastAsia="MS Gothic" w:hAnsi="Calibri"/>
              <w:b/>
              <w:bCs/>
              <w:color w:val="4F81BD"/>
            </w:rPr>
          </w:pPr>
        </w:p>
      </w:tc>
      <w:tc>
        <w:tcPr>
          <w:tcW w:w="0" w:type="auto"/>
          <w:vMerge/>
          <w:vAlign w:val="center"/>
          <w:hideMark/>
        </w:tcPr>
        <w:p w:rsidR="002D24FC" w:rsidRPr="005A3173" w:rsidRDefault="002D24F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24FC" w:rsidRPr="005A3173" w:rsidRDefault="002D24F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D24FC" w:rsidTr="005A3173">
      <w:trPr>
        <w:trHeight w:val="151"/>
      </w:trPr>
      <w:tc>
        <w:tcPr>
          <w:tcW w:w="2250" w:type="pct"/>
          <w:tcBorders>
            <w:top w:val="nil"/>
            <w:left w:val="nil"/>
            <w:bottom w:val="single" w:sz="4" w:space="0" w:color="4F81BD"/>
            <w:right w:val="nil"/>
          </w:tcBorders>
        </w:tcPr>
        <w:p w:rsidR="002D24FC" w:rsidRPr="005A3173" w:rsidRDefault="002D24F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24FC" w:rsidRPr="005A3173" w:rsidRDefault="002D24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24FC" w:rsidRPr="005A3173" w:rsidRDefault="002D24FC" w:rsidP="005A3173">
          <w:pPr>
            <w:pStyle w:val="Header"/>
            <w:spacing w:line="276" w:lineRule="auto"/>
            <w:rPr>
              <w:rFonts w:ascii="Calibri" w:eastAsia="MS Gothic" w:hAnsi="Calibri"/>
              <w:b/>
              <w:bCs/>
              <w:color w:val="4F81BD"/>
            </w:rPr>
          </w:pPr>
        </w:p>
      </w:tc>
    </w:tr>
    <w:tr w:rsidR="002D24FC" w:rsidTr="005A3173">
      <w:trPr>
        <w:trHeight w:val="150"/>
      </w:trPr>
      <w:tc>
        <w:tcPr>
          <w:tcW w:w="2250" w:type="pct"/>
          <w:tcBorders>
            <w:top w:val="single" w:sz="4" w:space="0" w:color="4F81BD"/>
            <w:left w:val="nil"/>
            <w:bottom w:val="nil"/>
            <w:right w:val="nil"/>
          </w:tcBorders>
        </w:tcPr>
        <w:p w:rsidR="002D24FC" w:rsidRPr="005A3173" w:rsidRDefault="002D24FC" w:rsidP="005A3173">
          <w:pPr>
            <w:pStyle w:val="Header"/>
            <w:spacing w:line="276" w:lineRule="auto"/>
            <w:rPr>
              <w:rFonts w:ascii="Calibri" w:eastAsia="MS Gothic" w:hAnsi="Calibri"/>
              <w:b/>
              <w:bCs/>
              <w:color w:val="4F81BD"/>
            </w:rPr>
          </w:pPr>
        </w:p>
      </w:tc>
      <w:tc>
        <w:tcPr>
          <w:tcW w:w="0" w:type="auto"/>
          <w:vMerge/>
          <w:vAlign w:val="center"/>
          <w:hideMark/>
        </w:tcPr>
        <w:p w:rsidR="002D24FC" w:rsidRPr="005A3173" w:rsidRDefault="002D24F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24FC" w:rsidRPr="005A3173" w:rsidRDefault="002D24FC" w:rsidP="005A3173">
          <w:pPr>
            <w:pStyle w:val="Header"/>
            <w:spacing w:line="276" w:lineRule="auto"/>
            <w:rPr>
              <w:rFonts w:ascii="Calibri" w:eastAsia="MS Gothic" w:hAnsi="Calibri"/>
              <w:b/>
              <w:bCs/>
              <w:color w:val="4F81BD"/>
            </w:rPr>
          </w:pPr>
        </w:p>
      </w:tc>
    </w:tr>
  </w:tbl>
  <w:p w:rsidR="002D24FC" w:rsidRPr="007C0F57" w:rsidRDefault="002D24F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D24FC" w:rsidRPr="007C0F57" w:rsidRDefault="002D24FC" w:rsidP="007C0F57">
    <w:pPr>
      <w:pStyle w:val="Footer"/>
      <w:jc w:val="center"/>
      <w:rPr>
        <w:b/>
        <w:i/>
        <w:sz w:val="20"/>
        <w:szCs w:val="20"/>
      </w:rPr>
    </w:pPr>
    <w:r w:rsidRPr="007C0F57">
      <w:rPr>
        <w:b/>
        <w:i/>
        <w:sz w:val="20"/>
        <w:szCs w:val="20"/>
      </w:rPr>
      <w:t>Commercial-in-Confidence</w:t>
    </w:r>
  </w:p>
  <w:p w:rsidR="002D24FC" w:rsidRDefault="002D24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F9" w:rsidRDefault="00BD75F9">
      <w:r>
        <w:separator/>
      </w:r>
    </w:p>
    <w:p w:rsidR="00BD75F9" w:rsidRDefault="00BD75F9"/>
  </w:footnote>
  <w:footnote w:type="continuationSeparator" w:id="0">
    <w:p w:rsidR="00BD75F9" w:rsidRDefault="00BD75F9">
      <w:r>
        <w:continuationSeparator/>
      </w:r>
    </w:p>
    <w:p w:rsidR="00BD75F9" w:rsidRDefault="00BD75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D24FC" w:rsidRPr="008E0D90" w:rsidTr="00A06225">
      <w:trPr>
        <w:trHeight w:val="151"/>
      </w:trPr>
      <w:tc>
        <w:tcPr>
          <w:tcW w:w="2389" w:type="pct"/>
          <w:tcBorders>
            <w:top w:val="nil"/>
            <w:left w:val="nil"/>
            <w:bottom w:val="single" w:sz="4" w:space="0" w:color="4F81BD"/>
            <w:right w:val="nil"/>
          </w:tcBorders>
        </w:tcPr>
        <w:p w:rsidR="002D24FC" w:rsidRPr="00A06225" w:rsidRDefault="002D24FC">
          <w:pPr>
            <w:pStyle w:val="Header"/>
            <w:spacing w:line="276" w:lineRule="auto"/>
            <w:rPr>
              <w:rFonts w:ascii="Cambria" w:eastAsia="MS Gothic" w:hAnsi="Cambria"/>
              <w:b/>
              <w:bCs/>
              <w:color w:val="4F81BD"/>
            </w:rPr>
          </w:pPr>
        </w:p>
      </w:tc>
      <w:tc>
        <w:tcPr>
          <w:tcW w:w="333" w:type="pct"/>
          <w:vMerge w:val="restart"/>
          <w:noWrap/>
          <w:vAlign w:val="center"/>
          <w:hideMark/>
        </w:tcPr>
        <w:p w:rsidR="002D24FC" w:rsidRPr="00A06225" w:rsidRDefault="002D24F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D24FC" w:rsidRPr="00A06225" w:rsidRDefault="002D24FC">
          <w:pPr>
            <w:pStyle w:val="Header"/>
            <w:spacing w:line="276" w:lineRule="auto"/>
            <w:rPr>
              <w:rFonts w:ascii="Cambria" w:eastAsia="MS Gothic" w:hAnsi="Cambria"/>
              <w:b/>
              <w:bCs/>
              <w:color w:val="4F81BD"/>
            </w:rPr>
          </w:pPr>
        </w:p>
      </w:tc>
    </w:tr>
    <w:tr w:rsidR="002D24FC" w:rsidRPr="008E0D90" w:rsidTr="00A06225">
      <w:trPr>
        <w:trHeight w:val="150"/>
      </w:trPr>
      <w:tc>
        <w:tcPr>
          <w:tcW w:w="2389" w:type="pct"/>
          <w:tcBorders>
            <w:top w:val="single" w:sz="4" w:space="0" w:color="4F81BD"/>
            <w:left w:val="nil"/>
            <w:bottom w:val="nil"/>
            <w:right w:val="nil"/>
          </w:tcBorders>
        </w:tcPr>
        <w:p w:rsidR="002D24FC" w:rsidRPr="00A06225" w:rsidRDefault="002D24FC">
          <w:pPr>
            <w:pStyle w:val="Header"/>
            <w:spacing w:line="276" w:lineRule="auto"/>
            <w:rPr>
              <w:rFonts w:ascii="Cambria" w:eastAsia="MS Gothic" w:hAnsi="Cambria"/>
              <w:b/>
              <w:bCs/>
              <w:color w:val="4F81BD"/>
            </w:rPr>
          </w:pPr>
        </w:p>
      </w:tc>
      <w:tc>
        <w:tcPr>
          <w:tcW w:w="0" w:type="auto"/>
          <w:vMerge/>
          <w:vAlign w:val="center"/>
          <w:hideMark/>
        </w:tcPr>
        <w:p w:rsidR="002D24FC" w:rsidRPr="00A06225" w:rsidRDefault="002D24FC">
          <w:pPr>
            <w:rPr>
              <w:rFonts w:ascii="Cambria" w:hAnsi="Cambria"/>
              <w:color w:val="4F81BD"/>
              <w:sz w:val="22"/>
              <w:szCs w:val="22"/>
            </w:rPr>
          </w:pPr>
        </w:p>
      </w:tc>
      <w:tc>
        <w:tcPr>
          <w:tcW w:w="2278" w:type="pct"/>
          <w:tcBorders>
            <w:top w:val="single" w:sz="4" w:space="0" w:color="4F81BD"/>
            <w:left w:val="nil"/>
            <w:bottom w:val="nil"/>
            <w:right w:val="nil"/>
          </w:tcBorders>
        </w:tcPr>
        <w:p w:rsidR="002D24FC" w:rsidRPr="00A06225" w:rsidRDefault="002D24FC">
          <w:pPr>
            <w:pStyle w:val="Header"/>
            <w:spacing w:line="276" w:lineRule="auto"/>
            <w:rPr>
              <w:rFonts w:ascii="Cambria" w:eastAsia="MS Gothic" w:hAnsi="Cambria"/>
              <w:b/>
              <w:bCs/>
              <w:color w:val="4F81BD"/>
            </w:rPr>
          </w:pPr>
        </w:p>
      </w:tc>
    </w:tr>
  </w:tbl>
  <w:p w:rsidR="002D24FC" w:rsidRDefault="002D24FC">
    <w:pPr>
      <w:pStyle w:val="Header"/>
    </w:pPr>
  </w:p>
  <w:p w:rsidR="002D24FC" w:rsidRDefault="002D24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FC" w:rsidRPr="009F75FC" w:rsidRDefault="002D24FC" w:rsidP="009F75FC">
    <w:pPr>
      <w:widowControl w:val="0"/>
      <w:tabs>
        <w:tab w:val="center" w:pos="4513"/>
        <w:tab w:val="right" w:pos="9026"/>
      </w:tabs>
      <w:jc w:val="center"/>
      <w:rPr>
        <w:rFonts w:asciiTheme="minorHAnsi" w:hAnsiTheme="minorHAnsi" w:cstheme="minorHAnsi"/>
        <w:i/>
        <w:snapToGrid w:val="0"/>
        <w:szCs w:val="20"/>
        <w:lang w:eastAsia="en-US"/>
      </w:rPr>
    </w:pPr>
    <w:r>
      <w:rPr>
        <w:rFonts w:asciiTheme="minorHAnsi" w:hAnsiTheme="minorHAnsi" w:cstheme="minorHAnsi"/>
        <w:i/>
        <w:snapToGrid w:val="0"/>
        <w:szCs w:val="20"/>
        <w:lang w:eastAsia="en-US"/>
      </w:rPr>
      <w:t xml:space="preserve">Public Summary Document </w:t>
    </w:r>
    <w:r w:rsidRPr="009F75FC">
      <w:rPr>
        <w:rFonts w:asciiTheme="minorHAnsi" w:hAnsiTheme="minorHAnsi" w:cstheme="minorHAnsi"/>
        <w:i/>
        <w:snapToGrid w:val="0"/>
        <w:szCs w:val="20"/>
        <w:lang w:eastAsia="en-US"/>
      </w:rPr>
      <w:t>– May 2019 PBAC Meeting</w:t>
    </w:r>
  </w:p>
  <w:p w:rsidR="002D24FC" w:rsidRDefault="002D24FC"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798" w:rsidRDefault="00432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4F9"/>
    <w:multiLevelType w:val="hybridMultilevel"/>
    <w:tmpl w:val="4FE80C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FB51B9"/>
    <w:multiLevelType w:val="hybridMultilevel"/>
    <w:tmpl w:val="F3C46E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A6F56"/>
    <w:multiLevelType w:val="hybridMultilevel"/>
    <w:tmpl w:val="0E704104"/>
    <w:lvl w:ilvl="0" w:tplc="90189636">
      <w:numFmt w:val="bullet"/>
      <w:lvlText w:val="-"/>
      <w:lvlJc w:val="left"/>
      <w:pPr>
        <w:ind w:left="1080" w:hanging="360"/>
      </w:pPr>
      <w:rPr>
        <w:rFonts w:ascii="Calibri" w:eastAsia="Times New Roman" w:hAnsi="Calibri" w:cs="Calibri"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B2A22"/>
    <w:multiLevelType w:val="hybridMultilevel"/>
    <w:tmpl w:val="4F76E4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AE6447A"/>
    <w:multiLevelType w:val="hybridMultilevel"/>
    <w:tmpl w:val="63AC5B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F002D48"/>
    <w:multiLevelType w:val="hybridMultilevel"/>
    <w:tmpl w:val="BA2E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2325B"/>
    <w:multiLevelType w:val="hybridMultilevel"/>
    <w:tmpl w:val="02EA10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84D033C"/>
    <w:multiLevelType w:val="multilevel"/>
    <w:tmpl w:val="4196981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4"/>
  </w:num>
  <w:num w:numId="4">
    <w:abstractNumId w:val="14"/>
  </w:num>
  <w:num w:numId="5">
    <w:abstractNumId w:val="19"/>
  </w:num>
  <w:num w:numId="6">
    <w:abstractNumId w:val="5"/>
  </w:num>
  <w:num w:numId="7">
    <w:abstractNumId w:val="12"/>
  </w:num>
  <w:num w:numId="8">
    <w:abstractNumId w:val="3"/>
  </w:num>
  <w:num w:numId="9">
    <w:abstractNumId w:val="11"/>
  </w:num>
  <w:num w:numId="10">
    <w:abstractNumId w:val="10"/>
  </w:num>
  <w:num w:numId="11">
    <w:abstractNumId w:val="8"/>
  </w:num>
  <w:num w:numId="12">
    <w:abstractNumId w:val="1"/>
  </w:num>
  <w:num w:numId="13">
    <w:abstractNumId w:val="0"/>
  </w:num>
  <w:num w:numId="14">
    <w:abstractNumId w:val="19"/>
  </w:num>
  <w:num w:numId="15">
    <w:abstractNumId w:val="9"/>
  </w:num>
  <w:num w:numId="16">
    <w:abstractNumId w:val="16"/>
  </w:num>
  <w:num w:numId="17">
    <w:abstractNumId w:val="6"/>
  </w:num>
  <w:num w:numId="18">
    <w:abstractNumId w:val="15"/>
  </w:num>
  <w:num w:numId="19">
    <w:abstractNumId w:val="13"/>
  </w:num>
  <w:num w:numId="20">
    <w:abstractNumId w:val="18"/>
  </w:num>
  <w:num w:numId="21">
    <w:abstractNumId w:val="17"/>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664"/>
    <w:rsid w:val="00007C0F"/>
    <w:rsid w:val="00012944"/>
    <w:rsid w:val="00014098"/>
    <w:rsid w:val="00014A7B"/>
    <w:rsid w:val="0002464A"/>
    <w:rsid w:val="00030103"/>
    <w:rsid w:val="0003106B"/>
    <w:rsid w:val="000421A1"/>
    <w:rsid w:val="0004240E"/>
    <w:rsid w:val="00045E26"/>
    <w:rsid w:val="000514B5"/>
    <w:rsid w:val="00056704"/>
    <w:rsid w:val="0006054E"/>
    <w:rsid w:val="00060E64"/>
    <w:rsid w:val="00066755"/>
    <w:rsid w:val="00077143"/>
    <w:rsid w:val="00082169"/>
    <w:rsid w:val="0008373F"/>
    <w:rsid w:val="00086D59"/>
    <w:rsid w:val="000969AD"/>
    <w:rsid w:val="000A4021"/>
    <w:rsid w:val="000B558D"/>
    <w:rsid w:val="000C6996"/>
    <w:rsid w:val="000C7D5C"/>
    <w:rsid w:val="000D23BA"/>
    <w:rsid w:val="000D69E1"/>
    <w:rsid w:val="000E0945"/>
    <w:rsid w:val="000E15F3"/>
    <w:rsid w:val="000E4EDC"/>
    <w:rsid w:val="000E681E"/>
    <w:rsid w:val="000F0003"/>
    <w:rsid w:val="000F0FE2"/>
    <w:rsid w:val="000F4E6A"/>
    <w:rsid w:val="000F5F0F"/>
    <w:rsid w:val="00104227"/>
    <w:rsid w:val="001107BF"/>
    <w:rsid w:val="001153EB"/>
    <w:rsid w:val="0012417C"/>
    <w:rsid w:val="00130634"/>
    <w:rsid w:val="00142395"/>
    <w:rsid w:val="00142714"/>
    <w:rsid w:val="00142D63"/>
    <w:rsid w:val="001452ED"/>
    <w:rsid w:val="001508CC"/>
    <w:rsid w:val="00160217"/>
    <w:rsid w:val="0016320B"/>
    <w:rsid w:val="00163329"/>
    <w:rsid w:val="00164623"/>
    <w:rsid w:val="00165B64"/>
    <w:rsid w:val="001830CE"/>
    <w:rsid w:val="0018643B"/>
    <w:rsid w:val="00196307"/>
    <w:rsid w:val="001A00F6"/>
    <w:rsid w:val="001A33EA"/>
    <w:rsid w:val="001B017F"/>
    <w:rsid w:val="001B15C1"/>
    <w:rsid w:val="001B2BBC"/>
    <w:rsid w:val="001B5129"/>
    <w:rsid w:val="001B6B00"/>
    <w:rsid w:val="001C1195"/>
    <w:rsid w:val="001E3F97"/>
    <w:rsid w:val="001F1850"/>
    <w:rsid w:val="00203FAC"/>
    <w:rsid w:val="00207219"/>
    <w:rsid w:val="00213CFB"/>
    <w:rsid w:val="00217BE1"/>
    <w:rsid w:val="00217CAF"/>
    <w:rsid w:val="00224BCB"/>
    <w:rsid w:val="00235903"/>
    <w:rsid w:val="002369CA"/>
    <w:rsid w:val="002406BA"/>
    <w:rsid w:val="00246A43"/>
    <w:rsid w:val="00261C20"/>
    <w:rsid w:val="00271BA1"/>
    <w:rsid w:val="00273377"/>
    <w:rsid w:val="00275126"/>
    <w:rsid w:val="002762FA"/>
    <w:rsid w:val="002773DB"/>
    <w:rsid w:val="00277505"/>
    <w:rsid w:val="00277F7D"/>
    <w:rsid w:val="0029458F"/>
    <w:rsid w:val="002A104C"/>
    <w:rsid w:val="002A4960"/>
    <w:rsid w:val="002A6AD7"/>
    <w:rsid w:val="002B0F66"/>
    <w:rsid w:val="002B1AE6"/>
    <w:rsid w:val="002B2DE8"/>
    <w:rsid w:val="002B30F8"/>
    <w:rsid w:val="002B5596"/>
    <w:rsid w:val="002C212F"/>
    <w:rsid w:val="002C346A"/>
    <w:rsid w:val="002D24FC"/>
    <w:rsid w:val="002D4543"/>
    <w:rsid w:val="002E2277"/>
    <w:rsid w:val="002E3153"/>
    <w:rsid w:val="002E72CA"/>
    <w:rsid w:val="002F02B8"/>
    <w:rsid w:val="002F0BCB"/>
    <w:rsid w:val="00300AD6"/>
    <w:rsid w:val="00302236"/>
    <w:rsid w:val="00313FEA"/>
    <w:rsid w:val="00317103"/>
    <w:rsid w:val="00317C6C"/>
    <w:rsid w:val="00323918"/>
    <w:rsid w:val="00326A12"/>
    <w:rsid w:val="00326E79"/>
    <w:rsid w:val="00331092"/>
    <w:rsid w:val="003346DB"/>
    <w:rsid w:val="0033518A"/>
    <w:rsid w:val="003367EF"/>
    <w:rsid w:val="00337E3D"/>
    <w:rsid w:val="00341AE4"/>
    <w:rsid w:val="00344025"/>
    <w:rsid w:val="00362E4D"/>
    <w:rsid w:val="00364A7A"/>
    <w:rsid w:val="00377F10"/>
    <w:rsid w:val="003872CF"/>
    <w:rsid w:val="0038789A"/>
    <w:rsid w:val="0039782C"/>
    <w:rsid w:val="003A5B4A"/>
    <w:rsid w:val="003B23C5"/>
    <w:rsid w:val="003B2A75"/>
    <w:rsid w:val="003B6124"/>
    <w:rsid w:val="003C23E0"/>
    <w:rsid w:val="003C2FB5"/>
    <w:rsid w:val="003C5696"/>
    <w:rsid w:val="003D4AC4"/>
    <w:rsid w:val="003D57C6"/>
    <w:rsid w:val="003D63B7"/>
    <w:rsid w:val="003D712D"/>
    <w:rsid w:val="003E468B"/>
    <w:rsid w:val="003F10CA"/>
    <w:rsid w:val="003F3228"/>
    <w:rsid w:val="003F5C8C"/>
    <w:rsid w:val="00401B60"/>
    <w:rsid w:val="00422051"/>
    <w:rsid w:val="004252EC"/>
    <w:rsid w:val="004253C6"/>
    <w:rsid w:val="00432798"/>
    <w:rsid w:val="00441CFE"/>
    <w:rsid w:val="004457E7"/>
    <w:rsid w:val="004465BD"/>
    <w:rsid w:val="00457026"/>
    <w:rsid w:val="00462FCB"/>
    <w:rsid w:val="00466ADA"/>
    <w:rsid w:val="00474C04"/>
    <w:rsid w:val="00476245"/>
    <w:rsid w:val="00483035"/>
    <w:rsid w:val="00485940"/>
    <w:rsid w:val="004A2484"/>
    <w:rsid w:val="004A3031"/>
    <w:rsid w:val="004A5A85"/>
    <w:rsid w:val="004A71D1"/>
    <w:rsid w:val="004B5640"/>
    <w:rsid w:val="004C1BD7"/>
    <w:rsid w:val="004C31FE"/>
    <w:rsid w:val="004C691D"/>
    <w:rsid w:val="004C6C07"/>
    <w:rsid w:val="004D7444"/>
    <w:rsid w:val="004D7AF2"/>
    <w:rsid w:val="004E692D"/>
    <w:rsid w:val="00501554"/>
    <w:rsid w:val="00506D84"/>
    <w:rsid w:val="00514CD7"/>
    <w:rsid w:val="005319B2"/>
    <w:rsid w:val="00532402"/>
    <w:rsid w:val="00532C74"/>
    <w:rsid w:val="00533906"/>
    <w:rsid w:val="00534E2E"/>
    <w:rsid w:val="00544552"/>
    <w:rsid w:val="00560331"/>
    <w:rsid w:val="00560AF3"/>
    <w:rsid w:val="00561491"/>
    <w:rsid w:val="005777FA"/>
    <w:rsid w:val="00577C4D"/>
    <w:rsid w:val="0058081A"/>
    <w:rsid w:val="00581932"/>
    <w:rsid w:val="005963BB"/>
    <w:rsid w:val="005A12B8"/>
    <w:rsid w:val="005A3173"/>
    <w:rsid w:val="005A3223"/>
    <w:rsid w:val="005A3DA3"/>
    <w:rsid w:val="005A52C4"/>
    <w:rsid w:val="005B04FC"/>
    <w:rsid w:val="005C4495"/>
    <w:rsid w:val="005D03AB"/>
    <w:rsid w:val="005D5017"/>
    <w:rsid w:val="005E1333"/>
    <w:rsid w:val="005E3B09"/>
    <w:rsid w:val="005F534B"/>
    <w:rsid w:val="00600DCD"/>
    <w:rsid w:val="00601A91"/>
    <w:rsid w:val="00602BA3"/>
    <w:rsid w:val="006054B9"/>
    <w:rsid w:val="006104C8"/>
    <w:rsid w:val="00612E34"/>
    <w:rsid w:val="0061363A"/>
    <w:rsid w:val="00614159"/>
    <w:rsid w:val="00617C00"/>
    <w:rsid w:val="0062142F"/>
    <w:rsid w:val="00625295"/>
    <w:rsid w:val="006263BF"/>
    <w:rsid w:val="0062748A"/>
    <w:rsid w:val="00630A2C"/>
    <w:rsid w:val="00631C3E"/>
    <w:rsid w:val="0063682E"/>
    <w:rsid w:val="006436CD"/>
    <w:rsid w:val="00651169"/>
    <w:rsid w:val="00653D69"/>
    <w:rsid w:val="006670BE"/>
    <w:rsid w:val="00667AF9"/>
    <w:rsid w:val="00667BC1"/>
    <w:rsid w:val="006702E9"/>
    <w:rsid w:val="00670A76"/>
    <w:rsid w:val="006711AA"/>
    <w:rsid w:val="00672B57"/>
    <w:rsid w:val="00675622"/>
    <w:rsid w:val="0067578B"/>
    <w:rsid w:val="00676F7C"/>
    <w:rsid w:val="00684501"/>
    <w:rsid w:val="00684888"/>
    <w:rsid w:val="00687A33"/>
    <w:rsid w:val="006906DB"/>
    <w:rsid w:val="0069091A"/>
    <w:rsid w:val="00691E6C"/>
    <w:rsid w:val="006923D3"/>
    <w:rsid w:val="00696129"/>
    <w:rsid w:val="00697CF2"/>
    <w:rsid w:val="006A12A5"/>
    <w:rsid w:val="006A5F29"/>
    <w:rsid w:val="006B0781"/>
    <w:rsid w:val="006B0D94"/>
    <w:rsid w:val="006B485D"/>
    <w:rsid w:val="006B5F0B"/>
    <w:rsid w:val="006B7B25"/>
    <w:rsid w:val="006B7E10"/>
    <w:rsid w:val="006C708E"/>
    <w:rsid w:val="006D6EC7"/>
    <w:rsid w:val="006F48AC"/>
    <w:rsid w:val="006F5125"/>
    <w:rsid w:val="00701248"/>
    <w:rsid w:val="00702B6F"/>
    <w:rsid w:val="0070597A"/>
    <w:rsid w:val="007068A2"/>
    <w:rsid w:val="0071340B"/>
    <w:rsid w:val="007174BB"/>
    <w:rsid w:val="0072025D"/>
    <w:rsid w:val="007353D3"/>
    <w:rsid w:val="00737BFB"/>
    <w:rsid w:val="0076420C"/>
    <w:rsid w:val="007753C2"/>
    <w:rsid w:val="007838B8"/>
    <w:rsid w:val="00783979"/>
    <w:rsid w:val="007C0F57"/>
    <w:rsid w:val="007C40B6"/>
    <w:rsid w:val="007C729F"/>
    <w:rsid w:val="007E1D28"/>
    <w:rsid w:val="007E502E"/>
    <w:rsid w:val="007E67C4"/>
    <w:rsid w:val="007F2641"/>
    <w:rsid w:val="007F2CE6"/>
    <w:rsid w:val="007F7C36"/>
    <w:rsid w:val="0080107C"/>
    <w:rsid w:val="00802E15"/>
    <w:rsid w:val="00806796"/>
    <w:rsid w:val="008123FF"/>
    <w:rsid w:val="008151D6"/>
    <w:rsid w:val="00826F6D"/>
    <w:rsid w:val="00827DAD"/>
    <w:rsid w:val="008306F3"/>
    <w:rsid w:val="00842B11"/>
    <w:rsid w:val="00842E09"/>
    <w:rsid w:val="00853906"/>
    <w:rsid w:val="0085397C"/>
    <w:rsid w:val="00856DDD"/>
    <w:rsid w:val="00862EFC"/>
    <w:rsid w:val="00863E68"/>
    <w:rsid w:val="00882085"/>
    <w:rsid w:val="00883188"/>
    <w:rsid w:val="008914EC"/>
    <w:rsid w:val="00897D58"/>
    <w:rsid w:val="00897F22"/>
    <w:rsid w:val="008A1956"/>
    <w:rsid w:val="008A2BBC"/>
    <w:rsid w:val="008A4937"/>
    <w:rsid w:val="008A50F1"/>
    <w:rsid w:val="008A643D"/>
    <w:rsid w:val="008A7F02"/>
    <w:rsid w:val="008C03F8"/>
    <w:rsid w:val="008D06E9"/>
    <w:rsid w:val="008D1B5C"/>
    <w:rsid w:val="008D3C82"/>
    <w:rsid w:val="008D447E"/>
    <w:rsid w:val="008D7A41"/>
    <w:rsid w:val="008E012D"/>
    <w:rsid w:val="008E3680"/>
    <w:rsid w:val="008E3999"/>
    <w:rsid w:val="008E5870"/>
    <w:rsid w:val="008E7B25"/>
    <w:rsid w:val="008F1434"/>
    <w:rsid w:val="008F7355"/>
    <w:rsid w:val="009067B7"/>
    <w:rsid w:val="0091220E"/>
    <w:rsid w:val="0092169A"/>
    <w:rsid w:val="00930937"/>
    <w:rsid w:val="00933E6C"/>
    <w:rsid w:val="00936742"/>
    <w:rsid w:val="00937958"/>
    <w:rsid w:val="00942160"/>
    <w:rsid w:val="009504AD"/>
    <w:rsid w:val="0095146F"/>
    <w:rsid w:val="009602C5"/>
    <w:rsid w:val="00962223"/>
    <w:rsid w:val="00966D0D"/>
    <w:rsid w:val="00974C21"/>
    <w:rsid w:val="009801B1"/>
    <w:rsid w:val="009811EE"/>
    <w:rsid w:val="009813B4"/>
    <w:rsid w:val="009876D1"/>
    <w:rsid w:val="00993365"/>
    <w:rsid w:val="009966C3"/>
    <w:rsid w:val="009A20B5"/>
    <w:rsid w:val="009B0F67"/>
    <w:rsid w:val="009B3185"/>
    <w:rsid w:val="009B7812"/>
    <w:rsid w:val="009B7C0F"/>
    <w:rsid w:val="009C414E"/>
    <w:rsid w:val="009C703C"/>
    <w:rsid w:val="009C7546"/>
    <w:rsid w:val="009D3CAA"/>
    <w:rsid w:val="009D7A72"/>
    <w:rsid w:val="009F4E46"/>
    <w:rsid w:val="009F5B65"/>
    <w:rsid w:val="009F5F2E"/>
    <w:rsid w:val="009F75FC"/>
    <w:rsid w:val="00A04904"/>
    <w:rsid w:val="00A06225"/>
    <w:rsid w:val="00A128E6"/>
    <w:rsid w:val="00A12FCF"/>
    <w:rsid w:val="00A201F1"/>
    <w:rsid w:val="00A2048C"/>
    <w:rsid w:val="00A34E6C"/>
    <w:rsid w:val="00A37C8D"/>
    <w:rsid w:val="00A5273B"/>
    <w:rsid w:val="00A53A9D"/>
    <w:rsid w:val="00A53F82"/>
    <w:rsid w:val="00A55FEE"/>
    <w:rsid w:val="00A62C1A"/>
    <w:rsid w:val="00A6426D"/>
    <w:rsid w:val="00A665C1"/>
    <w:rsid w:val="00A66AD8"/>
    <w:rsid w:val="00A70622"/>
    <w:rsid w:val="00A70977"/>
    <w:rsid w:val="00A73FC8"/>
    <w:rsid w:val="00A77613"/>
    <w:rsid w:val="00A8390C"/>
    <w:rsid w:val="00A8570B"/>
    <w:rsid w:val="00A928BD"/>
    <w:rsid w:val="00AA4D1C"/>
    <w:rsid w:val="00AA6236"/>
    <w:rsid w:val="00AA63C2"/>
    <w:rsid w:val="00AA73D2"/>
    <w:rsid w:val="00AC193C"/>
    <w:rsid w:val="00AC5206"/>
    <w:rsid w:val="00AE118E"/>
    <w:rsid w:val="00AE11A5"/>
    <w:rsid w:val="00AE13E2"/>
    <w:rsid w:val="00AE22D3"/>
    <w:rsid w:val="00AF62DF"/>
    <w:rsid w:val="00AF68CC"/>
    <w:rsid w:val="00B033AF"/>
    <w:rsid w:val="00B06049"/>
    <w:rsid w:val="00B1059E"/>
    <w:rsid w:val="00B142EA"/>
    <w:rsid w:val="00B15AF9"/>
    <w:rsid w:val="00B176C8"/>
    <w:rsid w:val="00B205AA"/>
    <w:rsid w:val="00B208AA"/>
    <w:rsid w:val="00B22E51"/>
    <w:rsid w:val="00B22E84"/>
    <w:rsid w:val="00B25F75"/>
    <w:rsid w:val="00B26B3F"/>
    <w:rsid w:val="00B347D2"/>
    <w:rsid w:val="00B37049"/>
    <w:rsid w:val="00B4141E"/>
    <w:rsid w:val="00B43E90"/>
    <w:rsid w:val="00B467DC"/>
    <w:rsid w:val="00B56118"/>
    <w:rsid w:val="00B63D82"/>
    <w:rsid w:val="00B6773F"/>
    <w:rsid w:val="00B73BFD"/>
    <w:rsid w:val="00B801BA"/>
    <w:rsid w:val="00B80BBC"/>
    <w:rsid w:val="00B83D72"/>
    <w:rsid w:val="00B84D5C"/>
    <w:rsid w:val="00B92D40"/>
    <w:rsid w:val="00BA1786"/>
    <w:rsid w:val="00BB0D54"/>
    <w:rsid w:val="00BB5F4D"/>
    <w:rsid w:val="00BB69F5"/>
    <w:rsid w:val="00BB7EC3"/>
    <w:rsid w:val="00BC4B9A"/>
    <w:rsid w:val="00BD4F6A"/>
    <w:rsid w:val="00BD75F9"/>
    <w:rsid w:val="00BD784C"/>
    <w:rsid w:val="00BF2B11"/>
    <w:rsid w:val="00BF4CB6"/>
    <w:rsid w:val="00BF62B6"/>
    <w:rsid w:val="00C00DA7"/>
    <w:rsid w:val="00C0422C"/>
    <w:rsid w:val="00C12768"/>
    <w:rsid w:val="00C264AF"/>
    <w:rsid w:val="00C27B58"/>
    <w:rsid w:val="00C35996"/>
    <w:rsid w:val="00C4035D"/>
    <w:rsid w:val="00C4747E"/>
    <w:rsid w:val="00C5342C"/>
    <w:rsid w:val="00C54E16"/>
    <w:rsid w:val="00C603D4"/>
    <w:rsid w:val="00C6256A"/>
    <w:rsid w:val="00C63D38"/>
    <w:rsid w:val="00C67EF6"/>
    <w:rsid w:val="00C7675C"/>
    <w:rsid w:val="00C77891"/>
    <w:rsid w:val="00C77DE1"/>
    <w:rsid w:val="00C82E79"/>
    <w:rsid w:val="00C83AE1"/>
    <w:rsid w:val="00C84981"/>
    <w:rsid w:val="00C91449"/>
    <w:rsid w:val="00C92D10"/>
    <w:rsid w:val="00C954C0"/>
    <w:rsid w:val="00C9690C"/>
    <w:rsid w:val="00CA1418"/>
    <w:rsid w:val="00CB2793"/>
    <w:rsid w:val="00CC7301"/>
    <w:rsid w:val="00CD23DE"/>
    <w:rsid w:val="00CD4DAB"/>
    <w:rsid w:val="00CE10C4"/>
    <w:rsid w:val="00CE1404"/>
    <w:rsid w:val="00CE27B5"/>
    <w:rsid w:val="00CE5380"/>
    <w:rsid w:val="00CE5CEC"/>
    <w:rsid w:val="00CE61A4"/>
    <w:rsid w:val="00CE7FEA"/>
    <w:rsid w:val="00CF2E0B"/>
    <w:rsid w:val="00D0321E"/>
    <w:rsid w:val="00D10034"/>
    <w:rsid w:val="00D1455A"/>
    <w:rsid w:val="00D20EED"/>
    <w:rsid w:val="00D31150"/>
    <w:rsid w:val="00D3138B"/>
    <w:rsid w:val="00D3280C"/>
    <w:rsid w:val="00D32C39"/>
    <w:rsid w:val="00D3406A"/>
    <w:rsid w:val="00D4034C"/>
    <w:rsid w:val="00D4572C"/>
    <w:rsid w:val="00D469B2"/>
    <w:rsid w:val="00D57BAB"/>
    <w:rsid w:val="00D741EB"/>
    <w:rsid w:val="00D7712E"/>
    <w:rsid w:val="00D80CE0"/>
    <w:rsid w:val="00D81658"/>
    <w:rsid w:val="00D83605"/>
    <w:rsid w:val="00D84934"/>
    <w:rsid w:val="00D84D4C"/>
    <w:rsid w:val="00D91271"/>
    <w:rsid w:val="00DA2CB5"/>
    <w:rsid w:val="00DA4BAC"/>
    <w:rsid w:val="00DB5323"/>
    <w:rsid w:val="00DC2E4F"/>
    <w:rsid w:val="00DE2D45"/>
    <w:rsid w:val="00DE31C3"/>
    <w:rsid w:val="00DE6D27"/>
    <w:rsid w:val="00DF217D"/>
    <w:rsid w:val="00DF26A7"/>
    <w:rsid w:val="00E15627"/>
    <w:rsid w:val="00E16395"/>
    <w:rsid w:val="00E164B3"/>
    <w:rsid w:val="00E16910"/>
    <w:rsid w:val="00E36CC6"/>
    <w:rsid w:val="00E42BDB"/>
    <w:rsid w:val="00E57EEB"/>
    <w:rsid w:val="00E62D94"/>
    <w:rsid w:val="00E65712"/>
    <w:rsid w:val="00E65E54"/>
    <w:rsid w:val="00E75576"/>
    <w:rsid w:val="00E76F26"/>
    <w:rsid w:val="00E77C41"/>
    <w:rsid w:val="00E80155"/>
    <w:rsid w:val="00E848C0"/>
    <w:rsid w:val="00E8777C"/>
    <w:rsid w:val="00E87E4A"/>
    <w:rsid w:val="00E91B96"/>
    <w:rsid w:val="00E941A1"/>
    <w:rsid w:val="00E94EDB"/>
    <w:rsid w:val="00E95CE3"/>
    <w:rsid w:val="00E978E0"/>
    <w:rsid w:val="00EA2825"/>
    <w:rsid w:val="00EB0B63"/>
    <w:rsid w:val="00EB5088"/>
    <w:rsid w:val="00ED1644"/>
    <w:rsid w:val="00ED2593"/>
    <w:rsid w:val="00ED49C1"/>
    <w:rsid w:val="00ED7D9C"/>
    <w:rsid w:val="00EF44A0"/>
    <w:rsid w:val="00EF4FED"/>
    <w:rsid w:val="00EF596B"/>
    <w:rsid w:val="00EF7BEB"/>
    <w:rsid w:val="00F050BD"/>
    <w:rsid w:val="00F05657"/>
    <w:rsid w:val="00F06E3F"/>
    <w:rsid w:val="00F11F4C"/>
    <w:rsid w:val="00F1359C"/>
    <w:rsid w:val="00F25578"/>
    <w:rsid w:val="00F258E5"/>
    <w:rsid w:val="00F300BC"/>
    <w:rsid w:val="00F3334E"/>
    <w:rsid w:val="00F35504"/>
    <w:rsid w:val="00F36CCB"/>
    <w:rsid w:val="00F374E5"/>
    <w:rsid w:val="00F414D6"/>
    <w:rsid w:val="00F43AF2"/>
    <w:rsid w:val="00F45DF1"/>
    <w:rsid w:val="00F50EC4"/>
    <w:rsid w:val="00F550CF"/>
    <w:rsid w:val="00F57A6D"/>
    <w:rsid w:val="00F638CC"/>
    <w:rsid w:val="00F64CC1"/>
    <w:rsid w:val="00F66467"/>
    <w:rsid w:val="00F66B2F"/>
    <w:rsid w:val="00F7049D"/>
    <w:rsid w:val="00F72317"/>
    <w:rsid w:val="00F80475"/>
    <w:rsid w:val="00F8247A"/>
    <w:rsid w:val="00F8768F"/>
    <w:rsid w:val="00F93058"/>
    <w:rsid w:val="00F9629A"/>
    <w:rsid w:val="00F97EFC"/>
    <w:rsid w:val="00FA5883"/>
    <w:rsid w:val="00FA6055"/>
    <w:rsid w:val="00FB322F"/>
    <w:rsid w:val="00FB442F"/>
    <w:rsid w:val="00FC1929"/>
    <w:rsid w:val="00FC5B46"/>
    <w:rsid w:val="00FD0C63"/>
    <w:rsid w:val="00FD6D8E"/>
    <w:rsid w:val="00FE0E94"/>
    <w:rsid w:val="00FE2C72"/>
    <w:rsid w:val="00FE7815"/>
    <w:rsid w:val="00FF00BD"/>
    <w:rsid w:val="00FF1D4A"/>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326FEA"/>
  <w15:docId w15:val="{F74CE3FC-72C6-40F4-8C04-1B5EF1EC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1,Bullet 1,Bulleted - 2,1. Bullet Blank,Footnote,Bullet point,List Paragraph1,List Paragraph11,Recommendation,Section heading,Table Legend,Styl moj,Akapit z listą11"/>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1 Char,Bullet 1 Char,Bulleted - 2 Char,1. Bullet Blank Char,Footnote Char,Bullet point Char,List Paragraph1 Char,List Paragraph11 Char,Recommendation Char,Section heading Char,Styl moj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99"/>
    <w:semiHidden/>
    <w:rsid w:val="00F45DF1"/>
    <w:rPr>
      <w:rFonts w:ascii="Arial" w:hAnsi="Arial" w:cs="Arial"/>
      <w:snapToGrid w:val="0"/>
      <w:sz w:val="22"/>
      <w:lang w:eastAsia="en-US"/>
    </w:rPr>
  </w:style>
  <w:style w:type="paragraph" w:styleId="TOC2">
    <w:name w:val="toc 2"/>
    <w:basedOn w:val="Normal"/>
    <w:next w:val="Normal"/>
    <w:autoRedefine/>
    <w:semiHidden/>
    <w:unhideWhenUsed/>
    <w:rsid w:val="00F45DF1"/>
    <w:pPr>
      <w:spacing w:after="100"/>
      <w:ind w:left="240"/>
    </w:pPr>
  </w:style>
  <w:style w:type="paragraph" w:customStyle="1" w:styleId="PBACheading10">
    <w:name w:val="PBAC heading 1"/>
    <w:qFormat/>
    <w:rsid w:val="00F45DF1"/>
    <w:pPr>
      <w:spacing w:before="240" w:after="120"/>
      <w:ind w:left="720" w:hanging="720"/>
      <w:outlineLvl w:val="0"/>
    </w:pPr>
    <w:rPr>
      <w:rFonts w:asciiTheme="minorHAnsi" w:hAnsiTheme="minorHAnsi" w:cs="Arial"/>
      <w:b/>
      <w:snapToGrid w:val="0"/>
      <w:sz w:val="32"/>
      <w:szCs w:val="22"/>
      <w:lang w:eastAsia="en-US"/>
    </w:rPr>
  </w:style>
  <w:style w:type="paragraph" w:styleId="Caption">
    <w:name w:val="caption"/>
    <w:basedOn w:val="Normal"/>
    <w:next w:val="Normal"/>
    <w:unhideWhenUsed/>
    <w:qFormat/>
    <w:rsid w:val="000E094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7DDE-BE4C-4315-9331-9FAF4FFF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4590</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4</cp:revision>
  <cp:lastPrinted>2019-10-20T22:11:00Z</cp:lastPrinted>
  <dcterms:created xsi:type="dcterms:W3CDTF">2019-10-10T21:46:00Z</dcterms:created>
  <dcterms:modified xsi:type="dcterms:W3CDTF">2019-10-20T22:11:00Z</dcterms:modified>
</cp:coreProperties>
</file>