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7EA" w:rsidRDefault="00A97395" w:rsidP="00FB7435">
      <w:pPr>
        <w:pStyle w:val="Title"/>
        <w:ind w:left="1440" w:hanging="1440"/>
        <w:jc w:val="left"/>
        <w:outlineLvl w:val="9"/>
      </w:pPr>
      <w:r>
        <w:t xml:space="preserve">6.04 </w:t>
      </w:r>
      <w:r w:rsidR="004A37EA">
        <w:t>CABOZANTINIB,</w:t>
      </w:r>
    </w:p>
    <w:p w:rsidR="004A37EA" w:rsidRDefault="004A37EA" w:rsidP="00FB7435">
      <w:pPr>
        <w:pStyle w:val="Title"/>
        <w:ind w:left="1440" w:hanging="720"/>
        <w:jc w:val="left"/>
        <w:outlineLvl w:val="9"/>
      </w:pPr>
      <w:r>
        <w:t>Tablet 20 mg, 40 mg, 60 mg,</w:t>
      </w:r>
    </w:p>
    <w:p w:rsidR="004A37EA" w:rsidRDefault="004A37EA" w:rsidP="00FB7435">
      <w:pPr>
        <w:pStyle w:val="Title"/>
        <w:ind w:left="1440" w:hanging="720"/>
        <w:jc w:val="left"/>
        <w:outlineLvl w:val="9"/>
      </w:pPr>
      <w:r>
        <w:t>Cabometyx ®,</w:t>
      </w:r>
    </w:p>
    <w:p w:rsidR="002B6CEA" w:rsidRDefault="00FB7435" w:rsidP="00FB7435">
      <w:pPr>
        <w:pStyle w:val="Title"/>
        <w:ind w:left="1440" w:hanging="720"/>
        <w:jc w:val="left"/>
        <w:outlineLvl w:val="9"/>
      </w:pPr>
      <w:r>
        <w:t>Ipsen Pty Ltd</w:t>
      </w:r>
    </w:p>
    <w:p w:rsidR="002B6CEA" w:rsidRDefault="002B6CEA">
      <w:pPr>
        <w:pStyle w:val="BodyText"/>
      </w:pPr>
    </w:p>
    <w:p w:rsidR="002B6CEA" w:rsidRDefault="00A97395">
      <w:pPr>
        <w:pStyle w:val="PBACHeading1"/>
      </w:pPr>
      <w:bookmarkStart w:id="0" w:name="_Toc9419745"/>
      <w:r>
        <w:t>Purpose of Application</w:t>
      </w:r>
      <w:bookmarkEnd w:id="0"/>
    </w:p>
    <w:p w:rsidR="002B6CEA" w:rsidRDefault="00A97395">
      <w:pPr>
        <w:pStyle w:val="ListParagraph"/>
        <w:widowControl/>
        <w:numPr>
          <w:ilvl w:val="1"/>
          <w:numId w:val="2"/>
        </w:numPr>
      </w:pPr>
      <w:r>
        <w:t xml:space="preserve">The submission requested a Section 100, Authority Required (Streamlined), restricted benefit listing for cabozantinib for treatment of patients with Barcelona-Clinic Liver Cancer (BCLC) B or C advanced hepatocellular carcinoma (HCC), WHO performance status </w:t>
      </w:r>
      <w:r>
        <w:rPr>
          <w:rFonts w:cs="Calibri"/>
        </w:rPr>
        <w:t>≤</w:t>
      </w:r>
      <w:r>
        <w:t xml:space="preserve">1 and Child Pugh A disease previously treated with sorafenib. </w:t>
      </w:r>
    </w:p>
    <w:p w:rsidR="002B6CEA" w:rsidRDefault="00A97395">
      <w:pPr>
        <w:pStyle w:val="ListParagraph"/>
        <w:widowControl/>
        <w:numPr>
          <w:ilvl w:val="1"/>
          <w:numId w:val="2"/>
        </w:numPr>
      </w:pPr>
      <w:r>
        <w:t>The key components of the submission are presented in Table 1.</w:t>
      </w:r>
    </w:p>
    <w:p w:rsidR="00A52629" w:rsidRPr="00A52629" w:rsidRDefault="00A52629" w:rsidP="00A52629">
      <w:pPr>
        <w:keepNext/>
        <w:keepLines/>
        <w:rPr>
          <w:rStyle w:val="CommentReference"/>
        </w:rPr>
      </w:pPr>
      <w:r w:rsidRPr="00A52629">
        <w:rPr>
          <w:rStyle w:val="CommentReference"/>
        </w:rPr>
        <w:t xml:space="preserve">Table </w:t>
      </w:r>
      <w:r w:rsidRPr="00A52629">
        <w:rPr>
          <w:rStyle w:val="CommentReference"/>
        </w:rPr>
        <w:fldChar w:fldCharType="begin"/>
      </w:r>
      <w:r w:rsidRPr="00A52629">
        <w:rPr>
          <w:rStyle w:val="CommentReference"/>
        </w:rPr>
        <w:instrText xml:space="preserve"> SEQ Table \* ARABIC </w:instrText>
      </w:r>
      <w:r w:rsidRPr="00A52629">
        <w:rPr>
          <w:rStyle w:val="CommentReference"/>
        </w:rPr>
        <w:fldChar w:fldCharType="separate"/>
      </w:r>
      <w:r w:rsidR="00310C38">
        <w:rPr>
          <w:rStyle w:val="CommentReference"/>
          <w:noProof/>
        </w:rPr>
        <w:t>1</w:t>
      </w:r>
      <w:r w:rsidRPr="00A52629">
        <w:rPr>
          <w:rStyle w:val="CommentReference"/>
        </w:rPr>
        <w:fldChar w:fldCharType="end"/>
      </w:r>
      <w:r w:rsidRPr="00A52629">
        <w:rPr>
          <w:rStyle w:val="CommentReference"/>
        </w:rPr>
        <w:t>:  Key components of the clinical issue addressed by the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127"/>
        <w:gridCol w:w="7890"/>
      </w:tblGrid>
      <w:tr w:rsidR="002B6CEA">
        <w:trPr>
          <w:tblHeader/>
        </w:trPr>
        <w:tc>
          <w:tcPr>
            <w:tcW w:w="0" w:type="auto"/>
          </w:tcPr>
          <w:p w:rsidR="002B6CEA" w:rsidRDefault="00A97395">
            <w:pPr>
              <w:pStyle w:val="TableLeft"/>
              <w:keepNext/>
              <w:keepLines/>
              <w:rPr>
                <w:rStyle w:val="SmallBold"/>
                <w:rFonts w:ascii="Arial Narrow" w:hAnsi="Arial Narrow"/>
              </w:rPr>
            </w:pPr>
            <w:r>
              <w:rPr>
                <w:rStyle w:val="SmallBold"/>
                <w:rFonts w:ascii="Arial Narrow" w:hAnsi="Arial Narrow"/>
              </w:rPr>
              <w:t>Component</w:t>
            </w:r>
          </w:p>
        </w:tc>
        <w:tc>
          <w:tcPr>
            <w:tcW w:w="7890" w:type="dxa"/>
          </w:tcPr>
          <w:p w:rsidR="002B6CEA" w:rsidRDefault="00A97395">
            <w:pPr>
              <w:pStyle w:val="TableLeft"/>
              <w:keepNext/>
              <w:keepLines/>
              <w:rPr>
                <w:rStyle w:val="SmallBold"/>
                <w:rFonts w:ascii="Arial Narrow" w:hAnsi="Arial Narrow"/>
              </w:rPr>
            </w:pPr>
            <w:r>
              <w:rPr>
                <w:rStyle w:val="SmallBold"/>
                <w:rFonts w:ascii="Arial Narrow" w:hAnsi="Arial Narrow"/>
              </w:rPr>
              <w:t>Description</w:t>
            </w:r>
          </w:p>
        </w:tc>
      </w:tr>
      <w:tr w:rsidR="002B6CEA">
        <w:tc>
          <w:tcPr>
            <w:tcW w:w="0" w:type="auto"/>
          </w:tcPr>
          <w:p w:rsidR="002B6CEA" w:rsidRDefault="00A97395">
            <w:pPr>
              <w:pStyle w:val="TableLeft"/>
              <w:keepNext/>
              <w:keepLines/>
              <w:rPr>
                <w:rFonts w:ascii="Arial Narrow" w:hAnsi="Arial Narrow"/>
              </w:rPr>
            </w:pPr>
            <w:r>
              <w:rPr>
                <w:rFonts w:ascii="Arial Narrow" w:hAnsi="Arial Narrow"/>
              </w:rPr>
              <w:t>Population</w:t>
            </w:r>
          </w:p>
        </w:tc>
        <w:tc>
          <w:tcPr>
            <w:tcW w:w="7890" w:type="dxa"/>
          </w:tcPr>
          <w:p w:rsidR="002B6CEA" w:rsidRDefault="00A97395">
            <w:pPr>
              <w:pStyle w:val="TableLeft"/>
              <w:keepNext/>
              <w:keepLines/>
              <w:rPr>
                <w:rFonts w:ascii="Arial Narrow" w:hAnsi="Arial Narrow"/>
              </w:rPr>
            </w:pPr>
            <w:r>
              <w:rPr>
                <w:rFonts w:ascii="Arial Narrow" w:hAnsi="Arial Narrow"/>
              </w:rPr>
              <w:t xml:space="preserve">Patients with BCLC stage B or stage C HCC, WHO performance status of 0-1 and Child-Pugh class A risk classification, who have been previously treated with at least one systemic treatment for this condition. </w:t>
            </w:r>
          </w:p>
        </w:tc>
      </w:tr>
      <w:tr w:rsidR="002B6CEA">
        <w:tc>
          <w:tcPr>
            <w:tcW w:w="0" w:type="auto"/>
          </w:tcPr>
          <w:p w:rsidR="002B6CEA" w:rsidRDefault="00A97395">
            <w:pPr>
              <w:pStyle w:val="TableLeft"/>
              <w:keepNext/>
              <w:keepLines/>
              <w:rPr>
                <w:rFonts w:ascii="Arial Narrow" w:hAnsi="Arial Narrow"/>
              </w:rPr>
            </w:pPr>
            <w:r>
              <w:rPr>
                <w:rFonts w:ascii="Arial Narrow" w:hAnsi="Arial Narrow"/>
              </w:rPr>
              <w:t>Intervention</w:t>
            </w:r>
          </w:p>
        </w:tc>
        <w:tc>
          <w:tcPr>
            <w:tcW w:w="7890" w:type="dxa"/>
          </w:tcPr>
          <w:p w:rsidR="002B6CEA" w:rsidRDefault="00A97395">
            <w:pPr>
              <w:pStyle w:val="TableLeft"/>
              <w:keepNext/>
              <w:keepLines/>
              <w:rPr>
                <w:rFonts w:ascii="Arial Narrow" w:hAnsi="Arial Narrow"/>
              </w:rPr>
            </w:pPr>
            <w:r>
              <w:rPr>
                <w:rFonts w:ascii="Arial Narrow" w:hAnsi="Arial Narrow"/>
              </w:rPr>
              <w:t>Cabozantinib (Cabometyx®), 60 mg orally QD until disease progression or unacceptable toxicity.</w:t>
            </w:r>
          </w:p>
        </w:tc>
      </w:tr>
      <w:tr w:rsidR="002B6CEA">
        <w:tc>
          <w:tcPr>
            <w:tcW w:w="0" w:type="auto"/>
          </w:tcPr>
          <w:p w:rsidR="002B6CEA" w:rsidRDefault="00A97395">
            <w:pPr>
              <w:pStyle w:val="TableLeft"/>
              <w:keepNext/>
              <w:keepLines/>
              <w:rPr>
                <w:rFonts w:ascii="Arial Narrow" w:hAnsi="Arial Narrow"/>
              </w:rPr>
            </w:pPr>
            <w:r>
              <w:rPr>
                <w:rFonts w:ascii="Arial Narrow" w:hAnsi="Arial Narrow"/>
              </w:rPr>
              <w:t>Comparator</w:t>
            </w:r>
          </w:p>
        </w:tc>
        <w:tc>
          <w:tcPr>
            <w:tcW w:w="7890" w:type="dxa"/>
          </w:tcPr>
          <w:p w:rsidR="002B6CEA" w:rsidRDefault="00A97395">
            <w:pPr>
              <w:pStyle w:val="TableLeft"/>
              <w:keepNext/>
              <w:keepLines/>
              <w:rPr>
                <w:rFonts w:ascii="Arial Narrow" w:hAnsi="Arial Narrow"/>
              </w:rPr>
            </w:pPr>
            <w:r>
              <w:rPr>
                <w:rStyle w:val="SmallUnderline"/>
                <w:rFonts w:ascii="Arial Narrow" w:hAnsi="Arial Narrow"/>
                <w:u w:val="none"/>
              </w:rPr>
              <w:t>Main comparator</w:t>
            </w:r>
            <w:r>
              <w:rPr>
                <w:rFonts w:ascii="Arial Narrow" w:hAnsi="Arial Narrow"/>
              </w:rPr>
              <w:t xml:space="preserve">: BSC </w:t>
            </w:r>
          </w:p>
          <w:p w:rsidR="002B6CEA" w:rsidRDefault="00A97395">
            <w:pPr>
              <w:pStyle w:val="TableLeft"/>
              <w:keepNext/>
              <w:keepLines/>
              <w:rPr>
                <w:rFonts w:ascii="Arial Narrow" w:hAnsi="Arial Narrow"/>
                <w:u w:val="single"/>
              </w:rPr>
            </w:pPr>
            <w:r>
              <w:rPr>
                <w:rStyle w:val="SmallUnderline"/>
                <w:rFonts w:ascii="Arial Narrow" w:hAnsi="Arial Narrow"/>
                <w:u w:val="none"/>
              </w:rPr>
              <w:t>Near market comparator</w:t>
            </w:r>
            <w:r>
              <w:rPr>
                <w:rFonts w:ascii="Arial Narrow" w:hAnsi="Arial Narrow"/>
              </w:rPr>
              <w:t xml:space="preserve">: regorafenib </w:t>
            </w:r>
          </w:p>
        </w:tc>
      </w:tr>
      <w:tr w:rsidR="002B6CEA">
        <w:tc>
          <w:tcPr>
            <w:tcW w:w="0" w:type="auto"/>
          </w:tcPr>
          <w:p w:rsidR="002B6CEA" w:rsidRDefault="00A97395">
            <w:pPr>
              <w:pStyle w:val="TableLeft"/>
              <w:keepNext/>
              <w:keepLines/>
              <w:rPr>
                <w:rFonts w:ascii="Arial Narrow" w:hAnsi="Arial Narrow"/>
              </w:rPr>
            </w:pPr>
            <w:r>
              <w:rPr>
                <w:rFonts w:ascii="Arial Narrow" w:hAnsi="Arial Narrow"/>
              </w:rPr>
              <w:t>Outcomes</w:t>
            </w:r>
          </w:p>
        </w:tc>
        <w:tc>
          <w:tcPr>
            <w:tcW w:w="7890" w:type="dxa"/>
          </w:tcPr>
          <w:p w:rsidR="002B6CEA" w:rsidRDefault="00A97395">
            <w:pPr>
              <w:pStyle w:val="TableLeft"/>
              <w:keepNext/>
              <w:keepLines/>
              <w:rPr>
                <w:rFonts w:ascii="Arial Narrow" w:hAnsi="Arial Narrow"/>
              </w:rPr>
            </w:pPr>
            <w:r>
              <w:rPr>
                <w:rFonts w:ascii="Arial Narrow" w:hAnsi="Arial Narrow"/>
              </w:rPr>
              <w:t>Overall survival (OS); progression free survival (PFS); objective response rate (ORR); safety</w:t>
            </w:r>
          </w:p>
        </w:tc>
      </w:tr>
      <w:tr w:rsidR="002B6CEA">
        <w:tc>
          <w:tcPr>
            <w:tcW w:w="0" w:type="auto"/>
          </w:tcPr>
          <w:p w:rsidR="002B6CEA" w:rsidRDefault="00A97395">
            <w:pPr>
              <w:pStyle w:val="TableLeft"/>
              <w:keepNext/>
              <w:keepLines/>
              <w:rPr>
                <w:rFonts w:ascii="Arial Narrow" w:hAnsi="Arial Narrow"/>
              </w:rPr>
            </w:pPr>
            <w:r>
              <w:rPr>
                <w:rFonts w:ascii="Arial Narrow" w:hAnsi="Arial Narrow"/>
              </w:rPr>
              <w:t>Clinical claim</w:t>
            </w:r>
          </w:p>
        </w:tc>
        <w:tc>
          <w:tcPr>
            <w:tcW w:w="7890" w:type="dxa"/>
          </w:tcPr>
          <w:p w:rsidR="002B6CEA" w:rsidRDefault="00A97395">
            <w:pPr>
              <w:pStyle w:val="TableLeft"/>
              <w:keepNext/>
              <w:keepLines/>
              <w:rPr>
                <w:rFonts w:ascii="Arial Narrow" w:hAnsi="Arial Narrow"/>
              </w:rPr>
            </w:pPr>
            <w:r>
              <w:rPr>
                <w:rFonts w:ascii="Arial Narrow" w:hAnsi="Arial Narrow"/>
              </w:rPr>
              <w:t xml:space="preserve">Cabozantinib provides: </w:t>
            </w:r>
          </w:p>
          <w:p w:rsidR="002B6CEA" w:rsidRDefault="00A97395">
            <w:pPr>
              <w:pStyle w:val="TableBullets"/>
              <w:keepNext/>
              <w:keepLines/>
              <w:rPr>
                <w:rFonts w:ascii="Arial Narrow" w:hAnsi="Arial Narrow"/>
              </w:rPr>
            </w:pPr>
            <w:r>
              <w:rPr>
                <w:rFonts w:ascii="Arial Narrow" w:hAnsi="Arial Narrow"/>
              </w:rPr>
              <w:t xml:space="preserve">Significantly superior OS, PFS and ORR compared to standard of care, and a worse but manageable safety profile; </w:t>
            </w:r>
          </w:p>
          <w:p w:rsidR="002B6CEA" w:rsidRDefault="00A97395" w:rsidP="00A60E66">
            <w:pPr>
              <w:pStyle w:val="TableBullets"/>
              <w:keepNext/>
              <w:keepLines/>
              <w:spacing w:after="120"/>
              <w:rPr>
                <w:rFonts w:ascii="Arial Narrow" w:hAnsi="Arial Narrow"/>
              </w:rPr>
            </w:pPr>
            <w:r>
              <w:rPr>
                <w:rFonts w:ascii="Arial Narrow" w:hAnsi="Arial Narrow"/>
              </w:rPr>
              <w:t>No difference of clinical effect between cabozantinib and the possible near market comparator, regorafenib, in terms of OS, PFS, ORR and safety.</w:t>
            </w:r>
          </w:p>
        </w:tc>
      </w:tr>
    </w:tbl>
    <w:p w:rsidR="002B6CEA" w:rsidRDefault="00A97395">
      <w:pPr>
        <w:pStyle w:val="TableFooter"/>
        <w:keepNext/>
        <w:keepLines/>
      </w:pPr>
      <w:r>
        <w:t>Abbreviations: BCLC= Barcelona-Clinic Liver Cancer; HCC= hepatocellular carcinoma; ORR= objective response rate; OS= overall survival; PBS= Pharmaceutical Benefits Scheme; PFS= progression free survival; QD= once daily; WHO= World Health Organization</w:t>
      </w:r>
    </w:p>
    <w:p w:rsidR="002B6CEA" w:rsidRDefault="00A97395">
      <w:pPr>
        <w:pStyle w:val="TableFooter"/>
        <w:keepNext/>
        <w:keepLines/>
      </w:pPr>
      <w:r>
        <w:t>Source: Table 1-1, p. 18 of the submission.</w:t>
      </w:r>
    </w:p>
    <w:p w:rsidR="002B6CEA" w:rsidRDefault="002B6CEA"/>
    <w:p w:rsidR="002B6CEA" w:rsidRDefault="00A97395">
      <w:pPr>
        <w:pStyle w:val="PBACHeading1"/>
      </w:pPr>
      <w:bookmarkStart w:id="1" w:name="_Toc9419746"/>
      <w:r>
        <w:t>Requested listing</w:t>
      </w:r>
      <w:bookmarkEnd w:id="1"/>
    </w:p>
    <w:p w:rsidR="002B6CEA" w:rsidRDefault="00A97395">
      <w:pPr>
        <w:pStyle w:val="ListParagraph"/>
        <w:widowControl/>
        <w:numPr>
          <w:ilvl w:val="1"/>
          <w:numId w:val="2"/>
        </w:numPr>
        <w:rPr>
          <w:b/>
        </w:rPr>
      </w:pPr>
      <w:r>
        <w:t>The submission proposed that a special pricing arrangement (SPA) apply, consistent with the existing PBS listing of cabozantinib for treatment of stage IV clear cell variant renal cell carcinoma (RCC) following prior treatment with a tyrosine kinase inhibitor (TKI). The SPA offered an upfront discount for all packs as specified in the table. The proposed effective DPMQ for cabozantinib was $</w:t>
      </w:r>
      <w:r w:rsidR="00950C8B">
        <w:rPr>
          <w:noProof/>
          <w:color w:val="000000"/>
          <w:highlight w:val="black"/>
        </w:rPr>
        <w:t>'''''''''''''''''</w:t>
      </w:r>
      <w:r>
        <w:t xml:space="preserve"> with a published DPMQ of $9,951.04 per 30 tablets for all three strengths (60 mg, 40 mg and 20 mg).</w:t>
      </w:r>
    </w:p>
    <w:p w:rsidR="002B6CEA" w:rsidRDefault="00A97395">
      <w:pPr>
        <w:pStyle w:val="ListParagraph"/>
        <w:widowControl/>
        <w:numPr>
          <w:ilvl w:val="1"/>
          <w:numId w:val="2"/>
        </w:numPr>
        <w:rPr>
          <w:b/>
        </w:rPr>
      </w:pPr>
      <w:r>
        <w:rPr>
          <w:rFonts w:cs="Calibri"/>
          <w:bCs/>
        </w:rPr>
        <w:t>Suggestions and additions proposed by the Secretariat to the requested listing are added in italics and suggested deletions are crossed out with strikethrough.</w:t>
      </w:r>
    </w:p>
    <w:p w:rsidR="002B6CEA" w:rsidRDefault="002B6CEA">
      <w:pPr>
        <w:keepNext/>
        <w:keepLines/>
        <w:rPr>
          <w:rStyle w:val="CommentReference"/>
          <w:b w:val="0"/>
        </w:rPr>
      </w:pPr>
    </w:p>
    <w:tbl>
      <w:tblPr>
        <w:tblW w:w="497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20"/>
        <w:gridCol w:w="1017"/>
        <w:gridCol w:w="775"/>
        <w:gridCol w:w="1447"/>
        <w:gridCol w:w="1087"/>
        <w:gridCol w:w="1439"/>
      </w:tblGrid>
      <w:tr w:rsidR="002B6CEA">
        <w:trPr>
          <w:cantSplit/>
          <w:trHeight w:val="463"/>
        </w:trPr>
        <w:tc>
          <w:tcPr>
            <w:tcW w:w="1792" w:type="pct"/>
            <w:tcBorders>
              <w:left w:val="nil"/>
              <w:bottom w:val="single" w:sz="4" w:space="0" w:color="auto"/>
              <w:right w:val="nil"/>
            </w:tcBorders>
            <w:vAlign w:val="center"/>
          </w:tcPr>
          <w:p w:rsidR="002B6CEA" w:rsidRDefault="00A97395">
            <w:pPr>
              <w:keepNext/>
              <w:keepLines/>
              <w:jc w:val="left"/>
              <w:rPr>
                <w:rFonts w:ascii="Arial Narrow" w:hAnsi="Arial Narrow"/>
                <w:b/>
                <w:sz w:val="20"/>
              </w:rPr>
            </w:pPr>
            <w:r>
              <w:rPr>
                <w:rFonts w:ascii="Arial Narrow" w:hAnsi="Arial Narrow"/>
                <w:b/>
                <w:sz w:val="20"/>
              </w:rPr>
              <w:t>Name, Restriction,</w:t>
            </w:r>
          </w:p>
          <w:p w:rsidR="002B6CEA" w:rsidRDefault="00A97395">
            <w:pPr>
              <w:keepNext/>
              <w:keepLines/>
              <w:jc w:val="left"/>
              <w:rPr>
                <w:rFonts w:ascii="Arial Narrow" w:hAnsi="Arial Narrow"/>
                <w:b/>
                <w:sz w:val="20"/>
              </w:rPr>
            </w:pPr>
            <w:r>
              <w:rPr>
                <w:rFonts w:ascii="Arial Narrow" w:hAnsi="Arial Narrow"/>
                <w:b/>
                <w:sz w:val="20"/>
              </w:rPr>
              <w:t>Manner of administration and form</w:t>
            </w:r>
          </w:p>
        </w:tc>
        <w:tc>
          <w:tcPr>
            <w:tcW w:w="566" w:type="pct"/>
            <w:tcBorders>
              <w:left w:val="nil"/>
              <w:bottom w:val="single" w:sz="4" w:space="0" w:color="auto"/>
              <w:right w:val="nil"/>
            </w:tcBorders>
            <w:vAlign w:val="center"/>
          </w:tcPr>
          <w:p w:rsidR="002B6CEA" w:rsidRDefault="00A97395">
            <w:pPr>
              <w:keepNext/>
              <w:keepLines/>
              <w:jc w:val="center"/>
              <w:rPr>
                <w:rFonts w:ascii="Arial Narrow" w:hAnsi="Arial Narrow"/>
                <w:b/>
                <w:sz w:val="20"/>
              </w:rPr>
            </w:pPr>
            <w:r>
              <w:rPr>
                <w:rFonts w:ascii="Arial Narrow" w:hAnsi="Arial Narrow"/>
                <w:b/>
                <w:sz w:val="20"/>
              </w:rPr>
              <w:t>Max.</w:t>
            </w:r>
          </w:p>
          <w:p w:rsidR="002B6CEA" w:rsidRDefault="00A97395">
            <w:pPr>
              <w:keepNext/>
              <w:keepLines/>
              <w:jc w:val="center"/>
              <w:rPr>
                <w:rFonts w:ascii="Arial Narrow" w:hAnsi="Arial Narrow"/>
                <w:b/>
                <w:sz w:val="20"/>
              </w:rPr>
            </w:pPr>
            <w:r>
              <w:rPr>
                <w:rFonts w:ascii="Arial Narrow" w:hAnsi="Arial Narrow"/>
                <w:b/>
                <w:sz w:val="20"/>
              </w:rPr>
              <w:t>Qty</w:t>
            </w:r>
          </w:p>
        </w:tc>
        <w:tc>
          <w:tcPr>
            <w:tcW w:w="431" w:type="pct"/>
            <w:tcBorders>
              <w:left w:val="nil"/>
              <w:bottom w:val="single" w:sz="4" w:space="0" w:color="auto"/>
              <w:right w:val="nil"/>
            </w:tcBorders>
            <w:vAlign w:val="center"/>
          </w:tcPr>
          <w:p w:rsidR="002B6CEA" w:rsidRDefault="00A97395">
            <w:pPr>
              <w:keepNext/>
              <w:keepLines/>
              <w:jc w:val="center"/>
              <w:rPr>
                <w:rFonts w:ascii="Arial Narrow" w:hAnsi="Arial Narrow"/>
                <w:b/>
                <w:sz w:val="20"/>
              </w:rPr>
            </w:pPr>
            <w:r>
              <w:rPr>
                <w:rFonts w:ascii="Arial Narrow" w:hAnsi="Arial Narrow" w:cs="Times New Roman"/>
                <w:b/>
                <w:sz w:val="20"/>
              </w:rPr>
              <w:t>№</w:t>
            </w:r>
            <w:r>
              <w:rPr>
                <w:rFonts w:ascii="Arial Narrow" w:hAnsi="Arial Narrow"/>
                <w:b/>
                <w:sz w:val="20"/>
              </w:rPr>
              <w:t>.of</w:t>
            </w:r>
          </w:p>
          <w:p w:rsidR="002B6CEA" w:rsidRDefault="00A97395">
            <w:pPr>
              <w:keepNext/>
              <w:keepLines/>
              <w:jc w:val="center"/>
              <w:rPr>
                <w:rFonts w:ascii="Arial Narrow" w:hAnsi="Arial Narrow"/>
                <w:b/>
                <w:sz w:val="20"/>
              </w:rPr>
            </w:pPr>
            <w:r>
              <w:rPr>
                <w:rFonts w:ascii="Arial Narrow" w:hAnsi="Arial Narrow"/>
                <w:b/>
                <w:sz w:val="20"/>
              </w:rPr>
              <w:t>Rpts</w:t>
            </w:r>
          </w:p>
        </w:tc>
        <w:tc>
          <w:tcPr>
            <w:tcW w:w="805" w:type="pct"/>
            <w:tcBorders>
              <w:left w:val="nil"/>
              <w:bottom w:val="single" w:sz="4" w:space="0" w:color="auto"/>
              <w:right w:val="nil"/>
            </w:tcBorders>
            <w:vAlign w:val="center"/>
          </w:tcPr>
          <w:p w:rsidR="002B6CEA" w:rsidRDefault="00A97395">
            <w:pPr>
              <w:keepNext/>
              <w:keepLines/>
              <w:jc w:val="center"/>
              <w:rPr>
                <w:rFonts w:ascii="Arial Narrow" w:hAnsi="Arial Narrow"/>
                <w:b/>
                <w:sz w:val="20"/>
              </w:rPr>
            </w:pPr>
            <w:r>
              <w:rPr>
                <w:rFonts w:ascii="Arial Narrow" w:hAnsi="Arial Narrow"/>
                <w:b/>
                <w:sz w:val="20"/>
              </w:rPr>
              <w:t>Dispensed Price for Max. Qty</w:t>
            </w:r>
          </w:p>
        </w:tc>
        <w:tc>
          <w:tcPr>
            <w:tcW w:w="1406" w:type="pct"/>
            <w:gridSpan w:val="2"/>
            <w:tcBorders>
              <w:left w:val="nil"/>
              <w:bottom w:val="single" w:sz="4" w:space="0" w:color="auto"/>
              <w:right w:val="nil"/>
            </w:tcBorders>
            <w:vAlign w:val="center"/>
          </w:tcPr>
          <w:p w:rsidR="002B6CEA" w:rsidRDefault="00A97395">
            <w:pPr>
              <w:keepNext/>
              <w:keepLines/>
              <w:jc w:val="center"/>
              <w:rPr>
                <w:rFonts w:ascii="Arial Narrow" w:hAnsi="Arial Narrow"/>
                <w:b/>
                <w:sz w:val="20"/>
              </w:rPr>
            </w:pPr>
            <w:r>
              <w:rPr>
                <w:rFonts w:ascii="Arial Narrow" w:hAnsi="Arial Narrow"/>
                <w:b/>
                <w:sz w:val="20"/>
              </w:rPr>
              <w:t>Proprietary Name and Manufacturer</w:t>
            </w:r>
          </w:p>
        </w:tc>
      </w:tr>
      <w:tr w:rsidR="002B6CEA">
        <w:trPr>
          <w:cantSplit/>
          <w:trHeight w:val="1144"/>
        </w:trPr>
        <w:tc>
          <w:tcPr>
            <w:tcW w:w="1792" w:type="pct"/>
            <w:tcBorders>
              <w:left w:val="nil"/>
              <w:right w:val="nil"/>
            </w:tcBorders>
          </w:tcPr>
          <w:p w:rsidR="002B6CEA" w:rsidRDefault="00A97395">
            <w:pPr>
              <w:keepNext/>
              <w:keepLines/>
              <w:jc w:val="left"/>
              <w:rPr>
                <w:rFonts w:ascii="Arial Narrow" w:hAnsi="Arial Narrow"/>
                <w:sz w:val="20"/>
              </w:rPr>
            </w:pPr>
            <w:r>
              <w:rPr>
                <w:rFonts w:ascii="Arial Narrow" w:hAnsi="Arial Narrow"/>
                <w:smallCaps/>
                <w:sz w:val="20"/>
              </w:rPr>
              <w:t>20 mg;</w:t>
            </w:r>
            <w:r>
              <w:rPr>
                <w:smallCaps/>
              </w:rPr>
              <w:t xml:space="preserve"> </w:t>
            </w:r>
            <w:r>
              <w:rPr>
                <w:rFonts w:ascii="Arial Narrow" w:hAnsi="Arial Narrow"/>
                <w:sz w:val="20"/>
              </w:rPr>
              <w:t>Tablet, 30</w:t>
            </w:r>
            <w:r>
              <w:rPr>
                <w:rFonts w:ascii="Arial Narrow" w:hAnsi="Arial Narrow"/>
                <w:sz w:val="20"/>
              </w:rPr>
              <w:br/>
            </w:r>
            <w:r>
              <w:rPr>
                <w:rFonts w:ascii="Arial Narrow" w:hAnsi="Arial Narrow"/>
                <w:smallCaps/>
                <w:sz w:val="20"/>
              </w:rPr>
              <w:t>40 mg;</w:t>
            </w:r>
            <w:r>
              <w:rPr>
                <w:smallCaps/>
              </w:rPr>
              <w:t xml:space="preserve"> </w:t>
            </w:r>
            <w:r>
              <w:rPr>
                <w:rFonts w:ascii="Arial Narrow" w:hAnsi="Arial Narrow"/>
                <w:sz w:val="20"/>
              </w:rPr>
              <w:t>Tablet, 30</w:t>
            </w:r>
          </w:p>
          <w:p w:rsidR="002B6CEA" w:rsidRDefault="00A97395">
            <w:pPr>
              <w:keepNext/>
              <w:keepLines/>
              <w:jc w:val="left"/>
              <w:rPr>
                <w:rFonts w:ascii="Arial Narrow" w:hAnsi="Arial Narrow"/>
                <w:sz w:val="20"/>
              </w:rPr>
            </w:pPr>
            <w:r>
              <w:rPr>
                <w:rFonts w:ascii="Arial Narrow" w:hAnsi="Arial Narrow"/>
                <w:smallCaps/>
                <w:sz w:val="20"/>
              </w:rPr>
              <w:t>60 mg;</w:t>
            </w:r>
            <w:r>
              <w:rPr>
                <w:smallCaps/>
              </w:rPr>
              <w:t xml:space="preserve"> </w:t>
            </w:r>
            <w:r>
              <w:rPr>
                <w:rFonts w:ascii="Arial Narrow" w:hAnsi="Arial Narrow"/>
                <w:sz w:val="20"/>
              </w:rPr>
              <w:t>Tablet, 30</w:t>
            </w:r>
          </w:p>
        </w:tc>
        <w:tc>
          <w:tcPr>
            <w:tcW w:w="566" w:type="pct"/>
            <w:tcBorders>
              <w:left w:val="nil"/>
              <w:right w:val="nil"/>
            </w:tcBorders>
          </w:tcPr>
          <w:p w:rsidR="002B6CEA" w:rsidRDefault="00A97395">
            <w:pPr>
              <w:keepNext/>
              <w:keepLines/>
              <w:jc w:val="center"/>
              <w:rPr>
                <w:rFonts w:ascii="Arial Narrow" w:hAnsi="Arial Narrow"/>
                <w:sz w:val="20"/>
              </w:rPr>
            </w:pPr>
            <w:r>
              <w:rPr>
                <w:rFonts w:ascii="Arial Narrow" w:hAnsi="Arial Narrow"/>
                <w:sz w:val="20"/>
              </w:rPr>
              <w:t>1</w:t>
            </w:r>
          </w:p>
          <w:p w:rsidR="002B6CEA" w:rsidRDefault="00A97395">
            <w:pPr>
              <w:keepNext/>
              <w:keepLines/>
              <w:jc w:val="center"/>
              <w:rPr>
                <w:rFonts w:ascii="Arial Narrow" w:hAnsi="Arial Narrow"/>
                <w:sz w:val="20"/>
              </w:rPr>
            </w:pPr>
            <w:r>
              <w:rPr>
                <w:rFonts w:ascii="Arial Narrow" w:hAnsi="Arial Narrow"/>
                <w:sz w:val="20"/>
              </w:rPr>
              <w:t>1</w:t>
            </w:r>
          </w:p>
          <w:p w:rsidR="002B6CEA" w:rsidRDefault="00A97395">
            <w:pPr>
              <w:keepNext/>
              <w:keepLines/>
              <w:jc w:val="center"/>
              <w:rPr>
                <w:rFonts w:ascii="Arial Narrow" w:hAnsi="Arial Narrow"/>
                <w:sz w:val="20"/>
              </w:rPr>
            </w:pPr>
            <w:r>
              <w:rPr>
                <w:rFonts w:ascii="Arial Narrow" w:hAnsi="Arial Narrow"/>
                <w:sz w:val="20"/>
              </w:rPr>
              <w:t>1</w:t>
            </w:r>
          </w:p>
        </w:tc>
        <w:tc>
          <w:tcPr>
            <w:tcW w:w="431" w:type="pct"/>
            <w:tcBorders>
              <w:left w:val="nil"/>
              <w:right w:val="nil"/>
            </w:tcBorders>
          </w:tcPr>
          <w:p w:rsidR="002B6CEA" w:rsidRDefault="00A97395">
            <w:pPr>
              <w:keepNext/>
              <w:keepLines/>
              <w:jc w:val="center"/>
              <w:rPr>
                <w:rFonts w:ascii="Arial Narrow" w:hAnsi="Arial Narrow"/>
                <w:sz w:val="20"/>
              </w:rPr>
            </w:pPr>
            <w:r>
              <w:rPr>
                <w:rFonts w:ascii="Arial Narrow" w:hAnsi="Arial Narrow"/>
                <w:sz w:val="20"/>
              </w:rPr>
              <w:t>5</w:t>
            </w:r>
          </w:p>
          <w:p w:rsidR="002B6CEA" w:rsidRDefault="00A97395">
            <w:pPr>
              <w:keepNext/>
              <w:keepLines/>
              <w:jc w:val="center"/>
              <w:rPr>
                <w:rFonts w:ascii="Arial Narrow" w:hAnsi="Arial Narrow"/>
                <w:sz w:val="20"/>
              </w:rPr>
            </w:pPr>
            <w:r>
              <w:rPr>
                <w:rFonts w:ascii="Arial Narrow" w:hAnsi="Arial Narrow"/>
                <w:sz w:val="20"/>
              </w:rPr>
              <w:t>5</w:t>
            </w:r>
          </w:p>
          <w:p w:rsidR="002B6CEA" w:rsidRDefault="00A97395">
            <w:pPr>
              <w:keepNext/>
              <w:keepLines/>
              <w:jc w:val="center"/>
              <w:rPr>
                <w:rFonts w:ascii="Arial Narrow" w:hAnsi="Arial Narrow"/>
                <w:sz w:val="20"/>
              </w:rPr>
            </w:pPr>
            <w:r>
              <w:rPr>
                <w:rFonts w:ascii="Arial Narrow" w:hAnsi="Arial Narrow"/>
                <w:sz w:val="20"/>
              </w:rPr>
              <w:t>2</w:t>
            </w:r>
          </w:p>
        </w:tc>
        <w:tc>
          <w:tcPr>
            <w:tcW w:w="805" w:type="pct"/>
            <w:tcBorders>
              <w:left w:val="nil"/>
              <w:right w:val="nil"/>
            </w:tcBorders>
          </w:tcPr>
          <w:p w:rsidR="002B6CEA" w:rsidRDefault="00A97395">
            <w:pPr>
              <w:keepNext/>
              <w:keepLines/>
              <w:jc w:val="center"/>
              <w:rPr>
                <w:rFonts w:ascii="Arial Narrow" w:hAnsi="Arial Narrow"/>
                <w:sz w:val="20"/>
              </w:rPr>
            </w:pPr>
            <w:r>
              <w:rPr>
                <w:rFonts w:ascii="Arial Narrow" w:hAnsi="Arial Narrow"/>
                <w:sz w:val="20"/>
              </w:rPr>
              <w:t>$9,951.04 published</w:t>
            </w:r>
          </w:p>
          <w:p w:rsidR="002B6CEA" w:rsidRDefault="00A97395">
            <w:pPr>
              <w:keepNext/>
              <w:keepLines/>
              <w:jc w:val="center"/>
              <w:rPr>
                <w:rFonts w:ascii="Arial Narrow" w:hAnsi="Arial Narrow"/>
                <w:sz w:val="20"/>
              </w:rPr>
            </w:pPr>
            <w:r>
              <w:rPr>
                <w:rFonts w:ascii="Arial Narrow" w:hAnsi="Arial Narrow"/>
                <w:sz w:val="20"/>
              </w:rPr>
              <w:t>$</w:t>
            </w:r>
            <w:r w:rsidR="00950C8B">
              <w:rPr>
                <w:rFonts w:ascii="Arial Narrow" w:hAnsi="Arial Narrow"/>
                <w:noProof/>
                <w:color w:val="000000"/>
                <w:sz w:val="20"/>
                <w:highlight w:val="black"/>
              </w:rPr>
              <w:t>'''''''''''''''''''''''</w:t>
            </w:r>
          </w:p>
          <w:p w:rsidR="002B6CEA" w:rsidRDefault="00A97395">
            <w:pPr>
              <w:keepNext/>
              <w:keepLines/>
              <w:jc w:val="center"/>
              <w:rPr>
                <w:rFonts w:ascii="Arial Narrow" w:hAnsi="Arial Narrow"/>
                <w:sz w:val="20"/>
              </w:rPr>
            </w:pPr>
            <w:r>
              <w:rPr>
                <w:rFonts w:ascii="Arial Narrow" w:hAnsi="Arial Narrow"/>
                <w:sz w:val="20"/>
              </w:rPr>
              <w:t>effective</w:t>
            </w:r>
          </w:p>
        </w:tc>
        <w:tc>
          <w:tcPr>
            <w:tcW w:w="605" w:type="pct"/>
            <w:tcBorders>
              <w:left w:val="nil"/>
              <w:right w:val="nil"/>
            </w:tcBorders>
          </w:tcPr>
          <w:p w:rsidR="002B6CEA" w:rsidRDefault="00A97395">
            <w:pPr>
              <w:keepNext/>
              <w:keepLines/>
              <w:jc w:val="center"/>
              <w:rPr>
                <w:rFonts w:ascii="Arial Narrow" w:hAnsi="Arial Narrow"/>
                <w:sz w:val="20"/>
              </w:rPr>
            </w:pPr>
            <w:r>
              <w:rPr>
                <w:rFonts w:ascii="Arial Narrow" w:hAnsi="Arial Narrow"/>
                <w:sz w:val="20"/>
              </w:rPr>
              <w:t>CABOMETYX</w:t>
            </w:r>
          </w:p>
        </w:tc>
        <w:tc>
          <w:tcPr>
            <w:tcW w:w="801" w:type="pct"/>
            <w:tcBorders>
              <w:left w:val="nil"/>
              <w:right w:val="nil"/>
            </w:tcBorders>
          </w:tcPr>
          <w:p w:rsidR="002B6CEA" w:rsidRDefault="00A97395">
            <w:pPr>
              <w:keepNext/>
              <w:keepLines/>
              <w:jc w:val="center"/>
              <w:rPr>
                <w:rFonts w:ascii="Arial Narrow" w:hAnsi="Arial Narrow"/>
                <w:sz w:val="20"/>
              </w:rPr>
            </w:pPr>
            <w:r>
              <w:rPr>
                <w:rFonts w:ascii="Arial Narrow" w:hAnsi="Arial Narrow"/>
                <w:sz w:val="20"/>
              </w:rPr>
              <w:t>Ipsen Pty Ltd</w:t>
            </w:r>
          </w:p>
        </w:tc>
      </w:tr>
      <w:tr w:rsidR="002B6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2773" w:type="dxa"/>
            <w:tcBorders>
              <w:top w:val="single" w:sz="4" w:space="0" w:color="auto"/>
              <w:left w:val="single" w:sz="4" w:space="0" w:color="auto"/>
              <w:bottom w:val="single" w:sz="4" w:space="0" w:color="auto"/>
              <w:right w:val="single" w:sz="4" w:space="0" w:color="auto"/>
            </w:tcBorders>
          </w:tcPr>
          <w:p w:rsidR="002B6CEA" w:rsidRDefault="00A97395">
            <w:pPr>
              <w:keepNext/>
              <w:keepLines/>
              <w:rPr>
                <w:rFonts w:ascii="Arial Narrow" w:hAnsi="Arial Narrow"/>
                <w:b/>
                <w:sz w:val="20"/>
                <w:szCs w:val="20"/>
              </w:rPr>
            </w:pPr>
            <w:r>
              <w:rPr>
                <w:rFonts w:ascii="Arial Narrow" w:hAnsi="Arial Narrow"/>
                <w:b/>
                <w:sz w:val="20"/>
                <w:szCs w:val="20"/>
              </w:rPr>
              <w:t>Category / Program</w:t>
            </w:r>
          </w:p>
        </w:tc>
        <w:tc>
          <w:tcPr>
            <w:tcW w:w="6255" w:type="dxa"/>
            <w:gridSpan w:val="5"/>
            <w:tcBorders>
              <w:top w:val="single" w:sz="4" w:space="0" w:color="auto"/>
              <w:left w:val="single" w:sz="4" w:space="0" w:color="auto"/>
              <w:bottom w:val="single" w:sz="4" w:space="0" w:color="auto"/>
              <w:right w:val="single" w:sz="4" w:space="0" w:color="auto"/>
            </w:tcBorders>
          </w:tcPr>
          <w:p w:rsidR="002B6CEA" w:rsidRDefault="00A97395">
            <w:pPr>
              <w:keepNext/>
              <w:keepLines/>
              <w:rPr>
                <w:rFonts w:ascii="Arial Narrow" w:hAnsi="Arial Narrow"/>
                <w:sz w:val="20"/>
                <w:szCs w:val="20"/>
              </w:rPr>
            </w:pPr>
            <w:r>
              <w:rPr>
                <w:rFonts w:ascii="Arial Narrow" w:hAnsi="Arial Narrow"/>
                <w:sz w:val="20"/>
                <w:szCs w:val="20"/>
              </w:rPr>
              <w:t>GENERAL – General Schedule (Code GE)</w:t>
            </w:r>
          </w:p>
        </w:tc>
      </w:tr>
      <w:tr w:rsidR="002B6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2773" w:type="dxa"/>
            <w:tcBorders>
              <w:top w:val="single" w:sz="4" w:space="0" w:color="auto"/>
              <w:left w:val="single" w:sz="4" w:space="0" w:color="auto"/>
              <w:bottom w:val="single" w:sz="4" w:space="0" w:color="auto"/>
              <w:right w:val="single" w:sz="4" w:space="0" w:color="auto"/>
            </w:tcBorders>
          </w:tcPr>
          <w:p w:rsidR="002B6CEA" w:rsidRDefault="00A97395">
            <w:pPr>
              <w:keepNext/>
              <w:keepLines/>
              <w:rPr>
                <w:rFonts w:ascii="Arial Narrow" w:hAnsi="Arial Narrow"/>
                <w:b/>
                <w:sz w:val="20"/>
                <w:szCs w:val="20"/>
              </w:rPr>
            </w:pPr>
            <w:r>
              <w:rPr>
                <w:rFonts w:ascii="Arial Narrow" w:hAnsi="Arial Narrow"/>
                <w:b/>
                <w:sz w:val="20"/>
                <w:szCs w:val="20"/>
              </w:rPr>
              <w:t>Prescriber type:</w:t>
            </w:r>
          </w:p>
          <w:p w:rsidR="002B6CEA" w:rsidRDefault="002B6CEA">
            <w:pPr>
              <w:keepNext/>
              <w:keepLines/>
              <w:rPr>
                <w:rFonts w:ascii="Arial Narrow" w:hAnsi="Arial Narrow"/>
                <w:b/>
                <w:sz w:val="20"/>
                <w:szCs w:val="20"/>
              </w:rPr>
            </w:pPr>
          </w:p>
        </w:tc>
        <w:tc>
          <w:tcPr>
            <w:tcW w:w="6255" w:type="dxa"/>
            <w:gridSpan w:val="5"/>
            <w:tcBorders>
              <w:top w:val="single" w:sz="4" w:space="0" w:color="auto"/>
              <w:left w:val="single" w:sz="4" w:space="0" w:color="auto"/>
              <w:bottom w:val="single" w:sz="4" w:space="0" w:color="auto"/>
              <w:right w:val="single" w:sz="4" w:space="0" w:color="auto"/>
            </w:tcBorders>
          </w:tcPr>
          <w:p w:rsidR="002B6CEA" w:rsidRDefault="00A97395">
            <w:pPr>
              <w:keepNext/>
              <w:keepLines/>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A52629">
              <w:rPr>
                <w:rFonts w:ascii="Arial Narrow" w:hAnsi="Arial Narrow"/>
                <w:sz w:val="20"/>
                <w:szCs w:val="20"/>
              </w:rPr>
            </w:r>
            <w:r w:rsidR="00A52629">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Dental  </w:t>
            </w: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A52629">
              <w:rPr>
                <w:rFonts w:ascii="Arial Narrow" w:hAnsi="Arial Narrow"/>
                <w:sz w:val="20"/>
                <w:szCs w:val="20"/>
              </w:rPr>
            </w:r>
            <w:r w:rsidR="00A52629">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Medical Practitioners  </w:t>
            </w:r>
            <w:r>
              <w:rPr>
                <w:rFonts w:ascii="Arial Narrow" w:hAnsi="Arial Narrow"/>
                <w:sz w:val="20"/>
                <w:szCs w:val="20"/>
              </w:rPr>
              <w:fldChar w:fldCharType="begin">
                <w:ffData>
                  <w:name w:val="Check3"/>
                  <w:enabled/>
                  <w:calcOnExit w:val="0"/>
                  <w:checkBox>
                    <w:sizeAuto/>
                    <w:default w:val="0"/>
                  </w:checkBox>
                </w:ffData>
              </w:fldChar>
            </w:r>
            <w:r>
              <w:rPr>
                <w:rFonts w:ascii="Arial Narrow" w:hAnsi="Arial Narrow"/>
                <w:sz w:val="20"/>
                <w:szCs w:val="20"/>
              </w:rPr>
              <w:instrText xml:space="preserve"> FORMCHECKBOX </w:instrText>
            </w:r>
            <w:r w:rsidR="00A52629">
              <w:rPr>
                <w:rFonts w:ascii="Arial Narrow" w:hAnsi="Arial Narrow"/>
                <w:sz w:val="20"/>
                <w:szCs w:val="20"/>
              </w:rPr>
            </w:r>
            <w:r w:rsidR="00A52629">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Nurse practitioners  </w:t>
            </w: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A52629">
              <w:rPr>
                <w:rFonts w:ascii="Arial Narrow" w:hAnsi="Arial Narrow"/>
                <w:sz w:val="20"/>
                <w:szCs w:val="20"/>
              </w:rPr>
            </w:r>
            <w:r w:rsidR="00A52629">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Optometrists</w:t>
            </w:r>
          </w:p>
          <w:p w:rsidR="002B6CEA" w:rsidRDefault="00A97395">
            <w:pPr>
              <w:keepNext/>
              <w:keepLines/>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A52629">
              <w:rPr>
                <w:rFonts w:ascii="Arial Narrow" w:hAnsi="Arial Narrow"/>
                <w:sz w:val="20"/>
                <w:szCs w:val="20"/>
              </w:rPr>
            </w:r>
            <w:r w:rsidR="00A52629">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Midwives</w:t>
            </w:r>
          </w:p>
        </w:tc>
      </w:tr>
      <w:tr w:rsidR="002B6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2773" w:type="dxa"/>
            <w:tcBorders>
              <w:top w:val="single" w:sz="4" w:space="0" w:color="auto"/>
              <w:left w:val="single" w:sz="4" w:space="0" w:color="auto"/>
              <w:bottom w:val="single" w:sz="4" w:space="0" w:color="auto"/>
              <w:right w:val="single" w:sz="4" w:space="0" w:color="auto"/>
            </w:tcBorders>
          </w:tcPr>
          <w:p w:rsidR="002B6CEA" w:rsidRDefault="00A97395">
            <w:pPr>
              <w:keepNext/>
              <w:keepLines/>
              <w:rPr>
                <w:rFonts w:ascii="Arial Narrow" w:hAnsi="Arial Narrow"/>
                <w:b/>
                <w:sz w:val="20"/>
                <w:szCs w:val="20"/>
              </w:rPr>
            </w:pPr>
            <w:r>
              <w:rPr>
                <w:rFonts w:ascii="Arial Narrow" w:hAnsi="Arial Narrow"/>
                <w:b/>
                <w:sz w:val="20"/>
                <w:szCs w:val="20"/>
              </w:rPr>
              <w:t>Severity:</w:t>
            </w:r>
          </w:p>
        </w:tc>
        <w:tc>
          <w:tcPr>
            <w:tcW w:w="6255" w:type="dxa"/>
            <w:gridSpan w:val="5"/>
            <w:tcBorders>
              <w:top w:val="single" w:sz="4" w:space="0" w:color="auto"/>
              <w:left w:val="single" w:sz="4" w:space="0" w:color="auto"/>
              <w:bottom w:val="single" w:sz="4" w:space="0" w:color="auto"/>
              <w:right w:val="single" w:sz="4" w:space="0" w:color="auto"/>
            </w:tcBorders>
          </w:tcPr>
          <w:p w:rsidR="002B6CEA" w:rsidRDefault="00A97395">
            <w:pPr>
              <w:keepNext/>
              <w:keepLines/>
              <w:rPr>
                <w:rFonts w:ascii="Arial Narrow" w:hAnsi="Arial Narrow"/>
                <w:sz w:val="20"/>
                <w:szCs w:val="20"/>
              </w:rPr>
            </w:pPr>
            <w:r>
              <w:rPr>
                <w:rFonts w:ascii="Arial Narrow" w:hAnsi="Arial Narrow"/>
                <w:sz w:val="20"/>
                <w:szCs w:val="20"/>
              </w:rPr>
              <w:t>Advanced Barcelona Clinic Liver Cancer stage B or stage C</w:t>
            </w:r>
          </w:p>
        </w:tc>
      </w:tr>
      <w:tr w:rsidR="002B6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2773" w:type="dxa"/>
            <w:tcBorders>
              <w:top w:val="single" w:sz="4" w:space="0" w:color="auto"/>
              <w:left w:val="single" w:sz="4" w:space="0" w:color="auto"/>
              <w:bottom w:val="single" w:sz="4" w:space="0" w:color="auto"/>
              <w:right w:val="single" w:sz="4" w:space="0" w:color="auto"/>
            </w:tcBorders>
          </w:tcPr>
          <w:p w:rsidR="002B6CEA" w:rsidRDefault="00A97395">
            <w:pPr>
              <w:keepNext/>
              <w:keepLines/>
              <w:rPr>
                <w:rFonts w:ascii="Arial Narrow" w:hAnsi="Arial Narrow"/>
                <w:b/>
                <w:sz w:val="20"/>
                <w:szCs w:val="20"/>
              </w:rPr>
            </w:pPr>
            <w:r>
              <w:rPr>
                <w:rFonts w:ascii="Arial Narrow" w:hAnsi="Arial Narrow"/>
                <w:b/>
                <w:sz w:val="20"/>
                <w:szCs w:val="20"/>
              </w:rPr>
              <w:t>Condition:</w:t>
            </w:r>
          </w:p>
        </w:tc>
        <w:tc>
          <w:tcPr>
            <w:tcW w:w="6255" w:type="dxa"/>
            <w:gridSpan w:val="5"/>
            <w:tcBorders>
              <w:top w:val="single" w:sz="4" w:space="0" w:color="auto"/>
              <w:left w:val="single" w:sz="4" w:space="0" w:color="auto"/>
              <w:bottom w:val="single" w:sz="4" w:space="0" w:color="auto"/>
              <w:right w:val="single" w:sz="4" w:space="0" w:color="auto"/>
            </w:tcBorders>
          </w:tcPr>
          <w:p w:rsidR="002B6CEA" w:rsidRDefault="00A97395">
            <w:pPr>
              <w:keepNext/>
              <w:keepLines/>
              <w:rPr>
                <w:rFonts w:ascii="Arial Narrow" w:hAnsi="Arial Narrow"/>
                <w:sz w:val="20"/>
                <w:szCs w:val="20"/>
              </w:rPr>
            </w:pPr>
            <w:r>
              <w:rPr>
                <w:rFonts w:ascii="Arial Narrow" w:hAnsi="Arial Narrow"/>
                <w:sz w:val="20"/>
                <w:szCs w:val="20"/>
              </w:rPr>
              <w:t xml:space="preserve">Hepatocellular carcinoma </w:t>
            </w:r>
            <w:r>
              <w:rPr>
                <w:rFonts w:ascii="Arial Narrow" w:hAnsi="Arial Narrow"/>
                <w:strike/>
                <w:sz w:val="20"/>
                <w:szCs w:val="20"/>
              </w:rPr>
              <w:t>(HCC)</w:t>
            </w:r>
          </w:p>
        </w:tc>
      </w:tr>
      <w:tr w:rsidR="002B6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2773" w:type="dxa"/>
            <w:tcBorders>
              <w:top w:val="single" w:sz="4" w:space="0" w:color="auto"/>
              <w:left w:val="single" w:sz="4" w:space="0" w:color="auto"/>
              <w:bottom w:val="single" w:sz="4" w:space="0" w:color="auto"/>
              <w:right w:val="single" w:sz="4" w:space="0" w:color="auto"/>
            </w:tcBorders>
          </w:tcPr>
          <w:p w:rsidR="002B6CEA" w:rsidRDefault="00A97395">
            <w:pPr>
              <w:keepNext/>
              <w:keepLines/>
              <w:rPr>
                <w:rFonts w:ascii="Arial Narrow" w:hAnsi="Arial Narrow"/>
                <w:b/>
                <w:sz w:val="20"/>
                <w:szCs w:val="20"/>
              </w:rPr>
            </w:pPr>
            <w:r>
              <w:rPr>
                <w:rFonts w:ascii="Arial Narrow" w:hAnsi="Arial Narrow"/>
                <w:b/>
                <w:sz w:val="20"/>
                <w:szCs w:val="20"/>
              </w:rPr>
              <w:t>PBS Indication:</w:t>
            </w:r>
          </w:p>
          <w:p w:rsidR="002B6CEA" w:rsidRDefault="002B6CEA">
            <w:pPr>
              <w:keepNext/>
              <w:keepLines/>
              <w:rPr>
                <w:rFonts w:ascii="Arial Narrow" w:hAnsi="Arial Narrow"/>
                <w:i/>
                <w:sz w:val="20"/>
                <w:szCs w:val="20"/>
              </w:rPr>
            </w:pPr>
          </w:p>
        </w:tc>
        <w:tc>
          <w:tcPr>
            <w:tcW w:w="6255" w:type="dxa"/>
            <w:gridSpan w:val="5"/>
            <w:tcBorders>
              <w:top w:val="single" w:sz="4" w:space="0" w:color="auto"/>
              <w:left w:val="single" w:sz="4" w:space="0" w:color="auto"/>
              <w:bottom w:val="single" w:sz="4" w:space="0" w:color="auto"/>
              <w:right w:val="single" w:sz="4" w:space="0" w:color="auto"/>
            </w:tcBorders>
          </w:tcPr>
          <w:p w:rsidR="002B6CEA" w:rsidRDefault="00A97395">
            <w:pPr>
              <w:keepNext/>
              <w:keepLines/>
              <w:rPr>
                <w:rFonts w:ascii="Arial Narrow" w:hAnsi="Arial Narrow"/>
                <w:i/>
                <w:strike/>
                <w:sz w:val="20"/>
                <w:szCs w:val="20"/>
              </w:rPr>
            </w:pPr>
            <w:r>
              <w:rPr>
                <w:rFonts w:ascii="Arial Narrow" w:hAnsi="Arial Narrow"/>
                <w:i/>
                <w:strike/>
                <w:sz w:val="20"/>
                <w:szCs w:val="20"/>
              </w:rPr>
              <w:t>HCC in patients who have been previously treated with sorafenib for this condition</w:t>
            </w:r>
          </w:p>
          <w:p w:rsidR="002B6CEA" w:rsidRDefault="002B6CEA">
            <w:pPr>
              <w:keepNext/>
              <w:keepLines/>
              <w:rPr>
                <w:rFonts w:ascii="Arial Narrow" w:hAnsi="Arial Narrow"/>
                <w:i/>
                <w:sz w:val="20"/>
                <w:szCs w:val="20"/>
              </w:rPr>
            </w:pPr>
          </w:p>
          <w:p w:rsidR="002B6CEA" w:rsidRDefault="00A97395">
            <w:pPr>
              <w:keepNext/>
              <w:keepLines/>
              <w:rPr>
                <w:rFonts w:ascii="Arial Narrow" w:hAnsi="Arial Narrow"/>
                <w:i/>
                <w:sz w:val="20"/>
                <w:szCs w:val="20"/>
              </w:rPr>
            </w:pPr>
            <w:r>
              <w:rPr>
                <w:rFonts w:ascii="Arial Narrow" w:hAnsi="Arial Narrow"/>
                <w:i/>
                <w:sz w:val="20"/>
                <w:szCs w:val="20"/>
              </w:rPr>
              <w:t>Advanced Barcelona Clinic Liver Cancer stage B or stage C</w:t>
            </w:r>
            <w:r>
              <w:rPr>
                <w:rFonts w:ascii="Arial Narrow" w:hAnsi="Arial Narrow"/>
                <w:sz w:val="20"/>
                <w:szCs w:val="20"/>
              </w:rPr>
              <w:t xml:space="preserve"> </w:t>
            </w:r>
            <w:r>
              <w:rPr>
                <w:rFonts w:ascii="Arial Narrow" w:hAnsi="Arial Narrow"/>
                <w:i/>
                <w:sz w:val="20"/>
                <w:szCs w:val="20"/>
              </w:rPr>
              <w:t xml:space="preserve">Hepatocellular carcinoma </w:t>
            </w:r>
          </w:p>
        </w:tc>
      </w:tr>
      <w:tr w:rsidR="002B6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2773" w:type="dxa"/>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keepLines/>
              <w:rPr>
                <w:rFonts w:ascii="Arial Narrow" w:hAnsi="Arial Narrow"/>
                <w:i/>
                <w:sz w:val="20"/>
                <w:szCs w:val="20"/>
              </w:rPr>
            </w:pPr>
            <w:r>
              <w:rPr>
                <w:rFonts w:ascii="Arial Narrow" w:hAnsi="Arial Narrow"/>
                <w:b/>
                <w:sz w:val="20"/>
                <w:szCs w:val="20"/>
              </w:rPr>
              <w:t>Treatment phase:</w:t>
            </w:r>
          </w:p>
        </w:tc>
        <w:tc>
          <w:tcPr>
            <w:tcW w:w="6255" w:type="dxa"/>
            <w:gridSpan w:val="5"/>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keepLines/>
              <w:rPr>
                <w:rFonts w:ascii="Arial Narrow" w:hAnsi="Arial Narrow"/>
                <w:sz w:val="20"/>
                <w:szCs w:val="20"/>
              </w:rPr>
            </w:pPr>
            <w:r>
              <w:rPr>
                <w:rFonts w:ascii="Arial Narrow" w:hAnsi="Arial Narrow"/>
                <w:sz w:val="20"/>
                <w:szCs w:val="20"/>
              </w:rPr>
              <w:t>Initial</w:t>
            </w:r>
          </w:p>
        </w:tc>
      </w:tr>
      <w:tr w:rsidR="002B6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2773" w:type="dxa"/>
            <w:tcBorders>
              <w:top w:val="single" w:sz="4" w:space="0" w:color="auto"/>
              <w:left w:val="single" w:sz="4" w:space="0" w:color="auto"/>
              <w:bottom w:val="single" w:sz="4" w:space="0" w:color="auto"/>
              <w:right w:val="single" w:sz="4" w:space="0" w:color="auto"/>
            </w:tcBorders>
          </w:tcPr>
          <w:p w:rsidR="002B6CEA" w:rsidRDefault="00A97395">
            <w:pPr>
              <w:keepNext/>
              <w:keepLines/>
              <w:rPr>
                <w:rFonts w:ascii="Arial Narrow" w:hAnsi="Arial Narrow"/>
                <w:b/>
                <w:sz w:val="20"/>
                <w:szCs w:val="20"/>
              </w:rPr>
            </w:pPr>
            <w:r>
              <w:rPr>
                <w:rFonts w:ascii="Arial Narrow" w:hAnsi="Arial Narrow"/>
                <w:b/>
                <w:sz w:val="20"/>
                <w:szCs w:val="20"/>
              </w:rPr>
              <w:t>Restriction Level / Method:</w:t>
            </w:r>
          </w:p>
          <w:p w:rsidR="002B6CEA" w:rsidRDefault="002B6CEA">
            <w:pPr>
              <w:keepNext/>
              <w:keepLines/>
              <w:rPr>
                <w:rFonts w:ascii="Arial Narrow" w:hAnsi="Arial Narrow"/>
                <w:i/>
                <w:sz w:val="20"/>
                <w:szCs w:val="20"/>
                <w:highlight w:val="yellow"/>
              </w:rPr>
            </w:pPr>
          </w:p>
          <w:p w:rsidR="002B6CEA" w:rsidRDefault="002B6CEA">
            <w:pPr>
              <w:keepNext/>
              <w:keepLines/>
              <w:rPr>
                <w:rFonts w:ascii="Arial Narrow" w:hAnsi="Arial Narrow"/>
                <w:i/>
                <w:sz w:val="20"/>
                <w:szCs w:val="20"/>
              </w:rPr>
            </w:pPr>
          </w:p>
        </w:tc>
        <w:tc>
          <w:tcPr>
            <w:tcW w:w="6255" w:type="dxa"/>
            <w:gridSpan w:val="5"/>
            <w:tcBorders>
              <w:top w:val="single" w:sz="4" w:space="0" w:color="auto"/>
              <w:left w:val="single" w:sz="4" w:space="0" w:color="auto"/>
              <w:bottom w:val="single" w:sz="4" w:space="0" w:color="auto"/>
              <w:right w:val="single" w:sz="4" w:space="0" w:color="auto"/>
            </w:tcBorders>
          </w:tcPr>
          <w:p w:rsidR="002B6CEA" w:rsidRDefault="00A97395">
            <w:pPr>
              <w:keepNext/>
              <w:keepLines/>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A52629">
              <w:rPr>
                <w:rFonts w:ascii="Arial Narrow" w:hAnsi="Arial Narrow"/>
                <w:sz w:val="20"/>
                <w:szCs w:val="20"/>
              </w:rPr>
            </w:r>
            <w:r w:rsidR="00A52629">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Restricted benefit</w:t>
            </w:r>
          </w:p>
          <w:p w:rsidR="002B6CEA" w:rsidRDefault="00A97395">
            <w:pPr>
              <w:keepNext/>
              <w:keepLines/>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A52629">
              <w:rPr>
                <w:rFonts w:ascii="Arial Narrow" w:hAnsi="Arial Narrow"/>
                <w:sz w:val="20"/>
                <w:szCs w:val="20"/>
              </w:rPr>
            </w:r>
            <w:r w:rsidR="00A52629">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In Writing</w:t>
            </w:r>
          </w:p>
          <w:p w:rsidR="002B6CEA" w:rsidRDefault="00A97395">
            <w:pPr>
              <w:keepNext/>
              <w:keepLines/>
              <w:rPr>
                <w:rFonts w:ascii="Arial Narrow" w:hAnsi="Arial Narrow"/>
                <w:sz w:val="20"/>
                <w:szCs w:val="20"/>
              </w:rPr>
            </w:pPr>
            <w:r>
              <w:rPr>
                <w:rFonts w:ascii="Arial Narrow" w:hAnsi="Arial Narrow"/>
                <w:sz w:val="20"/>
                <w:szCs w:val="20"/>
              </w:rPr>
              <w:fldChar w:fldCharType="begin">
                <w:ffData>
                  <w:name w:val="Check3"/>
                  <w:enabled/>
                  <w:calcOnExit w:val="0"/>
                  <w:checkBox>
                    <w:sizeAuto/>
                    <w:default w:val="0"/>
                  </w:checkBox>
                </w:ffData>
              </w:fldChar>
            </w:r>
            <w:r>
              <w:rPr>
                <w:rFonts w:ascii="Arial Narrow" w:hAnsi="Arial Narrow"/>
                <w:sz w:val="20"/>
                <w:szCs w:val="20"/>
              </w:rPr>
              <w:instrText xml:space="preserve"> FORMCHECKBOX </w:instrText>
            </w:r>
            <w:r w:rsidR="00A52629">
              <w:rPr>
                <w:rFonts w:ascii="Arial Narrow" w:hAnsi="Arial Narrow"/>
                <w:sz w:val="20"/>
                <w:szCs w:val="20"/>
              </w:rPr>
            </w:r>
            <w:r w:rsidR="00A52629">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Telephone</w:t>
            </w:r>
          </w:p>
          <w:p w:rsidR="002B6CEA" w:rsidRDefault="00A97395">
            <w:pPr>
              <w:keepNext/>
              <w:keepLines/>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A52629">
              <w:rPr>
                <w:rFonts w:ascii="Arial Narrow" w:hAnsi="Arial Narrow"/>
                <w:sz w:val="20"/>
                <w:szCs w:val="20"/>
              </w:rPr>
            </w:r>
            <w:r w:rsidR="00A52629">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Emergency</w:t>
            </w:r>
          </w:p>
          <w:p w:rsidR="002B6CEA" w:rsidRDefault="00A97395">
            <w:pPr>
              <w:keepNext/>
              <w:keepLines/>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A52629">
              <w:rPr>
                <w:rFonts w:ascii="Arial Narrow" w:hAnsi="Arial Narrow"/>
                <w:sz w:val="20"/>
                <w:szCs w:val="20"/>
              </w:rPr>
            </w:r>
            <w:r w:rsidR="00A52629">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Electronic</w:t>
            </w:r>
          </w:p>
          <w:p w:rsidR="002B6CEA" w:rsidRDefault="00A97395">
            <w:pPr>
              <w:keepNext/>
              <w:keepLines/>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1"/>
                  </w:checkBox>
                </w:ffData>
              </w:fldChar>
            </w:r>
            <w:r>
              <w:rPr>
                <w:rFonts w:ascii="Arial Narrow" w:hAnsi="Arial Narrow"/>
                <w:sz w:val="20"/>
                <w:szCs w:val="20"/>
              </w:rPr>
              <w:instrText xml:space="preserve"> FORMCHECKBOX </w:instrText>
            </w:r>
            <w:r w:rsidR="00A52629">
              <w:rPr>
                <w:rFonts w:ascii="Arial Narrow" w:hAnsi="Arial Narrow"/>
                <w:sz w:val="20"/>
                <w:szCs w:val="20"/>
              </w:rPr>
            </w:r>
            <w:r w:rsidR="00A52629">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Streamlined</w:t>
            </w:r>
          </w:p>
        </w:tc>
      </w:tr>
      <w:tr w:rsidR="002B6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2773" w:type="dxa"/>
            <w:tcBorders>
              <w:top w:val="single" w:sz="4" w:space="0" w:color="auto"/>
              <w:left w:val="single" w:sz="4" w:space="0" w:color="auto"/>
              <w:bottom w:val="single" w:sz="4" w:space="0" w:color="auto"/>
              <w:right w:val="single" w:sz="4" w:space="0" w:color="auto"/>
            </w:tcBorders>
          </w:tcPr>
          <w:p w:rsidR="002B6CEA" w:rsidRDefault="00A97395">
            <w:pPr>
              <w:keepNext/>
              <w:keepLines/>
              <w:rPr>
                <w:rFonts w:ascii="Arial Narrow" w:hAnsi="Arial Narrow"/>
                <w:b/>
                <w:sz w:val="20"/>
                <w:szCs w:val="20"/>
              </w:rPr>
            </w:pPr>
            <w:r>
              <w:rPr>
                <w:rFonts w:ascii="Arial Narrow" w:hAnsi="Arial Narrow"/>
                <w:b/>
                <w:sz w:val="20"/>
                <w:szCs w:val="20"/>
              </w:rPr>
              <w:t>Clinical criteria:</w:t>
            </w:r>
          </w:p>
          <w:p w:rsidR="002B6CEA" w:rsidRDefault="002B6CEA">
            <w:pPr>
              <w:keepNext/>
              <w:keepLines/>
              <w:rPr>
                <w:rFonts w:ascii="Arial Narrow" w:hAnsi="Arial Narrow"/>
                <w:i/>
                <w:sz w:val="20"/>
                <w:szCs w:val="20"/>
              </w:rPr>
            </w:pPr>
          </w:p>
          <w:p w:rsidR="002B6CEA" w:rsidRDefault="002B6CEA">
            <w:pPr>
              <w:keepNext/>
              <w:keepLines/>
              <w:rPr>
                <w:rFonts w:ascii="Arial Narrow" w:hAnsi="Arial Narrow"/>
                <w:sz w:val="20"/>
                <w:szCs w:val="20"/>
              </w:rPr>
            </w:pPr>
          </w:p>
        </w:tc>
        <w:tc>
          <w:tcPr>
            <w:tcW w:w="6255" w:type="dxa"/>
            <w:gridSpan w:val="5"/>
            <w:tcBorders>
              <w:top w:val="single" w:sz="4" w:space="0" w:color="auto"/>
              <w:left w:val="single" w:sz="4" w:space="0" w:color="auto"/>
              <w:bottom w:val="single" w:sz="4" w:space="0" w:color="auto"/>
              <w:right w:val="single" w:sz="4" w:space="0" w:color="auto"/>
            </w:tcBorders>
          </w:tcPr>
          <w:p w:rsidR="002B6CEA" w:rsidRDefault="00A97395">
            <w:pPr>
              <w:keepNext/>
              <w:keepLines/>
              <w:spacing w:after="60"/>
              <w:rPr>
                <w:rFonts w:ascii="Arial Narrow" w:hAnsi="Arial Narrow"/>
                <w:i/>
                <w:sz w:val="20"/>
                <w:szCs w:val="20"/>
              </w:rPr>
            </w:pPr>
            <w:r>
              <w:rPr>
                <w:rFonts w:ascii="Arial Narrow" w:hAnsi="Arial Narrow"/>
                <w:i/>
                <w:sz w:val="20"/>
                <w:szCs w:val="20"/>
              </w:rPr>
              <w:t>Patient must have previously received treatment with a tyrosine kinase inhibitor (TKI) for this condition.</w:t>
            </w:r>
          </w:p>
          <w:p w:rsidR="002B6CEA" w:rsidRDefault="00A97395">
            <w:pPr>
              <w:keepNext/>
              <w:keepLines/>
              <w:spacing w:after="60"/>
              <w:rPr>
                <w:rFonts w:ascii="Arial Narrow" w:hAnsi="Arial Narrow"/>
                <w:sz w:val="20"/>
                <w:szCs w:val="20"/>
              </w:rPr>
            </w:pPr>
            <w:r>
              <w:rPr>
                <w:rFonts w:ascii="Arial Narrow" w:hAnsi="Arial Narrow"/>
                <w:sz w:val="20"/>
                <w:szCs w:val="20"/>
              </w:rPr>
              <w:t>AND</w:t>
            </w:r>
          </w:p>
          <w:p w:rsidR="002B6CEA" w:rsidRDefault="00A97395">
            <w:pPr>
              <w:keepNext/>
              <w:keepLines/>
              <w:spacing w:after="60"/>
              <w:rPr>
                <w:rFonts w:ascii="Arial Narrow" w:hAnsi="Arial Narrow"/>
                <w:sz w:val="20"/>
                <w:szCs w:val="20"/>
              </w:rPr>
            </w:pPr>
            <w:r>
              <w:rPr>
                <w:rFonts w:ascii="Arial Narrow" w:hAnsi="Arial Narrow"/>
                <w:sz w:val="20"/>
                <w:szCs w:val="20"/>
              </w:rPr>
              <w:t xml:space="preserve">The treatment must be the sole PBS-subsidised therapy for this condition, </w:t>
            </w:r>
          </w:p>
          <w:p w:rsidR="002B6CEA" w:rsidRDefault="00A97395">
            <w:pPr>
              <w:keepNext/>
              <w:keepLines/>
              <w:spacing w:after="60"/>
              <w:rPr>
                <w:rFonts w:ascii="Arial Narrow" w:hAnsi="Arial Narrow"/>
                <w:sz w:val="20"/>
                <w:szCs w:val="20"/>
              </w:rPr>
            </w:pPr>
            <w:r>
              <w:rPr>
                <w:rFonts w:ascii="Arial Narrow" w:hAnsi="Arial Narrow"/>
                <w:sz w:val="20"/>
                <w:szCs w:val="20"/>
              </w:rPr>
              <w:t>AND</w:t>
            </w:r>
          </w:p>
          <w:p w:rsidR="002B6CEA" w:rsidRDefault="00A97395">
            <w:pPr>
              <w:keepNext/>
              <w:keepLines/>
              <w:spacing w:after="60"/>
              <w:rPr>
                <w:rFonts w:ascii="Arial Narrow" w:hAnsi="Arial Narrow"/>
                <w:sz w:val="20"/>
                <w:szCs w:val="20"/>
              </w:rPr>
            </w:pPr>
            <w:r>
              <w:rPr>
                <w:rFonts w:ascii="Arial Narrow" w:hAnsi="Arial Narrow"/>
                <w:sz w:val="20"/>
                <w:szCs w:val="20"/>
              </w:rPr>
              <w:t xml:space="preserve">Patient must have a WHO performance status of 1 or less, </w:t>
            </w:r>
          </w:p>
          <w:p w:rsidR="002B6CEA" w:rsidRDefault="00A97395">
            <w:pPr>
              <w:keepNext/>
              <w:keepLines/>
              <w:spacing w:after="60"/>
              <w:rPr>
                <w:rFonts w:ascii="Arial Narrow" w:hAnsi="Arial Narrow"/>
                <w:sz w:val="20"/>
                <w:szCs w:val="20"/>
              </w:rPr>
            </w:pPr>
            <w:r>
              <w:rPr>
                <w:rFonts w:ascii="Arial Narrow" w:hAnsi="Arial Narrow"/>
                <w:sz w:val="20"/>
                <w:szCs w:val="20"/>
              </w:rPr>
              <w:t>AND</w:t>
            </w:r>
          </w:p>
          <w:p w:rsidR="002B6CEA" w:rsidRDefault="00A97395">
            <w:pPr>
              <w:keepNext/>
              <w:keepLines/>
              <w:spacing w:after="60"/>
              <w:rPr>
                <w:rFonts w:ascii="Arial Narrow" w:hAnsi="Arial Narrow"/>
                <w:sz w:val="20"/>
                <w:szCs w:val="20"/>
              </w:rPr>
            </w:pPr>
            <w:r>
              <w:rPr>
                <w:rFonts w:ascii="Arial Narrow" w:hAnsi="Arial Narrow"/>
                <w:sz w:val="20"/>
                <w:szCs w:val="20"/>
              </w:rPr>
              <w:t>Patient must have Child Pugh class A</w:t>
            </w:r>
          </w:p>
        </w:tc>
      </w:tr>
      <w:tr w:rsidR="002B6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2773" w:type="dxa"/>
            <w:tcBorders>
              <w:top w:val="single" w:sz="4" w:space="0" w:color="auto"/>
              <w:left w:val="single" w:sz="4" w:space="0" w:color="auto"/>
              <w:bottom w:val="single" w:sz="4" w:space="0" w:color="auto"/>
              <w:right w:val="single" w:sz="4" w:space="0" w:color="auto"/>
            </w:tcBorders>
          </w:tcPr>
          <w:p w:rsidR="002B6CEA" w:rsidRDefault="00A97395">
            <w:pPr>
              <w:keepNext/>
              <w:keepLines/>
              <w:rPr>
                <w:rFonts w:ascii="Arial Narrow" w:hAnsi="Arial Narrow"/>
                <w:strike/>
                <w:sz w:val="20"/>
                <w:szCs w:val="20"/>
              </w:rPr>
            </w:pPr>
            <w:r>
              <w:rPr>
                <w:rFonts w:ascii="Arial Narrow" w:hAnsi="Arial Narrow"/>
                <w:b/>
                <w:strike/>
                <w:sz w:val="20"/>
                <w:szCs w:val="20"/>
              </w:rPr>
              <w:t>Population criteria:</w:t>
            </w:r>
          </w:p>
        </w:tc>
        <w:tc>
          <w:tcPr>
            <w:tcW w:w="6255" w:type="dxa"/>
            <w:gridSpan w:val="5"/>
            <w:tcBorders>
              <w:top w:val="single" w:sz="4" w:space="0" w:color="auto"/>
              <w:left w:val="single" w:sz="4" w:space="0" w:color="auto"/>
              <w:bottom w:val="single" w:sz="4" w:space="0" w:color="auto"/>
              <w:right w:val="single" w:sz="4" w:space="0" w:color="auto"/>
            </w:tcBorders>
          </w:tcPr>
          <w:p w:rsidR="002B6CEA" w:rsidRDefault="00A97395">
            <w:pPr>
              <w:keepNext/>
              <w:keepLines/>
              <w:rPr>
                <w:rFonts w:ascii="Arial Narrow" w:hAnsi="Arial Narrow"/>
                <w:strike/>
                <w:sz w:val="20"/>
                <w:szCs w:val="20"/>
              </w:rPr>
            </w:pPr>
            <w:r>
              <w:rPr>
                <w:rFonts w:ascii="Arial Narrow" w:hAnsi="Arial Narrow"/>
                <w:strike/>
                <w:sz w:val="20"/>
                <w:szCs w:val="20"/>
              </w:rPr>
              <w:t>Patient must be aged 18 years or older.</w:t>
            </w:r>
          </w:p>
        </w:tc>
      </w:tr>
    </w:tbl>
    <w:p w:rsidR="002B6CEA" w:rsidRDefault="002B6CEA">
      <w:pP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
        <w:gridCol w:w="1775"/>
        <w:gridCol w:w="1373"/>
        <w:gridCol w:w="994"/>
        <w:gridCol w:w="757"/>
        <w:gridCol w:w="1415"/>
        <w:gridCol w:w="1086"/>
        <w:gridCol w:w="1408"/>
        <w:gridCol w:w="195"/>
      </w:tblGrid>
      <w:tr w:rsidR="002B6CEA">
        <w:trPr>
          <w:gridBefore w:val="1"/>
          <w:gridAfter w:val="1"/>
          <w:wBefore w:w="15" w:type="pct"/>
          <w:wAfter w:w="109" w:type="pct"/>
          <w:cantSplit/>
          <w:trHeight w:val="463"/>
        </w:trPr>
        <w:tc>
          <w:tcPr>
            <w:tcW w:w="1747" w:type="pct"/>
            <w:gridSpan w:val="2"/>
            <w:tcBorders>
              <w:left w:val="nil"/>
              <w:bottom w:val="single" w:sz="4" w:space="0" w:color="auto"/>
              <w:right w:val="nil"/>
            </w:tcBorders>
            <w:vAlign w:val="center"/>
          </w:tcPr>
          <w:p w:rsidR="002B6CEA" w:rsidRDefault="00A97395">
            <w:pPr>
              <w:keepNext/>
              <w:keepLines/>
              <w:jc w:val="left"/>
              <w:rPr>
                <w:rFonts w:ascii="Arial Narrow" w:hAnsi="Arial Narrow"/>
                <w:b/>
                <w:sz w:val="20"/>
              </w:rPr>
            </w:pPr>
            <w:r>
              <w:rPr>
                <w:rFonts w:ascii="Arial Narrow" w:hAnsi="Arial Narrow"/>
                <w:b/>
                <w:sz w:val="20"/>
              </w:rPr>
              <w:lastRenderedPageBreak/>
              <w:t>Name, Restriction,</w:t>
            </w:r>
          </w:p>
          <w:p w:rsidR="002B6CEA" w:rsidRDefault="00A97395">
            <w:pPr>
              <w:keepNext/>
              <w:keepLines/>
              <w:jc w:val="left"/>
              <w:rPr>
                <w:rFonts w:ascii="Arial Narrow" w:hAnsi="Arial Narrow"/>
                <w:b/>
                <w:sz w:val="20"/>
              </w:rPr>
            </w:pPr>
            <w:r>
              <w:rPr>
                <w:rFonts w:ascii="Arial Narrow" w:hAnsi="Arial Narrow"/>
                <w:b/>
                <w:sz w:val="20"/>
              </w:rPr>
              <w:t>Manner of administration and form</w:t>
            </w:r>
          </w:p>
        </w:tc>
        <w:tc>
          <w:tcPr>
            <w:tcW w:w="552" w:type="pct"/>
            <w:tcBorders>
              <w:left w:val="nil"/>
              <w:bottom w:val="single" w:sz="4" w:space="0" w:color="auto"/>
              <w:right w:val="nil"/>
            </w:tcBorders>
            <w:vAlign w:val="center"/>
          </w:tcPr>
          <w:p w:rsidR="002B6CEA" w:rsidRDefault="00A97395">
            <w:pPr>
              <w:keepNext/>
              <w:keepLines/>
              <w:jc w:val="center"/>
              <w:rPr>
                <w:rFonts w:ascii="Arial Narrow" w:hAnsi="Arial Narrow"/>
                <w:b/>
                <w:sz w:val="20"/>
              </w:rPr>
            </w:pPr>
            <w:r>
              <w:rPr>
                <w:rFonts w:ascii="Arial Narrow" w:hAnsi="Arial Narrow"/>
                <w:b/>
                <w:sz w:val="20"/>
              </w:rPr>
              <w:t>Max.</w:t>
            </w:r>
          </w:p>
          <w:p w:rsidR="002B6CEA" w:rsidRDefault="00A97395">
            <w:pPr>
              <w:keepNext/>
              <w:keepLines/>
              <w:jc w:val="center"/>
              <w:rPr>
                <w:rFonts w:ascii="Arial Narrow" w:hAnsi="Arial Narrow"/>
                <w:b/>
                <w:sz w:val="20"/>
              </w:rPr>
            </w:pPr>
            <w:r>
              <w:rPr>
                <w:rFonts w:ascii="Arial Narrow" w:hAnsi="Arial Narrow"/>
                <w:b/>
                <w:sz w:val="20"/>
              </w:rPr>
              <w:t>Qty</w:t>
            </w:r>
          </w:p>
        </w:tc>
        <w:tc>
          <w:tcPr>
            <w:tcW w:w="421" w:type="pct"/>
            <w:tcBorders>
              <w:left w:val="nil"/>
              <w:bottom w:val="single" w:sz="4" w:space="0" w:color="auto"/>
              <w:right w:val="nil"/>
            </w:tcBorders>
            <w:vAlign w:val="center"/>
          </w:tcPr>
          <w:p w:rsidR="002B6CEA" w:rsidRDefault="00A97395">
            <w:pPr>
              <w:keepNext/>
              <w:keepLines/>
              <w:jc w:val="center"/>
              <w:rPr>
                <w:rFonts w:ascii="Arial Narrow" w:hAnsi="Arial Narrow"/>
                <w:b/>
                <w:sz w:val="20"/>
              </w:rPr>
            </w:pPr>
            <w:r>
              <w:rPr>
                <w:rFonts w:ascii="Arial Narrow" w:hAnsi="Arial Narrow" w:cs="Times New Roman"/>
                <w:b/>
                <w:sz w:val="20"/>
              </w:rPr>
              <w:t>№</w:t>
            </w:r>
            <w:r>
              <w:rPr>
                <w:rFonts w:ascii="Arial Narrow" w:hAnsi="Arial Narrow"/>
                <w:b/>
                <w:sz w:val="20"/>
              </w:rPr>
              <w:t>.of</w:t>
            </w:r>
          </w:p>
          <w:p w:rsidR="002B6CEA" w:rsidRDefault="00A97395">
            <w:pPr>
              <w:keepNext/>
              <w:keepLines/>
              <w:jc w:val="center"/>
              <w:rPr>
                <w:rFonts w:ascii="Arial Narrow" w:hAnsi="Arial Narrow"/>
                <w:b/>
                <w:sz w:val="20"/>
              </w:rPr>
            </w:pPr>
            <w:r>
              <w:rPr>
                <w:rFonts w:ascii="Arial Narrow" w:hAnsi="Arial Narrow"/>
                <w:b/>
                <w:sz w:val="20"/>
              </w:rPr>
              <w:t>Rpts</w:t>
            </w:r>
          </w:p>
        </w:tc>
        <w:tc>
          <w:tcPr>
            <w:tcW w:w="785" w:type="pct"/>
            <w:tcBorders>
              <w:left w:val="nil"/>
              <w:bottom w:val="single" w:sz="4" w:space="0" w:color="auto"/>
              <w:right w:val="nil"/>
            </w:tcBorders>
            <w:vAlign w:val="center"/>
          </w:tcPr>
          <w:p w:rsidR="002B6CEA" w:rsidRDefault="00A97395">
            <w:pPr>
              <w:keepNext/>
              <w:keepLines/>
              <w:jc w:val="center"/>
              <w:rPr>
                <w:rFonts w:ascii="Arial Narrow" w:hAnsi="Arial Narrow"/>
                <w:b/>
                <w:sz w:val="20"/>
              </w:rPr>
            </w:pPr>
            <w:r>
              <w:rPr>
                <w:rFonts w:ascii="Arial Narrow" w:hAnsi="Arial Narrow"/>
                <w:b/>
                <w:sz w:val="20"/>
              </w:rPr>
              <w:t>Dispensed Price for Max. Qty</w:t>
            </w:r>
          </w:p>
        </w:tc>
        <w:tc>
          <w:tcPr>
            <w:tcW w:w="1371" w:type="pct"/>
            <w:gridSpan w:val="2"/>
            <w:tcBorders>
              <w:left w:val="nil"/>
              <w:bottom w:val="single" w:sz="4" w:space="0" w:color="auto"/>
              <w:right w:val="nil"/>
            </w:tcBorders>
            <w:vAlign w:val="center"/>
          </w:tcPr>
          <w:p w:rsidR="002B6CEA" w:rsidRDefault="00A97395">
            <w:pPr>
              <w:keepNext/>
              <w:keepLines/>
              <w:jc w:val="center"/>
              <w:rPr>
                <w:rFonts w:ascii="Arial Narrow" w:hAnsi="Arial Narrow"/>
                <w:b/>
                <w:sz w:val="20"/>
              </w:rPr>
            </w:pPr>
            <w:r>
              <w:rPr>
                <w:rFonts w:ascii="Arial Narrow" w:hAnsi="Arial Narrow"/>
                <w:b/>
                <w:sz w:val="20"/>
              </w:rPr>
              <w:t>Proprietary Name and Manufacturer</w:t>
            </w:r>
          </w:p>
        </w:tc>
      </w:tr>
      <w:tr w:rsidR="002B6CEA">
        <w:trPr>
          <w:gridBefore w:val="1"/>
          <w:gridAfter w:val="1"/>
          <w:wBefore w:w="15" w:type="pct"/>
          <w:wAfter w:w="109" w:type="pct"/>
          <w:cantSplit/>
          <w:trHeight w:val="1144"/>
        </w:trPr>
        <w:tc>
          <w:tcPr>
            <w:tcW w:w="1747" w:type="pct"/>
            <w:gridSpan w:val="2"/>
            <w:tcBorders>
              <w:left w:val="nil"/>
              <w:right w:val="nil"/>
            </w:tcBorders>
          </w:tcPr>
          <w:p w:rsidR="002B6CEA" w:rsidRDefault="00A97395">
            <w:pPr>
              <w:keepNext/>
              <w:keepLines/>
              <w:jc w:val="left"/>
              <w:rPr>
                <w:rFonts w:ascii="Arial Narrow" w:hAnsi="Arial Narrow"/>
                <w:sz w:val="20"/>
              </w:rPr>
            </w:pPr>
            <w:r>
              <w:rPr>
                <w:rFonts w:ascii="Arial Narrow" w:hAnsi="Arial Narrow"/>
                <w:smallCaps/>
                <w:sz w:val="20"/>
              </w:rPr>
              <w:t>20 mg;</w:t>
            </w:r>
            <w:r>
              <w:rPr>
                <w:smallCaps/>
              </w:rPr>
              <w:t xml:space="preserve"> </w:t>
            </w:r>
            <w:r>
              <w:rPr>
                <w:rFonts w:ascii="Arial Narrow" w:hAnsi="Arial Narrow"/>
                <w:sz w:val="20"/>
              </w:rPr>
              <w:t>Tablet, 30</w:t>
            </w:r>
            <w:r>
              <w:rPr>
                <w:rFonts w:ascii="Arial Narrow" w:hAnsi="Arial Narrow"/>
                <w:sz w:val="20"/>
              </w:rPr>
              <w:br/>
            </w:r>
            <w:r>
              <w:rPr>
                <w:rFonts w:ascii="Arial Narrow" w:hAnsi="Arial Narrow"/>
                <w:smallCaps/>
                <w:sz w:val="20"/>
              </w:rPr>
              <w:t>40 mg;</w:t>
            </w:r>
            <w:r>
              <w:rPr>
                <w:smallCaps/>
              </w:rPr>
              <w:t xml:space="preserve"> </w:t>
            </w:r>
            <w:r>
              <w:rPr>
                <w:rFonts w:ascii="Arial Narrow" w:hAnsi="Arial Narrow"/>
                <w:sz w:val="20"/>
              </w:rPr>
              <w:t>Tablet, 30</w:t>
            </w:r>
          </w:p>
          <w:p w:rsidR="002B6CEA" w:rsidRDefault="00A97395">
            <w:pPr>
              <w:keepNext/>
              <w:keepLines/>
              <w:jc w:val="left"/>
              <w:rPr>
                <w:rFonts w:ascii="Arial Narrow" w:hAnsi="Arial Narrow"/>
                <w:sz w:val="20"/>
              </w:rPr>
            </w:pPr>
            <w:r>
              <w:rPr>
                <w:rFonts w:ascii="Arial Narrow" w:hAnsi="Arial Narrow"/>
                <w:smallCaps/>
                <w:sz w:val="20"/>
              </w:rPr>
              <w:t>60 mg;</w:t>
            </w:r>
            <w:r>
              <w:rPr>
                <w:smallCaps/>
              </w:rPr>
              <w:t xml:space="preserve"> </w:t>
            </w:r>
            <w:r>
              <w:rPr>
                <w:rFonts w:ascii="Arial Narrow" w:hAnsi="Arial Narrow"/>
                <w:sz w:val="20"/>
              </w:rPr>
              <w:t>Tablet, 30</w:t>
            </w:r>
          </w:p>
        </w:tc>
        <w:tc>
          <w:tcPr>
            <w:tcW w:w="552" w:type="pct"/>
            <w:tcBorders>
              <w:left w:val="nil"/>
              <w:right w:val="nil"/>
            </w:tcBorders>
          </w:tcPr>
          <w:p w:rsidR="002B6CEA" w:rsidRDefault="00A97395">
            <w:pPr>
              <w:keepNext/>
              <w:keepLines/>
              <w:jc w:val="center"/>
              <w:rPr>
                <w:rFonts w:ascii="Arial Narrow" w:hAnsi="Arial Narrow"/>
                <w:sz w:val="20"/>
              </w:rPr>
            </w:pPr>
            <w:r>
              <w:rPr>
                <w:rFonts w:ascii="Arial Narrow" w:hAnsi="Arial Narrow"/>
                <w:sz w:val="20"/>
              </w:rPr>
              <w:t>1</w:t>
            </w:r>
          </w:p>
          <w:p w:rsidR="002B6CEA" w:rsidRDefault="00A97395">
            <w:pPr>
              <w:keepNext/>
              <w:keepLines/>
              <w:jc w:val="center"/>
              <w:rPr>
                <w:rFonts w:ascii="Arial Narrow" w:hAnsi="Arial Narrow"/>
                <w:sz w:val="20"/>
              </w:rPr>
            </w:pPr>
            <w:r>
              <w:rPr>
                <w:rFonts w:ascii="Arial Narrow" w:hAnsi="Arial Narrow"/>
                <w:sz w:val="20"/>
              </w:rPr>
              <w:t>1</w:t>
            </w:r>
          </w:p>
          <w:p w:rsidR="002B6CEA" w:rsidRDefault="00A97395">
            <w:pPr>
              <w:keepNext/>
              <w:keepLines/>
              <w:jc w:val="center"/>
              <w:rPr>
                <w:rFonts w:ascii="Arial Narrow" w:hAnsi="Arial Narrow"/>
                <w:sz w:val="20"/>
              </w:rPr>
            </w:pPr>
            <w:r>
              <w:rPr>
                <w:rFonts w:ascii="Arial Narrow" w:hAnsi="Arial Narrow"/>
                <w:sz w:val="20"/>
              </w:rPr>
              <w:t>1</w:t>
            </w:r>
          </w:p>
        </w:tc>
        <w:tc>
          <w:tcPr>
            <w:tcW w:w="421" w:type="pct"/>
            <w:tcBorders>
              <w:left w:val="nil"/>
              <w:right w:val="nil"/>
            </w:tcBorders>
          </w:tcPr>
          <w:p w:rsidR="002B6CEA" w:rsidRDefault="00A97395">
            <w:pPr>
              <w:keepNext/>
              <w:keepLines/>
              <w:jc w:val="center"/>
              <w:rPr>
                <w:rFonts w:ascii="Arial Narrow" w:hAnsi="Arial Narrow"/>
                <w:sz w:val="20"/>
              </w:rPr>
            </w:pPr>
            <w:r>
              <w:rPr>
                <w:rFonts w:ascii="Arial Narrow" w:hAnsi="Arial Narrow"/>
                <w:sz w:val="20"/>
              </w:rPr>
              <w:t>5</w:t>
            </w:r>
          </w:p>
          <w:p w:rsidR="002B6CEA" w:rsidRDefault="00A97395">
            <w:pPr>
              <w:keepNext/>
              <w:keepLines/>
              <w:jc w:val="center"/>
              <w:rPr>
                <w:rFonts w:ascii="Arial Narrow" w:hAnsi="Arial Narrow"/>
                <w:sz w:val="20"/>
              </w:rPr>
            </w:pPr>
            <w:r>
              <w:rPr>
                <w:rFonts w:ascii="Arial Narrow" w:hAnsi="Arial Narrow"/>
                <w:sz w:val="20"/>
              </w:rPr>
              <w:t>5</w:t>
            </w:r>
          </w:p>
          <w:p w:rsidR="002B6CEA" w:rsidRDefault="00A97395">
            <w:pPr>
              <w:keepNext/>
              <w:keepLines/>
              <w:jc w:val="center"/>
              <w:rPr>
                <w:rFonts w:ascii="Arial Narrow" w:hAnsi="Arial Narrow"/>
                <w:sz w:val="20"/>
              </w:rPr>
            </w:pPr>
            <w:r>
              <w:rPr>
                <w:rFonts w:ascii="Arial Narrow" w:hAnsi="Arial Narrow"/>
                <w:sz w:val="20"/>
              </w:rPr>
              <w:t>2</w:t>
            </w:r>
          </w:p>
        </w:tc>
        <w:tc>
          <w:tcPr>
            <w:tcW w:w="785" w:type="pct"/>
            <w:tcBorders>
              <w:left w:val="nil"/>
              <w:right w:val="nil"/>
            </w:tcBorders>
          </w:tcPr>
          <w:p w:rsidR="002B6CEA" w:rsidRDefault="00A97395">
            <w:pPr>
              <w:keepNext/>
              <w:keepLines/>
              <w:jc w:val="center"/>
              <w:rPr>
                <w:rFonts w:ascii="Arial Narrow" w:hAnsi="Arial Narrow"/>
                <w:sz w:val="20"/>
              </w:rPr>
            </w:pPr>
            <w:r>
              <w:rPr>
                <w:rFonts w:ascii="Arial Narrow" w:hAnsi="Arial Narrow"/>
                <w:sz w:val="20"/>
              </w:rPr>
              <w:t>$9,951.04 published</w:t>
            </w:r>
          </w:p>
          <w:p w:rsidR="002B6CEA" w:rsidRDefault="00A97395">
            <w:pPr>
              <w:keepNext/>
              <w:keepLines/>
              <w:jc w:val="center"/>
              <w:rPr>
                <w:rFonts w:ascii="Arial Narrow" w:hAnsi="Arial Narrow"/>
                <w:sz w:val="20"/>
              </w:rPr>
            </w:pPr>
            <w:r>
              <w:rPr>
                <w:rFonts w:ascii="Arial Narrow" w:hAnsi="Arial Narrow"/>
                <w:sz w:val="20"/>
              </w:rPr>
              <w:t>$</w:t>
            </w:r>
            <w:r w:rsidR="00950C8B">
              <w:rPr>
                <w:rFonts w:ascii="Arial Narrow" w:hAnsi="Arial Narrow"/>
                <w:noProof/>
                <w:color w:val="000000"/>
                <w:sz w:val="20"/>
                <w:highlight w:val="black"/>
              </w:rPr>
              <w:t>''''''''''''''''''''''</w:t>
            </w:r>
          </w:p>
          <w:p w:rsidR="002B6CEA" w:rsidRDefault="00A97395">
            <w:pPr>
              <w:keepNext/>
              <w:keepLines/>
              <w:jc w:val="center"/>
              <w:rPr>
                <w:rFonts w:ascii="Arial Narrow" w:hAnsi="Arial Narrow"/>
                <w:sz w:val="20"/>
              </w:rPr>
            </w:pPr>
            <w:r>
              <w:rPr>
                <w:rFonts w:ascii="Arial Narrow" w:hAnsi="Arial Narrow"/>
                <w:sz w:val="20"/>
              </w:rPr>
              <w:t>effective</w:t>
            </w:r>
          </w:p>
        </w:tc>
        <w:tc>
          <w:tcPr>
            <w:tcW w:w="590" w:type="pct"/>
            <w:tcBorders>
              <w:left w:val="nil"/>
              <w:right w:val="nil"/>
            </w:tcBorders>
          </w:tcPr>
          <w:p w:rsidR="002B6CEA" w:rsidRDefault="00A97395">
            <w:pPr>
              <w:keepNext/>
              <w:keepLines/>
              <w:jc w:val="center"/>
              <w:rPr>
                <w:rFonts w:ascii="Arial Narrow" w:hAnsi="Arial Narrow"/>
                <w:sz w:val="20"/>
              </w:rPr>
            </w:pPr>
            <w:r>
              <w:rPr>
                <w:rFonts w:ascii="Arial Narrow" w:hAnsi="Arial Narrow"/>
                <w:sz w:val="20"/>
              </w:rPr>
              <w:t>CABOMETYX</w:t>
            </w:r>
          </w:p>
        </w:tc>
        <w:tc>
          <w:tcPr>
            <w:tcW w:w="781" w:type="pct"/>
            <w:tcBorders>
              <w:left w:val="nil"/>
              <w:right w:val="nil"/>
            </w:tcBorders>
          </w:tcPr>
          <w:p w:rsidR="002B6CEA" w:rsidRDefault="00A97395">
            <w:pPr>
              <w:keepNext/>
              <w:keepLines/>
              <w:jc w:val="center"/>
              <w:rPr>
                <w:rFonts w:ascii="Arial Narrow" w:hAnsi="Arial Narrow"/>
                <w:sz w:val="20"/>
              </w:rPr>
            </w:pPr>
            <w:r>
              <w:rPr>
                <w:rFonts w:ascii="Arial Narrow" w:hAnsi="Arial Narrow"/>
                <w:sz w:val="20"/>
              </w:rPr>
              <w:t>Ipsen Pty Ltd</w:t>
            </w:r>
          </w:p>
        </w:tc>
      </w:tr>
      <w:tr w:rsidR="002B6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0"/>
        </w:trPr>
        <w:tc>
          <w:tcPr>
            <w:tcW w:w="1000" w:type="pct"/>
            <w:gridSpan w:val="2"/>
            <w:tcBorders>
              <w:top w:val="single" w:sz="4" w:space="0" w:color="auto"/>
              <w:left w:val="single" w:sz="4" w:space="0" w:color="auto"/>
              <w:bottom w:val="single" w:sz="4" w:space="0" w:color="auto"/>
              <w:right w:val="single" w:sz="4" w:space="0" w:color="auto"/>
            </w:tcBorders>
          </w:tcPr>
          <w:p w:rsidR="002B6CEA" w:rsidRDefault="00A97395">
            <w:pPr>
              <w:pStyle w:val="TableLeft"/>
              <w:keepNext/>
              <w:keepLines/>
              <w:rPr>
                <w:rFonts w:ascii="Arial Narrow" w:hAnsi="Arial Narrow" w:cs="Calibri"/>
                <w:szCs w:val="20"/>
              </w:rPr>
            </w:pPr>
            <w:r>
              <w:rPr>
                <w:rFonts w:ascii="Arial Narrow" w:hAnsi="Arial Narrow" w:cs="Calibri"/>
                <w:szCs w:val="20"/>
              </w:rPr>
              <w:t>Category / Program</w:t>
            </w:r>
          </w:p>
        </w:tc>
        <w:tc>
          <w:tcPr>
            <w:tcW w:w="4000" w:type="pct"/>
            <w:gridSpan w:val="7"/>
            <w:tcBorders>
              <w:top w:val="single" w:sz="4" w:space="0" w:color="auto"/>
              <w:left w:val="single" w:sz="4" w:space="0" w:color="auto"/>
              <w:bottom w:val="single" w:sz="4" w:space="0" w:color="auto"/>
              <w:right w:val="single" w:sz="4" w:space="0" w:color="auto"/>
            </w:tcBorders>
          </w:tcPr>
          <w:p w:rsidR="002B6CEA" w:rsidRDefault="00A97395">
            <w:pPr>
              <w:pStyle w:val="TableLeft"/>
              <w:keepNext/>
              <w:keepLines/>
              <w:rPr>
                <w:rFonts w:ascii="Arial Narrow" w:hAnsi="Arial Narrow" w:cs="Calibri"/>
                <w:strike/>
                <w:szCs w:val="20"/>
              </w:rPr>
            </w:pPr>
            <w:r>
              <w:rPr>
                <w:rFonts w:ascii="Arial Narrow" w:hAnsi="Arial Narrow" w:cs="Calibri"/>
                <w:strike/>
                <w:szCs w:val="20"/>
              </w:rPr>
              <w:t>General Schedule (Code GS)</w:t>
            </w:r>
          </w:p>
          <w:p w:rsidR="002B6CEA" w:rsidRDefault="00A97395">
            <w:pPr>
              <w:pStyle w:val="TableLeft"/>
              <w:keepNext/>
              <w:keepLines/>
              <w:rPr>
                <w:rFonts w:ascii="Arial Narrow" w:hAnsi="Arial Narrow" w:cs="Calibri"/>
                <w:szCs w:val="20"/>
              </w:rPr>
            </w:pPr>
            <w:r>
              <w:rPr>
                <w:rFonts w:ascii="Arial Narrow" w:hAnsi="Arial Narrow" w:cs="Arial"/>
                <w:szCs w:val="20"/>
              </w:rPr>
              <w:t>GENERAL – General Schedule (Code GE)</w:t>
            </w:r>
          </w:p>
        </w:tc>
      </w:tr>
      <w:tr w:rsidR="002B6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0"/>
        </w:trPr>
        <w:tc>
          <w:tcPr>
            <w:tcW w:w="1000" w:type="pct"/>
            <w:gridSpan w:val="2"/>
            <w:tcBorders>
              <w:top w:val="single" w:sz="4" w:space="0" w:color="auto"/>
              <w:left w:val="single" w:sz="4" w:space="0" w:color="auto"/>
              <w:bottom w:val="single" w:sz="4" w:space="0" w:color="auto"/>
              <w:right w:val="single" w:sz="4" w:space="0" w:color="auto"/>
            </w:tcBorders>
          </w:tcPr>
          <w:p w:rsidR="002B6CEA" w:rsidRDefault="00A97395">
            <w:pPr>
              <w:pStyle w:val="TableLeft"/>
              <w:keepNext/>
              <w:keepLines/>
              <w:rPr>
                <w:rFonts w:ascii="Arial Narrow" w:hAnsi="Arial Narrow" w:cs="Calibri"/>
                <w:szCs w:val="20"/>
              </w:rPr>
            </w:pPr>
            <w:r>
              <w:rPr>
                <w:rFonts w:ascii="Arial Narrow" w:hAnsi="Arial Narrow" w:cs="Calibri"/>
                <w:szCs w:val="20"/>
              </w:rPr>
              <w:t>Prescriber type:</w:t>
            </w:r>
          </w:p>
        </w:tc>
        <w:tc>
          <w:tcPr>
            <w:tcW w:w="4000" w:type="pct"/>
            <w:gridSpan w:val="7"/>
            <w:tcBorders>
              <w:top w:val="single" w:sz="4" w:space="0" w:color="auto"/>
              <w:left w:val="single" w:sz="4" w:space="0" w:color="auto"/>
              <w:bottom w:val="single" w:sz="4" w:space="0" w:color="auto"/>
              <w:right w:val="single" w:sz="4" w:space="0" w:color="auto"/>
            </w:tcBorders>
          </w:tcPr>
          <w:p w:rsidR="002B6CEA" w:rsidRDefault="00A97395">
            <w:pPr>
              <w:pStyle w:val="TableLeft"/>
              <w:keepNext/>
              <w:keepLines/>
              <w:rPr>
                <w:rFonts w:ascii="Arial Narrow" w:hAnsi="Arial Narrow" w:cs="Calibri"/>
                <w:szCs w:val="20"/>
              </w:rPr>
            </w:pPr>
            <w:r>
              <w:rPr>
                <w:rFonts w:ascii="Arial Narrow" w:hAnsi="Arial Narrow" w:cs="Calibri"/>
                <w:szCs w:val="20"/>
              </w:rPr>
              <w:fldChar w:fldCharType="begin">
                <w:ffData>
                  <w:name w:val="Check1"/>
                  <w:enabled/>
                  <w:calcOnExit w:val="0"/>
                  <w:checkBox>
                    <w:sizeAuto/>
                    <w:default w:val="0"/>
                  </w:checkBox>
                </w:ffData>
              </w:fldChar>
            </w:r>
            <w:r>
              <w:rPr>
                <w:rFonts w:ascii="Arial Narrow" w:hAnsi="Arial Narrow" w:cs="Calibri"/>
                <w:szCs w:val="20"/>
              </w:rPr>
              <w:instrText xml:space="preserve"> FORMCHECKBOX </w:instrText>
            </w:r>
            <w:r w:rsidR="00A52629">
              <w:rPr>
                <w:rFonts w:ascii="Arial Narrow" w:hAnsi="Arial Narrow" w:cs="Calibri"/>
                <w:szCs w:val="20"/>
              </w:rPr>
            </w:r>
            <w:r w:rsidR="00A52629">
              <w:rPr>
                <w:rFonts w:ascii="Arial Narrow" w:hAnsi="Arial Narrow" w:cs="Calibri"/>
                <w:szCs w:val="20"/>
              </w:rPr>
              <w:fldChar w:fldCharType="separate"/>
            </w:r>
            <w:r>
              <w:rPr>
                <w:rFonts w:ascii="Arial Narrow" w:hAnsi="Arial Narrow" w:cs="Calibri"/>
                <w:szCs w:val="20"/>
              </w:rPr>
              <w:fldChar w:fldCharType="end"/>
            </w:r>
            <w:r>
              <w:rPr>
                <w:rFonts w:ascii="Arial Narrow" w:hAnsi="Arial Narrow" w:cs="Calibri"/>
                <w:szCs w:val="20"/>
              </w:rPr>
              <w:t xml:space="preserve">Dental </w:t>
            </w:r>
          </w:p>
          <w:p w:rsidR="002B6CEA" w:rsidRDefault="00A97395">
            <w:pPr>
              <w:pStyle w:val="TableLeft"/>
              <w:keepNext/>
              <w:keepLines/>
              <w:rPr>
                <w:rFonts w:ascii="Arial Narrow" w:hAnsi="Arial Narrow" w:cs="Calibri"/>
                <w:szCs w:val="20"/>
              </w:rPr>
            </w:pPr>
            <w:r>
              <w:rPr>
                <w:rFonts w:ascii="Arial Narrow" w:hAnsi="Arial Narrow" w:cs="Calibri"/>
                <w:szCs w:val="20"/>
              </w:rPr>
              <w:fldChar w:fldCharType="begin">
                <w:ffData>
                  <w:name w:val=""/>
                  <w:enabled/>
                  <w:calcOnExit w:val="0"/>
                  <w:checkBox>
                    <w:sizeAuto/>
                    <w:default w:val="1"/>
                  </w:checkBox>
                </w:ffData>
              </w:fldChar>
            </w:r>
            <w:r>
              <w:rPr>
                <w:rFonts w:ascii="Arial Narrow" w:hAnsi="Arial Narrow" w:cs="Calibri"/>
                <w:szCs w:val="20"/>
              </w:rPr>
              <w:instrText xml:space="preserve"> FORMCHECKBOX </w:instrText>
            </w:r>
            <w:r w:rsidR="00A52629">
              <w:rPr>
                <w:rFonts w:ascii="Arial Narrow" w:hAnsi="Arial Narrow" w:cs="Calibri"/>
                <w:szCs w:val="20"/>
              </w:rPr>
            </w:r>
            <w:r w:rsidR="00A52629">
              <w:rPr>
                <w:rFonts w:ascii="Arial Narrow" w:hAnsi="Arial Narrow" w:cs="Calibri"/>
                <w:szCs w:val="20"/>
              </w:rPr>
              <w:fldChar w:fldCharType="separate"/>
            </w:r>
            <w:r>
              <w:rPr>
                <w:rFonts w:ascii="Arial Narrow" w:hAnsi="Arial Narrow" w:cs="Calibri"/>
                <w:szCs w:val="20"/>
              </w:rPr>
              <w:fldChar w:fldCharType="end"/>
            </w:r>
            <w:r>
              <w:rPr>
                <w:rFonts w:ascii="Arial Narrow" w:hAnsi="Arial Narrow" w:cs="Calibri"/>
                <w:szCs w:val="20"/>
              </w:rPr>
              <w:t xml:space="preserve">Medical Practitioners  </w:t>
            </w:r>
          </w:p>
          <w:p w:rsidR="002B6CEA" w:rsidRDefault="00A97395">
            <w:pPr>
              <w:pStyle w:val="TableLeft"/>
              <w:keepNext/>
              <w:keepLines/>
              <w:rPr>
                <w:rFonts w:ascii="Arial Narrow" w:hAnsi="Arial Narrow" w:cs="Calibri"/>
                <w:szCs w:val="20"/>
              </w:rPr>
            </w:pPr>
            <w:r>
              <w:rPr>
                <w:rFonts w:ascii="Arial Narrow" w:hAnsi="Arial Narrow" w:cs="Calibri"/>
                <w:szCs w:val="20"/>
              </w:rPr>
              <w:fldChar w:fldCharType="begin">
                <w:ffData>
                  <w:name w:val="Check3"/>
                  <w:enabled/>
                  <w:calcOnExit w:val="0"/>
                  <w:checkBox>
                    <w:sizeAuto/>
                    <w:default w:val="0"/>
                  </w:checkBox>
                </w:ffData>
              </w:fldChar>
            </w:r>
            <w:r>
              <w:rPr>
                <w:rFonts w:ascii="Arial Narrow" w:hAnsi="Arial Narrow" w:cs="Calibri"/>
                <w:szCs w:val="20"/>
              </w:rPr>
              <w:instrText xml:space="preserve"> FORMCHECKBOX </w:instrText>
            </w:r>
            <w:r w:rsidR="00A52629">
              <w:rPr>
                <w:rFonts w:ascii="Arial Narrow" w:hAnsi="Arial Narrow" w:cs="Calibri"/>
                <w:szCs w:val="20"/>
              </w:rPr>
            </w:r>
            <w:r w:rsidR="00A52629">
              <w:rPr>
                <w:rFonts w:ascii="Arial Narrow" w:hAnsi="Arial Narrow" w:cs="Calibri"/>
                <w:szCs w:val="20"/>
              </w:rPr>
              <w:fldChar w:fldCharType="separate"/>
            </w:r>
            <w:r>
              <w:rPr>
                <w:rFonts w:ascii="Arial Narrow" w:hAnsi="Arial Narrow" w:cs="Calibri"/>
                <w:szCs w:val="20"/>
              </w:rPr>
              <w:fldChar w:fldCharType="end"/>
            </w:r>
            <w:r>
              <w:rPr>
                <w:rFonts w:ascii="Arial Narrow" w:hAnsi="Arial Narrow" w:cs="Calibri"/>
                <w:szCs w:val="20"/>
              </w:rPr>
              <w:t xml:space="preserve">Nurse practitioners  </w:t>
            </w:r>
          </w:p>
          <w:p w:rsidR="002B6CEA" w:rsidRDefault="00A97395">
            <w:pPr>
              <w:pStyle w:val="TableLeft"/>
              <w:keepNext/>
              <w:keepLines/>
              <w:rPr>
                <w:rFonts w:ascii="Arial Narrow" w:hAnsi="Arial Narrow" w:cs="Calibri"/>
                <w:szCs w:val="20"/>
              </w:rPr>
            </w:pPr>
            <w:r>
              <w:rPr>
                <w:rFonts w:ascii="Arial Narrow" w:hAnsi="Arial Narrow" w:cs="Calibri"/>
                <w:szCs w:val="20"/>
              </w:rPr>
              <w:fldChar w:fldCharType="begin">
                <w:ffData>
                  <w:name w:val=""/>
                  <w:enabled/>
                  <w:calcOnExit w:val="0"/>
                  <w:checkBox>
                    <w:sizeAuto/>
                    <w:default w:val="0"/>
                  </w:checkBox>
                </w:ffData>
              </w:fldChar>
            </w:r>
            <w:r>
              <w:rPr>
                <w:rFonts w:ascii="Arial Narrow" w:hAnsi="Arial Narrow" w:cs="Calibri"/>
                <w:szCs w:val="20"/>
              </w:rPr>
              <w:instrText xml:space="preserve"> FORMCHECKBOX </w:instrText>
            </w:r>
            <w:r w:rsidR="00A52629">
              <w:rPr>
                <w:rFonts w:ascii="Arial Narrow" w:hAnsi="Arial Narrow" w:cs="Calibri"/>
                <w:szCs w:val="20"/>
              </w:rPr>
            </w:r>
            <w:r w:rsidR="00A52629">
              <w:rPr>
                <w:rFonts w:ascii="Arial Narrow" w:hAnsi="Arial Narrow" w:cs="Calibri"/>
                <w:szCs w:val="20"/>
              </w:rPr>
              <w:fldChar w:fldCharType="separate"/>
            </w:r>
            <w:r>
              <w:rPr>
                <w:rFonts w:ascii="Arial Narrow" w:hAnsi="Arial Narrow" w:cs="Calibri"/>
                <w:szCs w:val="20"/>
              </w:rPr>
              <w:fldChar w:fldCharType="end"/>
            </w:r>
            <w:r>
              <w:rPr>
                <w:rFonts w:ascii="Arial Narrow" w:hAnsi="Arial Narrow" w:cs="Calibri"/>
                <w:szCs w:val="20"/>
              </w:rPr>
              <w:t>Optometrists</w:t>
            </w:r>
          </w:p>
          <w:p w:rsidR="002B6CEA" w:rsidRDefault="00A97395">
            <w:pPr>
              <w:pStyle w:val="TableLeft"/>
              <w:keepNext/>
              <w:keepLines/>
              <w:rPr>
                <w:rFonts w:ascii="Arial Narrow" w:hAnsi="Arial Narrow" w:cs="Calibri"/>
                <w:szCs w:val="20"/>
              </w:rPr>
            </w:pPr>
            <w:r>
              <w:rPr>
                <w:rFonts w:ascii="Arial Narrow" w:hAnsi="Arial Narrow" w:cs="Calibri"/>
                <w:szCs w:val="20"/>
              </w:rPr>
              <w:fldChar w:fldCharType="begin">
                <w:ffData>
                  <w:name w:val="Check5"/>
                  <w:enabled/>
                  <w:calcOnExit w:val="0"/>
                  <w:checkBox>
                    <w:sizeAuto/>
                    <w:default w:val="0"/>
                  </w:checkBox>
                </w:ffData>
              </w:fldChar>
            </w:r>
            <w:r>
              <w:rPr>
                <w:rFonts w:ascii="Arial Narrow" w:hAnsi="Arial Narrow" w:cs="Calibri"/>
                <w:szCs w:val="20"/>
              </w:rPr>
              <w:instrText xml:space="preserve"> FORMCHECKBOX </w:instrText>
            </w:r>
            <w:r w:rsidR="00A52629">
              <w:rPr>
                <w:rFonts w:ascii="Arial Narrow" w:hAnsi="Arial Narrow" w:cs="Calibri"/>
                <w:szCs w:val="20"/>
              </w:rPr>
            </w:r>
            <w:r w:rsidR="00A52629">
              <w:rPr>
                <w:rFonts w:ascii="Arial Narrow" w:hAnsi="Arial Narrow" w:cs="Calibri"/>
                <w:szCs w:val="20"/>
              </w:rPr>
              <w:fldChar w:fldCharType="separate"/>
            </w:r>
            <w:r>
              <w:rPr>
                <w:rFonts w:ascii="Arial Narrow" w:hAnsi="Arial Narrow" w:cs="Calibri"/>
                <w:szCs w:val="20"/>
              </w:rPr>
              <w:fldChar w:fldCharType="end"/>
            </w:r>
            <w:r>
              <w:rPr>
                <w:rFonts w:ascii="Arial Narrow" w:hAnsi="Arial Narrow" w:cs="Calibri"/>
                <w:szCs w:val="20"/>
              </w:rPr>
              <w:t>Midwives</w:t>
            </w:r>
          </w:p>
        </w:tc>
      </w:tr>
      <w:tr w:rsidR="002B6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0"/>
        </w:trPr>
        <w:tc>
          <w:tcPr>
            <w:tcW w:w="1000" w:type="pct"/>
            <w:gridSpan w:val="2"/>
            <w:tcBorders>
              <w:top w:val="single" w:sz="4" w:space="0" w:color="auto"/>
              <w:left w:val="single" w:sz="4" w:space="0" w:color="auto"/>
              <w:bottom w:val="single" w:sz="4" w:space="0" w:color="auto"/>
              <w:right w:val="single" w:sz="4" w:space="0" w:color="auto"/>
            </w:tcBorders>
          </w:tcPr>
          <w:p w:rsidR="002B6CEA" w:rsidRDefault="00A97395">
            <w:pPr>
              <w:pStyle w:val="TableLeft"/>
              <w:keepNext/>
              <w:keepLines/>
              <w:rPr>
                <w:rFonts w:ascii="Arial Narrow" w:hAnsi="Arial Narrow" w:cs="Calibri"/>
                <w:szCs w:val="20"/>
              </w:rPr>
            </w:pPr>
            <w:r>
              <w:rPr>
                <w:rFonts w:ascii="Arial Narrow" w:hAnsi="Arial Narrow" w:cs="Calibri"/>
                <w:szCs w:val="20"/>
              </w:rPr>
              <w:t>Severity:</w:t>
            </w:r>
          </w:p>
        </w:tc>
        <w:tc>
          <w:tcPr>
            <w:tcW w:w="4000" w:type="pct"/>
            <w:gridSpan w:val="7"/>
            <w:tcBorders>
              <w:top w:val="single" w:sz="4" w:space="0" w:color="auto"/>
              <w:left w:val="single" w:sz="4" w:space="0" w:color="auto"/>
              <w:bottom w:val="single" w:sz="4" w:space="0" w:color="auto"/>
              <w:right w:val="single" w:sz="4" w:space="0" w:color="auto"/>
            </w:tcBorders>
          </w:tcPr>
          <w:p w:rsidR="002B6CEA" w:rsidRDefault="00A97395">
            <w:pPr>
              <w:pStyle w:val="TableLeft"/>
              <w:keepNext/>
              <w:keepLines/>
              <w:rPr>
                <w:rFonts w:ascii="Arial Narrow" w:hAnsi="Arial Narrow" w:cs="Calibri"/>
                <w:szCs w:val="20"/>
              </w:rPr>
            </w:pPr>
            <w:r>
              <w:rPr>
                <w:rFonts w:ascii="Arial Narrow" w:hAnsi="Arial Narrow" w:cs="Calibri"/>
                <w:color w:val="222222"/>
                <w:szCs w:val="20"/>
              </w:rPr>
              <w:t xml:space="preserve">Advanced Barcelona Clinic Liver Cancer </w:t>
            </w:r>
            <w:r>
              <w:rPr>
                <w:rFonts w:ascii="Arial Narrow" w:hAnsi="Arial Narrow"/>
              </w:rPr>
              <w:t>s</w:t>
            </w:r>
            <w:r>
              <w:rPr>
                <w:rFonts w:ascii="Arial Narrow" w:hAnsi="Arial Narrow" w:cs="Calibri"/>
                <w:color w:val="222222"/>
                <w:szCs w:val="20"/>
              </w:rPr>
              <w:t xml:space="preserve">tage </w:t>
            </w:r>
            <w:r>
              <w:rPr>
                <w:rFonts w:ascii="Arial Narrow" w:hAnsi="Arial Narrow"/>
              </w:rPr>
              <w:t xml:space="preserve">B or stage </w:t>
            </w:r>
            <w:r>
              <w:rPr>
                <w:rFonts w:ascii="Arial Narrow" w:hAnsi="Arial Narrow" w:cs="Calibri"/>
                <w:color w:val="222222"/>
                <w:szCs w:val="20"/>
              </w:rPr>
              <w:t xml:space="preserve">C </w:t>
            </w:r>
          </w:p>
        </w:tc>
      </w:tr>
      <w:tr w:rsidR="002B6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0"/>
        </w:trPr>
        <w:tc>
          <w:tcPr>
            <w:tcW w:w="1000" w:type="pct"/>
            <w:gridSpan w:val="2"/>
            <w:tcBorders>
              <w:top w:val="single" w:sz="4" w:space="0" w:color="auto"/>
              <w:left w:val="single" w:sz="4" w:space="0" w:color="auto"/>
              <w:bottom w:val="single" w:sz="4" w:space="0" w:color="auto"/>
              <w:right w:val="single" w:sz="4" w:space="0" w:color="auto"/>
            </w:tcBorders>
          </w:tcPr>
          <w:p w:rsidR="002B6CEA" w:rsidRDefault="00A97395">
            <w:pPr>
              <w:pStyle w:val="TableLeft"/>
              <w:keepNext/>
              <w:keepLines/>
              <w:rPr>
                <w:rFonts w:ascii="Arial Narrow" w:hAnsi="Arial Narrow" w:cs="Calibri"/>
                <w:szCs w:val="20"/>
              </w:rPr>
            </w:pPr>
            <w:r>
              <w:rPr>
                <w:rFonts w:ascii="Arial Narrow" w:hAnsi="Arial Narrow" w:cs="Calibri"/>
                <w:szCs w:val="20"/>
              </w:rPr>
              <w:t>Condition:</w:t>
            </w:r>
          </w:p>
        </w:tc>
        <w:tc>
          <w:tcPr>
            <w:tcW w:w="4000" w:type="pct"/>
            <w:gridSpan w:val="7"/>
            <w:tcBorders>
              <w:top w:val="single" w:sz="4" w:space="0" w:color="auto"/>
              <w:left w:val="single" w:sz="4" w:space="0" w:color="auto"/>
              <w:bottom w:val="single" w:sz="4" w:space="0" w:color="auto"/>
              <w:right w:val="single" w:sz="4" w:space="0" w:color="auto"/>
            </w:tcBorders>
          </w:tcPr>
          <w:p w:rsidR="002B6CEA" w:rsidRDefault="00A97395">
            <w:pPr>
              <w:pStyle w:val="TableLeft"/>
              <w:keepNext/>
              <w:keepLines/>
              <w:rPr>
                <w:rFonts w:ascii="Arial Narrow" w:hAnsi="Arial Narrow" w:cs="Calibri"/>
                <w:szCs w:val="20"/>
              </w:rPr>
            </w:pPr>
            <w:r>
              <w:rPr>
                <w:rFonts w:ascii="Arial Narrow" w:hAnsi="Arial Narrow" w:cs="Calibri"/>
                <w:szCs w:val="20"/>
              </w:rPr>
              <w:t xml:space="preserve">Hepatocellular carcinoma </w:t>
            </w:r>
            <w:r>
              <w:rPr>
                <w:rFonts w:ascii="Arial Narrow" w:hAnsi="Arial Narrow" w:cs="Calibri"/>
                <w:strike/>
                <w:szCs w:val="20"/>
              </w:rPr>
              <w:t>(HCC)</w:t>
            </w:r>
          </w:p>
        </w:tc>
      </w:tr>
      <w:tr w:rsidR="002B6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0"/>
        </w:trPr>
        <w:tc>
          <w:tcPr>
            <w:tcW w:w="1000" w:type="pct"/>
            <w:gridSpan w:val="2"/>
            <w:tcBorders>
              <w:top w:val="single" w:sz="4" w:space="0" w:color="auto"/>
              <w:left w:val="single" w:sz="4" w:space="0" w:color="auto"/>
              <w:bottom w:val="single" w:sz="4" w:space="0" w:color="auto"/>
              <w:right w:val="single" w:sz="4" w:space="0" w:color="auto"/>
            </w:tcBorders>
          </w:tcPr>
          <w:p w:rsidR="002B6CEA" w:rsidRDefault="00A97395">
            <w:pPr>
              <w:pStyle w:val="TableLeft"/>
              <w:keepNext/>
              <w:keepLines/>
              <w:rPr>
                <w:rFonts w:ascii="Arial Narrow" w:hAnsi="Arial Narrow" w:cs="Calibri"/>
                <w:szCs w:val="20"/>
              </w:rPr>
            </w:pPr>
            <w:r>
              <w:rPr>
                <w:rFonts w:ascii="Arial Narrow" w:hAnsi="Arial Narrow" w:cs="Calibri"/>
                <w:szCs w:val="20"/>
              </w:rPr>
              <w:t>PBS Indication:</w:t>
            </w:r>
          </w:p>
        </w:tc>
        <w:tc>
          <w:tcPr>
            <w:tcW w:w="4000" w:type="pct"/>
            <w:gridSpan w:val="7"/>
            <w:tcBorders>
              <w:top w:val="single" w:sz="4" w:space="0" w:color="auto"/>
              <w:left w:val="single" w:sz="4" w:space="0" w:color="auto"/>
              <w:bottom w:val="single" w:sz="4" w:space="0" w:color="auto"/>
              <w:right w:val="single" w:sz="4" w:space="0" w:color="auto"/>
            </w:tcBorders>
          </w:tcPr>
          <w:p w:rsidR="002B6CEA" w:rsidRDefault="00A97395">
            <w:pPr>
              <w:pStyle w:val="TableLeft"/>
              <w:keepNext/>
              <w:keepLines/>
              <w:rPr>
                <w:rFonts w:ascii="Arial Narrow" w:hAnsi="Arial Narrow" w:cs="Calibri"/>
                <w:strike/>
                <w:color w:val="222222"/>
                <w:szCs w:val="20"/>
              </w:rPr>
            </w:pPr>
            <w:r>
              <w:rPr>
                <w:rFonts w:ascii="Arial Narrow" w:hAnsi="Arial Narrow" w:cs="Calibri"/>
                <w:strike/>
                <w:color w:val="222222"/>
                <w:szCs w:val="20"/>
              </w:rPr>
              <w:t xml:space="preserve">HCC in patients who have been previously treated with </w:t>
            </w:r>
            <w:r>
              <w:rPr>
                <w:rFonts w:ascii="Arial Narrow" w:hAnsi="Arial Narrow"/>
                <w:strike/>
              </w:rPr>
              <w:t xml:space="preserve">sorafenib </w:t>
            </w:r>
            <w:r>
              <w:rPr>
                <w:rFonts w:ascii="Arial Narrow" w:hAnsi="Arial Narrow" w:cs="Calibri"/>
                <w:strike/>
                <w:color w:val="222222"/>
                <w:szCs w:val="20"/>
              </w:rPr>
              <w:t>for this condition</w:t>
            </w:r>
          </w:p>
          <w:p w:rsidR="002B6CEA" w:rsidRDefault="002B6CEA">
            <w:pPr>
              <w:pStyle w:val="TableLeft"/>
              <w:keepNext/>
              <w:keepLines/>
              <w:rPr>
                <w:rFonts w:ascii="Arial Narrow" w:hAnsi="Arial Narrow" w:cs="Calibri"/>
                <w:strike/>
                <w:color w:val="222222"/>
                <w:szCs w:val="20"/>
              </w:rPr>
            </w:pPr>
          </w:p>
          <w:p w:rsidR="002B6CEA" w:rsidRDefault="00A97395">
            <w:pPr>
              <w:pStyle w:val="TableLeft"/>
              <w:keepNext/>
              <w:keepLines/>
              <w:rPr>
                <w:rFonts w:ascii="Arial Narrow" w:hAnsi="Arial Narrow" w:cs="Calibri"/>
                <w:i/>
                <w:color w:val="222222"/>
                <w:szCs w:val="20"/>
              </w:rPr>
            </w:pPr>
            <w:r>
              <w:rPr>
                <w:rFonts w:ascii="Arial Narrow" w:hAnsi="Arial Narrow" w:cs="Calibri"/>
                <w:i/>
                <w:color w:val="222222"/>
                <w:szCs w:val="20"/>
              </w:rPr>
              <w:t>Advanced unresectable Barcelona Clinic Liver Cancer stage B or stage C Hepatocellular carcinoma</w:t>
            </w:r>
          </w:p>
        </w:tc>
      </w:tr>
      <w:tr w:rsidR="002B6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75"/>
        </w:trPr>
        <w:tc>
          <w:tcPr>
            <w:tcW w:w="1000" w:type="pct"/>
            <w:gridSpan w:val="2"/>
            <w:tcBorders>
              <w:top w:val="single" w:sz="4" w:space="0" w:color="auto"/>
              <w:left w:val="single" w:sz="4" w:space="0" w:color="auto"/>
              <w:bottom w:val="single" w:sz="4" w:space="0" w:color="auto"/>
              <w:right w:val="single" w:sz="4" w:space="0" w:color="auto"/>
            </w:tcBorders>
            <w:shd w:val="clear" w:color="auto" w:fill="auto"/>
          </w:tcPr>
          <w:p w:rsidR="002B6CEA" w:rsidRDefault="00A97395">
            <w:pPr>
              <w:pStyle w:val="TableLeft"/>
              <w:keepNext/>
              <w:keepLines/>
              <w:rPr>
                <w:rFonts w:ascii="Arial Narrow" w:hAnsi="Arial Narrow" w:cs="Calibri"/>
                <w:i/>
                <w:szCs w:val="20"/>
              </w:rPr>
            </w:pPr>
            <w:r>
              <w:rPr>
                <w:rFonts w:ascii="Arial Narrow" w:hAnsi="Arial Narrow" w:cs="Calibri"/>
                <w:szCs w:val="20"/>
              </w:rPr>
              <w:t>Treatment phase:</w:t>
            </w:r>
          </w:p>
        </w:tc>
        <w:tc>
          <w:tcPr>
            <w:tcW w:w="4000" w:type="pct"/>
            <w:gridSpan w:val="7"/>
            <w:tcBorders>
              <w:top w:val="single" w:sz="4" w:space="0" w:color="auto"/>
              <w:left w:val="single" w:sz="4" w:space="0" w:color="auto"/>
              <w:bottom w:val="single" w:sz="4" w:space="0" w:color="auto"/>
              <w:right w:val="single" w:sz="4" w:space="0" w:color="auto"/>
            </w:tcBorders>
            <w:shd w:val="clear" w:color="auto" w:fill="auto"/>
          </w:tcPr>
          <w:p w:rsidR="002B6CEA" w:rsidRDefault="00A97395">
            <w:pPr>
              <w:pStyle w:val="TableLeft"/>
              <w:keepNext/>
              <w:keepLines/>
              <w:rPr>
                <w:rFonts w:ascii="Arial Narrow" w:hAnsi="Arial Narrow" w:cs="Calibri"/>
                <w:szCs w:val="20"/>
              </w:rPr>
            </w:pPr>
            <w:r>
              <w:rPr>
                <w:rFonts w:ascii="Arial Narrow" w:hAnsi="Arial Narrow" w:cs="Calibri"/>
                <w:szCs w:val="20"/>
              </w:rPr>
              <w:t>Continuing</w:t>
            </w:r>
          </w:p>
        </w:tc>
      </w:tr>
      <w:tr w:rsidR="002B6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0"/>
        </w:trPr>
        <w:tc>
          <w:tcPr>
            <w:tcW w:w="1000" w:type="pct"/>
            <w:gridSpan w:val="2"/>
            <w:tcBorders>
              <w:top w:val="single" w:sz="4" w:space="0" w:color="auto"/>
              <w:left w:val="single" w:sz="4" w:space="0" w:color="auto"/>
              <w:bottom w:val="single" w:sz="4" w:space="0" w:color="auto"/>
              <w:right w:val="single" w:sz="4" w:space="0" w:color="auto"/>
            </w:tcBorders>
          </w:tcPr>
          <w:p w:rsidR="002B6CEA" w:rsidRDefault="00A97395">
            <w:pPr>
              <w:pStyle w:val="TableLeft"/>
              <w:keepNext/>
              <w:keepLines/>
              <w:rPr>
                <w:rFonts w:ascii="Arial Narrow" w:hAnsi="Arial Narrow" w:cs="Calibri"/>
                <w:szCs w:val="20"/>
              </w:rPr>
            </w:pPr>
            <w:r>
              <w:rPr>
                <w:rFonts w:ascii="Arial Narrow" w:hAnsi="Arial Narrow" w:cs="Calibri"/>
                <w:szCs w:val="20"/>
              </w:rPr>
              <w:t>Restriction Level / Method:</w:t>
            </w:r>
          </w:p>
          <w:p w:rsidR="002B6CEA" w:rsidRDefault="002B6CEA">
            <w:pPr>
              <w:pStyle w:val="TableLeft"/>
              <w:keepNext/>
              <w:keepLines/>
              <w:rPr>
                <w:rFonts w:ascii="Arial Narrow" w:hAnsi="Arial Narrow" w:cs="Calibri"/>
                <w:szCs w:val="20"/>
              </w:rPr>
            </w:pPr>
          </w:p>
        </w:tc>
        <w:tc>
          <w:tcPr>
            <w:tcW w:w="4000" w:type="pct"/>
            <w:gridSpan w:val="7"/>
            <w:tcBorders>
              <w:top w:val="single" w:sz="4" w:space="0" w:color="auto"/>
              <w:left w:val="single" w:sz="4" w:space="0" w:color="auto"/>
              <w:bottom w:val="single" w:sz="4" w:space="0" w:color="auto"/>
              <w:right w:val="single" w:sz="4" w:space="0" w:color="auto"/>
            </w:tcBorders>
          </w:tcPr>
          <w:p w:rsidR="002B6CEA" w:rsidRDefault="00A97395">
            <w:pPr>
              <w:pStyle w:val="TableLeft"/>
              <w:keepNext/>
              <w:keepLines/>
              <w:rPr>
                <w:rFonts w:ascii="Arial Narrow" w:hAnsi="Arial Narrow" w:cs="Calibri"/>
                <w:szCs w:val="20"/>
              </w:rPr>
            </w:pPr>
            <w:r>
              <w:rPr>
                <w:rFonts w:ascii="Arial Narrow" w:hAnsi="Arial Narrow" w:cs="Calibri"/>
                <w:szCs w:val="20"/>
              </w:rPr>
              <w:fldChar w:fldCharType="begin">
                <w:ffData>
                  <w:name w:val="Check1"/>
                  <w:enabled/>
                  <w:calcOnExit w:val="0"/>
                  <w:checkBox>
                    <w:sizeAuto/>
                    <w:default w:val="0"/>
                  </w:checkBox>
                </w:ffData>
              </w:fldChar>
            </w:r>
            <w:r>
              <w:rPr>
                <w:rFonts w:ascii="Arial Narrow" w:hAnsi="Arial Narrow" w:cs="Calibri"/>
                <w:szCs w:val="20"/>
              </w:rPr>
              <w:instrText xml:space="preserve"> FORMCHECKBOX </w:instrText>
            </w:r>
            <w:r w:rsidR="00A52629">
              <w:rPr>
                <w:rFonts w:ascii="Arial Narrow" w:hAnsi="Arial Narrow" w:cs="Calibri"/>
                <w:szCs w:val="20"/>
              </w:rPr>
            </w:r>
            <w:r w:rsidR="00A52629">
              <w:rPr>
                <w:rFonts w:ascii="Arial Narrow" w:hAnsi="Arial Narrow" w:cs="Calibri"/>
                <w:szCs w:val="20"/>
              </w:rPr>
              <w:fldChar w:fldCharType="separate"/>
            </w:r>
            <w:r>
              <w:rPr>
                <w:rFonts w:ascii="Arial Narrow" w:hAnsi="Arial Narrow" w:cs="Calibri"/>
                <w:szCs w:val="20"/>
              </w:rPr>
              <w:fldChar w:fldCharType="end"/>
            </w:r>
            <w:r>
              <w:rPr>
                <w:rFonts w:ascii="Arial Narrow" w:hAnsi="Arial Narrow" w:cs="Calibri"/>
                <w:szCs w:val="20"/>
              </w:rPr>
              <w:t>Restricted benefit</w:t>
            </w:r>
          </w:p>
          <w:p w:rsidR="002B6CEA" w:rsidRDefault="00A97395">
            <w:pPr>
              <w:pStyle w:val="TableLeft"/>
              <w:keepNext/>
              <w:keepLines/>
              <w:rPr>
                <w:rFonts w:ascii="Arial Narrow" w:hAnsi="Arial Narrow" w:cs="Calibri"/>
                <w:szCs w:val="20"/>
              </w:rPr>
            </w:pPr>
            <w:r>
              <w:rPr>
                <w:rFonts w:ascii="Arial Narrow" w:hAnsi="Arial Narrow" w:cs="Calibri"/>
                <w:szCs w:val="20"/>
              </w:rPr>
              <w:fldChar w:fldCharType="begin">
                <w:ffData>
                  <w:name w:val=""/>
                  <w:enabled/>
                  <w:calcOnExit w:val="0"/>
                  <w:checkBox>
                    <w:sizeAuto/>
                    <w:default w:val="0"/>
                  </w:checkBox>
                </w:ffData>
              </w:fldChar>
            </w:r>
            <w:r>
              <w:rPr>
                <w:rFonts w:ascii="Arial Narrow" w:hAnsi="Arial Narrow" w:cs="Calibri"/>
                <w:szCs w:val="20"/>
              </w:rPr>
              <w:instrText xml:space="preserve"> FORMCHECKBOX </w:instrText>
            </w:r>
            <w:r w:rsidR="00A52629">
              <w:rPr>
                <w:rFonts w:ascii="Arial Narrow" w:hAnsi="Arial Narrow" w:cs="Calibri"/>
                <w:szCs w:val="20"/>
              </w:rPr>
            </w:r>
            <w:r w:rsidR="00A52629">
              <w:rPr>
                <w:rFonts w:ascii="Arial Narrow" w:hAnsi="Arial Narrow" w:cs="Calibri"/>
                <w:szCs w:val="20"/>
              </w:rPr>
              <w:fldChar w:fldCharType="separate"/>
            </w:r>
            <w:r>
              <w:rPr>
                <w:rFonts w:ascii="Arial Narrow" w:hAnsi="Arial Narrow" w:cs="Calibri"/>
                <w:szCs w:val="20"/>
              </w:rPr>
              <w:fldChar w:fldCharType="end"/>
            </w:r>
            <w:r>
              <w:rPr>
                <w:rFonts w:ascii="Arial Narrow" w:hAnsi="Arial Narrow" w:cs="Calibri"/>
                <w:szCs w:val="20"/>
              </w:rPr>
              <w:t>Authority Required - In Writing</w:t>
            </w:r>
          </w:p>
          <w:p w:rsidR="002B6CEA" w:rsidRDefault="00A97395">
            <w:pPr>
              <w:pStyle w:val="TableLeft"/>
              <w:keepNext/>
              <w:keepLines/>
              <w:rPr>
                <w:rFonts w:ascii="Arial Narrow" w:hAnsi="Arial Narrow" w:cs="Calibri"/>
                <w:szCs w:val="20"/>
              </w:rPr>
            </w:pPr>
            <w:r>
              <w:rPr>
                <w:rFonts w:ascii="Arial Narrow" w:hAnsi="Arial Narrow" w:cs="Calibri"/>
                <w:szCs w:val="20"/>
              </w:rPr>
              <w:fldChar w:fldCharType="begin">
                <w:ffData>
                  <w:name w:val="Check3"/>
                  <w:enabled/>
                  <w:calcOnExit w:val="0"/>
                  <w:checkBox>
                    <w:sizeAuto/>
                    <w:default w:val="0"/>
                  </w:checkBox>
                </w:ffData>
              </w:fldChar>
            </w:r>
            <w:r>
              <w:rPr>
                <w:rFonts w:ascii="Arial Narrow" w:hAnsi="Arial Narrow" w:cs="Calibri"/>
                <w:szCs w:val="20"/>
              </w:rPr>
              <w:instrText xml:space="preserve"> FORMCHECKBOX </w:instrText>
            </w:r>
            <w:r w:rsidR="00A52629">
              <w:rPr>
                <w:rFonts w:ascii="Arial Narrow" w:hAnsi="Arial Narrow" w:cs="Calibri"/>
                <w:szCs w:val="20"/>
              </w:rPr>
            </w:r>
            <w:r w:rsidR="00A52629">
              <w:rPr>
                <w:rFonts w:ascii="Arial Narrow" w:hAnsi="Arial Narrow" w:cs="Calibri"/>
                <w:szCs w:val="20"/>
              </w:rPr>
              <w:fldChar w:fldCharType="separate"/>
            </w:r>
            <w:r>
              <w:rPr>
                <w:rFonts w:ascii="Arial Narrow" w:hAnsi="Arial Narrow" w:cs="Calibri"/>
                <w:szCs w:val="20"/>
              </w:rPr>
              <w:fldChar w:fldCharType="end"/>
            </w:r>
            <w:r>
              <w:rPr>
                <w:rFonts w:ascii="Arial Narrow" w:hAnsi="Arial Narrow" w:cs="Calibri"/>
                <w:szCs w:val="20"/>
              </w:rPr>
              <w:t>Authority Required - Telephone</w:t>
            </w:r>
          </w:p>
          <w:p w:rsidR="002B6CEA" w:rsidRDefault="00A97395">
            <w:pPr>
              <w:pStyle w:val="TableLeft"/>
              <w:keepNext/>
              <w:keepLines/>
              <w:rPr>
                <w:rFonts w:ascii="Arial Narrow" w:hAnsi="Arial Narrow" w:cs="Calibri"/>
                <w:szCs w:val="20"/>
              </w:rPr>
            </w:pPr>
            <w:r>
              <w:rPr>
                <w:rFonts w:ascii="Arial Narrow" w:hAnsi="Arial Narrow" w:cs="Calibri"/>
                <w:szCs w:val="20"/>
              </w:rPr>
              <w:fldChar w:fldCharType="begin">
                <w:ffData>
                  <w:name w:val=""/>
                  <w:enabled/>
                  <w:calcOnExit w:val="0"/>
                  <w:checkBox>
                    <w:sizeAuto/>
                    <w:default w:val="0"/>
                  </w:checkBox>
                </w:ffData>
              </w:fldChar>
            </w:r>
            <w:r>
              <w:rPr>
                <w:rFonts w:ascii="Arial Narrow" w:hAnsi="Arial Narrow" w:cs="Calibri"/>
                <w:szCs w:val="20"/>
              </w:rPr>
              <w:instrText xml:space="preserve"> FORMCHECKBOX </w:instrText>
            </w:r>
            <w:r w:rsidR="00A52629">
              <w:rPr>
                <w:rFonts w:ascii="Arial Narrow" w:hAnsi="Arial Narrow" w:cs="Calibri"/>
                <w:szCs w:val="20"/>
              </w:rPr>
            </w:r>
            <w:r w:rsidR="00A52629">
              <w:rPr>
                <w:rFonts w:ascii="Arial Narrow" w:hAnsi="Arial Narrow" w:cs="Calibri"/>
                <w:szCs w:val="20"/>
              </w:rPr>
              <w:fldChar w:fldCharType="separate"/>
            </w:r>
            <w:r>
              <w:rPr>
                <w:rFonts w:ascii="Arial Narrow" w:hAnsi="Arial Narrow" w:cs="Calibri"/>
                <w:szCs w:val="20"/>
              </w:rPr>
              <w:fldChar w:fldCharType="end"/>
            </w:r>
            <w:r>
              <w:rPr>
                <w:rFonts w:ascii="Arial Narrow" w:hAnsi="Arial Narrow" w:cs="Calibri"/>
                <w:szCs w:val="20"/>
              </w:rPr>
              <w:t>Authority Required – Emergency</w:t>
            </w:r>
          </w:p>
          <w:p w:rsidR="002B6CEA" w:rsidRDefault="00A97395">
            <w:pPr>
              <w:pStyle w:val="TableLeft"/>
              <w:keepNext/>
              <w:keepLines/>
              <w:rPr>
                <w:rFonts w:ascii="Arial Narrow" w:hAnsi="Arial Narrow" w:cs="Calibri"/>
                <w:szCs w:val="20"/>
              </w:rPr>
            </w:pPr>
            <w:r>
              <w:rPr>
                <w:rFonts w:ascii="Arial Narrow" w:hAnsi="Arial Narrow" w:cs="Calibri"/>
                <w:szCs w:val="20"/>
              </w:rPr>
              <w:fldChar w:fldCharType="begin">
                <w:ffData>
                  <w:name w:val="Check5"/>
                  <w:enabled/>
                  <w:calcOnExit w:val="0"/>
                  <w:checkBox>
                    <w:sizeAuto/>
                    <w:default w:val="0"/>
                  </w:checkBox>
                </w:ffData>
              </w:fldChar>
            </w:r>
            <w:r>
              <w:rPr>
                <w:rFonts w:ascii="Arial Narrow" w:hAnsi="Arial Narrow" w:cs="Calibri"/>
                <w:szCs w:val="20"/>
              </w:rPr>
              <w:instrText xml:space="preserve"> FORMCHECKBOX </w:instrText>
            </w:r>
            <w:r w:rsidR="00A52629">
              <w:rPr>
                <w:rFonts w:ascii="Arial Narrow" w:hAnsi="Arial Narrow" w:cs="Calibri"/>
                <w:szCs w:val="20"/>
              </w:rPr>
            </w:r>
            <w:r w:rsidR="00A52629">
              <w:rPr>
                <w:rFonts w:ascii="Arial Narrow" w:hAnsi="Arial Narrow" w:cs="Calibri"/>
                <w:szCs w:val="20"/>
              </w:rPr>
              <w:fldChar w:fldCharType="separate"/>
            </w:r>
            <w:r>
              <w:rPr>
                <w:rFonts w:ascii="Arial Narrow" w:hAnsi="Arial Narrow" w:cs="Calibri"/>
                <w:szCs w:val="20"/>
              </w:rPr>
              <w:fldChar w:fldCharType="end"/>
            </w:r>
            <w:r>
              <w:rPr>
                <w:rFonts w:ascii="Arial Narrow" w:hAnsi="Arial Narrow" w:cs="Calibri"/>
                <w:szCs w:val="20"/>
              </w:rPr>
              <w:t>Authority Required - Electronic</w:t>
            </w:r>
          </w:p>
          <w:p w:rsidR="002B6CEA" w:rsidRDefault="00A97395">
            <w:pPr>
              <w:pStyle w:val="TableLeft"/>
              <w:keepNext/>
              <w:keepLines/>
              <w:rPr>
                <w:rFonts w:ascii="Arial Narrow" w:hAnsi="Arial Narrow" w:cs="Calibri"/>
                <w:szCs w:val="20"/>
              </w:rPr>
            </w:pPr>
            <w:r>
              <w:rPr>
                <w:rFonts w:ascii="Arial Narrow" w:hAnsi="Arial Narrow" w:cs="Calibri"/>
                <w:szCs w:val="20"/>
              </w:rPr>
              <w:fldChar w:fldCharType="begin">
                <w:ffData>
                  <w:name w:val=""/>
                  <w:enabled/>
                  <w:calcOnExit w:val="0"/>
                  <w:checkBox>
                    <w:sizeAuto/>
                    <w:default w:val="1"/>
                  </w:checkBox>
                </w:ffData>
              </w:fldChar>
            </w:r>
            <w:r>
              <w:rPr>
                <w:rFonts w:ascii="Arial Narrow" w:hAnsi="Arial Narrow" w:cs="Calibri"/>
                <w:szCs w:val="20"/>
              </w:rPr>
              <w:instrText xml:space="preserve"> FORMCHECKBOX </w:instrText>
            </w:r>
            <w:r w:rsidR="00A52629">
              <w:rPr>
                <w:rFonts w:ascii="Arial Narrow" w:hAnsi="Arial Narrow" w:cs="Calibri"/>
                <w:szCs w:val="20"/>
              </w:rPr>
            </w:r>
            <w:r w:rsidR="00A52629">
              <w:rPr>
                <w:rFonts w:ascii="Arial Narrow" w:hAnsi="Arial Narrow" w:cs="Calibri"/>
                <w:szCs w:val="20"/>
              </w:rPr>
              <w:fldChar w:fldCharType="separate"/>
            </w:r>
            <w:r>
              <w:rPr>
                <w:rFonts w:ascii="Arial Narrow" w:hAnsi="Arial Narrow" w:cs="Calibri"/>
                <w:szCs w:val="20"/>
              </w:rPr>
              <w:fldChar w:fldCharType="end"/>
            </w:r>
            <w:r>
              <w:rPr>
                <w:rFonts w:ascii="Arial Narrow" w:hAnsi="Arial Narrow" w:cs="Calibri"/>
                <w:szCs w:val="20"/>
              </w:rPr>
              <w:t>Streamlined</w:t>
            </w:r>
          </w:p>
        </w:tc>
      </w:tr>
      <w:tr w:rsidR="002B6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0"/>
        </w:trPr>
        <w:tc>
          <w:tcPr>
            <w:tcW w:w="1000" w:type="pct"/>
            <w:gridSpan w:val="2"/>
            <w:tcBorders>
              <w:top w:val="single" w:sz="4" w:space="0" w:color="auto"/>
              <w:left w:val="single" w:sz="4" w:space="0" w:color="auto"/>
              <w:bottom w:val="single" w:sz="4" w:space="0" w:color="auto"/>
              <w:right w:val="single" w:sz="4" w:space="0" w:color="auto"/>
            </w:tcBorders>
          </w:tcPr>
          <w:p w:rsidR="002B6CEA" w:rsidRDefault="00A97395">
            <w:pPr>
              <w:pStyle w:val="TableLeft"/>
              <w:keepNext/>
              <w:keepLines/>
              <w:rPr>
                <w:rFonts w:ascii="Arial Narrow" w:hAnsi="Arial Narrow" w:cs="Calibri"/>
                <w:szCs w:val="20"/>
              </w:rPr>
            </w:pPr>
            <w:r>
              <w:rPr>
                <w:rFonts w:ascii="Arial Narrow" w:hAnsi="Arial Narrow" w:cs="Calibri"/>
                <w:szCs w:val="20"/>
              </w:rPr>
              <w:t>Clinical criteria:</w:t>
            </w:r>
          </w:p>
          <w:p w:rsidR="002B6CEA" w:rsidRDefault="002B6CEA">
            <w:pPr>
              <w:pStyle w:val="TableLeft"/>
              <w:keepNext/>
              <w:keepLines/>
              <w:rPr>
                <w:rFonts w:ascii="Arial Narrow" w:hAnsi="Arial Narrow" w:cs="Calibri"/>
                <w:i/>
                <w:szCs w:val="20"/>
              </w:rPr>
            </w:pPr>
          </w:p>
          <w:p w:rsidR="002B6CEA" w:rsidRDefault="002B6CEA">
            <w:pPr>
              <w:pStyle w:val="TableLeft"/>
              <w:keepNext/>
              <w:keepLines/>
              <w:rPr>
                <w:rFonts w:ascii="Arial Narrow" w:hAnsi="Arial Narrow" w:cs="Calibri"/>
                <w:szCs w:val="20"/>
              </w:rPr>
            </w:pPr>
          </w:p>
        </w:tc>
        <w:tc>
          <w:tcPr>
            <w:tcW w:w="4000" w:type="pct"/>
            <w:gridSpan w:val="7"/>
            <w:tcBorders>
              <w:top w:val="single" w:sz="4" w:space="0" w:color="auto"/>
              <w:left w:val="single" w:sz="4" w:space="0" w:color="auto"/>
              <w:bottom w:val="single" w:sz="4" w:space="0" w:color="auto"/>
              <w:right w:val="single" w:sz="4" w:space="0" w:color="auto"/>
            </w:tcBorders>
          </w:tcPr>
          <w:p w:rsidR="002B6CEA" w:rsidRDefault="00A97395">
            <w:pPr>
              <w:pStyle w:val="TableLeft"/>
              <w:keepNext/>
              <w:keepLines/>
              <w:spacing w:after="60"/>
              <w:rPr>
                <w:rFonts w:ascii="Arial Narrow" w:hAnsi="Arial Narrow" w:cs="Calibri"/>
                <w:szCs w:val="20"/>
              </w:rPr>
            </w:pPr>
            <w:r>
              <w:rPr>
                <w:rFonts w:ascii="Arial Narrow" w:hAnsi="Arial Narrow" w:cs="Calibri"/>
                <w:szCs w:val="20"/>
              </w:rPr>
              <w:t>The treatment must be the sole PBS-subsidised therapy for this condition</w:t>
            </w:r>
          </w:p>
          <w:p w:rsidR="002B6CEA" w:rsidRDefault="00A97395">
            <w:pPr>
              <w:pStyle w:val="TableLeft"/>
              <w:keepNext/>
              <w:keepLines/>
              <w:spacing w:after="60"/>
              <w:rPr>
                <w:rFonts w:ascii="Arial Narrow" w:hAnsi="Arial Narrow" w:cs="Calibri"/>
                <w:szCs w:val="20"/>
              </w:rPr>
            </w:pPr>
            <w:r>
              <w:rPr>
                <w:rFonts w:ascii="Arial Narrow" w:hAnsi="Arial Narrow" w:cs="Calibri"/>
                <w:szCs w:val="20"/>
              </w:rPr>
              <w:t>AND</w:t>
            </w:r>
          </w:p>
          <w:p w:rsidR="002B6CEA" w:rsidRDefault="00A97395">
            <w:pPr>
              <w:pStyle w:val="TableLeft"/>
              <w:keepNext/>
              <w:keepLines/>
              <w:spacing w:after="60"/>
              <w:rPr>
                <w:rFonts w:ascii="Arial Narrow" w:hAnsi="Arial Narrow" w:cs="Calibri"/>
                <w:szCs w:val="20"/>
              </w:rPr>
            </w:pPr>
            <w:r>
              <w:rPr>
                <w:rFonts w:ascii="Arial Narrow" w:hAnsi="Arial Narrow" w:cs="Calibri"/>
                <w:szCs w:val="20"/>
              </w:rPr>
              <w:t xml:space="preserve">Patient must have previously </w:t>
            </w:r>
            <w:r>
              <w:rPr>
                <w:rFonts w:ascii="Arial Narrow" w:hAnsi="Arial Narrow" w:cs="Calibri"/>
                <w:i/>
                <w:szCs w:val="20"/>
              </w:rPr>
              <w:t xml:space="preserve">received </w:t>
            </w:r>
            <w:r>
              <w:rPr>
                <w:rFonts w:ascii="Arial Narrow" w:hAnsi="Arial Narrow" w:cs="Calibri"/>
                <w:strike/>
                <w:szCs w:val="20"/>
              </w:rPr>
              <w:t>been treated with</w:t>
            </w:r>
            <w:r>
              <w:rPr>
                <w:rFonts w:ascii="Arial Narrow" w:hAnsi="Arial Narrow" w:cs="Calibri"/>
                <w:szCs w:val="20"/>
              </w:rPr>
              <w:t xml:space="preserve"> PBS-subsidised </w:t>
            </w:r>
            <w:r>
              <w:rPr>
                <w:rFonts w:ascii="Arial Narrow" w:hAnsi="Arial Narrow" w:cs="Calibri"/>
                <w:strike/>
                <w:szCs w:val="20"/>
              </w:rPr>
              <w:t xml:space="preserve">cabozantinib </w:t>
            </w:r>
            <w:r>
              <w:rPr>
                <w:rFonts w:ascii="Arial Narrow" w:hAnsi="Arial Narrow" w:cs="Calibri"/>
                <w:i/>
                <w:szCs w:val="20"/>
              </w:rPr>
              <w:t xml:space="preserve">treatment with this drug for this condition </w:t>
            </w:r>
          </w:p>
          <w:p w:rsidR="002B6CEA" w:rsidRDefault="00A97395">
            <w:pPr>
              <w:pStyle w:val="TableLeft"/>
              <w:keepNext/>
              <w:keepLines/>
              <w:spacing w:after="60"/>
              <w:rPr>
                <w:rFonts w:ascii="Arial Narrow" w:hAnsi="Arial Narrow" w:cs="Calibri"/>
                <w:szCs w:val="20"/>
              </w:rPr>
            </w:pPr>
            <w:r>
              <w:rPr>
                <w:rFonts w:ascii="Arial Narrow" w:hAnsi="Arial Narrow" w:cs="Calibri"/>
                <w:szCs w:val="20"/>
              </w:rPr>
              <w:t>AND</w:t>
            </w:r>
          </w:p>
          <w:p w:rsidR="002B6CEA" w:rsidRDefault="00A97395">
            <w:pPr>
              <w:pStyle w:val="TableLeft"/>
              <w:keepNext/>
              <w:keepLines/>
              <w:spacing w:after="60"/>
              <w:rPr>
                <w:rFonts w:ascii="Arial Narrow" w:hAnsi="Arial Narrow" w:cs="Calibri"/>
                <w:szCs w:val="20"/>
              </w:rPr>
            </w:pPr>
            <w:r>
              <w:rPr>
                <w:rFonts w:ascii="Arial Narrow" w:hAnsi="Arial Narrow" w:cs="Calibri"/>
                <w:szCs w:val="20"/>
              </w:rPr>
              <w:t xml:space="preserve">Patient must not </w:t>
            </w:r>
            <w:r>
              <w:rPr>
                <w:rFonts w:ascii="Arial Narrow" w:hAnsi="Arial Narrow" w:cs="Calibri"/>
                <w:i/>
                <w:szCs w:val="20"/>
              </w:rPr>
              <w:t xml:space="preserve">develop </w:t>
            </w:r>
            <w:r>
              <w:rPr>
                <w:rFonts w:ascii="Arial Narrow" w:hAnsi="Arial Narrow" w:cs="Calibri"/>
                <w:strike/>
                <w:szCs w:val="20"/>
              </w:rPr>
              <w:t>have progressive</w:t>
            </w:r>
            <w:r>
              <w:rPr>
                <w:rFonts w:ascii="Arial Narrow" w:hAnsi="Arial Narrow" w:cs="Calibri"/>
                <w:szCs w:val="20"/>
              </w:rPr>
              <w:t xml:space="preserve"> disease </w:t>
            </w:r>
            <w:r>
              <w:rPr>
                <w:rFonts w:ascii="Arial Narrow" w:hAnsi="Arial Narrow" w:cs="Calibri"/>
                <w:i/>
                <w:szCs w:val="20"/>
              </w:rPr>
              <w:t>progression while receiving treatment with this drug for this condition</w:t>
            </w:r>
            <w:r>
              <w:rPr>
                <w:rFonts w:ascii="Arial Narrow" w:hAnsi="Arial Narrow" w:cs="Calibri"/>
                <w:szCs w:val="20"/>
              </w:rPr>
              <w:t>.</w:t>
            </w:r>
          </w:p>
        </w:tc>
      </w:tr>
      <w:tr w:rsidR="002B6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0"/>
        </w:trPr>
        <w:tc>
          <w:tcPr>
            <w:tcW w:w="1000" w:type="pct"/>
            <w:gridSpan w:val="2"/>
            <w:tcBorders>
              <w:top w:val="single" w:sz="4" w:space="0" w:color="auto"/>
              <w:left w:val="single" w:sz="4" w:space="0" w:color="auto"/>
              <w:bottom w:val="single" w:sz="4" w:space="0" w:color="auto"/>
              <w:right w:val="single" w:sz="4" w:space="0" w:color="auto"/>
            </w:tcBorders>
          </w:tcPr>
          <w:p w:rsidR="002B6CEA" w:rsidRDefault="00A97395">
            <w:pPr>
              <w:pStyle w:val="TableLeft"/>
              <w:keepNext/>
              <w:keepLines/>
              <w:rPr>
                <w:rFonts w:ascii="Arial Narrow" w:hAnsi="Arial Narrow" w:cs="Calibri"/>
                <w:strike/>
                <w:szCs w:val="20"/>
              </w:rPr>
            </w:pPr>
            <w:r>
              <w:rPr>
                <w:rFonts w:ascii="Arial Narrow" w:hAnsi="Arial Narrow" w:cs="Calibri"/>
                <w:strike/>
                <w:szCs w:val="20"/>
              </w:rPr>
              <w:t>Population criteria:</w:t>
            </w:r>
          </w:p>
        </w:tc>
        <w:tc>
          <w:tcPr>
            <w:tcW w:w="4000" w:type="pct"/>
            <w:gridSpan w:val="7"/>
            <w:tcBorders>
              <w:top w:val="single" w:sz="4" w:space="0" w:color="auto"/>
              <w:left w:val="single" w:sz="4" w:space="0" w:color="auto"/>
              <w:bottom w:val="single" w:sz="4" w:space="0" w:color="auto"/>
              <w:right w:val="single" w:sz="4" w:space="0" w:color="auto"/>
            </w:tcBorders>
          </w:tcPr>
          <w:p w:rsidR="002B6CEA" w:rsidRDefault="00A97395">
            <w:pPr>
              <w:pStyle w:val="TableLeft"/>
              <w:keepNext/>
              <w:keepLines/>
              <w:rPr>
                <w:rFonts w:ascii="Arial Narrow" w:hAnsi="Arial Narrow" w:cs="Calibri"/>
                <w:strike/>
                <w:szCs w:val="20"/>
              </w:rPr>
            </w:pPr>
            <w:r>
              <w:rPr>
                <w:rFonts w:ascii="Arial Narrow" w:hAnsi="Arial Narrow" w:cs="Calibri"/>
                <w:strike/>
                <w:szCs w:val="20"/>
              </w:rPr>
              <w:t>Patient must be aged 18 years or older.</w:t>
            </w:r>
          </w:p>
        </w:tc>
      </w:tr>
    </w:tbl>
    <w:p w:rsidR="002B6CEA" w:rsidRDefault="002B6CEA">
      <w:pPr>
        <w:widowControl/>
        <w:rPr>
          <w:b/>
        </w:rPr>
      </w:pPr>
    </w:p>
    <w:p w:rsidR="002B6CEA" w:rsidRDefault="00A97395">
      <w:pPr>
        <w:pStyle w:val="ListParagraph"/>
        <w:widowControl/>
        <w:numPr>
          <w:ilvl w:val="1"/>
          <w:numId w:val="2"/>
        </w:numPr>
        <w:rPr>
          <w:b/>
        </w:rPr>
      </w:pPr>
      <w:r>
        <w:t xml:space="preserve">The submission proposed two wordings of the restriction for eligibility to initiate treatment: one stipulated use following sorafenib therapy, the other following prior systemic therapy. The latter was in recognition that lenvatinib had been considered by the PBAC. Lenvatinib was listed for use in the first line setting of HCC on 1 March 2019. CELESTIAL does not provide evidence of the efficacy of cabozantinib post lenvatinib. The Pre-Sub-Committee Response (PSCR) noted that at the time the CELESTIAL trial was conducted only sorafenib was available as the standard of care. The PSCR also noted that subgroup analyses of the CELESTIAL trial showed consistent survival benefit with the whole trial population regardless of prior treatments, though they were not powered to detect a treatment difference. Given that lenvatinib was listed on a cost-minimisation basis with sorafenib, it may be appropriate to adopt the </w:t>
      </w:r>
      <w:r>
        <w:lastRenderedPageBreak/>
        <w:t>broader initiation criteria to facilitate physician discretion in prescribing first-line therapy.</w:t>
      </w:r>
      <w:r>
        <w:rPr>
          <w:i/>
        </w:rPr>
        <w:t xml:space="preserve"> </w:t>
      </w:r>
    </w:p>
    <w:p w:rsidR="002B6CEA" w:rsidRDefault="00A97395">
      <w:pPr>
        <w:pStyle w:val="ListParagraph"/>
        <w:widowControl/>
        <w:numPr>
          <w:ilvl w:val="1"/>
          <w:numId w:val="2"/>
        </w:numPr>
      </w:pPr>
      <w:r>
        <w:t>In considering regorafenib for advanced HCC at its November 2018 meeting, the PBAC acknowledged that the listing for a therapy in a second-line should not influence the choice of therapies in the first-line setting and accordingly suggested the criterion “following treatment with a tyrosine kinase inhibitor (TKI)” (regorafenib PSD, November 2018, point 7.3). The same wording would be applicable in the case of cabozantinib in the second-line setting. The PBAC agreed with the ESC that despite the lack of evidence post lenvatinib, it would be appropriate to allow clinicians to determine the most appropriate first line TKI for patients prior to cabozantinib. The ESC considered that specifying use subsequent to a TKI rather than a systemic therapy, as proposed in the submission, would better reflect the currently available first-line therapies in HCC and the therapies used in CELESTIAL.</w:t>
      </w:r>
    </w:p>
    <w:p w:rsidR="002B6CEA" w:rsidRDefault="00A97395">
      <w:pPr>
        <w:pStyle w:val="ListParagraph"/>
        <w:widowControl/>
        <w:numPr>
          <w:ilvl w:val="1"/>
          <w:numId w:val="2"/>
        </w:numPr>
      </w:pPr>
      <w:r>
        <w:t xml:space="preserve">The requested listing specifies that patients have been treated with sorafenib (or at least one systemic therapy) for this condition; however, the wording does not specify whether patients intolerant to sorafenib (or lenvatinib) should be eligible for treatment with cabozantinib under this listing. Patients in the CELESTIAL trial either progressed following at least one systemic therapy (sorafenib) or developed toxicities leading to discontinuation. The PBAC considered the restriction wording should specify that patients treated with cabozantinib are required to have progressed on a first line TKI. </w:t>
      </w:r>
    </w:p>
    <w:p w:rsidR="002B6CEA" w:rsidRDefault="00A97395">
      <w:pPr>
        <w:pStyle w:val="ListParagraph"/>
        <w:widowControl/>
        <w:numPr>
          <w:ilvl w:val="1"/>
          <w:numId w:val="2"/>
        </w:numPr>
      </w:pPr>
      <w:r>
        <w:t>In addition, the proposed restriction does not permit use beyond treatment progression, while in CELESTIAL patients continued treatment beyond progression if the investigator considered they were experiencing clinical benefit. The PBAC agreed with the ESC that use beyond progression would not be appropriate and this should be included in the restrictions as proposed.</w:t>
      </w:r>
    </w:p>
    <w:p w:rsidR="002B6CEA" w:rsidRDefault="00A97395">
      <w:pPr>
        <w:rPr>
          <w:i/>
        </w:rPr>
      </w:pPr>
      <w:r>
        <w:rPr>
          <w:i/>
        </w:rPr>
        <w:t>For more detail on PBAC’s view, see section 7 PBAC outcome.</w:t>
      </w:r>
    </w:p>
    <w:p w:rsidR="002B6CEA" w:rsidRDefault="002B6CEA"/>
    <w:p w:rsidR="002B6CEA" w:rsidRDefault="00A97395">
      <w:pPr>
        <w:pStyle w:val="PBACHeading1"/>
        <w:keepNext/>
        <w:spacing w:after="120"/>
      </w:pPr>
      <w:bookmarkStart w:id="2" w:name="_Toc9419747"/>
      <w:r>
        <w:t>Background</w:t>
      </w:r>
      <w:bookmarkEnd w:id="2"/>
    </w:p>
    <w:p w:rsidR="002B6CEA" w:rsidRDefault="00A97395">
      <w:pPr>
        <w:pStyle w:val="Heading2"/>
        <w:spacing w:after="120"/>
      </w:pPr>
      <w:r>
        <w:t>Registration status</w:t>
      </w:r>
    </w:p>
    <w:p w:rsidR="002B6CEA" w:rsidRDefault="00A97395">
      <w:pPr>
        <w:pStyle w:val="ListParagraph"/>
        <w:widowControl/>
        <w:numPr>
          <w:ilvl w:val="1"/>
          <w:numId w:val="2"/>
        </w:numPr>
      </w:pPr>
      <w:r>
        <w:t>Cabozantinib was TGA registered for HCC on 21 May 2019. The full indications are:</w:t>
      </w:r>
    </w:p>
    <w:p w:rsidR="002B6CEA" w:rsidRDefault="00A97395">
      <w:pPr>
        <w:ind w:left="720"/>
        <w:rPr>
          <w:b/>
        </w:rPr>
      </w:pPr>
      <w:r>
        <w:t>“Renal Cell Carcinoma (RCC)</w:t>
      </w:r>
    </w:p>
    <w:p w:rsidR="002B6CEA" w:rsidRDefault="00A97395">
      <w:pPr>
        <w:ind w:left="720"/>
        <w:rPr>
          <w:b/>
        </w:rPr>
      </w:pPr>
      <w:r>
        <w:t>CABOMETYX is indicated for the treatment of advanced renal cell carcinoma (RCC):</w:t>
      </w:r>
    </w:p>
    <w:p w:rsidR="002B6CEA" w:rsidRDefault="00A97395">
      <w:pPr>
        <w:ind w:left="720"/>
        <w:rPr>
          <w:b/>
        </w:rPr>
      </w:pPr>
      <w:r>
        <w:t>- in treatment-naïve adults with intermediate or poor risk</w:t>
      </w:r>
    </w:p>
    <w:p w:rsidR="002B6CEA" w:rsidRDefault="00A97395">
      <w:pPr>
        <w:ind w:left="720"/>
        <w:rPr>
          <w:b/>
        </w:rPr>
      </w:pPr>
      <w:r>
        <w:t>- in adults following prior treatment with vascular endothelial growth factor targeted therapy.</w:t>
      </w:r>
    </w:p>
    <w:p w:rsidR="002B6CEA" w:rsidRDefault="002B6CEA">
      <w:pPr>
        <w:ind w:left="720"/>
        <w:rPr>
          <w:b/>
        </w:rPr>
      </w:pPr>
    </w:p>
    <w:p w:rsidR="002B6CEA" w:rsidRDefault="00A97395">
      <w:pPr>
        <w:ind w:left="720"/>
        <w:rPr>
          <w:b/>
        </w:rPr>
      </w:pPr>
      <w:r>
        <w:t>Hepatocellular Carcinoma (HCC)</w:t>
      </w:r>
    </w:p>
    <w:p w:rsidR="002B6CEA" w:rsidRDefault="00A97395">
      <w:pPr>
        <w:spacing w:after="120"/>
        <w:ind w:left="720"/>
      </w:pPr>
      <w:r>
        <w:t xml:space="preserve">CABOMETYX is indicated as monotherapy for the treatment of hepatocellular </w:t>
      </w:r>
      <w:r>
        <w:lastRenderedPageBreak/>
        <w:t xml:space="preserve">carcinoma (HCC) in adults who have previously been treated with sorafenib.” </w:t>
      </w:r>
    </w:p>
    <w:p w:rsidR="002B6CEA" w:rsidRDefault="00A97395">
      <w:pPr>
        <w:pStyle w:val="Heading2"/>
        <w:spacing w:after="120"/>
      </w:pPr>
      <w:r>
        <w:t>Previous PBAC consideration</w:t>
      </w:r>
    </w:p>
    <w:p w:rsidR="002B6CEA" w:rsidRDefault="00A97395">
      <w:pPr>
        <w:pStyle w:val="ListParagraph"/>
        <w:widowControl/>
        <w:numPr>
          <w:ilvl w:val="1"/>
          <w:numId w:val="2"/>
        </w:numPr>
        <w:rPr>
          <w:i/>
        </w:rPr>
      </w:pPr>
      <w:r>
        <w:t xml:space="preserve">This is the first major submission to the PBAC for cabozantinib in the treatment of advanced HCC. </w:t>
      </w:r>
    </w:p>
    <w:p w:rsidR="002B6CEA" w:rsidRDefault="00A97395">
      <w:pPr>
        <w:pStyle w:val="PBACHeading1"/>
        <w:keepNext/>
        <w:keepLines/>
        <w:spacing w:after="120"/>
      </w:pPr>
      <w:bookmarkStart w:id="3" w:name="_Toc9419748"/>
      <w:r>
        <w:t>Population and disease</w:t>
      </w:r>
      <w:bookmarkEnd w:id="3"/>
    </w:p>
    <w:p w:rsidR="002B6CEA" w:rsidRDefault="00A97395">
      <w:pPr>
        <w:pStyle w:val="ListParagraph"/>
        <w:keepNext/>
        <w:keepLines/>
        <w:widowControl/>
        <w:numPr>
          <w:ilvl w:val="1"/>
          <w:numId w:val="2"/>
        </w:numPr>
      </w:pPr>
      <w:r>
        <w:t xml:space="preserve">According to the 2019 Australian Institute of Health and Welfare (AIHW) cancer report, the incidence of liver cancer increased more than four-fold (from 1.8 to 8.6 per 100,000 persons) between 1982 and 2019. Indigenous Australians were 2.4 times more likely to be diagnosed with liver cancer compared to non-indigenous Australians. The incidence is likely to continue to rise as a result of current cases of asymptomatic chronic viral hepatitis, immigration from countries with high hepatitis B and C virus (HBV/HCV) prevalence and the steadily increasing incidence of obesity and lifestyle related diseases that contribute to HCC. Primary liver cancer is also the fastest increasing cause of cancer death, and five-year survival in Australia remains poor, at 16%. </w:t>
      </w:r>
    </w:p>
    <w:p w:rsidR="002B6CEA" w:rsidRDefault="00A97395">
      <w:pPr>
        <w:pStyle w:val="ListParagraph"/>
        <w:widowControl/>
        <w:numPr>
          <w:ilvl w:val="1"/>
          <w:numId w:val="2"/>
        </w:numPr>
        <w:rPr>
          <w:i/>
        </w:rPr>
      </w:pPr>
      <w:r>
        <w:t>Cabozantinib is proposed as a second/third-line treatment of patients who previously progressed on sorafenib or, alternatively, systemic therapy. The alternative proposed restriction should be specific for use following treatment with a TKI.</w:t>
      </w:r>
    </w:p>
    <w:p w:rsidR="002B6CEA" w:rsidRDefault="00A97395">
      <w:pPr>
        <w:pStyle w:val="PBACHeading1"/>
        <w:spacing w:after="120"/>
      </w:pPr>
      <w:bookmarkStart w:id="4" w:name="_Toc9419749"/>
      <w:r>
        <w:t>Comparator</w:t>
      </w:r>
      <w:bookmarkEnd w:id="4"/>
    </w:p>
    <w:p w:rsidR="002B6CEA" w:rsidRDefault="00A97395">
      <w:pPr>
        <w:pStyle w:val="ListParagraph"/>
        <w:widowControl/>
        <w:numPr>
          <w:ilvl w:val="1"/>
          <w:numId w:val="2"/>
        </w:numPr>
      </w:pPr>
      <w:r>
        <w:rPr>
          <w:rFonts w:cs="Calibri"/>
          <w:snapToGrid/>
          <w:szCs w:val="24"/>
          <w:lang w:eastAsia="en-AU"/>
        </w:rPr>
        <w:t>The submission nominated BSC as the main comparator</w:t>
      </w:r>
      <w:r>
        <w:rPr>
          <w:szCs w:val="24"/>
        </w:rPr>
        <w:t xml:space="preserve">. The ESC agreed with the evaluator that this was appropriate. </w:t>
      </w:r>
      <w:r>
        <w:t>The submission included a secondary indirect treatment comparison (ITC) with regorafenib, as a possible near market comparator. Regorafenib has been rejected twice by the PBAC based on a high incremental cost-effectiveness ratio (ICER) and inferior safety (regorafenib PSD, March 2018, point 7.1; regorafenib PSD, November 2018, point 7.1).</w:t>
      </w:r>
    </w:p>
    <w:p w:rsidR="002B6CEA" w:rsidRDefault="00A97395">
      <w:pPr>
        <w:pStyle w:val="ListParagraph"/>
        <w:widowControl/>
        <w:numPr>
          <w:ilvl w:val="1"/>
          <w:numId w:val="2"/>
        </w:numPr>
      </w:pPr>
      <w:r>
        <w:rPr>
          <w:szCs w:val="24"/>
        </w:rPr>
        <w:t>The submission excluded nivolumab (TGA registered) as a relevant comparator on the basis that the registered indication was granted based on a single-arm study that presented objective response rates (ORR) and duration of response, with no evidence of improvements in OS or disease-related symptoms. The exclusion of a potentially relevant comparator based on the evidence available is not appropriate. Nonetheless, as nivolumab is not PBS listed for HCC and has not yet been considered for listing in HCC, the evaluator considered its exclusion was appropriate.</w:t>
      </w:r>
    </w:p>
    <w:p w:rsidR="002B6CEA" w:rsidRDefault="00A97395">
      <w:pPr>
        <w:pStyle w:val="ListParagraph"/>
        <w:widowControl/>
        <w:numPr>
          <w:ilvl w:val="1"/>
          <w:numId w:val="2"/>
        </w:numPr>
      </w:pPr>
      <w:r>
        <w:rPr>
          <w:szCs w:val="24"/>
        </w:rPr>
        <w:t>The PBAC considered that given no other therapy is listed for second-line treatment, the submission appropriately used BSC as the main comparator, with regorafenib as a secondary “near-market” comparator.</w:t>
      </w:r>
    </w:p>
    <w:p w:rsidR="002B6CEA" w:rsidRDefault="00A97395">
      <w:pPr>
        <w:widowControl/>
      </w:pPr>
      <w:r>
        <w:rPr>
          <w:i/>
        </w:rPr>
        <w:t>For more detail on PBAC’s view, see section 7 PBAC outcome.</w:t>
      </w:r>
    </w:p>
    <w:p w:rsidR="002B6CEA" w:rsidRDefault="002B6CEA">
      <w:pPr>
        <w:widowControl/>
      </w:pPr>
    </w:p>
    <w:p w:rsidR="002B6CEA" w:rsidRDefault="00A97395">
      <w:pPr>
        <w:pStyle w:val="PBACHeading1"/>
      </w:pPr>
      <w:bookmarkStart w:id="5" w:name="_Toc9419750"/>
      <w:r>
        <w:lastRenderedPageBreak/>
        <w:t>Consideration of the evidence</w:t>
      </w:r>
      <w:bookmarkEnd w:id="5"/>
    </w:p>
    <w:p w:rsidR="002B6CEA" w:rsidRDefault="00A97395">
      <w:pPr>
        <w:pStyle w:val="Heading2"/>
        <w:spacing w:after="120"/>
      </w:pPr>
      <w:r>
        <w:t>Sponsor hearing</w:t>
      </w:r>
    </w:p>
    <w:p w:rsidR="002B6CEA" w:rsidRDefault="00A97395">
      <w:pPr>
        <w:numPr>
          <w:ilvl w:val="1"/>
          <w:numId w:val="2"/>
        </w:numPr>
        <w:spacing w:after="120"/>
        <w:rPr>
          <w:rFonts w:asciiTheme="minorHAnsi" w:hAnsiTheme="minorHAnsi"/>
          <w:bCs/>
        </w:rPr>
      </w:pPr>
      <w:r>
        <w:rPr>
          <w:rFonts w:asciiTheme="minorHAnsi" w:hAnsiTheme="minorHAnsi"/>
          <w:bCs/>
        </w:rPr>
        <w:t>There was no hearing for this item.</w:t>
      </w:r>
    </w:p>
    <w:p w:rsidR="002B6CEA" w:rsidRDefault="00A97395">
      <w:pPr>
        <w:pStyle w:val="Heading2"/>
        <w:keepNext/>
        <w:keepLines/>
        <w:widowControl/>
        <w:spacing w:after="120"/>
        <w:rPr>
          <w:rFonts w:asciiTheme="minorHAnsi" w:hAnsiTheme="minorHAnsi"/>
          <w:bCs/>
        </w:rPr>
      </w:pPr>
      <w:r>
        <w:t>Consumer comments</w:t>
      </w:r>
    </w:p>
    <w:p w:rsidR="002B6CEA" w:rsidRDefault="00A97395">
      <w:pPr>
        <w:keepNext/>
        <w:keepLines/>
        <w:widowControl/>
        <w:numPr>
          <w:ilvl w:val="1"/>
          <w:numId w:val="2"/>
        </w:numPr>
        <w:spacing w:after="120"/>
      </w:pPr>
      <w:r>
        <w:rPr>
          <w:rFonts w:asciiTheme="minorHAnsi" w:hAnsiTheme="minorHAnsi"/>
          <w:bCs/>
        </w:rPr>
        <w:t>The PBAC noted that no consumer comments were received for this item.</w:t>
      </w:r>
    </w:p>
    <w:p w:rsidR="002B6CEA" w:rsidRDefault="00A97395">
      <w:pPr>
        <w:pStyle w:val="ListParagraph"/>
        <w:widowControl/>
        <w:numPr>
          <w:ilvl w:val="1"/>
          <w:numId w:val="2"/>
        </w:numPr>
      </w:pPr>
      <w:r>
        <w:rPr>
          <w:rFonts w:asciiTheme="minorHAnsi" w:hAnsiTheme="minorHAnsi"/>
          <w:bCs/>
        </w:rPr>
        <w:t>The Medical Oncology Group of Australia (MOGA) expressed its support for the cabozantinib in advanced HCC submission, categorising it as one of the therapies of “other supported applications” on the basis of the CELESTIAL trial. The PBAC noted that the MOGA presented a European Society for Medical Oncology Magnitude of Clinical Benefit Scale (ESMO-MCBS) for cabozantinib in advanced HCC, which was limited to 3 (out of a maximum of 5, where 5 and 4 represent the grades with substantial improvement)</w:t>
      </w:r>
      <w:r>
        <w:rPr>
          <w:rStyle w:val="FootnoteReference"/>
          <w:rFonts w:asciiTheme="minorHAnsi" w:hAnsiTheme="minorHAnsi"/>
          <w:bCs/>
        </w:rPr>
        <w:footnoteReference w:id="1"/>
      </w:r>
      <w:r>
        <w:rPr>
          <w:rFonts w:asciiTheme="minorHAnsi" w:hAnsiTheme="minorHAnsi"/>
          <w:bCs/>
        </w:rPr>
        <w:t>, based on a comparison with BSC.</w:t>
      </w:r>
    </w:p>
    <w:p w:rsidR="002B6CEA" w:rsidRDefault="00A97395">
      <w:pPr>
        <w:pStyle w:val="Heading2"/>
        <w:spacing w:after="120"/>
      </w:pPr>
      <w:bookmarkStart w:id="6" w:name="_Toc9419751"/>
      <w:r>
        <w:t>Clinical trials</w:t>
      </w:r>
      <w:bookmarkEnd w:id="6"/>
    </w:p>
    <w:p w:rsidR="002B6CEA" w:rsidRDefault="00A97395">
      <w:pPr>
        <w:pStyle w:val="ListParagraph"/>
        <w:widowControl/>
        <w:numPr>
          <w:ilvl w:val="1"/>
          <w:numId w:val="2"/>
        </w:numPr>
      </w:pPr>
      <w:r>
        <w:t>The submission presented a primary comparison of cabozantinib with BSC (informed by CELESTIAL, n=707), which is a Phase 3, randomised, double blind, placebo-controlled study of cabozantinib in patients with HCC who have received prior sorafenib.</w:t>
      </w:r>
    </w:p>
    <w:p w:rsidR="002B6CEA" w:rsidRDefault="00A97395">
      <w:pPr>
        <w:pStyle w:val="ListParagraph"/>
        <w:widowControl/>
        <w:numPr>
          <w:ilvl w:val="1"/>
          <w:numId w:val="2"/>
        </w:numPr>
      </w:pPr>
      <w:r>
        <w:t>The ITC of cabozantinib against regorafenib was informed by the RESORCE trial (n=573), with BSC as the common reference. RESORCE is a Phase 3, randomised, double blind, placebo-controlled study of regorafenib in patients with HCC who have received prior sorafenib.</w:t>
      </w:r>
    </w:p>
    <w:p w:rsidR="002B6CEA" w:rsidRDefault="00A97395">
      <w:pPr>
        <w:pStyle w:val="ListParagraph"/>
        <w:widowControl/>
        <w:numPr>
          <w:ilvl w:val="1"/>
          <w:numId w:val="2"/>
        </w:numPr>
      </w:pPr>
      <w:r>
        <w:rPr>
          <w:rFonts w:cs="Calibri"/>
          <w:snapToGrid/>
          <w:szCs w:val="24"/>
          <w:lang w:eastAsia="en-AU"/>
        </w:rPr>
        <w:t>Details of the trials presented in the submission are provided in Table 2.</w:t>
      </w:r>
    </w:p>
    <w:p w:rsidR="00A52629" w:rsidRPr="00A52629" w:rsidRDefault="00A52629" w:rsidP="00A52629">
      <w:pPr>
        <w:keepNext/>
        <w:rPr>
          <w:rStyle w:val="CommentReference"/>
        </w:rPr>
      </w:pPr>
      <w:r w:rsidRPr="00A52629">
        <w:rPr>
          <w:rStyle w:val="CommentReference"/>
        </w:rPr>
        <w:lastRenderedPageBreak/>
        <w:t xml:space="preserve">Table </w:t>
      </w:r>
      <w:r w:rsidRPr="00A52629">
        <w:rPr>
          <w:rStyle w:val="CommentReference"/>
        </w:rPr>
        <w:fldChar w:fldCharType="begin"/>
      </w:r>
      <w:r w:rsidRPr="00A52629">
        <w:rPr>
          <w:rStyle w:val="CommentReference"/>
        </w:rPr>
        <w:instrText xml:space="preserve"> SEQ Table \* ARABIC </w:instrText>
      </w:r>
      <w:r w:rsidRPr="00A52629">
        <w:rPr>
          <w:rStyle w:val="CommentReference"/>
        </w:rPr>
        <w:fldChar w:fldCharType="separate"/>
      </w:r>
      <w:r w:rsidR="00310C38">
        <w:rPr>
          <w:rStyle w:val="CommentReference"/>
          <w:noProof/>
        </w:rPr>
        <w:t>2</w:t>
      </w:r>
      <w:r w:rsidRPr="00A52629">
        <w:rPr>
          <w:rStyle w:val="CommentReference"/>
        </w:rPr>
        <w:fldChar w:fldCharType="end"/>
      </w:r>
      <w:r w:rsidRPr="00A52629">
        <w:rPr>
          <w:rStyle w:val="CommentReference"/>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019"/>
        <w:gridCol w:w="5042"/>
        <w:gridCol w:w="2956"/>
      </w:tblGrid>
      <w:tr w:rsidR="002B6CEA">
        <w:trPr>
          <w:tblHeader/>
        </w:trPr>
        <w:tc>
          <w:tcPr>
            <w:tcW w:w="565" w:type="pct"/>
            <w:vAlign w:val="center"/>
          </w:tcPr>
          <w:p w:rsidR="002B6CEA" w:rsidRDefault="00A97395">
            <w:pPr>
              <w:pStyle w:val="Tabletext"/>
              <w:keepNext/>
              <w:rPr>
                <w:b/>
              </w:rPr>
            </w:pPr>
            <w:r>
              <w:rPr>
                <w:b/>
              </w:rPr>
              <w:t>Trial ID</w:t>
            </w:r>
          </w:p>
        </w:tc>
        <w:tc>
          <w:tcPr>
            <w:tcW w:w="2796" w:type="pct"/>
            <w:vAlign w:val="center"/>
          </w:tcPr>
          <w:p w:rsidR="002B6CEA" w:rsidRDefault="00A97395">
            <w:pPr>
              <w:pStyle w:val="Tabletext"/>
              <w:keepNext/>
              <w:jc w:val="center"/>
              <w:rPr>
                <w:b/>
              </w:rPr>
            </w:pPr>
            <w:r>
              <w:rPr>
                <w:b/>
              </w:rPr>
              <w:t>Protocol title/ Publication title</w:t>
            </w:r>
          </w:p>
        </w:tc>
        <w:tc>
          <w:tcPr>
            <w:tcW w:w="1639" w:type="pct"/>
            <w:vAlign w:val="center"/>
          </w:tcPr>
          <w:p w:rsidR="002B6CEA" w:rsidRDefault="00A97395">
            <w:pPr>
              <w:pStyle w:val="Tabletext"/>
              <w:keepNext/>
              <w:jc w:val="center"/>
              <w:rPr>
                <w:b/>
              </w:rPr>
            </w:pPr>
            <w:r>
              <w:rPr>
                <w:b/>
              </w:rPr>
              <w:t>Publication citation</w:t>
            </w:r>
          </w:p>
        </w:tc>
      </w:tr>
      <w:tr w:rsidR="002B6CEA">
        <w:tc>
          <w:tcPr>
            <w:tcW w:w="565" w:type="pct"/>
            <w:vMerge w:val="restart"/>
            <w:vAlign w:val="center"/>
          </w:tcPr>
          <w:p w:rsidR="002B6CEA" w:rsidRDefault="00A97395">
            <w:pPr>
              <w:pStyle w:val="Tabletext"/>
              <w:keepNext/>
              <w:rPr>
                <w:rFonts w:ascii="Times" w:hAnsi="Times"/>
              </w:rPr>
            </w:pPr>
            <w:r>
              <w:t>CELESTIAL</w:t>
            </w:r>
          </w:p>
        </w:tc>
        <w:tc>
          <w:tcPr>
            <w:tcW w:w="2796" w:type="pct"/>
            <w:tcBorders>
              <w:bottom w:val="nil"/>
            </w:tcBorders>
            <w:vAlign w:val="center"/>
          </w:tcPr>
          <w:p w:rsidR="002B6CEA" w:rsidRDefault="00A97395">
            <w:pPr>
              <w:pStyle w:val="Tabletext"/>
              <w:keepNext/>
              <w:rPr>
                <w:szCs w:val="18"/>
              </w:rPr>
            </w:pPr>
            <w:r>
              <w:rPr>
                <w:szCs w:val="18"/>
              </w:rPr>
              <w:t>Clinical study report – second interim analysis</w:t>
            </w:r>
          </w:p>
          <w:p w:rsidR="002B6CEA" w:rsidRDefault="002B6CEA">
            <w:pPr>
              <w:pStyle w:val="Tabletext"/>
              <w:keepNext/>
              <w:rPr>
                <w:szCs w:val="18"/>
              </w:rPr>
            </w:pPr>
          </w:p>
        </w:tc>
        <w:tc>
          <w:tcPr>
            <w:tcW w:w="1639" w:type="pct"/>
            <w:tcBorders>
              <w:bottom w:val="nil"/>
            </w:tcBorders>
            <w:vAlign w:val="center"/>
          </w:tcPr>
          <w:p w:rsidR="002B6CEA" w:rsidRDefault="00A97395">
            <w:pPr>
              <w:pStyle w:val="Tabletext"/>
              <w:keepNext/>
              <w:rPr>
                <w:rFonts w:ascii="Times" w:hAnsi="Times"/>
              </w:rPr>
            </w:pPr>
            <w:r>
              <w:rPr>
                <w:szCs w:val="18"/>
              </w:rPr>
              <w:t>Data cutoff date: 1 June 2018 (report date 8 February 2018)</w:t>
            </w:r>
          </w:p>
        </w:tc>
      </w:tr>
      <w:tr w:rsidR="002B6CEA">
        <w:tc>
          <w:tcPr>
            <w:tcW w:w="565" w:type="pct"/>
            <w:vMerge/>
            <w:vAlign w:val="center"/>
          </w:tcPr>
          <w:p w:rsidR="002B6CEA" w:rsidRDefault="002B6CEA">
            <w:pPr>
              <w:pStyle w:val="Tabletext"/>
              <w:keepNext/>
            </w:pPr>
          </w:p>
        </w:tc>
        <w:tc>
          <w:tcPr>
            <w:tcW w:w="2796" w:type="pct"/>
            <w:tcBorders>
              <w:top w:val="nil"/>
              <w:bottom w:val="nil"/>
            </w:tcBorders>
            <w:vAlign w:val="center"/>
          </w:tcPr>
          <w:p w:rsidR="002B6CEA" w:rsidRDefault="00A97395">
            <w:pPr>
              <w:pStyle w:val="Tabletext"/>
              <w:keepNext/>
              <w:rPr>
                <w:szCs w:val="18"/>
                <w:lang w:eastAsia="en-AU"/>
              </w:rPr>
            </w:pPr>
            <w:r>
              <w:rPr>
                <w:szCs w:val="18"/>
                <w:lang w:eastAsia="en-AU"/>
              </w:rPr>
              <w:t xml:space="preserve">Statistical Analysis Plan - version 2 </w:t>
            </w:r>
          </w:p>
        </w:tc>
        <w:tc>
          <w:tcPr>
            <w:tcW w:w="1639" w:type="pct"/>
            <w:tcBorders>
              <w:top w:val="nil"/>
              <w:bottom w:val="nil"/>
            </w:tcBorders>
            <w:vAlign w:val="center"/>
          </w:tcPr>
          <w:p w:rsidR="002B6CEA" w:rsidRDefault="00A97395">
            <w:pPr>
              <w:pStyle w:val="Tabletext"/>
              <w:keepNext/>
              <w:rPr>
                <w:szCs w:val="18"/>
                <w:lang w:eastAsia="en-AU"/>
              </w:rPr>
            </w:pPr>
            <w:r>
              <w:rPr>
                <w:szCs w:val="18"/>
                <w:lang w:eastAsia="en-AU"/>
              </w:rPr>
              <w:t>8 June 2016</w:t>
            </w:r>
          </w:p>
        </w:tc>
      </w:tr>
      <w:tr w:rsidR="002B6CEA">
        <w:tc>
          <w:tcPr>
            <w:tcW w:w="565" w:type="pct"/>
            <w:vMerge/>
            <w:vAlign w:val="center"/>
          </w:tcPr>
          <w:p w:rsidR="002B6CEA" w:rsidRDefault="002B6CEA">
            <w:pPr>
              <w:pStyle w:val="Tabletext"/>
              <w:keepNext/>
            </w:pPr>
          </w:p>
        </w:tc>
        <w:tc>
          <w:tcPr>
            <w:tcW w:w="2796" w:type="pct"/>
            <w:tcBorders>
              <w:top w:val="nil"/>
              <w:bottom w:val="nil"/>
            </w:tcBorders>
            <w:vAlign w:val="center"/>
          </w:tcPr>
          <w:p w:rsidR="002B6CEA" w:rsidRDefault="00A97395">
            <w:pPr>
              <w:pStyle w:val="Tabletext"/>
              <w:keepNext/>
              <w:rPr>
                <w:szCs w:val="18"/>
                <w:lang w:eastAsia="en-AU"/>
              </w:rPr>
            </w:pPr>
            <w:r>
              <w:rPr>
                <w:szCs w:val="18"/>
                <w:lang w:eastAsia="en-AU"/>
              </w:rPr>
              <w:t>Abou-Alfa GK, Meyer T, Cheng AL et al. "Cabozantinib versus placebo in patients with advanced hepatocellular carcinoma who have received prior sorafenib: Results from the randomized phase 3 CELESTIAL trial.</w:t>
            </w:r>
          </w:p>
        </w:tc>
        <w:tc>
          <w:tcPr>
            <w:tcW w:w="1639" w:type="pct"/>
            <w:tcBorders>
              <w:top w:val="nil"/>
              <w:bottom w:val="nil"/>
            </w:tcBorders>
            <w:vAlign w:val="center"/>
          </w:tcPr>
          <w:p w:rsidR="002B6CEA" w:rsidRDefault="00A97395">
            <w:pPr>
              <w:pStyle w:val="Tabletext"/>
              <w:keepNext/>
              <w:rPr>
                <w:szCs w:val="18"/>
                <w:lang w:eastAsia="en-AU"/>
              </w:rPr>
            </w:pPr>
            <w:r>
              <w:rPr>
                <w:szCs w:val="18"/>
                <w:lang w:eastAsia="en-AU"/>
              </w:rPr>
              <w:t xml:space="preserve">Gastrointestinal Cancers Symposium 2018; San Francisco, CA, 18–20 January, </w:t>
            </w:r>
          </w:p>
        </w:tc>
      </w:tr>
      <w:tr w:rsidR="002B6CEA">
        <w:tc>
          <w:tcPr>
            <w:tcW w:w="565" w:type="pct"/>
            <w:vMerge/>
            <w:vAlign w:val="center"/>
          </w:tcPr>
          <w:p w:rsidR="002B6CEA" w:rsidRDefault="002B6CEA">
            <w:pPr>
              <w:pStyle w:val="Tabletext"/>
              <w:keepNext/>
            </w:pPr>
          </w:p>
        </w:tc>
        <w:tc>
          <w:tcPr>
            <w:tcW w:w="2796" w:type="pct"/>
            <w:tcBorders>
              <w:top w:val="nil"/>
              <w:bottom w:val="nil"/>
            </w:tcBorders>
            <w:vAlign w:val="center"/>
          </w:tcPr>
          <w:p w:rsidR="002B6CEA" w:rsidRDefault="00A97395">
            <w:pPr>
              <w:pStyle w:val="Tabletext"/>
              <w:keepNext/>
              <w:rPr>
                <w:szCs w:val="18"/>
                <w:lang w:eastAsia="en-AU"/>
              </w:rPr>
            </w:pPr>
            <w:r>
              <w:rPr>
                <w:szCs w:val="18"/>
                <w:lang w:eastAsia="en-AU"/>
              </w:rPr>
              <w:t xml:space="preserve">Abou-Alfa GK, Cheng AL, Meyer T et al. 2014. "Phase 3 randomized, double-blind, controlled study of cabozantinib (XL184) versus placebo in patients with hepatocellular carcinoma who have received prior sorafenib (CELESTIAL; NCT01908426)."  </w:t>
            </w:r>
          </w:p>
        </w:tc>
        <w:tc>
          <w:tcPr>
            <w:tcW w:w="1639" w:type="pct"/>
            <w:tcBorders>
              <w:top w:val="nil"/>
              <w:bottom w:val="nil"/>
            </w:tcBorders>
            <w:vAlign w:val="center"/>
          </w:tcPr>
          <w:p w:rsidR="002B6CEA" w:rsidRDefault="00A97395">
            <w:pPr>
              <w:pStyle w:val="Tabletext"/>
              <w:keepNext/>
              <w:rPr>
                <w:szCs w:val="18"/>
                <w:lang w:eastAsia="en-AU"/>
              </w:rPr>
            </w:pPr>
            <w:r>
              <w:rPr>
                <w:szCs w:val="18"/>
                <w:lang w:eastAsia="en-AU"/>
              </w:rPr>
              <w:t>Journal of Clinical Oncology 2014; 32 (15 SUPPL. 1).</w:t>
            </w:r>
          </w:p>
        </w:tc>
      </w:tr>
      <w:tr w:rsidR="002B6CEA">
        <w:tc>
          <w:tcPr>
            <w:tcW w:w="565" w:type="pct"/>
            <w:vMerge/>
            <w:vAlign w:val="center"/>
          </w:tcPr>
          <w:p w:rsidR="002B6CEA" w:rsidRDefault="002B6CEA">
            <w:pPr>
              <w:pStyle w:val="Tabletext"/>
              <w:keepNext/>
            </w:pPr>
          </w:p>
        </w:tc>
        <w:tc>
          <w:tcPr>
            <w:tcW w:w="2796" w:type="pct"/>
            <w:tcBorders>
              <w:top w:val="nil"/>
              <w:bottom w:val="nil"/>
            </w:tcBorders>
            <w:vAlign w:val="center"/>
          </w:tcPr>
          <w:p w:rsidR="002B6CEA" w:rsidRDefault="00A97395">
            <w:pPr>
              <w:pStyle w:val="Tabletext"/>
              <w:keepNext/>
              <w:rPr>
                <w:szCs w:val="18"/>
                <w:lang w:eastAsia="en-AU"/>
              </w:rPr>
            </w:pPr>
            <w:r>
              <w:rPr>
                <w:szCs w:val="18"/>
                <w:lang w:eastAsia="en-AU"/>
              </w:rPr>
              <w:t xml:space="preserve">Abou-Alfa GK, Cheng, AL, Meyer T et al. Phase 3 randomized, double-blind, controlled study of cabozantinib (XL184) versus placebo in patients with hepatocellular carcinoma who have received prior sorafenib (CELESTIAL; NCT01908426). </w:t>
            </w:r>
          </w:p>
        </w:tc>
        <w:tc>
          <w:tcPr>
            <w:tcW w:w="1639" w:type="pct"/>
            <w:tcBorders>
              <w:top w:val="nil"/>
              <w:bottom w:val="nil"/>
            </w:tcBorders>
            <w:vAlign w:val="center"/>
          </w:tcPr>
          <w:p w:rsidR="002B6CEA" w:rsidRDefault="00A97395">
            <w:pPr>
              <w:pStyle w:val="Tabletext"/>
              <w:keepNext/>
              <w:rPr>
                <w:szCs w:val="18"/>
                <w:lang w:eastAsia="en-AU"/>
              </w:rPr>
            </w:pPr>
            <w:r>
              <w:rPr>
                <w:szCs w:val="18"/>
                <w:lang w:eastAsia="en-AU"/>
              </w:rPr>
              <w:t>Journal of clinical oncology 2015; 33 (3 suppl. 1).</w:t>
            </w:r>
          </w:p>
        </w:tc>
      </w:tr>
      <w:tr w:rsidR="002B6CEA">
        <w:tc>
          <w:tcPr>
            <w:tcW w:w="565" w:type="pct"/>
            <w:vMerge/>
            <w:tcBorders>
              <w:bottom w:val="nil"/>
            </w:tcBorders>
            <w:vAlign w:val="center"/>
          </w:tcPr>
          <w:p w:rsidR="002B6CEA" w:rsidRDefault="002B6CEA">
            <w:pPr>
              <w:pStyle w:val="Tabletext"/>
              <w:keepNext/>
            </w:pPr>
          </w:p>
        </w:tc>
        <w:tc>
          <w:tcPr>
            <w:tcW w:w="2796" w:type="pct"/>
            <w:tcBorders>
              <w:top w:val="nil"/>
              <w:bottom w:val="nil"/>
            </w:tcBorders>
            <w:vAlign w:val="center"/>
          </w:tcPr>
          <w:p w:rsidR="002B6CEA" w:rsidRDefault="00A97395">
            <w:pPr>
              <w:pStyle w:val="Tabletext"/>
              <w:keepNext/>
              <w:rPr>
                <w:szCs w:val="18"/>
                <w:lang w:eastAsia="en-AU"/>
              </w:rPr>
            </w:pPr>
            <w:r>
              <w:rPr>
                <w:rFonts w:cs="Segoe UI"/>
                <w:szCs w:val="20"/>
              </w:rPr>
              <w:t xml:space="preserve">Abou-Alfa GK, Meyer T, Cheng AL et al. Cabozantinib in patients with advanced and progressing hepatocellular carcinoma. </w:t>
            </w:r>
          </w:p>
        </w:tc>
        <w:tc>
          <w:tcPr>
            <w:tcW w:w="1639" w:type="pct"/>
            <w:tcBorders>
              <w:top w:val="nil"/>
              <w:bottom w:val="nil"/>
            </w:tcBorders>
            <w:vAlign w:val="center"/>
          </w:tcPr>
          <w:p w:rsidR="002B6CEA" w:rsidRDefault="00A97395">
            <w:pPr>
              <w:pStyle w:val="Tabletext"/>
              <w:keepNext/>
              <w:rPr>
                <w:szCs w:val="18"/>
                <w:lang w:eastAsia="en-AU"/>
              </w:rPr>
            </w:pPr>
            <w:r>
              <w:rPr>
                <w:rFonts w:cs="Segoe UI"/>
                <w:szCs w:val="20"/>
              </w:rPr>
              <w:t>New England Journal of Medicine 2018, 379(1), 54-63.</w:t>
            </w:r>
          </w:p>
        </w:tc>
      </w:tr>
      <w:tr w:rsidR="002B6CEA">
        <w:tc>
          <w:tcPr>
            <w:tcW w:w="565" w:type="pct"/>
            <w:tcBorders>
              <w:bottom w:val="nil"/>
            </w:tcBorders>
            <w:vAlign w:val="center"/>
          </w:tcPr>
          <w:p w:rsidR="002B6CEA" w:rsidRDefault="002B6CEA">
            <w:pPr>
              <w:pStyle w:val="Tabletext"/>
              <w:keepNext/>
              <w:rPr>
                <w:rFonts w:ascii="Times" w:hAnsi="Times"/>
              </w:rPr>
            </w:pPr>
          </w:p>
        </w:tc>
        <w:tc>
          <w:tcPr>
            <w:tcW w:w="2796" w:type="pct"/>
            <w:tcBorders>
              <w:bottom w:val="nil"/>
            </w:tcBorders>
          </w:tcPr>
          <w:p w:rsidR="002B6CEA" w:rsidRDefault="00A97395">
            <w:pPr>
              <w:pStyle w:val="Tabletext"/>
              <w:keepNext/>
              <w:rPr>
                <w:rFonts w:ascii="Times" w:hAnsi="Times"/>
              </w:rPr>
            </w:pPr>
            <w:r>
              <w:t xml:space="preserve">Bruix, J., Finn, RS, Kudo, M. et al. RESORCE: an ongoing randomized, double-blind, phase III trial of regorafenib (REG) in patients with hepatocellular carcinoma (HCC) progressing on sorafenib (SOR). </w:t>
            </w:r>
          </w:p>
        </w:tc>
        <w:tc>
          <w:tcPr>
            <w:tcW w:w="1639" w:type="pct"/>
            <w:tcBorders>
              <w:bottom w:val="nil"/>
            </w:tcBorders>
            <w:vAlign w:val="center"/>
          </w:tcPr>
          <w:p w:rsidR="002B6CEA" w:rsidRDefault="00A97395">
            <w:pPr>
              <w:pStyle w:val="Tabletext"/>
              <w:keepNext/>
            </w:pPr>
            <w:r>
              <w:t>Journal of clinical oncology 2014; 32 (15 suppl. 1).</w:t>
            </w:r>
          </w:p>
        </w:tc>
      </w:tr>
      <w:tr w:rsidR="002B6CEA">
        <w:tc>
          <w:tcPr>
            <w:tcW w:w="565" w:type="pct"/>
            <w:tcBorders>
              <w:top w:val="nil"/>
              <w:bottom w:val="nil"/>
            </w:tcBorders>
            <w:vAlign w:val="center"/>
          </w:tcPr>
          <w:p w:rsidR="002B6CEA" w:rsidRDefault="00A97395">
            <w:pPr>
              <w:pStyle w:val="Tabletext"/>
              <w:keepNext/>
            </w:pPr>
            <w:r>
              <w:t>RESORCE</w:t>
            </w:r>
          </w:p>
        </w:tc>
        <w:tc>
          <w:tcPr>
            <w:tcW w:w="2796" w:type="pct"/>
            <w:tcBorders>
              <w:top w:val="nil"/>
              <w:bottom w:val="nil"/>
            </w:tcBorders>
            <w:vAlign w:val="center"/>
          </w:tcPr>
          <w:p w:rsidR="002B6CEA" w:rsidRDefault="00A97395">
            <w:pPr>
              <w:pStyle w:val="Tabletext"/>
              <w:keepNext/>
              <w:rPr>
                <w:szCs w:val="18"/>
              </w:rPr>
            </w:pPr>
            <w:r>
              <w:t>Solms, A., Reinecke, I., Fiala-Buskies, S. et al. "Exposure-response relationship of regorafenib efficacy in patients with hepatocellular carcinoma."  http://dx.doi.org/10.1016/j.ejps.2017.05.050.</w:t>
            </w:r>
          </w:p>
        </w:tc>
        <w:tc>
          <w:tcPr>
            <w:tcW w:w="1639" w:type="pct"/>
            <w:tcBorders>
              <w:top w:val="nil"/>
              <w:bottom w:val="nil"/>
            </w:tcBorders>
            <w:vAlign w:val="center"/>
          </w:tcPr>
          <w:p w:rsidR="002B6CEA" w:rsidRDefault="00A97395">
            <w:pPr>
              <w:pStyle w:val="Tabletext"/>
              <w:keepNext/>
            </w:pPr>
            <w:r>
              <w:t xml:space="preserve">European Journal of Pharmaceutical Sciences 2017; 109 (Supplement): S149-S153. </w:t>
            </w:r>
          </w:p>
        </w:tc>
      </w:tr>
      <w:tr w:rsidR="002B6CEA">
        <w:tc>
          <w:tcPr>
            <w:tcW w:w="565" w:type="pct"/>
            <w:tcBorders>
              <w:top w:val="nil"/>
              <w:bottom w:val="nil"/>
            </w:tcBorders>
            <w:vAlign w:val="center"/>
          </w:tcPr>
          <w:p w:rsidR="002B6CEA" w:rsidRDefault="002B6CEA">
            <w:pPr>
              <w:pStyle w:val="Tabletext"/>
              <w:keepNext/>
            </w:pPr>
          </w:p>
        </w:tc>
        <w:tc>
          <w:tcPr>
            <w:tcW w:w="2796" w:type="pct"/>
            <w:tcBorders>
              <w:top w:val="nil"/>
              <w:bottom w:val="nil"/>
            </w:tcBorders>
            <w:vAlign w:val="center"/>
          </w:tcPr>
          <w:p w:rsidR="002B6CEA" w:rsidRDefault="00A97395">
            <w:pPr>
              <w:pStyle w:val="Tabletext"/>
              <w:keepNext/>
              <w:rPr>
                <w:szCs w:val="18"/>
              </w:rPr>
            </w:pPr>
            <w:r>
              <w:t xml:space="preserve">Bruix, J., Qin, S., Merle, P. et al. "Regorafenib for patients with hepatocellular carcinoma who progressed on sorafenib treatment (RESORCE): a randomised, double-blind, placebo-controlled, phase 3 trial."  </w:t>
            </w:r>
          </w:p>
        </w:tc>
        <w:tc>
          <w:tcPr>
            <w:tcW w:w="1639" w:type="pct"/>
            <w:tcBorders>
              <w:top w:val="nil"/>
              <w:bottom w:val="nil"/>
            </w:tcBorders>
            <w:vAlign w:val="center"/>
          </w:tcPr>
          <w:p w:rsidR="002B6CEA" w:rsidRDefault="00A97395">
            <w:pPr>
              <w:pStyle w:val="Tabletext"/>
              <w:keepNext/>
              <w:rPr>
                <w:rFonts w:ascii="Times" w:hAnsi="Times"/>
              </w:rPr>
            </w:pPr>
            <w:r>
              <w:t xml:space="preserve">The Lancet 2017; 389 (10064):56-66. </w:t>
            </w:r>
          </w:p>
        </w:tc>
      </w:tr>
      <w:tr w:rsidR="002B6CEA">
        <w:tc>
          <w:tcPr>
            <w:tcW w:w="565" w:type="pct"/>
            <w:tcBorders>
              <w:top w:val="nil"/>
              <w:bottom w:val="nil"/>
            </w:tcBorders>
            <w:vAlign w:val="center"/>
          </w:tcPr>
          <w:p w:rsidR="002B6CEA" w:rsidRDefault="002B6CEA">
            <w:pPr>
              <w:pStyle w:val="Tabletext"/>
              <w:keepNext/>
            </w:pPr>
          </w:p>
        </w:tc>
        <w:tc>
          <w:tcPr>
            <w:tcW w:w="2796" w:type="pct"/>
            <w:tcBorders>
              <w:top w:val="nil"/>
              <w:bottom w:val="nil"/>
            </w:tcBorders>
            <w:vAlign w:val="center"/>
          </w:tcPr>
          <w:p w:rsidR="002B6CEA" w:rsidRDefault="00A97395">
            <w:pPr>
              <w:pStyle w:val="Tabletext"/>
              <w:keepNext/>
            </w:pPr>
            <w:r>
              <w:t xml:space="preserve">Anonymous. Erratum: regorafenib for patients with hepatocellular carcinoma who progressed on sorafenib treatment (RESORCE): a randomised, double-blind, placebo-controlled, phase 3 trial </w:t>
            </w:r>
          </w:p>
        </w:tc>
        <w:tc>
          <w:tcPr>
            <w:tcW w:w="1639" w:type="pct"/>
            <w:tcBorders>
              <w:top w:val="nil"/>
              <w:bottom w:val="nil"/>
            </w:tcBorders>
            <w:vAlign w:val="center"/>
          </w:tcPr>
          <w:p w:rsidR="002B6CEA" w:rsidRDefault="00A97395">
            <w:pPr>
              <w:pStyle w:val="Tabletext"/>
              <w:keepNext/>
              <w:rPr>
                <w:szCs w:val="18"/>
              </w:rPr>
            </w:pPr>
            <w:r>
              <w:t>The Lancet 2017; 389 (10064):36.</w:t>
            </w:r>
          </w:p>
        </w:tc>
      </w:tr>
      <w:tr w:rsidR="002B6CEA">
        <w:tc>
          <w:tcPr>
            <w:tcW w:w="565" w:type="pct"/>
            <w:tcBorders>
              <w:top w:val="nil"/>
              <w:bottom w:val="single" w:sz="4" w:space="0" w:color="auto"/>
            </w:tcBorders>
            <w:vAlign w:val="center"/>
          </w:tcPr>
          <w:p w:rsidR="002B6CEA" w:rsidRDefault="002B6CEA">
            <w:pPr>
              <w:pStyle w:val="Tabletext"/>
              <w:keepNext/>
            </w:pPr>
          </w:p>
        </w:tc>
        <w:tc>
          <w:tcPr>
            <w:tcW w:w="2796" w:type="pct"/>
            <w:tcBorders>
              <w:top w:val="nil"/>
              <w:bottom w:val="single" w:sz="4" w:space="0" w:color="auto"/>
            </w:tcBorders>
            <w:vAlign w:val="center"/>
          </w:tcPr>
          <w:p w:rsidR="002B6CEA" w:rsidRDefault="00A97395">
            <w:pPr>
              <w:pStyle w:val="Tabletext"/>
              <w:keepNext/>
            </w:pPr>
            <w:r>
              <w:t xml:space="preserve">Finn, R. S., Merle, P., Granito, A. et al. "Outcomes of sequential treatment with sorafenib followed by regorafenib for HCC: Additional analyses from the phase III RESORCE trial." </w:t>
            </w:r>
          </w:p>
        </w:tc>
        <w:tc>
          <w:tcPr>
            <w:tcW w:w="1639" w:type="pct"/>
            <w:tcBorders>
              <w:top w:val="nil"/>
              <w:bottom w:val="single" w:sz="4" w:space="0" w:color="auto"/>
            </w:tcBorders>
            <w:vAlign w:val="center"/>
          </w:tcPr>
          <w:p w:rsidR="002B6CEA" w:rsidRDefault="00A97395">
            <w:pPr>
              <w:pStyle w:val="Tabletext"/>
              <w:keepNext/>
              <w:rPr>
                <w:szCs w:val="18"/>
              </w:rPr>
            </w:pPr>
            <w:r>
              <w:t>J Hepatology 2018; 69 (2), 353-358.</w:t>
            </w:r>
          </w:p>
        </w:tc>
      </w:tr>
    </w:tbl>
    <w:p w:rsidR="002B6CEA" w:rsidRDefault="00A97395">
      <w:pPr>
        <w:pStyle w:val="TableFooter"/>
        <w:rPr>
          <w:sz w:val="20"/>
        </w:rPr>
      </w:pPr>
      <w:r>
        <w:t>Source: Table 2-2, P. 48 of the submission.</w:t>
      </w:r>
    </w:p>
    <w:p w:rsidR="002B6CEA" w:rsidRDefault="002B6CEA">
      <w:pPr>
        <w:rPr>
          <w:rStyle w:val="CommentReference"/>
        </w:rPr>
      </w:pPr>
    </w:p>
    <w:p w:rsidR="002B6CEA" w:rsidRDefault="00A97395">
      <w:pPr>
        <w:pStyle w:val="ListParagraph"/>
        <w:widowControl/>
        <w:numPr>
          <w:ilvl w:val="1"/>
          <w:numId w:val="2"/>
        </w:numPr>
      </w:pPr>
      <w:r>
        <w:t xml:space="preserve">The key features of the CELESTIAL and RESORCE trials are summarised in Table 3. </w:t>
      </w:r>
    </w:p>
    <w:p w:rsidR="00A52629" w:rsidRPr="00A52629" w:rsidRDefault="00A52629" w:rsidP="00A52629">
      <w:pPr>
        <w:keepNext/>
        <w:keepLines/>
        <w:widowControl/>
        <w:rPr>
          <w:rStyle w:val="CommentReference"/>
        </w:rPr>
      </w:pPr>
      <w:r w:rsidRPr="00A52629">
        <w:rPr>
          <w:rStyle w:val="CommentReference"/>
        </w:rPr>
        <w:t xml:space="preserve">Table </w:t>
      </w:r>
      <w:r w:rsidRPr="00A52629">
        <w:rPr>
          <w:rStyle w:val="CommentReference"/>
        </w:rPr>
        <w:fldChar w:fldCharType="begin"/>
      </w:r>
      <w:r w:rsidRPr="00A52629">
        <w:rPr>
          <w:rStyle w:val="CommentReference"/>
        </w:rPr>
        <w:instrText xml:space="preserve"> SEQ Table \* ARABIC </w:instrText>
      </w:r>
      <w:r w:rsidRPr="00A52629">
        <w:rPr>
          <w:rStyle w:val="CommentReference"/>
        </w:rPr>
        <w:fldChar w:fldCharType="separate"/>
      </w:r>
      <w:r w:rsidR="00310C38">
        <w:rPr>
          <w:rStyle w:val="CommentReference"/>
          <w:noProof/>
        </w:rPr>
        <w:t>3</w:t>
      </w:r>
      <w:r w:rsidRPr="00A52629">
        <w:rPr>
          <w:rStyle w:val="CommentReference"/>
        </w:rPr>
        <w:fldChar w:fldCharType="end"/>
      </w:r>
      <w:r w:rsidRPr="00A52629">
        <w:rPr>
          <w:rStyle w:val="CommentReference"/>
        </w:rPr>
        <w:t>: Key features of the included evidence – indirect comparison</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 indirect comparison"/>
      </w:tblPr>
      <w:tblGrid>
        <w:gridCol w:w="1292"/>
        <w:gridCol w:w="841"/>
        <w:gridCol w:w="1407"/>
        <w:gridCol w:w="1115"/>
        <w:gridCol w:w="1539"/>
        <w:gridCol w:w="1131"/>
        <w:gridCol w:w="1569"/>
      </w:tblGrid>
      <w:tr w:rsidR="002B6CEA">
        <w:trPr>
          <w:tblHeader/>
        </w:trPr>
        <w:tc>
          <w:tcPr>
            <w:tcW w:w="726" w:type="pct"/>
            <w:shd w:val="clear" w:color="auto" w:fill="auto"/>
            <w:vAlign w:val="center"/>
          </w:tcPr>
          <w:p w:rsidR="002B6CEA" w:rsidRDefault="00A97395">
            <w:pPr>
              <w:pStyle w:val="Tabletext"/>
              <w:keepNext/>
              <w:keepLines/>
              <w:rPr>
                <w:b/>
              </w:rPr>
            </w:pPr>
            <w:r>
              <w:rPr>
                <w:b/>
              </w:rPr>
              <w:t>Trial</w:t>
            </w:r>
          </w:p>
        </w:tc>
        <w:tc>
          <w:tcPr>
            <w:tcW w:w="473" w:type="pct"/>
            <w:shd w:val="clear" w:color="auto" w:fill="auto"/>
            <w:vAlign w:val="center"/>
          </w:tcPr>
          <w:p w:rsidR="002B6CEA" w:rsidRDefault="00A97395">
            <w:pPr>
              <w:pStyle w:val="Tabletext"/>
              <w:keepNext/>
              <w:keepLines/>
              <w:jc w:val="center"/>
              <w:rPr>
                <w:b/>
              </w:rPr>
            </w:pPr>
            <w:r>
              <w:rPr>
                <w:b/>
              </w:rPr>
              <w:t>N</w:t>
            </w:r>
          </w:p>
        </w:tc>
        <w:tc>
          <w:tcPr>
            <w:tcW w:w="791" w:type="pct"/>
            <w:shd w:val="clear" w:color="auto" w:fill="auto"/>
            <w:vAlign w:val="center"/>
          </w:tcPr>
          <w:p w:rsidR="002B6CEA" w:rsidRDefault="00A97395">
            <w:pPr>
              <w:pStyle w:val="Tabletext"/>
              <w:keepNext/>
              <w:keepLines/>
              <w:jc w:val="center"/>
              <w:rPr>
                <w:b/>
              </w:rPr>
            </w:pPr>
            <w:r>
              <w:rPr>
                <w:b/>
              </w:rPr>
              <w:t>Design/ duration</w:t>
            </w:r>
          </w:p>
        </w:tc>
        <w:tc>
          <w:tcPr>
            <w:tcW w:w="627" w:type="pct"/>
            <w:shd w:val="clear" w:color="auto" w:fill="auto"/>
            <w:vAlign w:val="center"/>
          </w:tcPr>
          <w:p w:rsidR="002B6CEA" w:rsidRDefault="00A97395">
            <w:pPr>
              <w:pStyle w:val="Tabletext"/>
              <w:keepNext/>
              <w:keepLines/>
              <w:jc w:val="center"/>
              <w:rPr>
                <w:b/>
              </w:rPr>
            </w:pPr>
            <w:r>
              <w:rPr>
                <w:b/>
              </w:rPr>
              <w:t>Risk of bias</w:t>
            </w:r>
          </w:p>
        </w:tc>
        <w:tc>
          <w:tcPr>
            <w:tcW w:w="865" w:type="pct"/>
            <w:shd w:val="clear" w:color="auto" w:fill="auto"/>
            <w:vAlign w:val="center"/>
          </w:tcPr>
          <w:p w:rsidR="002B6CEA" w:rsidRDefault="00A97395">
            <w:pPr>
              <w:pStyle w:val="Tabletext"/>
              <w:keepNext/>
              <w:keepLines/>
              <w:jc w:val="center"/>
              <w:rPr>
                <w:b/>
              </w:rPr>
            </w:pPr>
            <w:r>
              <w:rPr>
                <w:b/>
              </w:rPr>
              <w:t>Patient population</w:t>
            </w:r>
          </w:p>
        </w:tc>
        <w:tc>
          <w:tcPr>
            <w:tcW w:w="636" w:type="pct"/>
            <w:shd w:val="clear" w:color="auto" w:fill="auto"/>
            <w:vAlign w:val="center"/>
          </w:tcPr>
          <w:p w:rsidR="002B6CEA" w:rsidRDefault="00A97395">
            <w:pPr>
              <w:pStyle w:val="Tabletext"/>
              <w:keepNext/>
              <w:keepLines/>
              <w:jc w:val="center"/>
              <w:rPr>
                <w:b/>
              </w:rPr>
            </w:pPr>
            <w:r>
              <w:rPr>
                <w:b/>
              </w:rPr>
              <w:t>Outcomes</w:t>
            </w:r>
          </w:p>
        </w:tc>
        <w:tc>
          <w:tcPr>
            <w:tcW w:w="882" w:type="pct"/>
            <w:shd w:val="clear" w:color="auto" w:fill="auto"/>
            <w:vAlign w:val="center"/>
          </w:tcPr>
          <w:p w:rsidR="002B6CEA" w:rsidRDefault="00A97395">
            <w:pPr>
              <w:pStyle w:val="Tabletext"/>
              <w:keepNext/>
              <w:keepLines/>
              <w:jc w:val="center"/>
              <w:rPr>
                <w:b/>
              </w:rPr>
            </w:pPr>
            <w:r>
              <w:rPr>
                <w:b/>
              </w:rPr>
              <w:t>Use in modelled evaluation</w:t>
            </w:r>
          </w:p>
        </w:tc>
      </w:tr>
      <w:tr w:rsidR="002B6CEA">
        <w:tc>
          <w:tcPr>
            <w:tcW w:w="5000" w:type="pct"/>
            <w:gridSpan w:val="7"/>
            <w:shd w:val="clear" w:color="auto" w:fill="auto"/>
            <w:vAlign w:val="center"/>
          </w:tcPr>
          <w:p w:rsidR="002B6CEA" w:rsidRDefault="00A97395">
            <w:pPr>
              <w:pStyle w:val="Tabletext"/>
              <w:keepNext/>
              <w:keepLines/>
              <w:rPr>
                <w:b/>
              </w:rPr>
            </w:pPr>
            <w:r>
              <w:rPr>
                <w:b/>
              </w:rPr>
              <w:t>Cabozantinib vs. BSC</w:t>
            </w:r>
          </w:p>
        </w:tc>
      </w:tr>
      <w:tr w:rsidR="002B6CEA">
        <w:tc>
          <w:tcPr>
            <w:tcW w:w="726" w:type="pct"/>
            <w:shd w:val="clear" w:color="auto" w:fill="auto"/>
            <w:vAlign w:val="center"/>
          </w:tcPr>
          <w:p w:rsidR="002B6CEA" w:rsidRDefault="00A97395">
            <w:pPr>
              <w:pStyle w:val="Tabletext"/>
              <w:keepNext/>
              <w:keepLines/>
            </w:pPr>
            <w:r>
              <w:t>Abou-Alfa 2018</w:t>
            </w:r>
          </w:p>
        </w:tc>
        <w:tc>
          <w:tcPr>
            <w:tcW w:w="473" w:type="pct"/>
            <w:shd w:val="clear" w:color="auto" w:fill="auto"/>
            <w:vAlign w:val="center"/>
          </w:tcPr>
          <w:p w:rsidR="002B6CEA" w:rsidRDefault="00A97395">
            <w:pPr>
              <w:pStyle w:val="Tabletext"/>
              <w:keepNext/>
              <w:keepLines/>
              <w:jc w:val="center"/>
            </w:pPr>
            <w:r>
              <w:t>707</w:t>
            </w:r>
          </w:p>
        </w:tc>
        <w:tc>
          <w:tcPr>
            <w:tcW w:w="791" w:type="pct"/>
            <w:shd w:val="clear" w:color="auto" w:fill="auto"/>
            <w:vAlign w:val="center"/>
          </w:tcPr>
          <w:p w:rsidR="002B6CEA" w:rsidRDefault="00A97395">
            <w:pPr>
              <w:pStyle w:val="Tabletext"/>
              <w:keepNext/>
              <w:keepLines/>
              <w:jc w:val="center"/>
            </w:pPr>
            <w:r>
              <w:t>R, DB, MC</w:t>
            </w:r>
          </w:p>
          <w:p w:rsidR="002B6CEA" w:rsidRDefault="00A97395">
            <w:pPr>
              <w:pStyle w:val="Tabletext"/>
              <w:keepNext/>
              <w:keepLines/>
              <w:jc w:val="center"/>
            </w:pPr>
            <w:r>
              <w:t>22.9 m</w:t>
            </w:r>
          </w:p>
        </w:tc>
        <w:tc>
          <w:tcPr>
            <w:tcW w:w="627" w:type="pct"/>
            <w:shd w:val="clear" w:color="auto" w:fill="auto"/>
            <w:vAlign w:val="center"/>
          </w:tcPr>
          <w:p w:rsidR="002B6CEA" w:rsidRDefault="00A97395">
            <w:pPr>
              <w:pStyle w:val="Tabletext"/>
              <w:keepNext/>
              <w:keepLines/>
              <w:jc w:val="center"/>
            </w:pPr>
            <w:r>
              <w:t>Low</w:t>
            </w:r>
          </w:p>
        </w:tc>
        <w:tc>
          <w:tcPr>
            <w:tcW w:w="865" w:type="pct"/>
            <w:shd w:val="clear" w:color="auto" w:fill="auto"/>
            <w:vAlign w:val="center"/>
          </w:tcPr>
          <w:p w:rsidR="002B6CEA" w:rsidRDefault="00A97395">
            <w:pPr>
              <w:pStyle w:val="Tabletext"/>
              <w:keepNext/>
              <w:keepLines/>
              <w:jc w:val="center"/>
            </w:pPr>
            <w:r>
              <w:t>Progressed on sorafenib</w:t>
            </w:r>
          </w:p>
        </w:tc>
        <w:tc>
          <w:tcPr>
            <w:tcW w:w="636" w:type="pct"/>
            <w:shd w:val="clear" w:color="auto" w:fill="auto"/>
            <w:vAlign w:val="center"/>
          </w:tcPr>
          <w:p w:rsidR="002B6CEA" w:rsidRDefault="00A97395">
            <w:pPr>
              <w:pStyle w:val="Tabletext"/>
              <w:keepNext/>
              <w:keepLines/>
              <w:jc w:val="center"/>
            </w:pPr>
            <w:r>
              <w:t>OS, PFS, ORR</w:t>
            </w:r>
          </w:p>
        </w:tc>
        <w:tc>
          <w:tcPr>
            <w:tcW w:w="882" w:type="pct"/>
            <w:shd w:val="clear" w:color="auto" w:fill="auto"/>
            <w:vAlign w:val="center"/>
          </w:tcPr>
          <w:p w:rsidR="002B6CEA" w:rsidRDefault="00A97395">
            <w:pPr>
              <w:pStyle w:val="Tabletext"/>
              <w:keepNext/>
              <w:keepLines/>
              <w:jc w:val="center"/>
            </w:pPr>
            <w:r>
              <w:t>OS, PFS</w:t>
            </w:r>
          </w:p>
        </w:tc>
      </w:tr>
      <w:tr w:rsidR="002B6CEA">
        <w:tc>
          <w:tcPr>
            <w:tcW w:w="5000" w:type="pct"/>
            <w:gridSpan w:val="7"/>
            <w:shd w:val="clear" w:color="auto" w:fill="auto"/>
            <w:vAlign w:val="center"/>
          </w:tcPr>
          <w:p w:rsidR="002B6CEA" w:rsidRDefault="00A97395">
            <w:pPr>
              <w:pStyle w:val="Tabletext"/>
              <w:keepNext/>
              <w:keepLines/>
              <w:rPr>
                <w:b/>
              </w:rPr>
            </w:pPr>
            <w:r>
              <w:rPr>
                <w:b/>
              </w:rPr>
              <w:t>Regorafenib vs. BSC</w:t>
            </w:r>
          </w:p>
        </w:tc>
      </w:tr>
      <w:tr w:rsidR="002B6CEA">
        <w:tc>
          <w:tcPr>
            <w:tcW w:w="726" w:type="pct"/>
            <w:shd w:val="clear" w:color="auto" w:fill="auto"/>
            <w:vAlign w:val="center"/>
          </w:tcPr>
          <w:p w:rsidR="002B6CEA" w:rsidRDefault="00A97395">
            <w:pPr>
              <w:pStyle w:val="Tabletext"/>
              <w:keepNext/>
              <w:keepLines/>
            </w:pPr>
            <w:r>
              <w:t>Bruix 2017</w:t>
            </w:r>
          </w:p>
        </w:tc>
        <w:tc>
          <w:tcPr>
            <w:tcW w:w="473" w:type="pct"/>
            <w:shd w:val="clear" w:color="auto" w:fill="auto"/>
            <w:vAlign w:val="center"/>
          </w:tcPr>
          <w:p w:rsidR="002B6CEA" w:rsidRDefault="00A97395">
            <w:pPr>
              <w:pStyle w:val="Tabletext"/>
              <w:keepNext/>
              <w:keepLines/>
              <w:jc w:val="center"/>
            </w:pPr>
            <w:r>
              <w:t>573</w:t>
            </w:r>
          </w:p>
        </w:tc>
        <w:tc>
          <w:tcPr>
            <w:tcW w:w="791" w:type="pct"/>
            <w:shd w:val="clear" w:color="auto" w:fill="auto"/>
            <w:vAlign w:val="center"/>
          </w:tcPr>
          <w:p w:rsidR="002B6CEA" w:rsidRDefault="00A97395">
            <w:pPr>
              <w:pStyle w:val="Tabletext"/>
              <w:keepNext/>
              <w:keepLines/>
              <w:jc w:val="center"/>
            </w:pPr>
            <w:r>
              <w:t>R, DB, MC</w:t>
            </w:r>
          </w:p>
          <w:p w:rsidR="002B6CEA" w:rsidRDefault="00A97395">
            <w:pPr>
              <w:pStyle w:val="Tabletext"/>
              <w:keepNext/>
              <w:keepLines/>
              <w:jc w:val="center"/>
            </w:pPr>
            <w:r>
              <w:t>33 months</w:t>
            </w:r>
          </w:p>
        </w:tc>
        <w:tc>
          <w:tcPr>
            <w:tcW w:w="627" w:type="pct"/>
            <w:shd w:val="clear" w:color="auto" w:fill="auto"/>
            <w:vAlign w:val="center"/>
          </w:tcPr>
          <w:p w:rsidR="002B6CEA" w:rsidRDefault="00A97395">
            <w:pPr>
              <w:pStyle w:val="Tabletext"/>
              <w:keepNext/>
              <w:keepLines/>
              <w:jc w:val="center"/>
            </w:pPr>
            <w:r>
              <w:t>Low</w:t>
            </w:r>
          </w:p>
        </w:tc>
        <w:tc>
          <w:tcPr>
            <w:tcW w:w="865" w:type="pct"/>
            <w:shd w:val="clear" w:color="auto" w:fill="auto"/>
            <w:vAlign w:val="center"/>
          </w:tcPr>
          <w:p w:rsidR="002B6CEA" w:rsidRDefault="00A97395">
            <w:pPr>
              <w:pStyle w:val="Tabletext"/>
              <w:keepNext/>
              <w:keepLines/>
              <w:jc w:val="center"/>
            </w:pPr>
            <w:r>
              <w:t>Progressed on</w:t>
            </w:r>
            <w:r>
              <w:rPr>
                <w:vertAlign w:val="superscript"/>
              </w:rPr>
              <w:t>a</w:t>
            </w:r>
            <w:r>
              <w:t xml:space="preserve"> and tolerant</w:t>
            </w:r>
            <w:r>
              <w:rPr>
                <w:vertAlign w:val="superscript"/>
              </w:rPr>
              <w:t>b</w:t>
            </w:r>
            <w:r>
              <w:t xml:space="preserve"> to sorafenib.</w:t>
            </w:r>
          </w:p>
        </w:tc>
        <w:tc>
          <w:tcPr>
            <w:tcW w:w="636" w:type="pct"/>
            <w:shd w:val="clear" w:color="auto" w:fill="auto"/>
            <w:vAlign w:val="center"/>
          </w:tcPr>
          <w:p w:rsidR="002B6CEA" w:rsidRDefault="00A97395">
            <w:pPr>
              <w:pStyle w:val="Tabletext"/>
              <w:keepNext/>
              <w:keepLines/>
              <w:jc w:val="center"/>
            </w:pPr>
            <w:r>
              <w:t>OS, PFS, ORR</w:t>
            </w:r>
          </w:p>
        </w:tc>
        <w:tc>
          <w:tcPr>
            <w:tcW w:w="882" w:type="pct"/>
            <w:shd w:val="clear" w:color="auto" w:fill="auto"/>
            <w:vAlign w:val="center"/>
          </w:tcPr>
          <w:p w:rsidR="002B6CEA" w:rsidRDefault="00A97395">
            <w:pPr>
              <w:pStyle w:val="Tabletext"/>
              <w:keepNext/>
              <w:keepLines/>
              <w:jc w:val="center"/>
            </w:pPr>
            <w:r>
              <w:t>Not used</w:t>
            </w:r>
          </w:p>
        </w:tc>
      </w:tr>
    </w:tbl>
    <w:p w:rsidR="002B6CEA" w:rsidRDefault="00A97395">
      <w:pPr>
        <w:pStyle w:val="TableFooter"/>
        <w:keepNext/>
        <w:keepLines/>
        <w:widowControl/>
        <w:rPr>
          <w:szCs w:val="18"/>
        </w:rPr>
      </w:pPr>
      <w:r>
        <w:rPr>
          <w:szCs w:val="18"/>
        </w:rPr>
        <w:t xml:space="preserve">Abbreviations: BSC= best supportive care; DB= double blind; MC= multi-centre; OL= open label; ORR= objective response rate; OS= overall survival; PFS= progression-free survival; R= randomised. </w:t>
      </w:r>
    </w:p>
    <w:p w:rsidR="002B6CEA" w:rsidRDefault="00A97395">
      <w:pPr>
        <w:pStyle w:val="TableFooter"/>
        <w:keepNext/>
        <w:keepLines/>
        <w:widowControl/>
        <w:rPr>
          <w:szCs w:val="18"/>
        </w:rPr>
      </w:pPr>
      <w:r>
        <w:rPr>
          <w:szCs w:val="18"/>
        </w:rPr>
        <w:t xml:space="preserve">Note: </w:t>
      </w:r>
      <w:r>
        <w:rPr>
          <w:szCs w:val="18"/>
          <w:vertAlign w:val="superscript"/>
        </w:rPr>
        <w:t>a</w:t>
      </w:r>
      <w:r>
        <w:rPr>
          <w:szCs w:val="18"/>
        </w:rPr>
        <w:t>Patients</w:t>
      </w:r>
      <w:r>
        <w:rPr>
          <w:szCs w:val="18"/>
          <w:vertAlign w:val="superscript"/>
        </w:rPr>
        <w:t xml:space="preserve"> </w:t>
      </w:r>
      <w:r>
        <w:rPr>
          <w:szCs w:val="18"/>
        </w:rPr>
        <w:t xml:space="preserve">had to have received their last sorafenib dose within 10 weeks of randomisation. </w:t>
      </w:r>
      <w:r>
        <w:rPr>
          <w:szCs w:val="18"/>
          <w:vertAlign w:val="superscript"/>
        </w:rPr>
        <w:t>b</w:t>
      </w:r>
      <w:r>
        <w:rPr>
          <w:szCs w:val="18"/>
        </w:rPr>
        <w:t xml:space="preserve">Patients were considered tolerant if they had received sorafenib at a minimum dose of 400 mg/day for more than 20 days. </w:t>
      </w:r>
    </w:p>
    <w:p w:rsidR="002B6CEA" w:rsidRDefault="002B6CEA"/>
    <w:p w:rsidR="002B6CEA" w:rsidRDefault="00A97395">
      <w:pPr>
        <w:pStyle w:val="ListParagraph"/>
        <w:numPr>
          <w:ilvl w:val="1"/>
          <w:numId w:val="2"/>
        </w:numPr>
      </w:pPr>
      <w:r>
        <w:lastRenderedPageBreak/>
        <w:t>Both trial designs had a low risk of bias. CELESTIAL allowed patients to continue treatment beyond progression. Post-progression treatment in the CELESTIAL trial occurred in 20% of patients with an interval of 28 days from documentation of disease progression to treatment discontinuation. The proportion of patients who progressed but were permitted to continue treatment beyond 28 days from disease progression with cabozantinib could not be located within the submission or its supporting documents. The proposed PBS listing limits ongoing therapy to those without progression. The ESC considered that the impact on survival of treatment beyond progression is likely to be minimal.</w:t>
      </w:r>
    </w:p>
    <w:p w:rsidR="002B6CEA" w:rsidRDefault="00A97395">
      <w:pPr>
        <w:pStyle w:val="Heading2"/>
        <w:spacing w:after="120"/>
        <w:rPr>
          <w:b w:val="0"/>
          <w:i w:val="0"/>
        </w:rPr>
      </w:pPr>
      <w:bookmarkStart w:id="7" w:name="_Toc9419752"/>
      <w:r>
        <w:t>Comparative effectiveness</w:t>
      </w:r>
      <w:bookmarkEnd w:id="7"/>
    </w:p>
    <w:p w:rsidR="002B6CEA" w:rsidRDefault="00A97395">
      <w:r>
        <w:rPr>
          <w:u w:val="single"/>
        </w:rPr>
        <w:t>Cabozantinib vs. BSC</w:t>
      </w:r>
    </w:p>
    <w:p w:rsidR="002B6CEA" w:rsidRDefault="00A97395">
      <w:pPr>
        <w:pStyle w:val="ListParagraph"/>
        <w:widowControl/>
        <w:numPr>
          <w:ilvl w:val="1"/>
          <w:numId w:val="2"/>
        </w:numPr>
        <w:rPr>
          <w:color w:val="3366FF"/>
        </w:rPr>
      </w:pPr>
      <w:r>
        <w:rPr>
          <w:rFonts w:cs="Calibri"/>
          <w:snapToGrid/>
          <w:szCs w:val="24"/>
          <w:lang w:eastAsia="en-AU"/>
        </w:rPr>
        <w:t xml:space="preserve">A significant increase in terms of OS and PFS was observed for cabozantinib compared to BSC. </w:t>
      </w:r>
    </w:p>
    <w:p w:rsidR="002B6CEA" w:rsidRDefault="00A97395">
      <w:pPr>
        <w:pStyle w:val="ListParagraph"/>
        <w:widowControl/>
        <w:numPr>
          <w:ilvl w:val="1"/>
          <w:numId w:val="2"/>
        </w:numPr>
        <w:rPr>
          <w:color w:val="3366FF"/>
        </w:rPr>
      </w:pPr>
      <w:r>
        <w:rPr>
          <w:rFonts w:cs="Calibri"/>
          <w:snapToGrid/>
          <w:szCs w:val="24"/>
          <w:lang w:eastAsia="en-AU"/>
        </w:rPr>
        <w:t xml:space="preserve">The estimated OS HR=0.76 (95% CI 0.63, 0.92). The Kaplan-Meier curves for OS (Figure 1) showed that at approximately month 34 the curves converged and cross soon thereafter. At this time point the number of patients at risk was very low, complicating the interpretation of any OS difference after that point. </w:t>
      </w:r>
    </w:p>
    <w:p w:rsidR="002B6CEA" w:rsidRDefault="00A97395">
      <w:pPr>
        <w:pStyle w:val="ListParagraph"/>
        <w:widowControl/>
        <w:numPr>
          <w:ilvl w:val="1"/>
          <w:numId w:val="2"/>
        </w:numPr>
        <w:rPr>
          <w:color w:val="3366FF"/>
        </w:rPr>
      </w:pPr>
      <w:r>
        <w:rPr>
          <w:rFonts w:cs="Calibri"/>
          <w:snapToGrid/>
          <w:szCs w:val="24"/>
          <w:lang w:eastAsia="en-AU"/>
        </w:rPr>
        <w:t xml:space="preserve">The results for CELESTIAL showed a difference in PFS in favour of cabozantinib with HR=0.44 (95% CI 0.36, 0.52). The primary analysis for PFS showed that patients treated with cabozantinib were more likely to die without progressing compared to BSC (14% versus 8% respectively), but the difference was not statistically significant. </w:t>
      </w:r>
    </w:p>
    <w:p w:rsidR="002B6CEA" w:rsidRDefault="00A97395">
      <w:pPr>
        <w:pStyle w:val="ListParagraph"/>
        <w:widowControl/>
        <w:numPr>
          <w:ilvl w:val="1"/>
          <w:numId w:val="2"/>
        </w:numPr>
        <w:rPr>
          <w:color w:val="3366FF"/>
        </w:rPr>
      </w:pPr>
      <w:r>
        <w:rPr>
          <w:rFonts w:cs="Calibri"/>
          <w:snapToGrid/>
          <w:szCs w:val="24"/>
          <w:lang w:eastAsia="en-AU"/>
        </w:rPr>
        <w:t>The results for OS and PFS in CELESTIAL are shown in Table 4. The Kaplan-Meier plot for OS is shown in Figure 1.</w:t>
      </w:r>
    </w:p>
    <w:p w:rsidR="00A52629" w:rsidRPr="00A52629" w:rsidRDefault="00A52629" w:rsidP="00A52629">
      <w:pPr>
        <w:keepNext/>
        <w:keepLines/>
        <w:rPr>
          <w:rFonts w:ascii="Arial Narrow" w:hAnsi="Arial Narrow"/>
          <w:b/>
          <w:sz w:val="20"/>
          <w:szCs w:val="16"/>
        </w:rPr>
      </w:pPr>
      <w:r w:rsidRPr="00A52629">
        <w:rPr>
          <w:rFonts w:ascii="Arial Narrow" w:hAnsi="Arial Narrow"/>
          <w:b/>
          <w:sz w:val="20"/>
          <w:szCs w:val="16"/>
        </w:rPr>
        <w:t xml:space="preserve">Table </w:t>
      </w:r>
      <w:r w:rsidRPr="00A52629">
        <w:rPr>
          <w:rFonts w:ascii="Arial Narrow" w:hAnsi="Arial Narrow"/>
          <w:b/>
          <w:sz w:val="20"/>
          <w:szCs w:val="16"/>
        </w:rPr>
        <w:fldChar w:fldCharType="begin"/>
      </w:r>
      <w:r w:rsidRPr="00A52629">
        <w:rPr>
          <w:rFonts w:ascii="Arial Narrow" w:hAnsi="Arial Narrow"/>
          <w:b/>
          <w:sz w:val="20"/>
          <w:szCs w:val="16"/>
        </w:rPr>
        <w:instrText xml:space="preserve"> SEQ Table \* ARABIC </w:instrText>
      </w:r>
      <w:r w:rsidRPr="00A52629">
        <w:rPr>
          <w:rFonts w:ascii="Arial Narrow" w:hAnsi="Arial Narrow"/>
          <w:b/>
          <w:sz w:val="20"/>
          <w:szCs w:val="16"/>
        </w:rPr>
        <w:fldChar w:fldCharType="separate"/>
      </w:r>
      <w:r w:rsidR="00310C38">
        <w:rPr>
          <w:rFonts w:ascii="Arial Narrow" w:hAnsi="Arial Narrow"/>
          <w:b/>
          <w:noProof/>
          <w:sz w:val="20"/>
          <w:szCs w:val="16"/>
        </w:rPr>
        <w:t>4</w:t>
      </w:r>
      <w:r w:rsidRPr="00A52629">
        <w:rPr>
          <w:rFonts w:ascii="Arial Narrow" w:hAnsi="Arial Narrow"/>
          <w:b/>
          <w:sz w:val="20"/>
          <w:szCs w:val="16"/>
        </w:rPr>
        <w:fldChar w:fldCharType="end"/>
      </w:r>
      <w:r w:rsidRPr="00A52629">
        <w:rPr>
          <w:rFonts w:ascii="Arial Narrow" w:hAnsi="Arial Narrow"/>
          <w:b/>
          <w:sz w:val="20"/>
          <w:szCs w:val="16"/>
        </w:rPr>
        <w:t>: Results of OS and PFS in CELESTIAL</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4: Results of OS and PFS in CELESTIAL"/>
      </w:tblPr>
      <w:tblGrid>
        <w:gridCol w:w="987"/>
        <w:gridCol w:w="992"/>
        <w:gridCol w:w="1178"/>
        <w:gridCol w:w="965"/>
        <w:gridCol w:w="1376"/>
        <w:gridCol w:w="1118"/>
        <w:gridCol w:w="1384"/>
        <w:gridCol w:w="1031"/>
      </w:tblGrid>
      <w:tr w:rsidR="002B6CEA" w:rsidTr="00A52629">
        <w:trPr>
          <w:tblHeader/>
        </w:trPr>
        <w:tc>
          <w:tcPr>
            <w:tcW w:w="546" w:type="pct"/>
            <w:vMerge w:val="restart"/>
            <w:vAlign w:val="center"/>
          </w:tcPr>
          <w:p w:rsidR="002B6CEA" w:rsidRDefault="002B6CEA">
            <w:pPr>
              <w:pStyle w:val="Tabletext"/>
              <w:keepNext/>
              <w:keepLines/>
              <w:rPr>
                <w:b/>
              </w:rPr>
            </w:pPr>
          </w:p>
        </w:tc>
        <w:tc>
          <w:tcPr>
            <w:tcW w:w="1201" w:type="pct"/>
            <w:gridSpan w:val="2"/>
            <w:vAlign w:val="center"/>
          </w:tcPr>
          <w:p w:rsidR="002B6CEA" w:rsidRDefault="00A97395">
            <w:pPr>
              <w:pStyle w:val="Tabletext"/>
              <w:keepNext/>
              <w:keepLines/>
              <w:rPr>
                <w:b/>
              </w:rPr>
            </w:pPr>
            <w:r>
              <w:rPr>
                <w:b/>
              </w:rPr>
              <w:t>Cabozantinib</w:t>
            </w:r>
          </w:p>
        </w:tc>
        <w:tc>
          <w:tcPr>
            <w:tcW w:w="1296" w:type="pct"/>
            <w:gridSpan w:val="2"/>
            <w:vAlign w:val="center"/>
          </w:tcPr>
          <w:p w:rsidR="002B6CEA" w:rsidRDefault="00A97395">
            <w:pPr>
              <w:pStyle w:val="Tabletext"/>
              <w:keepNext/>
              <w:keepLines/>
              <w:rPr>
                <w:b/>
              </w:rPr>
            </w:pPr>
            <w:r>
              <w:rPr>
                <w:b/>
              </w:rPr>
              <w:t>BSC</w:t>
            </w:r>
          </w:p>
        </w:tc>
        <w:tc>
          <w:tcPr>
            <w:tcW w:w="619" w:type="pct"/>
            <w:vMerge w:val="restart"/>
            <w:vAlign w:val="center"/>
          </w:tcPr>
          <w:p w:rsidR="002B6CEA" w:rsidRDefault="00A97395">
            <w:pPr>
              <w:pStyle w:val="Tabletext"/>
              <w:keepNext/>
              <w:keepLines/>
              <w:rPr>
                <w:b/>
              </w:rPr>
            </w:pPr>
            <w:r>
              <w:rPr>
                <w:b/>
              </w:rPr>
              <w:t xml:space="preserve">Difference in median, months </w:t>
            </w:r>
          </w:p>
          <w:p w:rsidR="002B6CEA" w:rsidRDefault="00A97395">
            <w:pPr>
              <w:pStyle w:val="Tabletext"/>
              <w:keepNext/>
              <w:keepLines/>
              <w:rPr>
                <w:b/>
              </w:rPr>
            </w:pPr>
            <w:r>
              <w:rPr>
                <w:b/>
              </w:rPr>
              <w:t>(95% CI)</w:t>
            </w:r>
          </w:p>
        </w:tc>
        <w:tc>
          <w:tcPr>
            <w:tcW w:w="766" w:type="pct"/>
            <w:vMerge w:val="restart"/>
            <w:vAlign w:val="center"/>
          </w:tcPr>
          <w:p w:rsidR="002B6CEA" w:rsidRDefault="00A97395">
            <w:pPr>
              <w:pStyle w:val="Tabletext"/>
              <w:keepNext/>
              <w:keepLines/>
              <w:rPr>
                <w:b/>
              </w:rPr>
            </w:pPr>
            <w:r>
              <w:rPr>
                <w:b/>
              </w:rPr>
              <w:t>P value</w:t>
            </w:r>
          </w:p>
          <w:p w:rsidR="002B6CEA" w:rsidRDefault="00A97395">
            <w:pPr>
              <w:pStyle w:val="Tabletext"/>
              <w:keepNext/>
              <w:keepLines/>
              <w:rPr>
                <w:b/>
              </w:rPr>
            </w:pPr>
            <w:r>
              <w:rPr>
                <w:b/>
              </w:rPr>
              <w:t>(log rank test)</w:t>
            </w:r>
          </w:p>
        </w:tc>
        <w:tc>
          <w:tcPr>
            <w:tcW w:w="571" w:type="pct"/>
            <w:vMerge w:val="restart"/>
            <w:vAlign w:val="center"/>
          </w:tcPr>
          <w:p w:rsidR="002B6CEA" w:rsidRDefault="00A97395">
            <w:pPr>
              <w:pStyle w:val="Tabletext"/>
              <w:keepNext/>
              <w:keepLines/>
              <w:rPr>
                <w:b/>
              </w:rPr>
            </w:pPr>
            <w:r>
              <w:rPr>
                <w:b/>
              </w:rPr>
              <w:t>Hazard ratio (95% CI)</w:t>
            </w:r>
          </w:p>
        </w:tc>
      </w:tr>
      <w:tr w:rsidR="002B6CEA" w:rsidTr="00A52629">
        <w:tc>
          <w:tcPr>
            <w:tcW w:w="546" w:type="pct"/>
            <w:vMerge/>
            <w:vAlign w:val="center"/>
          </w:tcPr>
          <w:p w:rsidR="002B6CEA" w:rsidRDefault="002B6CEA">
            <w:pPr>
              <w:pStyle w:val="Tabletext"/>
              <w:keepNext/>
              <w:keepLines/>
            </w:pPr>
          </w:p>
        </w:tc>
        <w:tc>
          <w:tcPr>
            <w:tcW w:w="549" w:type="pct"/>
            <w:vAlign w:val="center"/>
          </w:tcPr>
          <w:p w:rsidR="002B6CEA" w:rsidRDefault="00A97395">
            <w:pPr>
              <w:pStyle w:val="Tabletext"/>
              <w:keepNext/>
              <w:keepLines/>
            </w:pPr>
            <w:r>
              <w:t>n/N with event (%)</w:t>
            </w:r>
          </w:p>
        </w:tc>
        <w:tc>
          <w:tcPr>
            <w:tcW w:w="652" w:type="pct"/>
            <w:vAlign w:val="center"/>
          </w:tcPr>
          <w:p w:rsidR="002B6CEA" w:rsidRDefault="00A97395">
            <w:pPr>
              <w:pStyle w:val="Tabletext"/>
              <w:keepNext/>
              <w:keepLines/>
            </w:pPr>
            <w:r>
              <w:t>Median time to event (95% CI)</w:t>
            </w:r>
          </w:p>
        </w:tc>
        <w:tc>
          <w:tcPr>
            <w:tcW w:w="534" w:type="pct"/>
            <w:vAlign w:val="center"/>
          </w:tcPr>
          <w:p w:rsidR="002B6CEA" w:rsidRDefault="00A97395">
            <w:pPr>
              <w:pStyle w:val="Tabletext"/>
              <w:keepNext/>
              <w:keepLines/>
            </w:pPr>
            <w:r>
              <w:t>n/N with event (%)</w:t>
            </w:r>
          </w:p>
        </w:tc>
        <w:tc>
          <w:tcPr>
            <w:tcW w:w="762" w:type="pct"/>
            <w:vAlign w:val="center"/>
          </w:tcPr>
          <w:p w:rsidR="002B6CEA" w:rsidRDefault="00A97395">
            <w:pPr>
              <w:pStyle w:val="Tabletext"/>
              <w:keepNext/>
              <w:keepLines/>
            </w:pPr>
            <w:r>
              <w:t>Median time to event (95% CI)</w:t>
            </w:r>
          </w:p>
        </w:tc>
        <w:tc>
          <w:tcPr>
            <w:tcW w:w="619" w:type="pct"/>
            <w:vMerge/>
            <w:vAlign w:val="center"/>
          </w:tcPr>
          <w:p w:rsidR="002B6CEA" w:rsidRDefault="002B6CEA">
            <w:pPr>
              <w:pStyle w:val="Tabletext"/>
              <w:keepNext/>
              <w:keepLines/>
            </w:pPr>
          </w:p>
        </w:tc>
        <w:tc>
          <w:tcPr>
            <w:tcW w:w="766" w:type="pct"/>
            <w:vMerge/>
            <w:vAlign w:val="center"/>
          </w:tcPr>
          <w:p w:rsidR="002B6CEA" w:rsidRDefault="002B6CEA">
            <w:pPr>
              <w:pStyle w:val="Tabletext"/>
              <w:keepNext/>
              <w:keepLines/>
            </w:pPr>
          </w:p>
        </w:tc>
        <w:tc>
          <w:tcPr>
            <w:tcW w:w="571" w:type="pct"/>
            <w:vMerge/>
            <w:vAlign w:val="center"/>
          </w:tcPr>
          <w:p w:rsidR="002B6CEA" w:rsidRDefault="002B6CEA">
            <w:pPr>
              <w:pStyle w:val="Tabletext"/>
              <w:keepNext/>
              <w:keepLines/>
            </w:pPr>
          </w:p>
        </w:tc>
      </w:tr>
      <w:tr w:rsidR="002B6CEA" w:rsidTr="00A52629">
        <w:tc>
          <w:tcPr>
            <w:tcW w:w="546" w:type="pct"/>
            <w:vAlign w:val="center"/>
          </w:tcPr>
          <w:p w:rsidR="002B6CEA" w:rsidRDefault="00A97395">
            <w:pPr>
              <w:pStyle w:val="Tabletext"/>
              <w:keepNext/>
              <w:keepLines/>
            </w:pPr>
            <w:r>
              <w:t>PFS</w:t>
            </w:r>
          </w:p>
        </w:tc>
        <w:tc>
          <w:tcPr>
            <w:tcW w:w="549" w:type="pct"/>
          </w:tcPr>
          <w:p w:rsidR="002B6CEA" w:rsidRDefault="00A97395">
            <w:pPr>
              <w:pStyle w:val="Tabletext"/>
              <w:keepNext/>
              <w:keepLines/>
              <w:jc w:val="center"/>
            </w:pPr>
            <w:r>
              <w:rPr>
                <w:rFonts w:eastAsia="Calibri"/>
                <w:szCs w:val="20"/>
                <w:lang w:eastAsia="en-AU"/>
              </w:rPr>
              <w:t>349/470 (74.3%)</w:t>
            </w:r>
          </w:p>
        </w:tc>
        <w:tc>
          <w:tcPr>
            <w:tcW w:w="652" w:type="pct"/>
            <w:vAlign w:val="center"/>
          </w:tcPr>
          <w:p w:rsidR="002B6CEA" w:rsidRDefault="00A97395">
            <w:pPr>
              <w:pStyle w:val="Tabletext"/>
              <w:keepNext/>
              <w:keepLines/>
              <w:jc w:val="center"/>
            </w:pPr>
            <w:r>
              <w:t>5.2 (4.0, 5.5)</w:t>
            </w:r>
          </w:p>
        </w:tc>
        <w:tc>
          <w:tcPr>
            <w:tcW w:w="534" w:type="pct"/>
          </w:tcPr>
          <w:p w:rsidR="002B6CEA" w:rsidRDefault="00A97395">
            <w:pPr>
              <w:pStyle w:val="Tabletext"/>
              <w:keepNext/>
              <w:keepLines/>
              <w:jc w:val="center"/>
            </w:pPr>
            <w:r>
              <w:rPr>
                <w:rFonts w:eastAsia="Calibri"/>
                <w:szCs w:val="20"/>
                <w:lang w:eastAsia="en-AU"/>
              </w:rPr>
              <w:t>205/237 (86.5%)</w:t>
            </w:r>
          </w:p>
        </w:tc>
        <w:tc>
          <w:tcPr>
            <w:tcW w:w="762" w:type="pct"/>
            <w:vAlign w:val="center"/>
          </w:tcPr>
          <w:p w:rsidR="002B6CEA" w:rsidRDefault="00A97395">
            <w:pPr>
              <w:pStyle w:val="Tabletext"/>
              <w:keepNext/>
              <w:keepLines/>
              <w:jc w:val="center"/>
            </w:pPr>
            <w:r>
              <w:t>1.9 (1.9, 1.9)</w:t>
            </w:r>
          </w:p>
        </w:tc>
        <w:tc>
          <w:tcPr>
            <w:tcW w:w="619" w:type="pct"/>
            <w:vAlign w:val="center"/>
          </w:tcPr>
          <w:p w:rsidR="002B6CEA" w:rsidRDefault="00A97395">
            <w:pPr>
              <w:pStyle w:val="Tabletext"/>
              <w:keepNext/>
              <w:keepLines/>
              <w:jc w:val="center"/>
            </w:pPr>
            <w:r>
              <w:t>3.3 (2.1, 3.6)</w:t>
            </w:r>
          </w:p>
        </w:tc>
        <w:tc>
          <w:tcPr>
            <w:tcW w:w="766" w:type="pct"/>
            <w:vAlign w:val="center"/>
          </w:tcPr>
          <w:p w:rsidR="002B6CEA" w:rsidRDefault="00A97395">
            <w:pPr>
              <w:pStyle w:val="Tabletext"/>
              <w:keepNext/>
              <w:keepLines/>
              <w:jc w:val="center"/>
            </w:pPr>
            <w:r>
              <w:rPr>
                <w:rFonts w:eastAsia="Calibri"/>
                <w:b/>
                <w:szCs w:val="20"/>
                <w:lang w:eastAsia="en-AU"/>
              </w:rPr>
              <w:t>p&lt;0.0001</w:t>
            </w:r>
          </w:p>
        </w:tc>
        <w:tc>
          <w:tcPr>
            <w:tcW w:w="571" w:type="pct"/>
            <w:vAlign w:val="center"/>
          </w:tcPr>
          <w:p w:rsidR="002B6CEA" w:rsidRDefault="00A97395">
            <w:pPr>
              <w:pStyle w:val="Tabletext"/>
              <w:keepNext/>
              <w:keepLines/>
              <w:jc w:val="center"/>
              <w:rPr>
                <w:b/>
              </w:rPr>
            </w:pPr>
            <w:r>
              <w:rPr>
                <w:b/>
              </w:rPr>
              <w:t xml:space="preserve">0.44 </w:t>
            </w:r>
          </w:p>
          <w:p w:rsidR="002B6CEA" w:rsidRDefault="00A97395">
            <w:pPr>
              <w:pStyle w:val="Tabletext"/>
              <w:keepNext/>
              <w:keepLines/>
              <w:jc w:val="center"/>
              <w:rPr>
                <w:b/>
              </w:rPr>
            </w:pPr>
            <w:r>
              <w:rPr>
                <w:b/>
              </w:rPr>
              <w:t>(0.36, 0.52)</w:t>
            </w:r>
          </w:p>
        </w:tc>
      </w:tr>
      <w:tr w:rsidR="002B6CEA" w:rsidTr="00A52629">
        <w:tc>
          <w:tcPr>
            <w:tcW w:w="546" w:type="pct"/>
            <w:vAlign w:val="center"/>
          </w:tcPr>
          <w:p w:rsidR="002B6CEA" w:rsidRDefault="00A97395">
            <w:pPr>
              <w:pStyle w:val="Tabletext"/>
              <w:keepNext/>
              <w:keepLines/>
            </w:pPr>
            <w:r>
              <w:t>OS</w:t>
            </w:r>
          </w:p>
        </w:tc>
        <w:tc>
          <w:tcPr>
            <w:tcW w:w="549" w:type="pct"/>
            <w:vAlign w:val="center"/>
          </w:tcPr>
          <w:p w:rsidR="002B6CEA" w:rsidRDefault="00A97395">
            <w:pPr>
              <w:pStyle w:val="Tabletext"/>
              <w:keepNext/>
              <w:keepLines/>
              <w:jc w:val="center"/>
            </w:pPr>
            <w:r>
              <w:rPr>
                <w:rFonts w:eastAsia="Calibri"/>
                <w:szCs w:val="20"/>
                <w:lang w:eastAsia="en-AU"/>
              </w:rPr>
              <w:t>317/470 (67%)</w:t>
            </w:r>
          </w:p>
        </w:tc>
        <w:tc>
          <w:tcPr>
            <w:tcW w:w="652" w:type="pct"/>
            <w:vAlign w:val="center"/>
          </w:tcPr>
          <w:p w:rsidR="002B6CEA" w:rsidRDefault="00A97395">
            <w:pPr>
              <w:pStyle w:val="Tabletext"/>
              <w:keepNext/>
              <w:keepLines/>
              <w:jc w:val="center"/>
            </w:pPr>
            <w:r>
              <w:t>10.2 (9.1, 12.0)</w:t>
            </w:r>
          </w:p>
        </w:tc>
        <w:tc>
          <w:tcPr>
            <w:tcW w:w="534" w:type="pct"/>
            <w:vAlign w:val="center"/>
          </w:tcPr>
          <w:p w:rsidR="002B6CEA" w:rsidRDefault="00A97395">
            <w:pPr>
              <w:pStyle w:val="Tabletext"/>
              <w:keepNext/>
              <w:keepLines/>
              <w:jc w:val="center"/>
            </w:pPr>
            <w:r>
              <w:rPr>
                <w:rFonts w:eastAsia="Calibri"/>
                <w:szCs w:val="20"/>
                <w:lang w:eastAsia="en-AU"/>
              </w:rPr>
              <w:t>167/237 (70%)</w:t>
            </w:r>
          </w:p>
        </w:tc>
        <w:tc>
          <w:tcPr>
            <w:tcW w:w="762" w:type="pct"/>
            <w:vAlign w:val="center"/>
          </w:tcPr>
          <w:p w:rsidR="002B6CEA" w:rsidRDefault="00A97395">
            <w:pPr>
              <w:pStyle w:val="Tabletext"/>
              <w:keepNext/>
              <w:keepLines/>
              <w:jc w:val="center"/>
            </w:pPr>
            <w:r>
              <w:t>8.0 (6.8, 9.4)</w:t>
            </w:r>
          </w:p>
        </w:tc>
        <w:tc>
          <w:tcPr>
            <w:tcW w:w="619" w:type="pct"/>
            <w:vAlign w:val="center"/>
          </w:tcPr>
          <w:p w:rsidR="002B6CEA" w:rsidRDefault="00A97395">
            <w:pPr>
              <w:pStyle w:val="Tabletext"/>
              <w:keepNext/>
              <w:keepLines/>
              <w:jc w:val="center"/>
            </w:pPr>
            <w:r>
              <w:t>2.2 (2.3, 2.6)</w:t>
            </w:r>
          </w:p>
        </w:tc>
        <w:tc>
          <w:tcPr>
            <w:tcW w:w="766" w:type="pct"/>
            <w:vAlign w:val="center"/>
          </w:tcPr>
          <w:p w:rsidR="002B6CEA" w:rsidRDefault="00A97395">
            <w:pPr>
              <w:pStyle w:val="Tabletext"/>
              <w:keepNext/>
              <w:keepLines/>
              <w:jc w:val="center"/>
            </w:pPr>
            <w:r>
              <w:rPr>
                <w:rFonts w:eastAsia="Calibri"/>
                <w:b/>
                <w:szCs w:val="20"/>
                <w:lang w:eastAsia="en-AU"/>
              </w:rPr>
              <w:t>p=0.0049</w:t>
            </w:r>
          </w:p>
        </w:tc>
        <w:tc>
          <w:tcPr>
            <w:tcW w:w="571" w:type="pct"/>
            <w:vAlign w:val="center"/>
          </w:tcPr>
          <w:p w:rsidR="002B6CEA" w:rsidRDefault="00A97395">
            <w:pPr>
              <w:pStyle w:val="Tabletext"/>
              <w:keepNext/>
              <w:keepLines/>
              <w:jc w:val="center"/>
              <w:rPr>
                <w:rFonts w:eastAsia="Calibri"/>
                <w:b/>
                <w:szCs w:val="20"/>
                <w:lang w:eastAsia="en-AU"/>
              </w:rPr>
            </w:pPr>
            <w:r>
              <w:rPr>
                <w:rFonts w:eastAsia="Calibri"/>
                <w:b/>
                <w:szCs w:val="20"/>
                <w:lang w:eastAsia="en-AU"/>
              </w:rPr>
              <w:t xml:space="preserve">0.76 </w:t>
            </w:r>
          </w:p>
          <w:p w:rsidR="002B6CEA" w:rsidRDefault="00A97395">
            <w:pPr>
              <w:pStyle w:val="Tabletext"/>
              <w:keepNext/>
              <w:keepLines/>
              <w:jc w:val="center"/>
            </w:pPr>
            <w:r>
              <w:rPr>
                <w:rFonts w:eastAsia="Calibri"/>
                <w:b/>
                <w:szCs w:val="20"/>
                <w:lang w:eastAsia="en-AU"/>
              </w:rPr>
              <w:t>(0.63, 0.92</w:t>
            </w:r>
            <w:r>
              <w:t>]</w:t>
            </w:r>
          </w:p>
        </w:tc>
      </w:tr>
    </w:tbl>
    <w:p w:rsidR="002B6CEA" w:rsidRDefault="00A97395">
      <w:pPr>
        <w:pStyle w:val="TableFooter"/>
        <w:keepNext/>
        <w:keepLines/>
      </w:pPr>
      <w:r>
        <w:t xml:space="preserve">Abbreviations: BSC= best supportive care; CI= confidence interval; n= number of participants reporting data; N= total participants in group; OS= overall survival; PFS= progression free survival. </w:t>
      </w:r>
    </w:p>
    <w:p w:rsidR="002B6CEA" w:rsidRDefault="00A97395">
      <w:pPr>
        <w:pStyle w:val="TableFooter"/>
        <w:keepNext/>
        <w:keepLines/>
      </w:pPr>
      <w:r>
        <w:t>Source: Table 2-11, 2-12, 2-15, 2-16, p. 74-75 and 82-84 of the submission.</w:t>
      </w:r>
    </w:p>
    <w:p w:rsidR="002B6CEA" w:rsidRDefault="002B6CEA">
      <w:pPr>
        <w:pStyle w:val="TableFooter"/>
      </w:pPr>
    </w:p>
    <w:p w:rsidR="00A52629" w:rsidRDefault="00A52629" w:rsidP="00A52629">
      <w:pPr>
        <w:keepNext/>
        <w:rPr>
          <w:rStyle w:val="CommentReference"/>
        </w:rPr>
      </w:pPr>
      <w:r w:rsidRPr="00A52629">
        <w:rPr>
          <w:rStyle w:val="CommentReference"/>
        </w:rPr>
        <w:lastRenderedPageBreak/>
        <w:t xml:space="preserve">Figure </w:t>
      </w:r>
      <w:r w:rsidRPr="00A52629">
        <w:rPr>
          <w:rStyle w:val="CommentReference"/>
        </w:rPr>
        <w:fldChar w:fldCharType="begin"/>
      </w:r>
      <w:r w:rsidRPr="00A52629">
        <w:rPr>
          <w:rStyle w:val="CommentReference"/>
        </w:rPr>
        <w:instrText xml:space="preserve"> SEQ Figure \* ARABIC </w:instrText>
      </w:r>
      <w:r w:rsidRPr="00A52629">
        <w:rPr>
          <w:rStyle w:val="CommentReference"/>
        </w:rPr>
        <w:fldChar w:fldCharType="separate"/>
      </w:r>
      <w:r w:rsidR="00310C38">
        <w:rPr>
          <w:rStyle w:val="CommentReference"/>
          <w:noProof/>
        </w:rPr>
        <w:t>1</w:t>
      </w:r>
      <w:r w:rsidRPr="00A52629">
        <w:rPr>
          <w:rStyle w:val="CommentReference"/>
        </w:rPr>
        <w:fldChar w:fldCharType="end"/>
      </w:r>
      <w:r w:rsidRPr="00A52629">
        <w:rPr>
          <w:rStyle w:val="CommentReference"/>
        </w:rPr>
        <w:t>: Kaplan Meier plot for OS (ITT population)</w:t>
      </w:r>
    </w:p>
    <w:p w:rsidR="00A52629" w:rsidRDefault="00A97395" w:rsidP="00A52629">
      <w:pPr>
        <w:keepNext/>
      </w:pPr>
      <w:r>
        <w:rPr>
          <w:noProof/>
          <w:lang w:eastAsia="en-AU"/>
        </w:rPr>
        <w:drawing>
          <wp:inline distT="0" distB="0" distL="0" distR="0">
            <wp:extent cx="5732145" cy="3153017"/>
            <wp:effectExtent l="0" t="0" r="1905" b="9525"/>
            <wp:docPr id="9" name="Picture 9" title="Figure 1: Kaplan Meier plot for OS (ITT popul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3153017"/>
                    </a:xfrm>
                    <a:prstGeom prst="rect">
                      <a:avLst/>
                    </a:prstGeom>
                  </pic:spPr>
                </pic:pic>
              </a:graphicData>
            </a:graphic>
          </wp:inline>
        </w:drawing>
      </w:r>
    </w:p>
    <w:p w:rsidR="002B6CEA" w:rsidRDefault="00A97395">
      <w:pPr>
        <w:pStyle w:val="TableFooter"/>
      </w:pPr>
      <w:r>
        <w:t>Abbreviations: CI= confidence interval; HR= hazard ratio; ITT= intention to treat; LR= log rank; OS= overall survival.</w:t>
      </w:r>
    </w:p>
    <w:p w:rsidR="002B6CEA" w:rsidRDefault="00A97395">
      <w:pPr>
        <w:pStyle w:val="TableFooter"/>
      </w:pPr>
      <w:r>
        <w:t>Source: Figure 2-4, p. 75 of the submission.</w:t>
      </w:r>
    </w:p>
    <w:p w:rsidR="002B6CEA" w:rsidRDefault="002B6CEA">
      <w:pPr>
        <w:pStyle w:val="TableFooter"/>
      </w:pPr>
    </w:p>
    <w:p w:rsidR="002B6CEA" w:rsidRDefault="00A97395">
      <w:pPr>
        <w:pStyle w:val="ListParagraph"/>
        <w:widowControl/>
        <w:numPr>
          <w:ilvl w:val="1"/>
          <w:numId w:val="2"/>
        </w:numPr>
      </w:pPr>
      <w:r>
        <w:rPr>
          <w:rFonts w:cs="Calibri"/>
          <w:snapToGrid/>
          <w:szCs w:val="24"/>
          <w:lang w:eastAsia="en-AU"/>
        </w:rPr>
        <w:t>In terms of response, the benefit of cabozantinib mainly came from patients achieving stable disease (</w:t>
      </w:r>
      <w:r>
        <w:rPr>
          <w:rFonts w:cs="Calibri"/>
          <w:szCs w:val="24"/>
        </w:rPr>
        <w:t>60% versus 33% in the BSC group</w:t>
      </w:r>
      <w:r>
        <w:rPr>
          <w:rFonts w:cs="Calibri"/>
          <w:snapToGrid/>
          <w:szCs w:val="24"/>
          <w:lang w:eastAsia="en-AU"/>
        </w:rPr>
        <w:t xml:space="preserve">). </w:t>
      </w:r>
    </w:p>
    <w:p w:rsidR="002B6CEA" w:rsidRDefault="00A97395">
      <w:pPr>
        <w:pStyle w:val="ListParagraph"/>
        <w:widowControl/>
        <w:numPr>
          <w:ilvl w:val="1"/>
          <w:numId w:val="2"/>
        </w:numPr>
      </w:pPr>
      <w:r>
        <w:rPr>
          <w:rFonts w:cs="Calibri"/>
          <w:snapToGrid/>
          <w:szCs w:val="24"/>
          <w:lang w:eastAsia="en-AU"/>
        </w:rPr>
        <w:t>In a repeated measures analysis, significantly higher decrements, reflecting worse health-related quality of life (HRQoL), were observed in the cabozantinib arm (see Table 5). Lower HRQoL, despite improved PFS, is likely to be explained by the increased toxicity associated with cabozantinib. This difference in HRQoL between treatment arms was not included in the economic model.</w:t>
      </w:r>
    </w:p>
    <w:p w:rsidR="00A52629" w:rsidRPr="00A52629" w:rsidRDefault="00A52629" w:rsidP="00A52629">
      <w:pPr>
        <w:keepNext/>
        <w:keepLines/>
        <w:widowControl/>
        <w:rPr>
          <w:rStyle w:val="CommentReference"/>
        </w:rPr>
      </w:pPr>
      <w:r w:rsidRPr="00A52629">
        <w:rPr>
          <w:rStyle w:val="CommentReference"/>
        </w:rPr>
        <w:t xml:space="preserve">Table </w:t>
      </w:r>
      <w:r w:rsidRPr="00A52629">
        <w:rPr>
          <w:rStyle w:val="CommentReference"/>
        </w:rPr>
        <w:fldChar w:fldCharType="begin"/>
      </w:r>
      <w:r w:rsidRPr="00A52629">
        <w:rPr>
          <w:rStyle w:val="CommentReference"/>
        </w:rPr>
        <w:instrText xml:space="preserve"> SEQ Table \* ARABIC </w:instrText>
      </w:r>
      <w:r w:rsidRPr="00A52629">
        <w:rPr>
          <w:rStyle w:val="CommentReference"/>
        </w:rPr>
        <w:fldChar w:fldCharType="separate"/>
      </w:r>
      <w:r w:rsidR="00310C38">
        <w:rPr>
          <w:rStyle w:val="CommentReference"/>
          <w:noProof/>
        </w:rPr>
        <w:t>5</w:t>
      </w:r>
      <w:r w:rsidRPr="00A52629">
        <w:rPr>
          <w:rStyle w:val="CommentReference"/>
        </w:rPr>
        <w:fldChar w:fldCharType="end"/>
      </w:r>
      <w:r w:rsidRPr="00A52629">
        <w:rPr>
          <w:rStyle w:val="CommentReference"/>
        </w:rPr>
        <w:t>: EQ-VAS and EQ-Index scores: change from baseline, repeated-measures analysis (ITT Population)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firstRow="0" w:lastRow="0" w:firstColumn="0" w:lastColumn="0" w:noHBand="0" w:noVBand="0"/>
        <w:tblCaption w:val="Table 5: EQ-VAS and EQ-Index scores: change from baseline, repeated-measures analysis (ITT Population)"/>
      </w:tblPr>
      <w:tblGrid>
        <w:gridCol w:w="1596"/>
        <w:gridCol w:w="1596"/>
        <w:gridCol w:w="1596"/>
        <w:gridCol w:w="1055"/>
        <w:gridCol w:w="1055"/>
        <w:gridCol w:w="1057"/>
        <w:gridCol w:w="1062"/>
      </w:tblGrid>
      <w:tr w:rsidR="002B6CEA">
        <w:trPr>
          <w:cantSplit/>
          <w:tblHeader/>
          <w:jc w:val="center"/>
        </w:trPr>
        <w:tc>
          <w:tcPr>
            <w:tcW w:w="885" w:type="pct"/>
            <w:shd w:val="clear" w:color="auto" w:fill="FFFFFF"/>
            <w:vAlign w:val="bottom"/>
          </w:tcPr>
          <w:p w:rsidR="002B6CEA" w:rsidRDefault="002B6CEA">
            <w:pPr>
              <w:keepNext/>
              <w:keepLines/>
              <w:widowControl/>
              <w:rPr>
                <w:rStyle w:val="SmallBold"/>
                <w:rFonts w:ascii="Arial Narrow" w:hAnsi="Arial Narrow"/>
                <w:szCs w:val="20"/>
              </w:rPr>
            </w:pPr>
          </w:p>
        </w:tc>
        <w:tc>
          <w:tcPr>
            <w:tcW w:w="885" w:type="pct"/>
            <w:shd w:val="clear" w:color="auto" w:fill="FFFFFF"/>
            <w:vAlign w:val="bottom"/>
          </w:tcPr>
          <w:p w:rsidR="002B6CEA" w:rsidRDefault="00A97395">
            <w:pPr>
              <w:keepNext/>
              <w:keepLines/>
              <w:widowControl/>
              <w:jc w:val="center"/>
              <w:rPr>
                <w:rStyle w:val="SmallBold"/>
                <w:rFonts w:ascii="Arial Narrow" w:hAnsi="Arial Narrow"/>
                <w:szCs w:val="20"/>
              </w:rPr>
            </w:pPr>
            <w:r>
              <w:rPr>
                <w:rStyle w:val="SmallBold"/>
                <w:rFonts w:ascii="Arial Narrow" w:hAnsi="Arial Narrow"/>
                <w:szCs w:val="20"/>
              </w:rPr>
              <w:t>Cabozantinib</w:t>
            </w:r>
            <w:r>
              <w:rPr>
                <w:rStyle w:val="SmallBold"/>
                <w:rFonts w:ascii="Arial Narrow" w:hAnsi="Arial Narrow"/>
                <w:szCs w:val="20"/>
              </w:rPr>
              <w:br/>
              <w:t>(N = 470)</w:t>
            </w:r>
            <w:r>
              <w:rPr>
                <w:rStyle w:val="SmallBold"/>
                <w:rFonts w:ascii="Arial Narrow" w:hAnsi="Arial Narrow"/>
                <w:szCs w:val="20"/>
              </w:rPr>
              <w:br/>
              <w:t>n; LS means (SE)</w:t>
            </w:r>
          </w:p>
        </w:tc>
        <w:tc>
          <w:tcPr>
            <w:tcW w:w="885" w:type="pct"/>
            <w:shd w:val="clear" w:color="auto" w:fill="FFFFFF"/>
            <w:vAlign w:val="bottom"/>
          </w:tcPr>
          <w:p w:rsidR="002B6CEA" w:rsidRDefault="00A97395">
            <w:pPr>
              <w:keepNext/>
              <w:keepLines/>
              <w:widowControl/>
              <w:jc w:val="center"/>
              <w:rPr>
                <w:rStyle w:val="SmallBold"/>
                <w:rFonts w:ascii="Arial Narrow" w:hAnsi="Arial Narrow"/>
                <w:szCs w:val="20"/>
              </w:rPr>
            </w:pPr>
            <w:r>
              <w:rPr>
                <w:rStyle w:val="SmallBold"/>
                <w:rFonts w:ascii="Arial Narrow" w:hAnsi="Arial Narrow"/>
                <w:szCs w:val="20"/>
              </w:rPr>
              <w:t>BSC</w:t>
            </w:r>
            <w:r>
              <w:rPr>
                <w:rStyle w:val="SmallBold"/>
                <w:rFonts w:ascii="Arial Narrow" w:hAnsi="Arial Narrow"/>
                <w:szCs w:val="20"/>
              </w:rPr>
              <w:br/>
              <w:t>(N = 237)</w:t>
            </w:r>
            <w:r>
              <w:rPr>
                <w:rStyle w:val="SmallBold"/>
                <w:rFonts w:ascii="Arial Narrow" w:hAnsi="Arial Narrow"/>
                <w:szCs w:val="20"/>
              </w:rPr>
              <w:br/>
              <w:t>n; LS means (SE)</w:t>
            </w:r>
          </w:p>
        </w:tc>
        <w:tc>
          <w:tcPr>
            <w:tcW w:w="585" w:type="pct"/>
            <w:shd w:val="clear" w:color="auto" w:fill="FFFFFF"/>
            <w:vAlign w:val="bottom"/>
          </w:tcPr>
          <w:p w:rsidR="002B6CEA" w:rsidRDefault="00A97395">
            <w:pPr>
              <w:keepNext/>
              <w:keepLines/>
              <w:widowControl/>
              <w:jc w:val="center"/>
              <w:rPr>
                <w:rStyle w:val="SmallBold"/>
                <w:rFonts w:ascii="Arial Narrow" w:hAnsi="Arial Narrow"/>
                <w:szCs w:val="20"/>
              </w:rPr>
            </w:pPr>
            <w:r>
              <w:rPr>
                <w:rStyle w:val="SmallBold"/>
                <w:rFonts w:ascii="Arial Narrow" w:hAnsi="Arial Narrow"/>
                <w:szCs w:val="20"/>
              </w:rPr>
              <w:t>Difference in mean change</w:t>
            </w:r>
          </w:p>
        </w:tc>
        <w:tc>
          <w:tcPr>
            <w:tcW w:w="585" w:type="pct"/>
            <w:shd w:val="clear" w:color="auto" w:fill="FFFFFF"/>
            <w:vAlign w:val="bottom"/>
          </w:tcPr>
          <w:p w:rsidR="002B6CEA" w:rsidRDefault="00A97395">
            <w:pPr>
              <w:keepNext/>
              <w:keepLines/>
              <w:widowControl/>
              <w:jc w:val="center"/>
              <w:rPr>
                <w:rStyle w:val="SmallBold"/>
                <w:rFonts w:ascii="Arial Narrow" w:hAnsi="Arial Narrow"/>
                <w:szCs w:val="20"/>
              </w:rPr>
            </w:pPr>
            <w:r>
              <w:rPr>
                <w:rStyle w:val="SmallBold"/>
                <w:rFonts w:ascii="Arial Narrow" w:hAnsi="Arial Narrow"/>
                <w:szCs w:val="20"/>
              </w:rPr>
              <w:t>Pooled SD</w:t>
            </w:r>
          </w:p>
        </w:tc>
        <w:tc>
          <w:tcPr>
            <w:tcW w:w="586" w:type="pct"/>
            <w:shd w:val="clear" w:color="auto" w:fill="FFFFFF"/>
            <w:vAlign w:val="bottom"/>
          </w:tcPr>
          <w:p w:rsidR="002B6CEA" w:rsidRDefault="00A97395">
            <w:pPr>
              <w:keepNext/>
              <w:keepLines/>
              <w:widowControl/>
              <w:jc w:val="center"/>
              <w:rPr>
                <w:rStyle w:val="SmallBold"/>
                <w:rFonts w:ascii="Arial Narrow" w:hAnsi="Arial Narrow"/>
                <w:szCs w:val="20"/>
              </w:rPr>
            </w:pPr>
            <w:r>
              <w:rPr>
                <w:rStyle w:val="SmallBold"/>
                <w:rFonts w:ascii="Arial Narrow" w:hAnsi="Arial Narrow"/>
                <w:szCs w:val="20"/>
              </w:rPr>
              <w:t>P-value</w:t>
            </w:r>
          </w:p>
        </w:tc>
        <w:tc>
          <w:tcPr>
            <w:tcW w:w="589" w:type="pct"/>
            <w:shd w:val="clear" w:color="auto" w:fill="FFFFFF"/>
            <w:vAlign w:val="bottom"/>
          </w:tcPr>
          <w:p w:rsidR="002B6CEA" w:rsidRDefault="00A97395">
            <w:pPr>
              <w:keepNext/>
              <w:keepLines/>
              <w:widowControl/>
              <w:jc w:val="center"/>
              <w:rPr>
                <w:rStyle w:val="SmallBold"/>
                <w:rFonts w:ascii="Arial Narrow" w:hAnsi="Arial Narrow"/>
                <w:szCs w:val="20"/>
              </w:rPr>
            </w:pPr>
            <w:r>
              <w:rPr>
                <w:rStyle w:val="SmallBold"/>
                <w:rFonts w:ascii="Arial Narrow" w:hAnsi="Arial Narrow"/>
                <w:szCs w:val="20"/>
              </w:rPr>
              <w:t>Effect size</w:t>
            </w:r>
          </w:p>
        </w:tc>
      </w:tr>
      <w:tr w:rsidR="002B6CEA">
        <w:trPr>
          <w:cantSplit/>
          <w:jc w:val="center"/>
        </w:trPr>
        <w:tc>
          <w:tcPr>
            <w:tcW w:w="885" w:type="pct"/>
            <w:shd w:val="clear" w:color="auto" w:fill="FFFFFF"/>
          </w:tcPr>
          <w:p w:rsidR="002B6CEA" w:rsidRDefault="00A97395">
            <w:pPr>
              <w:keepNext/>
              <w:keepLines/>
              <w:widowControl/>
              <w:rPr>
                <w:rStyle w:val="TableText0"/>
                <w:rFonts w:ascii="Arial Narrow" w:eastAsiaTheme="majorEastAsia" w:hAnsi="Arial Narrow"/>
                <w:sz w:val="20"/>
                <w:szCs w:val="20"/>
              </w:rPr>
            </w:pPr>
            <w:r>
              <w:rPr>
                <w:rStyle w:val="TableText0"/>
                <w:rFonts w:ascii="Arial Narrow" w:eastAsiaTheme="majorEastAsia" w:hAnsi="Arial Narrow"/>
                <w:sz w:val="20"/>
                <w:szCs w:val="20"/>
              </w:rPr>
              <w:t xml:space="preserve">  EQ-Index</w:t>
            </w:r>
          </w:p>
        </w:tc>
        <w:tc>
          <w:tcPr>
            <w:tcW w:w="885" w:type="pct"/>
            <w:shd w:val="clear" w:color="auto" w:fill="FFFFFF"/>
          </w:tcPr>
          <w:p w:rsidR="002B6CEA" w:rsidRDefault="00A97395">
            <w:pPr>
              <w:keepNext/>
              <w:keepLines/>
              <w:widowControl/>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178; -0.11 (0.020)</w:t>
            </w:r>
          </w:p>
        </w:tc>
        <w:tc>
          <w:tcPr>
            <w:tcW w:w="885" w:type="pct"/>
            <w:shd w:val="clear" w:color="auto" w:fill="FFFFFF"/>
          </w:tcPr>
          <w:p w:rsidR="002B6CEA" w:rsidRDefault="00A97395">
            <w:pPr>
              <w:keepNext/>
              <w:keepLines/>
              <w:widowControl/>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90; -0.05 (0.022)</w:t>
            </w:r>
          </w:p>
        </w:tc>
        <w:tc>
          <w:tcPr>
            <w:tcW w:w="585" w:type="pct"/>
            <w:shd w:val="clear" w:color="auto" w:fill="FFFFFF"/>
          </w:tcPr>
          <w:p w:rsidR="002B6CEA" w:rsidRDefault="00A97395">
            <w:pPr>
              <w:keepNext/>
              <w:keepLines/>
              <w:widowControl/>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-0.057</w:t>
            </w:r>
          </w:p>
        </w:tc>
        <w:tc>
          <w:tcPr>
            <w:tcW w:w="585" w:type="pct"/>
            <w:shd w:val="clear" w:color="auto" w:fill="FFFFFF"/>
          </w:tcPr>
          <w:p w:rsidR="002B6CEA" w:rsidRDefault="00A97395">
            <w:pPr>
              <w:keepNext/>
              <w:keepLines/>
              <w:widowControl/>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0.179</w:t>
            </w:r>
          </w:p>
        </w:tc>
        <w:tc>
          <w:tcPr>
            <w:tcW w:w="586" w:type="pct"/>
            <w:shd w:val="clear" w:color="auto" w:fill="FFFFFF"/>
          </w:tcPr>
          <w:p w:rsidR="002B6CEA" w:rsidRDefault="00A97395">
            <w:pPr>
              <w:keepNext/>
              <w:keepLines/>
              <w:widowControl/>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&lt;0.0001</w:t>
            </w:r>
          </w:p>
        </w:tc>
        <w:tc>
          <w:tcPr>
            <w:tcW w:w="589" w:type="pct"/>
            <w:shd w:val="clear" w:color="auto" w:fill="FFFFFF"/>
          </w:tcPr>
          <w:p w:rsidR="002B6CEA" w:rsidRDefault="00A97395">
            <w:pPr>
              <w:keepNext/>
              <w:keepLines/>
              <w:widowControl/>
              <w:jc w:val="center"/>
              <w:rPr>
                <w:rStyle w:val="TableText0"/>
                <w:rFonts w:ascii="Arial Narrow" w:eastAsiaTheme="majorEastAsia" w:hAnsi="Arial Narrow"/>
                <w:b/>
                <w:sz w:val="20"/>
                <w:szCs w:val="20"/>
              </w:rPr>
            </w:pPr>
            <w:r>
              <w:rPr>
                <w:rStyle w:val="TableText0"/>
                <w:rFonts w:ascii="Arial Narrow" w:eastAsiaTheme="majorEastAsia" w:hAnsi="Arial Narrow"/>
                <w:b/>
                <w:sz w:val="20"/>
                <w:szCs w:val="20"/>
              </w:rPr>
              <w:t>-0.319</w:t>
            </w:r>
          </w:p>
        </w:tc>
      </w:tr>
      <w:tr w:rsidR="002B6CEA">
        <w:trPr>
          <w:cantSplit/>
          <w:jc w:val="center"/>
        </w:trPr>
        <w:tc>
          <w:tcPr>
            <w:tcW w:w="885" w:type="pct"/>
            <w:shd w:val="clear" w:color="auto" w:fill="FFFFFF"/>
          </w:tcPr>
          <w:p w:rsidR="002B6CEA" w:rsidRDefault="00A97395">
            <w:pPr>
              <w:keepNext/>
              <w:keepLines/>
              <w:widowControl/>
              <w:rPr>
                <w:rStyle w:val="TableText0"/>
                <w:rFonts w:ascii="Arial Narrow" w:eastAsiaTheme="majorEastAsia" w:hAnsi="Arial Narrow"/>
                <w:sz w:val="20"/>
                <w:szCs w:val="20"/>
              </w:rPr>
            </w:pPr>
            <w:r>
              <w:rPr>
                <w:rStyle w:val="TableText0"/>
                <w:rFonts w:ascii="Arial Narrow" w:eastAsiaTheme="majorEastAsia" w:hAnsi="Arial Narrow"/>
                <w:sz w:val="20"/>
                <w:szCs w:val="20"/>
              </w:rPr>
              <w:t xml:space="preserve">  EQ-VAS</w:t>
            </w:r>
          </w:p>
        </w:tc>
        <w:tc>
          <w:tcPr>
            <w:tcW w:w="885" w:type="pct"/>
            <w:shd w:val="clear" w:color="auto" w:fill="FFFFFF"/>
          </w:tcPr>
          <w:p w:rsidR="002B6CEA" w:rsidRDefault="00A97395">
            <w:pPr>
              <w:keepNext/>
              <w:keepLines/>
              <w:widowControl/>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398; -8.30 (1.100)</w:t>
            </w:r>
          </w:p>
        </w:tc>
        <w:tc>
          <w:tcPr>
            <w:tcW w:w="885" w:type="pct"/>
            <w:shd w:val="clear" w:color="auto" w:fill="FFFFFF"/>
          </w:tcPr>
          <w:p w:rsidR="002B6CEA" w:rsidRDefault="00A97395">
            <w:pPr>
              <w:keepNext/>
              <w:keepLines/>
              <w:widowControl/>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216; -3.87 (1.319)</w:t>
            </w:r>
          </w:p>
        </w:tc>
        <w:tc>
          <w:tcPr>
            <w:tcW w:w="585" w:type="pct"/>
            <w:shd w:val="clear" w:color="auto" w:fill="FFFFFF"/>
          </w:tcPr>
          <w:p w:rsidR="002B6CEA" w:rsidRDefault="00A97395">
            <w:pPr>
              <w:keepNext/>
              <w:keepLines/>
              <w:widowControl/>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-4.432</w:t>
            </w:r>
          </w:p>
        </w:tc>
        <w:tc>
          <w:tcPr>
            <w:tcW w:w="585" w:type="pct"/>
            <w:shd w:val="clear" w:color="auto" w:fill="FFFFFF"/>
          </w:tcPr>
          <w:p w:rsidR="002B6CEA" w:rsidRDefault="00A97395">
            <w:pPr>
              <w:keepNext/>
              <w:keepLines/>
              <w:widowControl/>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17.826</w:t>
            </w:r>
          </w:p>
        </w:tc>
        <w:tc>
          <w:tcPr>
            <w:tcW w:w="586" w:type="pct"/>
            <w:shd w:val="clear" w:color="auto" w:fill="FFFFFF"/>
          </w:tcPr>
          <w:p w:rsidR="002B6CEA" w:rsidRDefault="00A97395">
            <w:pPr>
              <w:keepNext/>
              <w:keepLines/>
              <w:widowControl/>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0.0002</w:t>
            </w:r>
          </w:p>
        </w:tc>
        <w:tc>
          <w:tcPr>
            <w:tcW w:w="589" w:type="pct"/>
            <w:shd w:val="clear" w:color="auto" w:fill="FFFFFF"/>
          </w:tcPr>
          <w:p w:rsidR="002B6CEA" w:rsidRDefault="00A97395">
            <w:pPr>
              <w:keepNext/>
              <w:keepLines/>
              <w:widowControl/>
              <w:jc w:val="center"/>
              <w:rPr>
                <w:rStyle w:val="TableText0"/>
                <w:rFonts w:ascii="Arial Narrow" w:eastAsiaTheme="majorEastAsia" w:hAnsi="Arial Narrow"/>
                <w:b/>
                <w:sz w:val="20"/>
                <w:szCs w:val="20"/>
              </w:rPr>
            </w:pPr>
            <w:r>
              <w:rPr>
                <w:rStyle w:val="TableText0"/>
                <w:rFonts w:ascii="Arial Narrow" w:eastAsiaTheme="majorEastAsia" w:hAnsi="Arial Narrow"/>
                <w:b/>
                <w:sz w:val="20"/>
                <w:szCs w:val="20"/>
              </w:rPr>
              <w:t>-0.249</w:t>
            </w:r>
          </w:p>
        </w:tc>
      </w:tr>
    </w:tbl>
    <w:p w:rsidR="002B6CEA" w:rsidRDefault="00A97395">
      <w:pPr>
        <w:pStyle w:val="TableFooter"/>
        <w:keepNext/>
        <w:keepLines/>
        <w:widowControl/>
      </w:pPr>
      <w:r>
        <w:t xml:space="preserve">Abbreviations: CI= confidence </w:t>
      </w:r>
      <w:r>
        <w:rPr>
          <w:szCs w:val="18"/>
        </w:rPr>
        <w:t xml:space="preserve">interval; </w:t>
      </w:r>
      <w:r>
        <w:rPr>
          <w:rStyle w:val="TableText0"/>
          <w:rFonts w:ascii="Arial Narrow" w:eastAsiaTheme="majorEastAsia" w:hAnsi="Arial Narrow"/>
          <w:sz w:val="18"/>
          <w:szCs w:val="18"/>
        </w:rPr>
        <w:t>EQ= EuroQoL;</w:t>
      </w:r>
      <w:r>
        <w:rPr>
          <w:szCs w:val="18"/>
        </w:rPr>
        <w:t xml:space="preserve"> HR</w:t>
      </w:r>
      <w:r>
        <w:t xml:space="preserve">= hazard ratio; ITT= intention to treat; LS= least square; SD= standard deviation; SE= standard error; VAS= visual analogue scale. </w:t>
      </w:r>
    </w:p>
    <w:p w:rsidR="002B6CEA" w:rsidRDefault="00A97395">
      <w:pPr>
        <w:pStyle w:val="TableFooter"/>
        <w:keepNext/>
        <w:keepLines/>
        <w:widowControl/>
      </w:pPr>
      <w:r>
        <w:t>Source: Table 2-14, p. 96 of the submission.</w:t>
      </w:r>
    </w:p>
    <w:p w:rsidR="002B6CEA" w:rsidRDefault="00A97395">
      <w:pPr>
        <w:pStyle w:val="TableFooter"/>
        <w:keepNext/>
        <w:keepLines/>
        <w:widowControl/>
      </w:pPr>
      <w:r>
        <w:t>Note: bold text indicates statically significant differences</w:t>
      </w:r>
    </w:p>
    <w:p w:rsidR="002B6CEA" w:rsidRDefault="002B6CEA">
      <w:pPr>
        <w:pStyle w:val="TableFooter"/>
      </w:pPr>
    </w:p>
    <w:p w:rsidR="002B6CEA" w:rsidRDefault="00A97395">
      <w:pPr>
        <w:widowControl/>
        <w:rPr>
          <w:u w:val="single"/>
        </w:rPr>
      </w:pPr>
      <w:r>
        <w:rPr>
          <w:u w:val="single"/>
        </w:rPr>
        <w:t>Cabozantinib vs. regorafenib: ITC</w:t>
      </w:r>
    </w:p>
    <w:p w:rsidR="002B6CEA" w:rsidRDefault="00A97395">
      <w:pPr>
        <w:widowControl/>
        <w:numPr>
          <w:ilvl w:val="1"/>
          <w:numId w:val="2"/>
        </w:numPr>
        <w:spacing w:after="160"/>
      </w:pPr>
      <w:r>
        <w:t>Overall, baseline characteristics and study conduct in CELESTIAL and RESORCE were considered comparable. The key issues of transitivity in the ITC arose due to:</w:t>
      </w:r>
    </w:p>
    <w:p w:rsidR="002B6CEA" w:rsidRDefault="00A97395">
      <w:pPr>
        <w:widowControl/>
        <w:numPr>
          <w:ilvl w:val="2"/>
          <w:numId w:val="2"/>
        </w:numPr>
        <w:snapToGrid w:val="0"/>
        <w:spacing w:after="160"/>
        <w:ind w:left="993" w:hanging="284"/>
        <w:rPr>
          <w:snapToGrid/>
        </w:rPr>
      </w:pPr>
      <w:r>
        <w:t xml:space="preserve">the comparability of use of prior treatments between trials. In CELESTIAL, approximately 28% received more than one therapy prior to cabozantinib while in RESORCE patients were only allowed to have received prior sorafenib. This may </w:t>
      </w:r>
      <w:r>
        <w:lastRenderedPageBreak/>
        <w:t>lead to differences in the baseline capacity of the two patient groups to benefit from subsequent therapy.</w:t>
      </w:r>
    </w:p>
    <w:p w:rsidR="002B6CEA" w:rsidRDefault="00A97395">
      <w:pPr>
        <w:widowControl/>
        <w:numPr>
          <w:ilvl w:val="2"/>
          <w:numId w:val="2"/>
        </w:numPr>
        <w:snapToGrid w:val="0"/>
        <w:spacing w:after="160"/>
        <w:ind w:left="993" w:hanging="284"/>
      </w:pPr>
      <w:r>
        <w:t>the definition of progression events differed in CELESTIAL compared to RESORCE, which used the RECIST criteria version 1.1 and mRECIST respectively. RESORCE reported PFS using both approaches without noting differences in the outcomes. In addition, in CELESTIAL, the occurrence of clinical progression was not recorded as a progression event for the purpose of assessing PFS as compared to RESORCE. It is unclear whether this may have biased the ITC since clinical progression may precede radiographic evidence of disease. However, the relative impact would depend on whether this favourably impacts on cabozantinib more than BSC, thus biasing the indirect comparison with regorafenib.</w:t>
      </w:r>
    </w:p>
    <w:p w:rsidR="002B6CEA" w:rsidRDefault="00A97395">
      <w:pPr>
        <w:widowControl/>
        <w:numPr>
          <w:ilvl w:val="1"/>
          <w:numId w:val="2"/>
        </w:numPr>
        <w:spacing w:after="160"/>
        <w:rPr>
          <w:rFonts w:ascii="Arial Narrow" w:hAnsi="Arial Narrow"/>
          <w:b/>
          <w:sz w:val="20"/>
          <w:szCs w:val="16"/>
        </w:rPr>
      </w:pPr>
      <w:r>
        <w:t xml:space="preserve">The hazard ratios (HR) reported for the ITC in the submission were not consistent with the odds ratios (OR) provided in the ITC workbook (Attachment 12 of the submission). </w:t>
      </w:r>
      <w:r>
        <w:rPr>
          <w:szCs w:val="24"/>
        </w:rPr>
        <w:t xml:space="preserve">The sponsor stated in the Pre-PBAC response (p1) that HR was the preferred measure, and that OR has limited validity and was provided only for transparency and completeness, however HR calculations for the ITC were not provided with the submission. </w:t>
      </w:r>
      <w:r>
        <w:t>The ITC results indicated that there was no difference in clinical effect between cabozantinib and regorafenib in terms of OS (OR=1.80; 95%CI 1.00, 3.25) however there was some difference in PFS in favour of regorafenib (OR=2.62; 95% CI 1.17, 5.83). In addition, differences were apparent in the magnitudes of the reported outcomes for the control groups in the two studies; 70% versus 87% died and 86% versus 95% progressed in CELESTIAL versus RESORCE, respectively. These differences suggest an underlying issue with the transitivity of the study populations.</w:t>
      </w:r>
    </w:p>
    <w:p w:rsidR="002B6CEA" w:rsidRDefault="00A97395">
      <w:pPr>
        <w:widowControl/>
        <w:numPr>
          <w:ilvl w:val="1"/>
          <w:numId w:val="2"/>
        </w:numPr>
        <w:spacing w:after="160"/>
      </w:pPr>
      <w:r>
        <w:t xml:space="preserve">The PSCR  provided a report for a matching-adjusted indirect comparison (MAIC) of cabozantinib compared with regorafenib to address the transitivity issues identified between the CELESTIAL and RESORCE trials. The MAIC included comparative efficacy and safety considering the pure second-line patients from CELESTIAL (excluding patients who received cabozantinib as third line treatment in CELESTIAL), relative to those in RESORCE. Results were consistent with those in the submission in terms of OS (no statistical differences) but not for PFS where statistical differences were found favouring cabozantinib (HR= 0.715; 95% CI: 0.572, 0.895). </w:t>
      </w:r>
    </w:p>
    <w:p w:rsidR="002B6CEA" w:rsidRDefault="00A97395">
      <w:pPr>
        <w:widowControl/>
        <w:numPr>
          <w:ilvl w:val="1"/>
          <w:numId w:val="2"/>
        </w:numPr>
        <w:spacing w:after="160"/>
      </w:pPr>
      <w:r>
        <w:t>The PBAC considered that the MAIC appeared to support the conclusion of non-inferiority for cabozantinib compared with regorafenib in the population with one prior systemic regimen; however, this comparison has not been independently evaluated as it was provided with the PSCR.</w:t>
      </w:r>
    </w:p>
    <w:p w:rsidR="002B6CEA" w:rsidRDefault="00A97395">
      <w:pPr>
        <w:pStyle w:val="Heading2"/>
        <w:spacing w:after="120"/>
      </w:pPr>
      <w:bookmarkStart w:id="8" w:name="_Toc9419753"/>
      <w:r>
        <w:t>Comparative harms</w:t>
      </w:r>
      <w:bookmarkEnd w:id="8"/>
    </w:p>
    <w:p w:rsidR="002B6CEA" w:rsidRDefault="00A97395">
      <w:r>
        <w:rPr>
          <w:u w:val="single"/>
        </w:rPr>
        <w:t>Cabozantinib vs. BSC</w:t>
      </w:r>
    </w:p>
    <w:p w:rsidR="002B6CEA" w:rsidRDefault="00A97395">
      <w:pPr>
        <w:pStyle w:val="ListParagraph"/>
        <w:widowControl/>
        <w:numPr>
          <w:ilvl w:val="1"/>
          <w:numId w:val="2"/>
        </w:numPr>
      </w:pPr>
      <w:r>
        <w:t xml:space="preserve">Safety data presented in the submission were obtained from CELESTIAL and are summarised in Table 6. The most frequent Grade 3/4 adverse events (AEs) reported for patients in the cabozantinib arm were palmar-plantar erythrodysaesthesia </w:t>
      </w:r>
      <w:r>
        <w:lastRenderedPageBreak/>
        <w:t xml:space="preserve">syndrome (PPES), hypertension, aspartate aminotransferase (AST) increased, fatigue and diarrhoea. </w:t>
      </w:r>
    </w:p>
    <w:p w:rsidR="002B6CEA" w:rsidRDefault="00A97395">
      <w:pPr>
        <w:pStyle w:val="ListParagraph"/>
        <w:widowControl/>
        <w:numPr>
          <w:ilvl w:val="1"/>
          <w:numId w:val="2"/>
        </w:numPr>
      </w:pPr>
      <w:r>
        <w:t>The sponsor stated in the pre-PBAC response (p1-2) that diarrhoea and PPES have long been associated with the antimetabolites used in cancer treatment, and that clinicians in Australia will be reasonably sophisticated in managing these deleterious effects of oncology treatments.</w:t>
      </w:r>
    </w:p>
    <w:p w:rsidR="002B6CEA" w:rsidRDefault="00A97395">
      <w:pPr>
        <w:pStyle w:val="ListParagraph"/>
        <w:widowControl/>
        <w:numPr>
          <w:ilvl w:val="1"/>
          <w:numId w:val="2"/>
        </w:numPr>
        <w:rPr>
          <w:rFonts w:cs="Calibri"/>
          <w:snapToGrid/>
          <w:szCs w:val="24"/>
          <w:lang w:eastAsia="en-AU"/>
        </w:rPr>
      </w:pPr>
      <w:r>
        <w:rPr>
          <w:rFonts w:cs="Calibri"/>
          <w:snapToGrid/>
          <w:szCs w:val="24"/>
          <w:lang w:eastAsia="en-AU"/>
        </w:rPr>
        <w:t xml:space="preserve">Patients treated with cabozantinib were more likely to experience Grade 3/4 AEs or SAEs compared to BSC and were more likely to experience AEs leading to treatment discontinuations related to study drug compared to BSC. No statistically significant differences were found in the incidence of Grade 5 events in CELESTIAL, however the ESC noted that there were 6 treatment-related deaths (Grade 5 events) in patients treated with cabozantinib compared with 1 in the placebo group. </w:t>
      </w:r>
    </w:p>
    <w:p w:rsidR="00A52629" w:rsidRPr="00A52629" w:rsidRDefault="00A52629" w:rsidP="00A52629">
      <w:pPr>
        <w:keepNext/>
        <w:rPr>
          <w:rStyle w:val="CommentReference"/>
        </w:rPr>
      </w:pPr>
      <w:r w:rsidRPr="00A52629">
        <w:rPr>
          <w:rStyle w:val="CommentReference"/>
        </w:rPr>
        <w:t xml:space="preserve">Table </w:t>
      </w:r>
      <w:r w:rsidRPr="00A52629">
        <w:rPr>
          <w:rStyle w:val="CommentReference"/>
        </w:rPr>
        <w:fldChar w:fldCharType="begin"/>
      </w:r>
      <w:r w:rsidRPr="00A52629">
        <w:rPr>
          <w:rStyle w:val="CommentReference"/>
        </w:rPr>
        <w:instrText xml:space="preserve"> SEQ Table \* ARABIC </w:instrText>
      </w:r>
      <w:r w:rsidRPr="00A52629">
        <w:rPr>
          <w:rStyle w:val="CommentReference"/>
        </w:rPr>
        <w:fldChar w:fldCharType="separate"/>
      </w:r>
      <w:r w:rsidR="00310C38">
        <w:rPr>
          <w:rStyle w:val="CommentReference"/>
          <w:noProof/>
        </w:rPr>
        <w:t>6</w:t>
      </w:r>
      <w:r w:rsidRPr="00A52629">
        <w:rPr>
          <w:rStyle w:val="CommentReference"/>
        </w:rPr>
        <w:fldChar w:fldCharType="end"/>
      </w:r>
      <w:r w:rsidRPr="00A52629">
        <w:rPr>
          <w:rStyle w:val="CommentReference"/>
        </w:rPr>
        <w:t>: Overview and key AEs (safety population) in CELESTIAL</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Caption w:val="Table 6: Overview and key AEs (safety population) in CELESTIAL "/>
      </w:tblPr>
      <w:tblGrid>
        <w:gridCol w:w="3646"/>
        <w:gridCol w:w="1723"/>
        <w:gridCol w:w="1723"/>
        <w:gridCol w:w="1929"/>
      </w:tblGrid>
      <w:tr w:rsidR="002B6CEA">
        <w:trPr>
          <w:cantSplit/>
          <w:trHeight w:val="14"/>
          <w:tblHeader/>
          <w:jc w:val="center"/>
        </w:trPr>
        <w:tc>
          <w:tcPr>
            <w:tcW w:w="2021" w:type="pct"/>
            <w:shd w:val="clear" w:color="auto" w:fill="auto"/>
            <w:vAlign w:val="center"/>
          </w:tcPr>
          <w:p w:rsidR="002B6CEA" w:rsidRDefault="00A97395">
            <w:pPr>
              <w:keepNext/>
              <w:jc w:val="left"/>
              <w:rPr>
                <w:rStyle w:val="SmallBold"/>
                <w:rFonts w:ascii="Arial Narrow" w:hAnsi="Arial Narrow"/>
                <w:szCs w:val="20"/>
              </w:rPr>
            </w:pPr>
            <w:r>
              <w:rPr>
                <w:rStyle w:val="SmallBold"/>
                <w:rFonts w:ascii="Arial Narrow" w:hAnsi="Arial Narrow"/>
                <w:szCs w:val="20"/>
              </w:rPr>
              <w:t>T</w:t>
            </w:r>
            <w:r>
              <w:rPr>
                <w:rStyle w:val="SmallBold"/>
                <w:rFonts w:ascii="Arial Narrow" w:hAnsi="Arial Narrow"/>
              </w:rPr>
              <w:t xml:space="preserve">ype of AE </w:t>
            </w:r>
            <w:r>
              <w:rPr>
                <w:rStyle w:val="SmallBold"/>
                <w:rFonts w:ascii="Arial Narrow" w:hAnsi="Arial Narrow"/>
                <w:szCs w:val="20"/>
              </w:rPr>
              <w:t>n (%)</w:t>
            </w:r>
          </w:p>
        </w:tc>
        <w:tc>
          <w:tcPr>
            <w:tcW w:w="955" w:type="pct"/>
            <w:shd w:val="clear" w:color="auto" w:fill="auto"/>
          </w:tcPr>
          <w:p w:rsidR="002B6CEA" w:rsidRDefault="00A97395">
            <w:pPr>
              <w:keepNext/>
              <w:jc w:val="center"/>
              <w:rPr>
                <w:rStyle w:val="SmallBold"/>
                <w:rFonts w:ascii="Arial Narrow" w:hAnsi="Arial Narrow"/>
                <w:szCs w:val="20"/>
              </w:rPr>
            </w:pPr>
            <w:r>
              <w:rPr>
                <w:rStyle w:val="SmallBold"/>
                <w:rFonts w:ascii="Arial Narrow" w:hAnsi="Arial Narrow"/>
                <w:szCs w:val="20"/>
              </w:rPr>
              <w:t>Cabozantinib</w:t>
            </w:r>
          </w:p>
          <w:p w:rsidR="002B6CEA" w:rsidRDefault="00A97395">
            <w:pPr>
              <w:keepNext/>
              <w:jc w:val="center"/>
              <w:rPr>
                <w:rStyle w:val="SmallBold"/>
                <w:rFonts w:ascii="Arial Narrow" w:hAnsi="Arial Narrow"/>
                <w:szCs w:val="20"/>
              </w:rPr>
            </w:pPr>
            <w:r>
              <w:rPr>
                <w:rStyle w:val="SmallBold"/>
                <w:rFonts w:ascii="Arial Narrow" w:hAnsi="Arial Narrow"/>
                <w:szCs w:val="20"/>
              </w:rPr>
              <w:t>(N = 467)</w:t>
            </w:r>
          </w:p>
        </w:tc>
        <w:tc>
          <w:tcPr>
            <w:tcW w:w="955" w:type="pct"/>
            <w:shd w:val="clear" w:color="auto" w:fill="auto"/>
          </w:tcPr>
          <w:p w:rsidR="002B6CEA" w:rsidRDefault="00A97395">
            <w:pPr>
              <w:keepNext/>
              <w:jc w:val="center"/>
              <w:rPr>
                <w:rStyle w:val="SmallBold"/>
                <w:rFonts w:ascii="Arial Narrow" w:hAnsi="Arial Narrow"/>
                <w:szCs w:val="20"/>
              </w:rPr>
            </w:pPr>
            <w:r>
              <w:rPr>
                <w:rStyle w:val="SmallBold"/>
                <w:rFonts w:ascii="Arial Narrow" w:hAnsi="Arial Narrow"/>
                <w:szCs w:val="20"/>
              </w:rPr>
              <w:t>BSC</w:t>
            </w:r>
          </w:p>
          <w:p w:rsidR="002B6CEA" w:rsidRDefault="00A97395">
            <w:pPr>
              <w:keepNext/>
              <w:jc w:val="center"/>
              <w:rPr>
                <w:rStyle w:val="SmallBold"/>
                <w:rFonts w:ascii="Arial Narrow" w:hAnsi="Arial Narrow"/>
                <w:szCs w:val="20"/>
              </w:rPr>
            </w:pPr>
            <w:r>
              <w:rPr>
                <w:rStyle w:val="SmallBold"/>
                <w:rFonts w:ascii="Arial Narrow" w:hAnsi="Arial Narrow"/>
                <w:szCs w:val="20"/>
              </w:rPr>
              <w:t>(N = 237)</w:t>
            </w:r>
          </w:p>
        </w:tc>
        <w:tc>
          <w:tcPr>
            <w:tcW w:w="1069" w:type="pct"/>
          </w:tcPr>
          <w:p w:rsidR="002B6CEA" w:rsidRDefault="00A97395">
            <w:pPr>
              <w:keepNext/>
              <w:jc w:val="center"/>
              <w:rPr>
                <w:rStyle w:val="SmallBold"/>
                <w:rFonts w:ascii="Arial Narrow" w:hAnsi="Arial Narrow"/>
                <w:szCs w:val="20"/>
              </w:rPr>
            </w:pPr>
            <w:r>
              <w:rPr>
                <w:rStyle w:val="SmallBold"/>
                <w:rFonts w:ascii="Arial Narrow" w:hAnsi="Arial Narrow"/>
                <w:szCs w:val="20"/>
              </w:rPr>
              <w:t>RD</w:t>
            </w:r>
          </w:p>
          <w:p w:rsidR="002B6CEA" w:rsidRDefault="00A97395">
            <w:pPr>
              <w:keepNext/>
              <w:jc w:val="center"/>
              <w:rPr>
                <w:rStyle w:val="SmallBold"/>
                <w:rFonts w:ascii="Arial Narrow" w:hAnsi="Arial Narrow"/>
                <w:szCs w:val="20"/>
              </w:rPr>
            </w:pPr>
            <w:r>
              <w:rPr>
                <w:rFonts w:ascii="Arial Narrow" w:eastAsia="Calibri" w:hAnsi="Arial Narrow" w:cs="Calibri"/>
                <w:b/>
                <w:sz w:val="20"/>
                <w:szCs w:val="20"/>
              </w:rPr>
              <w:t>(95% CI)</w:t>
            </w:r>
          </w:p>
        </w:tc>
      </w:tr>
      <w:tr w:rsidR="002B6CEA">
        <w:trPr>
          <w:cantSplit/>
          <w:trHeight w:val="14"/>
          <w:jc w:val="center"/>
        </w:trPr>
        <w:tc>
          <w:tcPr>
            <w:tcW w:w="2021" w:type="pct"/>
            <w:shd w:val="clear" w:color="auto" w:fill="auto"/>
            <w:vAlign w:val="center"/>
          </w:tcPr>
          <w:p w:rsidR="002B6CEA" w:rsidRDefault="00A97395">
            <w:pPr>
              <w:keepNext/>
              <w:jc w:val="left"/>
              <w:rPr>
                <w:rStyle w:val="TableText0"/>
                <w:rFonts w:ascii="Arial Narrow" w:eastAsiaTheme="majorEastAsia" w:hAnsi="Arial Narrow"/>
                <w:sz w:val="20"/>
                <w:szCs w:val="20"/>
              </w:rPr>
            </w:pPr>
            <w:r>
              <w:rPr>
                <w:rStyle w:val="TableText0"/>
                <w:rFonts w:ascii="Arial Narrow" w:eastAsiaTheme="majorEastAsia" w:hAnsi="Arial Narrow"/>
                <w:sz w:val="20"/>
                <w:szCs w:val="20"/>
              </w:rPr>
              <w:t>Treatment-related AE</w:t>
            </w:r>
          </w:p>
        </w:tc>
        <w:tc>
          <w:tcPr>
            <w:tcW w:w="955" w:type="pct"/>
            <w:shd w:val="clear" w:color="auto" w:fill="auto"/>
            <w:vAlign w:val="center"/>
          </w:tcPr>
          <w:p w:rsidR="002B6CEA" w:rsidRDefault="00A97395">
            <w:pPr>
              <w:keepNext/>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439 (94)</w:t>
            </w:r>
          </w:p>
        </w:tc>
        <w:tc>
          <w:tcPr>
            <w:tcW w:w="955" w:type="pct"/>
            <w:shd w:val="clear" w:color="auto" w:fill="auto"/>
            <w:vAlign w:val="center"/>
          </w:tcPr>
          <w:p w:rsidR="002B6CEA" w:rsidRDefault="00A97395">
            <w:pPr>
              <w:keepNext/>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148 (62)</w:t>
            </w:r>
          </w:p>
        </w:tc>
        <w:tc>
          <w:tcPr>
            <w:tcW w:w="1069" w:type="pct"/>
            <w:vAlign w:val="center"/>
          </w:tcPr>
          <w:p w:rsidR="002B6CEA" w:rsidRDefault="00A97395">
            <w:pPr>
              <w:keepNext/>
              <w:jc w:val="center"/>
              <w:rPr>
                <w:rStyle w:val="TableText0"/>
                <w:rFonts w:ascii="Arial Narrow" w:eastAsiaTheme="majorEastAsia" w:hAnsi="Arial Narrow"/>
                <w:b/>
                <w:sz w:val="20"/>
                <w:szCs w:val="20"/>
              </w:rPr>
            </w:pPr>
            <w:r>
              <w:rPr>
                <w:rStyle w:val="TableText0"/>
                <w:rFonts w:ascii="Arial Narrow" w:eastAsiaTheme="majorEastAsia" w:hAnsi="Arial Narrow"/>
                <w:b/>
                <w:sz w:val="20"/>
                <w:szCs w:val="20"/>
              </w:rPr>
              <w:t>0.32 (0.25,0.38)</w:t>
            </w:r>
          </w:p>
        </w:tc>
      </w:tr>
      <w:tr w:rsidR="002B6CEA">
        <w:trPr>
          <w:cantSplit/>
          <w:trHeight w:val="14"/>
          <w:jc w:val="center"/>
        </w:trPr>
        <w:tc>
          <w:tcPr>
            <w:tcW w:w="2021" w:type="pct"/>
            <w:shd w:val="clear" w:color="auto" w:fill="auto"/>
            <w:vAlign w:val="center"/>
          </w:tcPr>
          <w:p w:rsidR="002B6CEA" w:rsidRDefault="00A97395">
            <w:pPr>
              <w:keepNext/>
              <w:jc w:val="left"/>
              <w:rPr>
                <w:rStyle w:val="TableText0"/>
                <w:rFonts w:ascii="Arial Narrow" w:eastAsiaTheme="majorEastAsia" w:hAnsi="Arial Narrow"/>
                <w:sz w:val="20"/>
                <w:szCs w:val="20"/>
              </w:rPr>
            </w:pPr>
            <w:r>
              <w:rPr>
                <w:rStyle w:val="TableText0"/>
                <w:rFonts w:ascii="Arial Narrow" w:eastAsiaTheme="majorEastAsia" w:hAnsi="Arial Narrow"/>
                <w:sz w:val="20"/>
                <w:szCs w:val="20"/>
              </w:rPr>
              <w:t>SAEs</w:t>
            </w:r>
          </w:p>
        </w:tc>
        <w:tc>
          <w:tcPr>
            <w:tcW w:w="955" w:type="pct"/>
            <w:shd w:val="clear" w:color="auto" w:fill="auto"/>
            <w:vAlign w:val="center"/>
          </w:tcPr>
          <w:p w:rsidR="002B6CEA" w:rsidRDefault="00A97395">
            <w:pPr>
              <w:keepNext/>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232 (50)</w:t>
            </w:r>
          </w:p>
        </w:tc>
        <w:tc>
          <w:tcPr>
            <w:tcW w:w="955" w:type="pct"/>
            <w:shd w:val="clear" w:color="auto" w:fill="auto"/>
            <w:vAlign w:val="center"/>
          </w:tcPr>
          <w:p w:rsidR="002B6CEA" w:rsidRDefault="00A97395">
            <w:pPr>
              <w:keepNext/>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87 (37)</w:t>
            </w:r>
          </w:p>
        </w:tc>
        <w:tc>
          <w:tcPr>
            <w:tcW w:w="1069" w:type="pct"/>
            <w:vAlign w:val="center"/>
          </w:tcPr>
          <w:p w:rsidR="002B6CEA" w:rsidRDefault="00A97395">
            <w:pPr>
              <w:keepNext/>
              <w:jc w:val="center"/>
              <w:rPr>
                <w:rStyle w:val="TableText0"/>
                <w:rFonts w:ascii="Arial Narrow" w:eastAsiaTheme="majorEastAsia" w:hAnsi="Arial Narrow"/>
                <w:b/>
                <w:sz w:val="20"/>
                <w:szCs w:val="20"/>
              </w:rPr>
            </w:pPr>
            <w:r>
              <w:rPr>
                <w:rStyle w:val="TableText0"/>
                <w:rFonts w:ascii="Arial Narrow" w:eastAsiaTheme="majorEastAsia" w:hAnsi="Arial Narrow"/>
                <w:b/>
                <w:sz w:val="20"/>
                <w:szCs w:val="20"/>
              </w:rPr>
              <w:t>0.13 (0.05,0.21)</w:t>
            </w:r>
          </w:p>
        </w:tc>
      </w:tr>
      <w:tr w:rsidR="002B6CEA">
        <w:trPr>
          <w:cantSplit/>
          <w:trHeight w:val="14"/>
          <w:jc w:val="center"/>
        </w:trPr>
        <w:tc>
          <w:tcPr>
            <w:tcW w:w="2021" w:type="pct"/>
            <w:shd w:val="clear" w:color="auto" w:fill="auto"/>
            <w:vAlign w:val="center"/>
          </w:tcPr>
          <w:p w:rsidR="002B6CEA" w:rsidRDefault="00A97395">
            <w:pPr>
              <w:keepNext/>
              <w:jc w:val="left"/>
              <w:rPr>
                <w:rStyle w:val="TableText0"/>
                <w:rFonts w:ascii="Arial Narrow" w:eastAsiaTheme="majorEastAsia" w:hAnsi="Arial Narrow"/>
                <w:sz w:val="20"/>
                <w:szCs w:val="20"/>
              </w:rPr>
            </w:pPr>
            <w:r>
              <w:rPr>
                <w:rStyle w:val="TableText0"/>
                <w:rFonts w:ascii="Arial Narrow" w:eastAsiaTheme="majorEastAsia" w:hAnsi="Arial Narrow"/>
                <w:sz w:val="20"/>
                <w:szCs w:val="20"/>
              </w:rPr>
              <w:t>Treatment-related SAE</w:t>
            </w:r>
          </w:p>
        </w:tc>
        <w:tc>
          <w:tcPr>
            <w:tcW w:w="955" w:type="pct"/>
            <w:shd w:val="clear" w:color="auto" w:fill="auto"/>
            <w:vAlign w:val="center"/>
          </w:tcPr>
          <w:p w:rsidR="002B6CEA" w:rsidRDefault="00A97395">
            <w:pPr>
              <w:keepNext/>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82 (18)</w:t>
            </w:r>
          </w:p>
        </w:tc>
        <w:tc>
          <w:tcPr>
            <w:tcW w:w="955" w:type="pct"/>
            <w:shd w:val="clear" w:color="auto" w:fill="auto"/>
            <w:vAlign w:val="center"/>
          </w:tcPr>
          <w:p w:rsidR="002B6CEA" w:rsidRDefault="00A97395">
            <w:pPr>
              <w:keepNext/>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14 (5.9)</w:t>
            </w:r>
          </w:p>
        </w:tc>
        <w:tc>
          <w:tcPr>
            <w:tcW w:w="1069" w:type="pct"/>
            <w:vAlign w:val="center"/>
          </w:tcPr>
          <w:p w:rsidR="002B6CEA" w:rsidRDefault="00A97395">
            <w:pPr>
              <w:keepNext/>
              <w:jc w:val="center"/>
              <w:rPr>
                <w:rStyle w:val="TableText0"/>
                <w:rFonts w:ascii="Arial Narrow" w:eastAsiaTheme="majorEastAsia" w:hAnsi="Arial Narrow"/>
                <w:b/>
                <w:sz w:val="20"/>
                <w:szCs w:val="20"/>
              </w:rPr>
            </w:pPr>
            <w:r>
              <w:rPr>
                <w:rStyle w:val="TableText0"/>
                <w:rFonts w:ascii="Arial Narrow" w:eastAsiaTheme="majorEastAsia" w:hAnsi="Arial Narrow"/>
                <w:b/>
                <w:sz w:val="20"/>
                <w:szCs w:val="20"/>
              </w:rPr>
              <w:t>0.12 (0.07,0.16)</w:t>
            </w:r>
          </w:p>
        </w:tc>
      </w:tr>
      <w:tr w:rsidR="002B6CEA">
        <w:trPr>
          <w:cantSplit/>
          <w:trHeight w:val="14"/>
          <w:jc w:val="center"/>
        </w:trPr>
        <w:tc>
          <w:tcPr>
            <w:tcW w:w="2021" w:type="pct"/>
            <w:shd w:val="clear" w:color="auto" w:fill="auto"/>
            <w:vAlign w:val="center"/>
          </w:tcPr>
          <w:p w:rsidR="002B6CEA" w:rsidRDefault="00A97395">
            <w:pPr>
              <w:keepNext/>
              <w:jc w:val="left"/>
              <w:rPr>
                <w:rStyle w:val="TableText0"/>
                <w:rFonts w:ascii="Arial Narrow" w:eastAsiaTheme="majorEastAsia" w:hAnsi="Arial Narrow"/>
                <w:sz w:val="20"/>
                <w:szCs w:val="20"/>
              </w:rPr>
            </w:pPr>
            <w:r>
              <w:rPr>
                <w:rStyle w:val="TableText0"/>
                <w:rFonts w:ascii="Arial Narrow" w:eastAsiaTheme="majorEastAsia" w:hAnsi="Arial Narrow"/>
                <w:sz w:val="20"/>
                <w:szCs w:val="20"/>
              </w:rPr>
              <w:t>Worst Grade 3 or 4 AE</w:t>
            </w:r>
          </w:p>
        </w:tc>
        <w:tc>
          <w:tcPr>
            <w:tcW w:w="955" w:type="pct"/>
            <w:shd w:val="clear" w:color="auto" w:fill="auto"/>
            <w:vAlign w:val="center"/>
          </w:tcPr>
          <w:p w:rsidR="002B6CEA" w:rsidRDefault="00A97395">
            <w:pPr>
              <w:keepNext/>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316 (68)</w:t>
            </w:r>
          </w:p>
        </w:tc>
        <w:tc>
          <w:tcPr>
            <w:tcW w:w="955" w:type="pct"/>
            <w:shd w:val="clear" w:color="auto" w:fill="auto"/>
            <w:vAlign w:val="center"/>
          </w:tcPr>
          <w:p w:rsidR="002B6CEA" w:rsidRDefault="00A97395">
            <w:pPr>
              <w:keepNext/>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86 (36)</w:t>
            </w:r>
          </w:p>
        </w:tc>
        <w:tc>
          <w:tcPr>
            <w:tcW w:w="1069" w:type="pct"/>
            <w:vAlign w:val="center"/>
          </w:tcPr>
          <w:p w:rsidR="002B6CEA" w:rsidRDefault="00A97395">
            <w:pPr>
              <w:keepNext/>
              <w:jc w:val="center"/>
              <w:rPr>
                <w:rStyle w:val="TableText0"/>
                <w:rFonts w:ascii="Arial Narrow" w:eastAsiaTheme="majorEastAsia" w:hAnsi="Arial Narrow"/>
                <w:b/>
                <w:sz w:val="20"/>
                <w:szCs w:val="20"/>
              </w:rPr>
            </w:pPr>
            <w:r>
              <w:rPr>
                <w:rStyle w:val="TableText0"/>
                <w:rFonts w:ascii="Arial Narrow" w:eastAsiaTheme="majorEastAsia" w:hAnsi="Arial Narrow"/>
                <w:b/>
                <w:sz w:val="20"/>
                <w:szCs w:val="20"/>
              </w:rPr>
              <w:t>0.31 (0.24,0.39)</w:t>
            </w:r>
          </w:p>
        </w:tc>
      </w:tr>
      <w:tr w:rsidR="002B6CEA">
        <w:trPr>
          <w:cantSplit/>
          <w:trHeight w:val="14"/>
          <w:jc w:val="center"/>
        </w:trPr>
        <w:tc>
          <w:tcPr>
            <w:tcW w:w="2021" w:type="pct"/>
            <w:shd w:val="clear" w:color="auto" w:fill="auto"/>
            <w:vAlign w:val="center"/>
          </w:tcPr>
          <w:p w:rsidR="002B6CEA" w:rsidRDefault="00A97395">
            <w:pPr>
              <w:keepNext/>
              <w:jc w:val="left"/>
              <w:rPr>
                <w:rStyle w:val="TableText0"/>
                <w:rFonts w:ascii="Arial Narrow" w:eastAsiaTheme="majorEastAsia" w:hAnsi="Arial Narrow"/>
                <w:sz w:val="20"/>
                <w:szCs w:val="20"/>
              </w:rPr>
            </w:pPr>
            <w:r>
              <w:rPr>
                <w:rStyle w:val="TableText0"/>
                <w:rFonts w:ascii="Arial Narrow" w:eastAsiaTheme="majorEastAsia" w:hAnsi="Arial Narrow"/>
                <w:sz w:val="20"/>
                <w:szCs w:val="20"/>
              </w:rPr>
              <w:t>Worst Grade 4 AE</w:t>
            </w:r>
          </w:p>
        </w:tc>
        <w:tc>
          <w:tcPr>
            <w:tcW w:w="955" w:type="pct"/>
            <w:shd w:val="clear" w:color="auto" w:fill="auto"/>
            <w:vAlign w:val="center"/>
          </w:tcPr>
          <w:p w:rsidR="002B6CEA" w:rsidRDefault="00A97395">
            <w:pPr>
              <w:keepNext/>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46 (9.9)</w:t>
            </w:r>
          </w:p>
        </w:tc>
        <w:tc>
          <w:tcPr>
            <w:tcW w:w="955" w:type="pct"/>
            <w:shd w:val="clear" w:color="auto" w:fill="auto"/>
            <w:vAlign w:val="center"/>
          </w:tcPr>
          <w:p w:rsidR="002B6CEA" w:rsidRDefault="00A97395">
            <w:pPr>
              <w:keepNext/>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6 (2.5)</w:t>
            </w:r>
          </w:p>
        </w:tc>
        <w:tc>
          <w:tcPr>
            <w:tcW w:w="1069" w:type="pct"/>
            <w:vAlign w:val="center"/>
          </w:tcPr>
          <w:p w:rsidR="002B6CEA" w:rsidRDefault="00A97395">
            <w:pPr>
              <w:keepNext/>
              <w:jc w:val="center"/>
              <w:rPr>
                <w:rStyle w:val="TableText0"/>
                <w:rFonts w:ascii="Arial Narrow" w:eastAsiaTheme="majorEastAsia" w:hAnsi="Arial Narrow"/>
                <w:b/>
                <w:sz w:val="20"/>
                <w:szCs w:val="20"/>
              </w:rPr>
            </w:pPr>
            <w:r>
              <w:rPr>
                <w:rStyle w:val="TableText0"/>
                <w:rFonts w:ascii="Arial Narrow" w:eastAsiaTheme="majorEastAsia" w:hAnsi="Arial Narrow"/>
                <w:b/>
                <w:sz w:val="20"/>
                <w:szCs w:val="20"/>
              </w:rPr>
              <w:t>0.07 (0.04,0.11)</w:t>
            </w:r>
          </w:p>
        </w:tc>
      </w:tr>
      <w:tr w:rsidR="002B6CEA">
        <w:trPr>
          <w:cantSplit/>
          <w:trHeight w:val="14"/>
          <w:jc w:val="center"/>
        </w:trPr>
        <w:tc>
          <w:tcPr>
            <w:tcW w:w="2021" w:type="pct"/>
            <w:shd w:val="clear" w:color="auto" w:fill="auto"/>
            <w:vAlign w:val="center"/>
          </w:tcPr>
          <w:p w:rsidR="002B6CEA" w:rsidRDefault="00A97395">
            <w:pPr>
              <w:keepNext/>
              <w:jc w:val="left"/>
              <w:rPr>
                <w:rStyle w:val="TableText0"/>
                <w:rFonts w:ascii="Arial Narrow" w:eastAsiaTheme="majorEastAsia" w:hAnsi="Arial Narrow"/>
                <w:sz w:val="20"/>
                <w:szCs w:val="20"/>
              </w:rPr>
            </w:pPr>
            <w:r>
              <w:rPr>
                <w:rStyle w:val="TableText0"/>
                <w:rFonts w:ascii="Arial Narrow" w:eastAsiaTheme="majorEastAsia" w:hAnsi="Arial Narrow"/>
                <w:sz w:val="20"/>
                <w:szCs w:val="20"/>
              </w:rPr>
              <w:t>Worst treatment-related Grade 4 AE</w:t>
            </w:r>
          </w:p>
        </w:tc>
        <w:tc>
          <w:tcPr>
            <w:tcW w:w="955" w:type="pct"/>
            <w:shd w:val="clear" w:color="auto" w:fill="auto"/>
            <w:vAlign w:val="center"/>
          </w:tcPr>
          <w:p w:rsidR="002B6CEA" w:rsidRDefault="00A97395">
            <w:pPr>
              <w:keepNext/>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25 (5.4)</w:t>
            </w:r>
          </w:p>
        </w:tc>
        <w:tc>
          <w:tcPr>
            <w:tcW w:w="955" w:type="pct"/>
            <w:shd w:val="clear" w:color="auto" w:fill="auto"/>
            <w:vAlign w:val="center"/>
          </w:tcPr>
          <w:p w:rsidR="002B6CEA" w:rsidRDefault="00A97395">
            <w:pPr>
              <w:keepNext/>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3 (1.3)</w:t>
            </w:r>
          </w:p>
        </w:tc>
        <w:tc>
          <w:tcPr>
            <w:tcW w:w="1069" w:type="pct"/>
            <w:vAlign w:val="center"/>
          </w:tcPr>
          <w:p w:rsidR="002B6CEA" w:rsidRDefault="00A97395">
            <w:pPr>
              <w:keepNext/>
              <w:jc w:val="center"/>
              <w:rPr>
                <w:rStyle w:val="TableText0"/>
                <w:rFonts w:ascii="Arial Narrow" w:eastAsiaTheme="majorEastAsia" w:hAnsi="Arial Narrow"/>
                <w:b/>
                <w:sz w:val="20"/>
                <w:szCs w:val="20"/>
              </w:rPr>
            </w:pPr>
            <w:r>
              <w:rPr>
                <w:rStyle w:val="TableText0"/>
                <w:rFonts w:ascii="Arial Narrow" w:eastAsiaTheme="majorEastAsia" w:hAnsi="Arial Narrow"/>
                <w:b/>
                <w:sz w:val="20"/>
                <w:szCs w:val="20"/>
              </w:rPr>
              <w:t>0.04 (0.02,0.07)</w:t>
            </w:r>
          </w:p>
        </w:tc>
      </w:tr>
      <w:tr w:rsidR="002B6CEA">
        <w:trPr>
          <w:cantSplit/>
          <w:trHeight w:val="14"/>
          <w:jc w:val="center"/>
        </w:trPr>
        <w:tc>
          <w:tcPr>
            <w:tcW w:w="2021" w:type="pct"/>
            <w:shd w:val="clear" w:color="auto" w:fill="auto"/>
            <w:vAlign w:val="center"/>
          </w:tcPr>
          <w:p w:rsidR="002B6CEA" w:rsidRDefault="00A97395">
            <w:pPr>
              <w:keepNext/>
              <w:jc w:val="left"/>
              <w:rPr>
                <w:rStyle w:val="TableText0"/>
                <w:rFonts w:ascii="Arial Narrow" w:eastAsiaTheme="majorEastAsia" w:hAnsi="Arial Narrow"/>
                <w:sz w:val="20"/>
                <w:szCs w:val="20"/>
              </w:rPr>
            </w:pPr>
            <w:r>
              <w:rPr>
                <w:rStyle w:val="TableText0"/>
                <w:rFonts w:ascii="Arial Narrow" w:eastAsiaTheme="majorEastAsia" w:hAnsi="Arial Narrow"/>
                <w:sz w:val="20"/>
                <w:szCs w:val="20"/>
              </w:rPr>
              <w:t xml:space="preserve">Treatment-related Grade 5 AE </w:t>
            </w:r>
          </w:p>
        </w:tc>
        <w:tc>
          <w:tcPr>
            <w:tcW w:w="955" w:type="pct"/>
            <w:shd w:val="clear" w:color="auto" w:fill="auto"/>
            <w:vAlign w:val="center"/>
          </w:tcPr>
          <w:p w:rsidR="002B6CEA" w:rsidRDefault="00A97395">
            <w:pPr>
              <w:keepNext/>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6 (1.3)</w:t>
            </w:r>
          </w:p>
        </w:tc>
        <w:tc>
          <w:tcPr>
            <w:tcW w:w="955" w:type="pct"/>
            <w:shd w:val="clear" w:color="auto" w:fill="auto"/>
            <w:vAlign w:val="center"/>
          </w:tcPr>
          <w:p w:rsidR="002B6CEA" w:rsidRDefault="00A97395">
            <w:pPr>
              <w:keepNext/>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1 (0.4)</w:t>
            </w:r>
          </w:p>
        </w:tc>
        <w:tc>
          <w:tcPr>
            <w:tcW w:w="1069" w:type="pct"/>
            <w:vAlign w:val="center"/>
          </w:tcPr>
          <w:p w:rsidR="002B6CEA" w:rsidRDefault="00A97395">
            <w:pPr>
              <w:keepNext/>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0.01 (-0.01,0.02)</w:t>
            </w:r>
          </w:p>
        </w:tc>
      </w:tr>
      <w:tr w:rsidR="002B6CEA">
        <w:trPr>
          <w:cantSplit/>
          <w:trHeight w:val="14"/>
          <w:jc w:val="center"/>
        </w:trPr>
        <w:tc>
          <w:tcPr>
            <w:tcW w:w="2021" w:type="pct"/>
            <w:shd w:val="clear" w:color="auto" w:fill="auto"/>
            <w:vAlign w:val="center"/>
          </w:tcPr>
          <w:p w:rsidR="002B6CEA" w:rsidRDefault="00A97395">
            <w:pPr>
              <w:keepNext/>
              <w:jc w:val="left"/>
              <w:rPr>
                <w:rStyle w:val="TableText0"/>
                <w:rFonts w:ascii="Arial Narrow" w:eastAsiaTheme="majorEastAsia" w:hAnsi="Arial Narrow"/>
                <w:sz w:val="20"/>
                <w:szCs w:val="20"/>
              </w:rPr>
            </w:pPr>
            <w:r>
              <w:rPr>
                <w:rStyle w:val="TableText0"/>
                <w:rFonts w:ascii="Arial Narrow" w:eastAsiaTheme="majorEastAsia" w:hAnsi="Arial Narrow"/>
                <w:sz w:val="20"/>
                <w:szCs w:val="20"/>
              </w:rPr>
              <w:t>AE leading to treatment discontinuation</w:t>
            </w:r>
            <w:r>
              <w:rPr>
                <w:rStyle w:val="TableText0"/>
                <w:rFonts w:ascii="Arial Narrow" w:eastAsiaTheme="majorEastAsia" w:hAnsi="Arial Narrow"/>
                <w:sz w:val="20"/>
                <w:szCs w:val="20"/>
                <w:vertAlign w:val="superscript"/>
              </w:rPr>
              <w:t>a</w:t>
            </w:r>
          </w:p>
        </w:tc>
        <w:tc>
          <w:tcPr>
            <w:tcW w:w="955" w:type="pct"/>
            <w:shd w:val="clear" w:color="auto" w:fill="auto"/>
            <w:vAlign w:val="center"/>
          </w:tcPr>
          <w:p w:rsidR="002B6CEA" w:rsidRDefault="00A97395">
            <w:pPr>
              <w:keepNext/>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96 (21)</w:t>
            </w:r>
          </w:p>
        </w:tc>
        <w:tc>
          <w:tcPr>
            <w:tcW w:w="955" w:type="pct"/>
            <w:shd w:val="clear" w:color="auto" w:fill="auto"/>
            <w:vAlign w:val="center"/>
          </w:tcPr>
          <w:p w:rsidR="002B6CEA" w:rsidRDefault="00A97395">
            <w:pPr>
              <w:keepNext/>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10 (4.2)</w:t>
            </w:r>
          </w:p>
        </w:tc>
        <w:tc>
          <w:tcPr>
            <w:tcW w:w="1069" w:type="pct"/>
            <w:vAlign w:val="center"/>
          </w:tcPr>
          <w:p w:rsidR="002B6CEA" w:rsidRDefault="00A97395">
            <w:pPr>
              <w:keepNext/>
              <w:jc w:val="center"/>
              <w:rPr>
                <w:rStyle w:val="TableText0"/>
                <w:rFonts w:ascii="Arial Narrow" w:eastAsiaTheme="majorEastAsia" w:hAnsi="Arial Narrow"/>
                <w:b/>
                <w:sz w:val="20"/>
                <w:szCs w:val="20"/>
              </w:rPr>
            </w:pPr>
            <w:r>
              <w:rPr>
                <w:rStyle w:val="TableText0"/>
                <w:rFonts w:ascii="Arial Narrow" w:eastAsiaTheme="majorEastAsia" w:hAnsi="Arial Narrow"/>
                <w:b/>
                <w:sz w:val="20"/>
                <w:szCs w:val="20"/>
              </w:rPr>
              <w:t>0.16 (0.12,0.21)</w:t>
            </w:r>
          </w:p>
        </w:tc>
      </w:tr>
      <w:tr w:rsidR="002B6CEA">
        <w:trPr>
          <w:cantSplit/>
          <w:trHeight w:val="14"/>
          <w:jc w:val="center"/>
        </w:trPr>
        <w:tc>
          <w:tcPr>
            <w:tcW w:w="2021" w:type="pct"/>
            <w:shd w:val="clear" w:color="auto" w:fill="auto"/>
            <w:vAlign w:val="center"/>
          </w:tcPr>
          <w:p w:rsidR="002B6CEA" w:rsidRDefault="00A97395">
            <w:pPr>
              <w:keepNext/>
              <w:jc w:val="left"/>
              <w:rPr>
                <w:rStyle w:val="TableText0"/>
                <w:rFonts w:ascii="Arial Narrow" w:eastAsiaTheme="majorEastAsia" w:hAnsi="Arial Narrow"/>
                <w:sz w:val="20"/>
                <w:szCs w:val="20"/>
              </w:rPr>
            </w:pPr>
            <w:r>
              <w:rPr>
                <w:rStyle w:val="TableText0"/>
                <w:rFonts w:ascii="Arial Narrow" w:eastAsiaTheme="majorEastAsia" w:hAnsi="Arial Narrow"/>
                <w:sz w:val="20"/>
                <w:szCs w:val="20"/>
              </w:rPr>
              <w:t>AE leading to treatment discontinuation</w:t>
            </w:r>
            <w:r>
              <w:rPr>
                <w:rStyle w:val="TableText0"/>
                <w:rFonts w:ascii="Arial Narrow" w:eastAsiaTheme="majorEastAsia" w:hAnsi="Arial Narrow"/>
                <w:sz w:val="20"/>
                <w:szCs w:val="20"/>
                <w:vertAlign w:val="superscript"/>
              </w:rPr>
              <w:t>a</w:t>
            </w:r>
            <w:r>
              <w:rPr>
                <w:rStyle w:val="TableText0"/>
                <w:rFonts w:ascii="Arial Narrow" w:eastAsiaTheme="majorEastAsia" w:hAnsi="Arial Narrow"/>
                <w:sz w:val="20"/>
                <w:szCs w:val="20"/>
              </w:rPr>
              <w:t xml:space="preserve"> related to study treatment</w:t>
            </w:r>
          </w:p>
        </w:tc>
        <w:tc>
          <w:tcPr>
            <w:tcW w:w="955" w:type="pct"/>
            <w:shd w:val="clear" w:color="auto" w:fill="auto"/>
            <w:vAlign w:val="center"/>
          </w:tcPr>
          <w:p w:rsidR="002B6CEA" w:rsidRDefault="00A97395">
            <w:pPr>
              <w:keepNext/>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74 (16)</w:t>
            </w:r>
          </w:p>
        </w:tc>
        <w:tc>
          <w:tcPr>
            <w:tcW w:w="955" w:type="pct"/>
            <w:shd w:val="clear" w:color="auto" w:fill="auto"/>
            <w:vAlign w:val="center"/>
          </w:tcPr>
          <w:p w:rsidR="002B6CEA" w:rsidRDefault="00A97395">
            <w:pPr>
              <w:keepNext/>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6 (2.5)</w:t>
            </w:r>
          </w:p>
        </w:tc>
        <w:tc>
          <w:tcPr>
            <w:tcW w:w="1069" w:type="pct"/>
            <w:vAlign w:val="center"/>
          </w:tcPr>
          <w:p w:rsidR="002B6CEA" w:rsidRDefault="00A97395">
            <w:pPr>
              <w:keepNext/>
              <w:jc w:val="center"/>
              <w:rPr>
                <w:rStyle w:val="TableText0"/>
                <w:rFonts w:ascii="Arial Narrow" w:eastAsiaTheme="majorEastAsia" w:hAnsi="Arial Narrow"/>
                <w:b/>
                <w:sz w:val="20"/>
                <w:szCs w:val="20"/>
              </w:rPr>
            </w:pPr>
            <w:r>
              <w:rPr>
                <w:rStyle w:val="TableText0"/>
                <w:rFonts w:ascii="Arial Narrow" w:eastAsiaTheme="majorEastAsia" w:hAnsi="Arial Narrow"/>
                <w:b/>
                <w:sz w:val="20"/>
                <w:szCs w:val="20"/>
              </w:rPr>
              <w:t>0.13 (0.09,0.17)</w:t>
            </w:r>
          </w:p>
        </w:tc>
      </w:tr>
      <w:tr w:rsidR="002B6CEA">
        <w:trPr>
          <w:cantSplit/>
          <w:trHeight w:val="14"/>
          <w:jc w:val="center"/>
        </w:trPr>
        <w:tc>
          <w:tcPr>
            <w:tcW w:w="2021" w:type="pct"/>
            <w:shd w:val="clear" w:color="auto" w:fill="auto"/>
            <w:vAlign w:val="center"/>
          </w:tcPr>
          <w:p w:rsidR="002B6CEA" w:rsidRDefault="00A97395">
            <w:pPr>
              <w:keepNext/>
              <w:jc w:val="left"/>
              <w:rPr>
                <w:rStyle w:val="TableText0"/>
                <w:rFonts w:ascii="Arial Narrow" w:eastAsiaTheme="majorEastAsia" w:hAnsi="Arial Narrow"/>
                <w:sz w:val="20"/>
                <w:szCs w:val="20"/>
              </w:rPr>
            </w:pPr>
            <w:r>
              <w:rPr>
                <w:rStyle w:val="TableText0"/>
                <w:rFonts w:ascii="Arial Narrow" w:eastAsiaTheme="majorEastAsia" w:hAnsi="Arial Narrow"/>
                <w:sz w:val="20"/>
                <w:szCs w:val="20"/>
              </w:rPr>
              <w:t>AE leading to dose modification</w:t>
            </w:r>
            <w:r>
              <w:rPr>
                <w:rStyle w:val="TableText0"/>
                <w:rFonts w:ascii="Arial Narrow" w:eastAsiaTheme="majorEastAsia" w:hAnsi="Arial Narrow"/>
                <w:sz w:val="20"/>
                <w:szCs w:val="20"/>
                <w:vertAlign w:val="superscript"/>
              </w:rPr>
              <w:t>b</w:t>
            </w:r>
          </w:p>
        </w:tc>
        <w:tc>
          <w:tcPr>
            <w:tcW w:w="955" w:type="pct"/>
            <w:shd w:val="clear" w:color="auto" w:fill="auto"/>
            <w:vAlign w:val="center"/>
          </w:tcPr>
          <w:p w:rsidR="002B6CEA" w:rsidRDefault="00A97395">
            <w:pPr>
              <w:keepNext/>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416 (89)</w:t>
            </w:r>
          </w:p>
        </w:tc>
        <w:tc>
          <w:tcPr>
            <w:tcW w:w="955" w:type="pct"/>
            <w:shd w:val="clear" w:color="auto" w:fill="auto"/>
            <w:vAlign w:val="center"/>
          </w:tcPr>
          <w:p w:rsidR="002B6CEA" w:rsidRDefault="00A97395">
            <w:pPr>
              <w:keepNext/>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94 (40)</w:t>
            </w:r>
          </w:p>
        </w:tc>
        <w:tc>
          <w:tcPr>
            <w:tcW w:w="1069" w:type="pct"/>
            <w:vAlign w:val="center"/>
          </w:tcPr>
          <w:p w:rsidR="002B6CEA" w:rsidRDefault="00A97395">
            <w:pPr>
              <w:keepNext/>
              <w:jc w:val="center"/>
              <w:rPr>
                <w:rStyle w:val="TableText0"/>
                <w:rFonts w:ascii="Arial Narrow" w:eastAsiaTheme="majorEastAsia" w:hAnsi="Arial Narrow"/>
                <w:b/>
                <w:sz w:val="20"/>
                <w:szCs w:val="20"/>
              </w:rPr>
            </w:pPr>
            <w:r>
              <w:rPr>
                <w:rStyle w:val="TableText0"/>
                <w:rFonts w:ascii="Arial Narrow" w:eastAsiaTheme="majorEastAsia" w:hAnsi="Arial Narrow"/>
                <w:b/>
                <w:sz w:val="20"/>
                <w:szCs w:val="20"/>
              </w:rPr>
              <w:t>0.49 (0.43,0.56)</w:t>
            </w:r>
          </w:p>
        </w:tc>
      </w:tr>
      <w:tr w:rsidR="002B6CEA">
        <w:trPr>
          <w:cantSplit/>
          <w:trHeight w:val="14"/>
          <w:jc w:val="center"/>
        </w:trPr>
        <w:tc>
          <w:tcPr>
            <w:tcW w:w="2021" w:type="pct"/>
            <w:shd w:val="clear" w:color="auto" w:fill="auto"/>
            <w:vAlign w:val="center"/>
          </w:tcPr>
          <w:p w:rsidR="002B6CEA" w:rsidRDefault="00A97395">
            <w:pPr>
              <w:keepNext/>
              <w:jc w:val="left"/>
              <w:rPr>
                <w:rStyle w:val="TableText0"/>
                <w:rFonts w:ascii="Arial Narrow" w:eastAsiaTheme="majorEastAsia" w:hAnsi="Arial Narrow"/>
                <w:sz w:val="20"/>
                <w:szCs w:val="20"/>
              </w:rPr>
            </w:pPr>
            <w:r>
              <w:rPr>
                <w:rStyle w:val="TableText0"/>
                <w:rFonts w:ascii="Arial Narrow" w:eastAsiaTheme="majorEastAsia" w:hAnsi="Arial Narrow"/>
                <w:sz w:val="20"/>
                <w:szCs w:val="20"/>
              </w:rPr>
              <w:t>Diarrhoea</w:t>
            </w:r>
          </w:p>
        </w:tc>
        <w:tc>
          <w:tcPr>
            <w:tcW w:w="955" w:type="pct"/>
            <w:shd w:val="clear" w:color="auto" w:fill="auto"/>
            <w:vAlign w:val="center"/>
          </w:tcPr>
          <w:p w:rsidR="002B6CEA" w:rsidRDefault="00A97395">
            <w:pPr>
              <w:keepNext/>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46 (9.9)</w:t>
            </w:r>
          </w:p>
        </w:tc>
        <w:tc>
          <w:tcPr>
            <w:tcW w:w="955" w:type="pct"/>
            <w:shd w:val="clear" w:color="auto" w:fill="auto"/>
            <w:vAlign w:val="center"/>
          </w:tcPr>
          <w:p w:rsidR="002B6CEA" w:rsidRDefault="00A97395">
            <w:pPr>
              <w:keepNext/>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4 (1.7)</w:t>
            </w:r>
          </w:p>
        </w:tc>
        <w:tc>
          <w:tcPr>
            <w:tcW w:w="1069" w:type="pct"/>
            <w:vAlign w:val="center"/>
          </w:tcPr>
          <w:p w:rsidR="002B6CEA" w:rsidRDefault="00A97395">
            <w:pPr>
              <w:keepNext/>
              <w:jc w:val="center"/>
              <w:rPr>
                <w:rStyle w:val="TableText0"/>
                <w:rFonts w:ascii="Arial Narrow" w:eastAsiaTheme="majorEastAsia" w:hAnsi="Arial Narrow"/>
                <w:b/>
                <w:sz w:val="20"/>
                <w:szCs w:val="20"/>
              </w:rPr>
            </w:pPr>
            <w:r>
              <w:rPr>
                <w:rStyle w:val="TableText0"/>
                <w:rFonts w:ascii="Arial Narrow" w:eastAsiaTheme="majorEastAsia" w:hAnsi="Arial Narrow"/>
                <w:b/>
                <w:sz w:val="20"/>
                <w:szCs w:val="20"/>
              </w:rPr>
              <w:t>0.08 (0.05,0.11)</w:t>
            </w:r>
          </w:p>
        </w:tc>
      </w:tr>
      <w:tr w:rsidR="002B6CEA">
        <w:trPr>
          <w:cantSplit/>
          <w:trHeight w:val="14"/>
          <w:jc w:val="center"/>
        </w:trPr>
        <w:tc>
          <w:tcPr>
            <w:tcW w:w="2021" w:type="pct"/>
            <w:shd w:val="clear" w:color="auto" w:fill="auto"/>
            <w:vAlign w:val="center"/>
          </w:tcPr>
          <w:p w:rsidR="002B6CEA" w:rsidRDefault="00A97395">
            <w:pPr>
              <w:keepNext/>
              <w:jc w:val="left"/>
              <w:rPr>
                <w:rStyle w:val="TableText0"/>
                <w:rFonts w:ascii="Arial Narrow" w:eastAsiaTheme="majorEastAsia" w:hAnsi="Arial Narrow"/>
                <w:sz w:val="20"/>
                <w:szCs w:val="20"/>
              </w:rPr>
            </w:pPr>
            <w:r>
              <w:rPr>
                <w:rStyle w:val="TableText0"/>
                <w:rFonts w:ascii="Arial Narrow" w:eastAsiaTheme="majorEastAsia" w:hAnsi="Arial Narrow"/>
                <w:sz w:val="20"/>
                <w:szCs w:val="20"/>
              </w:rPr>
              <w:t>PPES</w:t>
            </w:r>
          </w:p>
        </w:tc>
        <w:tc>
          <w:tcPr>
            <w:tcW w:w="955" w:type="pct"/>
            <w:shd w:val="clear" w:color="auto" w:fill="auto"/>
            <w:vAlign w:val="center"/>
          </w:tcPr>
          <w:p w:rsidR="002B6CEA" w:rsidRDefault="00A97395">
            <w:pPr>
              <w:keepNext/>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79 (17)</w:t>
            </w:r>
          </w:p>
        </w:tc>
        <w:tc>
          <w:tcPr>
            <w:tcW w:w="955" w:type="pct"/>
            <w:shd w:val="clear" w:color="auto" w:fill="auto"/>
            <w:vAlign w:val="center"/>
          </w:tcPr>
          <w:p w:rsidR="002B6CEA" w:rsidRDefault="00A97395">
            <w:pPr>
              <w:keepNext/>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0</w:t>
            </w:r>
          </w:p>
        </w:tc>
        <w:tc>
          <w:tcPr>
            <w:tcW w:w="1069" w:type="pct"/>
            <w:vAlign w:val="center"/>
          </w:tcPr>
          <w:p w:rsidR="002B6CEA" w:rsidRDefault="00A97395">
            <w:pPr>
              <w:keepNext/>
              <w:jc w:val="center"/>
              <w:rPr>
                <w:rStyle w:val="TableText0"/>
                <w:rFonts w:ascii="Arial Narrow" w:eastAsiaTheme="majorEastAsia" w:hAnsi="Arial Narrow"/>
                <w:b/>
                <w:sz w:val="20"/>
                <w:szCs w:val="20"/>
              </w:rPr>
            </w:pPr>
            <w:r>
              <w:rPr>
                <w:rStyle w:val="TableText0"/>
                <w:rFonts w:ascii="Arial Narrow" w:eastAsiaTheme="majorEastAsia" w:hAnsi="Arial Narrow"/>
                <w:b/>
                <w:sz w:val="20"/>
                <w:szCs w:val="20"/>
              </w:rPr>
              <w:t>0.17 (0.13,0.20)</w:t>
            </w:r>
          </w:p>
        </w:tc>
      </w:tr>
      <w:tr w:rsidR="002B6CEA">
        <w:trPr>
          <w:cantSplit/>
          <w:trHeight w:val="14"/>
          <w:jc w:val="center"/>
        </w:trPr>
        <w:tc>
          <w:tcPr>
            <w:tcW w:w="2021" w:type="pct"/>
            <w:shd w:val="clear" w:color="auto" w:fill="auto"/>
            <w:vAlign w:val="center"/>
          </w:tcPr>
          <w:p w:rsidR="002B6CEA" w:rsidRDefault="00A97395">
            <w:pPr>
              <w:keepNext/>
              <w:jc w:val="left"/>
              <w:rPr>
                <w:rStyle w:val="TableText0"/>
                <w:rFonts w:ascii="Arial Narrow" w:eastAsiaTheme="majorEastAsia" w:hAnsi="Arial Narrow"/>
                <w:sz w:val="20"/>
                <w:szCs w:val="20"/>
              </w:rPr>
            </w:pPr>
            <w:r>
              <w:rPr>
                <w:rStyle w:val="TableText0"/>
                <w:rFonts w:ascii="Arial Narrow" w:eastAsiaTheme="majorEastAsia" w:hAnsi="Arial Narrow"/>
                <w:sz w:val="20"/>
                <w:szCs w:val="20"/>
              </w:rPr>
              <w:t>Fatigue</w:t>
            </w:r>
          </w:p>
        </w:tc>
        <w:tc>
          <w:tcPr>
            <w:tcW w:w="955" w:type="pct"/>
            <w:shd w:val="clear" w:color="auto" w:fill="auto"/>
            <w:vAlign w:val="center"/>
          </w:tcPr>
          <w:p w:rsidR="002B6CEA" w:rsidRDefault="00A97395">
            <w:pPr>
              <w:keepNext/>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49 (10)</w:t>
            </w:r>
          </w:p>
        </w:tc>
        <w:tc>
          <w:tcPr>
            <w:tcW w:w="955" w:type="pct"/>
            <w:shd w:val="clear" w:color="auto" w:fill="auto"/>
            <w:vAlign w:val="center"/>
          </w:tcPr>
          <w:p w:rsidR="002B6CEA" w:rsidRDefault="00A97395">
            <w:pPr>
              <w:keepNext/>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10 (4.2)</w:t>
            </w:r>
          </w:p>
        </w:tc>
        <w:tc>
          <w:tcPr>
            <w:tcW w:w="1069" w:type="pct"/>
            <w:vAlign w:val="center"/>
          </w:tcPr>
          <w:p w:rsidR="002B6CEA" w:rsidRDefault="00A97395">
            <w:pPr>
              <w:keepNext/>
              <w:jc w:val="center"/>
              <w:rPr>
                <w:rStyle w:val="TableText0"/>
                <w:rFonts w:ascii="Arial Narrow" w:eastAsiaTheme="majorEastAsia" w:hAnsi="Arial Narrow"/>
                <w:b/>
                <w:sz w:val="20"/>
                <w:szCs w:val="20"/>
              </w:rPr>
            </w:pPr>
            <w:r>
              <w:rPr>
                <w:rStyle w:val="TableText0"/>
                <w:rFonts w:ascii="Arial Narrow" w:eastAsiaTheme="majorEastAsia" w:hAnsi="Arial Narrow"/>
                <w:b/>
                <w:sz w:val="20"/>
                <w:szCs w:val="20"/>
              </w:rPr>
              <w:t>0.06 (0.03,0.10)</w:t>
            </w:r>
          </w:p>
        </w:tc>
      </w:tr>
      <w:tr w:rsidR="002B6CEA">
        <w:trPr>
          <w:cantSplit/>
          <w:trHeight w:val="14"/>
          <w:jc w:val="center"/>
        </w:trPr>
        <w:tc>
          <w:tcPr>
            <w:tcW w:w="2021" w:type="pct"/>
            <w:shd w:val="clear" w:color="auto" w:fill="auto"/>
            <w:vAlign w:val="center"/>
          </w:tcPr>
          <w:p w:rsidR="002B6CEA" w:rsidRDefault="00A97395">
            <w:pPr>
              <w:keepNext/>
              <w:jc w:val="left"/>
              <w:rPr>
                <w:rStyle w:val="TableText0"/>
                <w:rFonts w:ascii="Arial Narrow" w:eastAsiaTheme="majorEastAsia" w:hAnsi="Arial Narrow"/>
                <w:sz w:val="20"/>
                <w:szCs w:val="20"/>
              </w:rPr>
            </w:pPr>
            <w:r>
              <w:rPr>
                <w:rStyle w:val="TableText0"/>
                <w:rFonts w:ascii="Arial Narrow" w:eastAsiaTheme="majorEastAsia" w:hAnsi="Arial Narrow"/>
                <w:sz w:val="20"/>
                <w:szCs w:val="20"/>
              </w:rPr>
              <w:t>Hypertension</w:t>
            </w:r>
          </w:p>
        </w:tc>
        <w:tc>
          <w:tcPr>
            <w:tcW w:w="955" w:type="pct"/>
            <w:shd w:val="clear" w:color="auto" w:fill="auto"/>
            <w:vAlign w:val="center"/>
          </w:tcPr>
          <w:p w:rsidR="002B6CEA" w:rsidRDefault="00A97395">
            <w:pPr>
              <w:keepNext/>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74 (16)</w:t>
            </w:r>
          </w:p>
        </w:tc>
        <w:tc>
          <w:tcPr>
            <w:tcW w:w="955" w:type="pct"/>
            <w:shd w:val="clear" w:color="auto" w:fill="auto"/>
            <w:vAlign w:val="center"/>
          </w:tcPr>
          <w:p w:rsidR="002B6CEA" w:rsidRDefault="00A97395">
            <w:pPr>
              <w:keepNext/>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4 (1.7)</w:t>
            </w:r>
          </w:p>
        </w:tc>
        <w:tc>
          <w:tcPr>
            <w:tcW w:w="1069" w:type="pct"/>
            <w:vAlign w:val="center"/>
          </w:tcPr>
          <w:p w:rsidR="002B6CEA" w:rsidRDefault="00A97395">
            <w:pPr>
              <w:keepNext/>
              <w:jc w:val="center"/>
              <w:rPr>
                <w:rStyle w:val="TableText0"/>
                <w:rFonts w:ascii="Arial Narrow" w:eastAsiaTheme="majorEastAsia" w:hAnsi="Arial Narrow"/>
                <w:b/>
                <w:sz w:val="20"/>
                <w:szCs w:val="20"/>
              </w:rPr>
            </w:pPr>
            <w:r>
              <w:rPr>
                <w:rStyle w:val="TableText0"/>
                <w:rFonts w:ascii="Arial Narrow" w:eastAsiaTheme="majorEastAsia" w:hAnsi="Arial Narrow"/>
                <w:b/>
                <w:sz w:val="20"/>
                <w:szCs w:val="20"/>
              </w:rPr>
              <w:t>0.14 (0.11,0.18)</w:t>
            </w:r>
          </w:p>
        </w:tc>
      </w:tr>
      <w:tr w:rsidR="002B6CEA">
        <w:trPr>
          <w:cantSplit/>
          <w:trHeight w:val="14"/>
          <w:jc w:val="center"/>
        </w:trPr>
        <w:tc>
          <w:tcPr>
            <w:tcW w:w="2021" w:type="pct"/>
            <w:shd w:val="clear" w:color="auto" w:fill="auto"/>
            <w:vAlign w:val="center"/>
          </w:tcPr>
          <w:p w:rsidR="002B6CEA" w:rsidRDefault="00A97395">
            <w:pPr>
              <w:jc w:val="left"/>
              <w:rPr>
                <w:rStyle w:val="TableText0"/>
                <w:rFonts w:ascii="Arial Narrow" w:eastAsiaTheme="majorEastAsia" w:hAnsi="Arial Narrow"/>
                <w:sz w:val="20"/>
                <w:szCs w:val="20"/>
              </w:rPr>
            </w:pPr>
            <w:r>
              <w:rPr>
                <w:rStyle w:val="TableText0"/>
                <w:rFonts w:ascii="Arial Narrow" w:eastAsiaTheme="majorEastAsia" w:hAnsi="Arial Narrow"/>
                <w:sz w:val="20"/>
                <w:szCs w:val="20"/>
              </w:rPr>
              <w:t>AST</w:t>
            </w:r>
          </w:p>
        </w:tc>
        <w:tc>
          <w:tcPr>
            <w:tcW w:w="955" w:type="pct"/>
            <w:shd w:val="clear" w:color="auto" w:fill="auto"/>
            <w:vAlign w:val="center"/>
          </w:tcPr>
          <w:p w:rsidR="002B6CEA" w:rsidRDefault="00A97395">
            <w:pPr>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55 (12)</w:t>
            </w:r>
          </w:p>
        </w:tc>
        <w:tc>
          <w:tcPr>
            <w:tcW w:w="955" w:type="pct"/>
            <w:shd w:val="clear" w:color="auto" w:fill="auto"/>
            <w:vAlign w:val="center"/>
          </w:tcPr>
          <w:p w:rsidR="002B6CEA" w:rsidRDefault="00A97395">
            <w:pPr>
              <w:jc w:val="center"/>
              <w:rPr>
                <w:rStyle w:val="TableText0"/>
                <w:rFonts w:ascii="Arial Narrow" w:eastAsiaTheme="majorEastAsia" w:hAnsi="Arial Narrow"/>
                <w:sz w:val="20"/>
                <w:szCs w:val="20"/>
              </w:rPr>
            </w:pPr>
            <w:r>
              <w:rPr>
                <w:rStyle w:val="TableText0"/>
                <w:rFonts w:ascii="Arial Narrow" w:eastAsiaTheme="majorEastAsia" w:hAnsi="Arial Narrow"/>
                <w:sz w:val="20"/>
                <w:szCs w:val="20"/>
              </w:rPr>
              <w:t>16 (6.8)</w:t>
            </w:r>
          </w:p>
        </w:tc>
        <w:tc>
          <w:tcPr>
            <w:tcW w:w="1069" w:type="pct"/>
            <w:vAlign w:val="center"/>
          </w:tcPr>
          <w:p w:rsidR="002B6CEA" w:rsidRDefault="00A97395">
            <w:pPr>
              <w:jc w:val="center"/>
              <w:rPr>
                <w:rStyle w:val="TableText0"/>
                <w:rFonts w:ascii="Arial Narrow" w:eastAsiaTheme="majorEastAsia" w:hAnsi="Arial Narrow"/>
                <w:b/>
                <w:sz w:val="20"/>
                <w:szCs w:val="20"/>
              </w:rPr>
            </w:pPr>
            <w:r>
              <w:rPr>
                <w:rStyle w:val="TableText0"/>
                <w:rFonts w:ascii="Arial Narrow" w:eastAsiaTheme="majorEastAsia" w:hAnsi="Arial Narrow"/>
                <w:b/>
                <w:sz w:val="20"/>
                <w:szCs w:val="20"/>
              </w:rPr>
              <w:t>0.05 (0.01,0.09)</w:t>
            </w:r>
          </w:p>
        </w:tc>
      </w:tr>
    </w:tbl>
    <w:p w:rsidR="002B6CEA" w:rsidRDefault="00A97395">
      <w:pPr>
        <w:pStyle w:val="TableFooter"/>
      </w:pPr>
      <w:r>
        <w:t xml:space="preserve">Abbreviations: AE= adverse event; AST= aspartate aminotransferase increased; BSC= best supportive care; CI=confidence interval; PPES= palmar-plantar erythrodysaesthesia syndrome; RD= risk difference; SAE= serious adverse event. </w:t>
      </w:r>
    </w:p>
    <w:p w:rsidR="002B6CEA" w:rsidRDefault="00A97395">
      <w:pPr>
        <w:pStyle w:val="TableFooter"/>
      </w:pPr>
      <w:r>
        <w:t xml:space="preserve">Source: Table 2-23 and Table 2-24; p. 110 and 112 of the submission. Information was also gathered from the submission to provide information for regorafenib. </w:t>
      </w:r>
    </w:p>
    <w:p w:rsidR="002B6CEA" w:rsidRDefault="00A97395">
      <w:pPr>
        <w:pStyle w:val="TableFooter"/>
      </w:pPr>
      <w:r>
        <w:t>Note: bold text indicates statically significant differences;</w:t>
      </w:r>
      <w:r>
        <w:rPr>
          <w:vertAlign w:val="superscript"/>
        </w:rPr>
        <w:t xml:space="preserve"> a </w:t>
      </w:r>
      <w:r>
        <w:rPr>
          <w:rStyle w:val="TableText0"/>
          <w:rFonts w:ascii="Arial Narrow" w:eastAsiaTheme="majorEastAsia" w:hAnsi="Arial Narrow"/>
          <w:b/>
          <w:sz w:val="18"/>
          <w:szCs w:val="18"/>
        </w:rPr>
        <w:t>not related to disease progression;</w:t>
      </w:r>
      <w:r>
        <w:rPr>
          <w:vertAlign w:val="superscript"/>
        </w:rPr>
        <w:t xml:space="preserve"> b </w:t>
      </w:r>
      <w:r>
        <w:t xml:space="preserve">defined as dose reduction or interruption. </w:t>
      </w:r>
    </w:p>
    <w:p w:rsidR="002B6CEA" w:rsidRDefault="002B6CEA">
      <w:pPr>
        <w:pStyle w:val="ListParagraph"/>
        <w:keepNext/>
        <w:spacing w:after="0"/>
        <w:ind w:left="0"/>
        <w:rPr>
          <w:rStyle w:val="CommentReference"/>
        </w:rPr>
      </w:pPr>
    </w:p>
    <w:p w:rsidR="002B6CEA" w:rsidRDefault="00A97395">
      <w:pPr>
        <w:widowControl/>
        <w:rPr>
          <w:u w:val="single"/>
        </w:rPr>
      </w:pPr>
      <w:r>
        <w:rPr>
          <w:u w:val="single"/>
        </w:rPr>
        <w:t>Cabozantinib vs. regorafenib: ITC</w:t>
      </w:r>
    </w:p>
    <w:p w:rsidR="002B6CEA" w:rsidRDefault="00A97395">
      <w:pPr>
        <w:pStyle w:val="ListParagraph"/>
        <w:widowControl/>
        <w:numPr>
          <w:ilvl w:val="1"/>
          <w:numId w:val="2"/>
        </w:numPr>
        <w:rPr>
          <w:rFonts w:cs="Calibri"/>
          <w:snapToGrid/>
          <w:szCs w:val="24"/>
          <w:lang w:eastAsia="en-AU"/>
        </w:rPr>
      </w:pPr>
      <w:r>
        <w:t xml:space="preserve">The claim from the submission that cabozantinib was non-inferior to regorafenib in terms of safety was not supported by the ITC presented in the submission. There was a statistically significant higher incidence of SAEs (OR= 1.86; 95% CI: 1.16, 2.99) and discontinuations due to AEs (OR= 4.21; 95% CI: 1.90, 9.34) for cabozantinib compared with regorafenib. The PBAC noted that there was a higher consent withdrawal rate in the RESORCE trial (26% for regorafenib, compared with 11% for cabozantinib in the CELESTIAL trial) and overall the rates of discontinuation were similar. The apparent higher incidence of safety events for cabozantinib may also reflect the underlying transitivity issues between these studies; patients in CELESTIAL may have been more </w:t>
      </w:r>
      <w:r>
        <w:lastRenderedPageBreak/>
        <w:t xml:space="preserve">heavily pre-treated. While there was no statistically significant difference in terms of Grade 5 AEs, there was a trend for cabozantinib being associated with more deaths compared to regorafenib, with the lower end of the confidence interval close to 1 (OR= 1.81; 95% CI: 0.96, 3.44). </w:t>
      </w:r>
    </w:p>
    <w:p w:rsidR="002B6CEA" w:rsidRDefault="00A97395">
      <w:pPr>
        <w:pStyle w:val="ListParagraph"/>
        <w:widowControl/>
        <w:numPr>
          <w:ilvl w:val="1"/>
          <w:numId w:val="2"/>
        </w:numPr>
      </w:pPr>
      <w:r>
        <w:t>No differences were found in the incidence of specific AEs like palmar-plantar erythrodysaesthesia syndrome (PPES) (OR= 1.22; 95% CI: 0.53, 2.80) or diarrhoea (OR= 1.27; 95% CI: 0.71, 2.28), the two most commonly observed AEs in CELESTIAL and RESORCE. In the MAIC provided with the PSCR no statistical differences were noted for the most commonly reported AEs, except for diarrhoea (OR= 1.74; 95% CI: 1, 2.48). The MAIC report did not contain information on other relevant safety outcomes like the incidence of serious AEs and AEs related discontinuations, for which differences were reported and the data provided with the PSCR have not been evaluated.</w:t>
      </w:r>
    </w:p>
    <w:p w:rsidR="002B6CEA" w:rsidRDefault="00A97395">
      <w:pPr>
        <w:pStyle w:val="Heading2"/>
        <w:keepNext/>
        <w:keepLines/>
        <w:spacing w:after="120"/>
      </w:pPr>
      <w:bookmarkStart w:id="9" w:name="_Toc9419754"/>
      <w:r>
        <w:t>Benefits/harms</w:t>
      </w:r>
      <w:bookmarkEnd w:id="9"/>
    </w:p>
    <w:p w:rsidR="002B6CEA" w:rsidRDefault="00A97395">
      <w:pPr>
        <w:keepNext/>
        <w:keepLines/>
      </w:pPr>
      <w:r>
        <w:rPr>
          <w:u w:val="single"/>
        </w:rPr>
        <w:t>Cabozantinib vs. BSC</w:t>
      </w:r>
    </w:p>
    <w:p w:rsidR="002B6CEA" w:rsidRDefault="00A97395">
      <w:pPr>
        <w:pStyle w:val="ListParagraph"/>
        <w:keepNext/>
        <w:keepLines/>
        <w:widowControl/>
        <w:numPr>
          <w:ilvl w:val="1"/>
          <w:numId w:val="2"/>
        </w:numPr>
      </w:pPr>
      <w:r>
        <w:t xml:space="preserve">The comparative benefits and harms for cabozantinib versus BSC are presented in Table 7. </w:t>
      </w:r>
    </w:p>
    <w:p w:rsidR="00A52629" w:rsidRPr="00A52629" w:rsidRDefault="00A52629" w:rsidP="00A52629">
      <w:pPr>
        <w:keepNext/>
        <w:rPr>
          <w:rStyle w:val="CommentReference"/>
        </w:rPr>
      </w:pPr>
      <w:r w:rsidRPr="00A52629">
        <w:rPr>
          <w:rStyle w:val="CommentReference"/>
        </w:rPr>
        <w:t xml:space="preserve">Table </w:t>
      </w:r>
      <w:r w:rsidRPr="00A52629">
        <w:rPr>
          <w:rStyle w:val="CommentReference"/>
        </w:rPr>
        <w:fldChar w:fldCharType="begin"/>
      </w:r>
      <w:r w:rsidRPr="00A52629">
        <w:rPr>
          <w:rStyle w:val="CommentReference"/>
        </w:rPr>
        <w:instrText xml:space="preserve"> SEQ Table \* ARABIC </w:instrText>
      </w:r>
      <w:r w:rsidRPr="00A52629">
        <w:rPr>
          <w:rStyle w:val="CommentReference"/>
        </w:rPr>
        <w:fldChar w:fldCharType="separate"/>
      </w:r>
      <w:r w:rsidR="00310C38">
        <w:rPr>
          <w:rStyle w:val="CommentReference"/>
          <w:noProof/>
        </w:rPr>
        <w:t>7</w:t>
      </w:r>
      <w:r w:rsidRPr="00A52629">
        <w:rPr>
          <w:rStyle w:val="CommentReference"/>
        </w:rPr>
        <w:fldChar w:fldCharType="end"/>
      </w:r>
      <w:r w:rsidRPr="00A52629">
        <w:rPr>
          <w:rStyle w:val="CommentReference"/>
        </w:rPr>
        <w:t xml:space="preserve">: Summary of comparative benefits and harms for </w:t>
      </w:r>
      <w:proofErr w:type="spellStart"/>
      <w:r w:rsidRPr="00A52629">
        <w:rPr>
          <w:rStyle w:val="CommentReference"/>
        </w:rPr>
        <w:t>cabozantinib</w:t>
      </w:r>
      <w:proofErr w:type="spellEnd"/>
      <w:r w:rsidRPr="00A52629">
        <w:rPr>
          <w:rStyle w:val="CommentReference"/>
        </w:rPr>
        <w:t xml:space="preserve"> versus BSC</w:t>
      </w:r>
    </w:p>
    <w:tbl>
      <w:tblPr>
        <w:tblStyle w:val="TableGrid"/>
        <w:tblW w:w="4938" w:type="pct"/>
        <w:tblInd w:w="28" w:type="dxa"/>
        <w:tblLayout w:type="fixed"/>
        <w:tblCellMar>
          <w:left w:w="28" w:type="dxa"/>
          <w:right w:w="28" w:type="dxa"/>
        </w:tblCellMar>
        <w:tblLook w:val="04A0" w:firstRow="1" w:lastRow="0" w:firstColumn="1" w:lastColumn="0" w:noHBand="0" w:noVBand="1"/>
        <w:tblCaption w:val="Table 7: Summary of comparative benefits and harms for cabozantinib versus BSC"/>
      </w:tblPr>
      <w:tblGrid>
        <w:gridCol w:w="1217"/>
        <w:gridCol w:w="1218"/>
        <w:gridCol w:w="1428"/>
        <w:gridCol w:w="1496"/>
        <w:gridCol w:w="850"/>
        <w:gridCol w:w="851"/>
        <w:gridCol w:w="1845"/>
      </w:tblGrid>
      <w:tr w:rsidR="002B6CEA">
        <w:trPr>
          <w:trHeight w:val="20"/>
        </w:trPr>
        <w:tc>
          <w:tcPr>
            <w:tcW w:w="5000" w:type="pct"/>
            <w:gridSpan w:val="7"/>
            <w:shd w:val="clear" w:color="auto" w:fill="auto"/>
          </w:tcPr>
          <w:p w:rsidR="002B6CEA" w:rsidRDefault="00A97395">
            <w:pPr>
              <w:keepNext/>
              <w:jc w:val="left"/>
              <w:rPr>
                <w:rFonts w:ascii="Arial Narrow" w:eastAsia="Calibri" w:hAnsi="Arial Narrow" w:cs="Times New Roman"/>
                <w:b/>
                <w:sz w:val="20"/>
                <w:lang w:eastAsia="en-AU"/>
              </w:rPr>
            </w:pPr>
            <w:r>
              <w:rPr>
                <w:rFonts w:ascii="Arial Narrow" w:eastAsia="Calibri" w:hAnsi="Arial Narrow" w:cs="Times New Roman"/>
                <w:b/>
                <w:sz w:val="20"/>
                <w:lang w:eastAsia="en-AU"/>
              </w:rPr>
              <w:t>Benefits</w:t>
            </w:r>
          </w:p>
        </w:tc>
      </w:tr>
      <w:tr w:rsidR="002B6CEA">
        <w:trPr>
          <w:trHeight w:val="20"/>
        </w:trPr>
        <w:tc>
          <w:tcPr>
            <w:tcW w:w="5000" w:type="pct"/>
            <w:gridSpan w:val="7"/>
            <w:shd w:val="clear" w:color="auto" w:fill="auto"/>
          </w:tcPr>
          <w:p w:rsidR="002B6CEA" w:rsidRDefault="00A97395">
            <w:pPr>
              <w:keepNext/>
              <w:jc w:val="left"/>
              <w:rPr>
                <w:rFonts w:ascii="Arial Narrow" w:eastAsia="Calibri" w:hAnsi="Arial Narrow" w:cs="Times New Roman"/>
                <w:b/>
                <w:sz w:val="20"/>
                <w:lang w:eastAsia="en-AU"/>
              </w:rPr>
            </w:pPr>
            <w:r>
              <w:rPr>
                <w:rFonts w:ascii="Arial Narrow" w:eastAsia="Calibri" w:hAnsi="Arial Narrow" w:cs="Times New Roman"/>
                <w:b/>
                <w:sz w:val="20"/>
                <w:lang w:eastAsia="en-AU"/>
              </w:rPr>
              <w:t>Progression free survival (median duration of follow up 22.9 months</w:t>
            </w:r>
            <w:r>
              <w:rPr>
                <w:rFonts w:ascii="Arial Narrow" w:eastAsia="Calibri" w:hAnsi="Arial Narrow" w:cs="Times New Roman"/>
                <w:b/>
                <w:sz w:val="20"/>
                <w:vertAlign w:val="superscript"/>
                <w:lang w:eastAsia="en-AU"/>
              </w:rPr>
              <w:t>a</w:t>
            </w:r>
            <w:r>
              <w:rPr>
                <w:rFonts w:ascii="Arial Narrow" w:eastAsia="Calibri" w:hAnsi="Arial Narrow" w:cs="Times New Roman"/>
                <w:b/>
                <w:sz w:val="20"/>
                <w:lang w:eastAsia="en-AU"/>
              </w:rPr>
              <w:t>)</w:t>
            </w:r>
          </w:p>
        </w:tc>
      </w:tr>
      <w:tr w:rsidR="002B6CEA">
        <w:trPr>
          <w:trHeight w:val="20"/>
        </w:trPr>
        <w:tc>
          <w:tcPr>
            <w:tcW w:w="1367" w:type="pct"/>
            <w:gridSpan w:val="2"/>
            <w:tcBorders>
              <w:bottom w:val="single" w:sz="4" w:space="0" w:color="auto"/>
            </w:tcBorders>
            <w:shd w:val="clear" w:color="auto" w:fill="auto"/>
          </w:tcPr>
          <w:p w:rsidR="002B6CEA" w:rsidRDefault="00A97395">
            <w:pPr>
              <w:keepNext/>
              <w:jc w:val="left"/>
              <w:rPr>
                <w:rFonts w:ascii="Arial Narrow" w:eastAsia="Calibri" w:hAnsi="Arial Narrow" w:cs="Times New Roman"/>
                <w:b/>
                <w:sz w:val="20"/>
                <w:lang w:eastAsia="en-AU"/>
              </w:rPr>
            </w:pPr>
            <w:r>
              <w:rPr>
                <w:rFonts w:ascii="Arial Narrow" w:eastAsia="Calibri" w:hAnsi="Arial Narrow" w:cs="Times New Roman"/>
                <w:b/>
                <w:sz w:val="20"/>
                <w:lang w:eastAsia="en-AU"/>
              </w:rPr>
              <w:t>Event</w:t>
            </w:r>
          </w:p>
        </w:tc>
        <w:tc>
          <w:tcPr>
            <w:tcW w:w="802" w:type="pct"/>
            <w:tcBorders>
              <w:bottom w:val="single" w:sz="4" w:space="0" w:color="auto"/>
            </w:tcBorders>
            <w:shd w:val="clear" w:color="auto" w:fill="auto"/>
          </w:tcPr>
          <w:p w:rsidR="002B6CEA" w:rsidRDefault="00A97395">
            <w:pPr>
              <w:keepNext/>
              <w:jc w:val="center"/>
              <w:rPr>
                <w:rFonts w:ascii="Arial Narrow" w:eastAsia="Calibri" w:hAnsi="Arial Narrow" w:cs="Times New Roman"/>
                <w:b/>
                <w:sz w:val="20"/>
                <w:lang w:eastAsia="en-AU"/>
              </w:rPr>
            </w:pPr>
            <w:r>
              <w:rPr>
                <w:rFonts w:ascii="Arial Narrow" w:eastAsia="Calibri" w:hAnsi="Arial Narrow" w:cs="Times New Roman"/>
                <w:b/>
                <w:sz w:val="20"/>
                <w:lang w:eastAsia="en-AU"/>
              </w:rPr>
              <w:t>Cabozantinib</w:t>
            </w:r>
          </w:p>
        </w:tc>
        <w:tc>
          <w:tcPr>
            <w:tcW w:w="840" w:type="pct"/>
            <w:tcBorders>
              <w:bottom w:val="single" w:sz="4" w:space="0" w:color="auto"/>
            </w:tcBorders>
            <w:shd w:val="clear" w:color="auto" w:fill="auto"/>
          </w:tcPr>
          <w:p w:rsidR="002B6CEA" w:rsidRDefault="00A97395">
            <w:pPr>
              <w:keepNext/>
              <w:jc w:val="center"/>
              <w:rPr>
                <w:rFonts w:ascii="Arial Narrow" w:eastAsia="Calibri" w:hAnsi="Arial Narrow" w:cs="Times New Roman"/>
                <w:b/>
                <w:sz w:val="20"/>
                <w:lang w:eastAsia="en-AU"/>
              </w:rPr>
            </w:pPr>
            <w:r>
              <w:rPr>
                <w:rFonts w:ascii="Arial Narrow" w:eastAsia="Calibri" w:hAnsi="Arial Narrow" w:cs="Times New Roman"/>
                <w:b/>
                <w:sz w:val="20"/>
                <w:lang w:eastAsia="en-AU"/>
              </w:rPr>
              <w:t>BSC</w:t>
            </w:r>
          </w:p>
        </w:tc>
        <w:tc>
          <w:tcPr>
            <w:tcW w:w="955" w:type="pct"/>
            <w:gridSpan w:val="2"/>
            <w:tcBorders>
              <w:bottom w:val="single" w:sz="4" w:space="0" w:color="auto"/>
            </w:tcBorders>
            <w:shd w:val="clear" w:color="auto" w:fill="auto"/>
          </w:tcPr>
          <w:p w:rsidR="002B6CEA" w:rsidRDefault="00A97395">
            <w:pPr>
              <w:keepNext/>
              <w:jc w:val="center"/>
              <w:rPr>
                <w:rFonts w:eastAsia="Calibri" w:cs="Times New Roman"/>
                <w:b/>
                <w:sz w:val="20"/>
                <w:lang w:eastAsia="en-AU"/>
              </w:rPr>
            </w:pPr>
            <w:r>
              <w:rPr>
                <w:rFonts w:ascii="Arial Narrow" w:eastAsia="Calibri" w:hAnsi="Arial Narrow" w:cs="Times New Roman"/>
                <w:b/>
                <w:sz w:val="20"/>
                <w:lang w:eastAsia="en-AU"/>
              </w:rPr>
              <w:t>Absolute Difference</w:t>
            </w:r>
          </w:p>
        </w:tc>
        <w:tc>
          <w:tcPr>
            <w:tcW w:w="1036" w:type="pct"/>
            <w:tcBorders>
              <w:bottom w:val="single" w:sz="4" w:space="0" w:color="auto"/>
            </w:tcBorders>
            <w:shd w:val="clear" w:color="auto" w:fill="auto"/>
          </w:tcPr>
          <w:p w:rsidR="002B6CEA" w:rsidRDefault="00A97395">
            <w:pPr>
              <w:keepNext/>
              <w:jc w:val="center"/>
              <w:rPr>
                <w:rFonts w:ascii="Arial Narrow" w:eastAsia="Calibri" w:hAnsi="Arial Narrow" w:cs="Times New Roman"/>
                <w:b/>
                <w:sz w:val="20"/>
                <w:lang w:eastAsia="en-AU"/>
              </w:rPr>
            </w:pPr>
            <w:r>
              <w:rPr>
                <w:rFonts w:ascii="Arial Narrow" w:eastAsia="Calibri" w:hAnsi="Arial Narrow" w:cs="Times New Roman"/>
                <w:b/>
                <w:sz w:val="20"/>
                <w:lang w:eastAsia="en-AU"/>
              </w:rPr>
              <w:t>HR (95% CI)</w:t>
            </w:r>
          </w:p>
        </w:tc>
      </w:tr>
      <w:tr w:rsidR="002B6CEA">
        <w:trPr>
          <w:trHeight w:val="20"/>
        </w:trPr>
        <w:tc>
          <w:tcPr>
            <w:tcW w:w="1367" w:type="pct"/>
            <w:gridSpan w:val="2"/>
            <w:tcBorders>
              <w:bottom w:val="single" w:sz="4" w:space="0" w:color="auto"/>
              <w:right w:val="single" w:sz="4" w:space="0" w:color="auto"/>
            </w:tcBorders>
            <w:shd w:val="clear" w:color="auto" w:fill="auto"/>
          </w:tcPr>
          <w:p w:rsidR="002B6CEA" w:rsidRDefault="00A97395">
            <w:pPr>
              <w:keepNext/>
              <w:jc w:val="left"/>
              <w:rPr>
                <w:rFonts w:ascii="Arial Narrow" w:eastAsia="Calibri" w:hAnsi="Arial Narrow" w:cs="Times New Roman"/>
                <w:sz w:val="20"/>
                <w:lang w:eastAsia="en-AU"/>
              </w:rPr>
            </w:pPr>
            <w:r>
              <w:rPr>
                <w:rFonts w:ascii="Arial Narrow" w:eastAsia="Calibri" w:hAnsi="Arial Narrow" w:cs="Times New Roman"/>
                <w:sz w:val="20"/>
                <w:lang w:eastAsia="en-AU"/>
              </w:rPr>
              <w:t>Progressed/dead, n (%)</w:t>
            </w:r>
          </w:p>
        </w:tc>
        <w:tc>
          <w:tcPr>
            <w:tcW w:w="802" w:type="pct"/>
            <w:tcBorders>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lang w:eastAsia="en-AU"/>
              </w:rPr>
            </w:pPr>
            <w:r>
              <w:rPr>
                <w:rFonts w:ascii="Arial Narrow" w:eastAsia="Calibri" w:hAnsi="Arial Narrow" w:cs="Times New Roman"/>
                <w:sz w:val="20"/>
                <w:szCs w:val="20"/>
                <w:lang w:eastAsia="en-AU"/>
              </w:rPr>
              <w:t>349/470 (74.3)</w:t>
            </w:r>
          </w:p>
        </w:tc>
        <w:tc>
          <w:tcPr>
            <w:tcW w:w="840" w:type="pct"/>
            <w:tcBorders>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lang w:eastAsia="en-AU"/>
              </w:rPr>
            </w:pPr>
            <w:r>
              <w:rPr>
                <w:rFonts w:ascii="Arial Narrow" w:eastAsia="Calibri" w:hAnsi="Arial Narrow" w:cs="Times New Roman"/>
                <w:sz w:val="20"/>
                <w:szCs w:val="20"/>
                <w:lang w:eastAsia="en-AU"/>
              </w:rPr>
              <w:t>205/237 (86.5)</w:t>
            </w:r>
          </w:p>
        </w:tc>
        <w:tc>
          <w:tcPr>
            <w:tcW w:w="955" w:type="pct"/>
            <w:gridSpan w:val="2"/>
            <w:tcBorders>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lang w:eastAsia="en-AU"/>
              </w:rPr>
            </w:pPr>
            <w:r>
              <w:rPr>
                <w:rFonts w:ascii="Arial Narrow" w:eastAsia="Calibri" w:hAnsi="Arial Narrow" w:cs="Times New Roman"/>
                <w:sz w:val="20"/>
                <w:lang w:eastAsia="en-AU"/>
              </w:rPr>
              <w:t>12.2%</w:t>
            </w:r>
          </w:p>
        </w:tc>
        <w:tc>
          <w:tcPr>
            <w:tcW w:w="1036" w:type="pct"/>
            <w:vMerge w:val="restart"/>
            <w:tcBorders>
              <w:left w:val="single" w:sz="4" w:space="0" w:color="auto"/>
            </w:tcBorders>
            <w:shd w:val="clear" w:color="auto" w:fill="auto"/>
            <w:vAlign w:val="center"/>
          </w:tcPr>
          <w:p w:rsidR="002B6CEA" w:rsidRDefault="00A97395">
            <w:pPr>
              <w:keepNext/>
              <w:jc w:val="center"/>
              <w:rPr>
                <w:rFonts w:ascii="Arial Narrow" w:eastAsia="Calibri" w:hAnsi="Arial Narrow" w:cs="Times New Roman"/>
                <w:b/>
                <w:sz w:val="20"/>
                <w:szCs w:val="20"/>
                <w:lang w:eastAsia="en-AU"/>
              </w:rPr>
            </w:pPr>
            <w:r>
              <w:rPr>
                <w:rFonts w:ascii="Arial Narrow" w:eastAsia="Calibri" w:hAnsi="Arial Narrow" w:cs="Times New Roman"/>
                <w:b/>
                <w:sz w:val="20"/>
                <w:szCs w:val="20"/>
                <w:lang w:eastAsia="en-AU"/>
              </w:rPr>
              <w:t>0.44 (95% CI 0.36, 0.52)</w:t>
            </w:r>
          </w:p>
          <w:p w:rsidR="002B6CEA" w:rsidRDefault="00A97395">
            <w:pPr>
              <w:keepNext/>
              <w:jc w:val="center"/>
              <w:rPr>
                <w:rFonts w:ascii="Arial Narrow" w:eastAsia="Calibri" w:hAnsi="Arial Narrow" w:cs="Times New Roman"/>
                <w:sz w:val="20"/>
                <w:lang w:eastAsia="en-AU"/>
              </w:rPr>
            </w:pPr>
            <w:r>
              <w:rPr>
                <w:rFonts w:ascii="Arial Narrow" w:eastAsia="Calibri" w:hAnsi="Arial Narrow" w:cs="Times New Roman"/>
                <w:b/>
                <w:sz w:val="20"/>
                <w:szCs w:val="20"/>
                <w:lang w:eastAsia="en-AU"/>
              </w:rPr>
              <w:t>P&lt;0.0001</w:t>
            </w:r>
          </w:p>
        </w:tc>
      </w:tr>
      <w:tr w:rsidR="002B6CEA">
        <w:trPr>
          <w:trHeight w:val="20"/>
        </w:trPr>
        <w:tc>
          <w:tcPr>
            <w:tcW w:w="1367" w:type="pct"/>
            <w:gridSpan w:val="2"/>
            <w:tcBorders>
              <w:top w:val="single" w:sz="4" w:space="0" w:color="auto"/>
              <w:bottom w:val="single" w:sz="4" w:space="0" w:color="auto"/>
              <w:right w:val="single" w:sz="4" w:space="0" w:color="auto"/>
            </w:tcBorders>
            <w:shd w:val="clear" w:color="auto" w:fill="auto"/>
          </w:tcPr>
          <w:p w:rsidR="002B6CEA" w:rsidRDefault="00A97395">
            <w:pPr>
              <w:keepNext/>
              <w:jc w:val="left"/>
              <w:rPr>
                <w:rFonts w:ascii="Arial Narrow" w:eastAsia="Calibri" w:hAnsi="Arial Narrow" w:cs="Times New Roman"/>
                <w:sz w:val="20"/>
                <w:lang w:eastAsia="en-AU"/>
              </w:rPr>
            </w:pPr>
            <w:r>
              <w:rPr>
                <w:rFonts w:ascii="Arial Narrow" w:eastAsia="Calibri" w:hAnsi="Arial Narrow" w:cs="Times New Roman"/>
                <w:sz w:val="20"/>
                <w:lang w:eastAsia="en-AU"/>
              </w:rPr>
              <w:t>% not progressed/alive at 6 months (95% CI)</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lang w:eastAsia="en-AU"/>
              </w:rPr>
            </w:pPr>
            <w:r>
              <w:rPr>
                <w:rFonts w:ascii="Arial Narrow" w:eastAsia="Calibri" w:hAnsi="Arial Narrow" w:cs="Times New Roman"/>
                <w:sz w:val="20"/>
                <w:szCs w:val="20"/>
                <w:lang w:eastAsia="en-AU"/>
              </w:rPr>
              <w:t>38.1% (NR)</w:t>
            </w:r>
          </w:p>
        </w:tc>
        <w:tc>
          <w:tcPr>
            <w:tcW w:w="840"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11.1% (NR)</w:t>
            </w:r>
          </w:p>
        </w:tc>
        <w:tc>
          <w:tcPr>
            <w:tcW w:w="955" w:type="pct"/>
            <w:gridSpan w:val="2"/>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lang w:eastAsia="en-AU"/>
              </w:rPr>
            </w:pPr>
            <w:r>
              <w:rPr>
                <w:rFonts w:ascii="Arial Narrow" w:eastAsia="Calibri" w:hAnsi="Arial Narrow" w:cs="Times New Roman"/>
                <w:sz w:val="20"/>
                <w:lang w:eastAsia="en-AU"/>
              </w:rPr>
              <w:t>27%</w:t>
            </w:r>
          </w:p>
        </w:tc>
        <w:tc>
          <w:tcPr>
            <w:tcW w:w="1036" w:type="pct"/>
            <w:vMerge/>
            <w:tcBorders>
              <w:left w:val="single" w:sz="4" w:space="0" w:color="auto"/>
            </w:tcBorders>
            <w:shd w:val="clear" w:color="auto" w:fill="auto"/>
            <w:vAlign w:val="center"/>
          </w:tcPr>
          <w:p w:rsidR="002B6CEA" w:rsidRDefault="002B6CEA">
            <w:pPr>
              <w:keepNext/>
              <w:jc w:val="center"/>
              <w:rPr>
                <w:rFonts w:ascii="Arial Narrow" w:eastAsia="Calibri" w:hAnsi="Arial Narrow" w:cs="Times New Roman"/>
                <w:sz w:val="20"/>
                <w:lang w:eastAsia="en-AU"/>
              </w:rPr>
            </w:pPr>
          </w:p>
        </w:tc>
      </w:tr>
      <w:tr w:rsidR="002B6CEA">
        <w:trPr>
          <w:trHeight w:val="20"/>
        </w:trPr>
        <w:tc>
          <w:tcPr>
            <w:tcW w:w="1367" w:type="pct"/>
            <w:gridSpan w:val="2"/>
            <w:tcBorders>
              <w:top w:val="single" w:sz="4" w:space="0" w:color="auto"/>
              <w:bottom w:val="single" w:sz="4" w:space="0" w:color="auto"/>
              <w:right w:val="single" w:sz="4" w:space="0" w:color="auto"/>
            </w:tcBorders>
            <w:shd w:val="clear" w:color="auto" w:fill="auto"/>
          </w:tcPr>
          <w:p w:rsidR="002B6CEA" w:rsidRDefault="00A97395">
            <w:pPr>
              <w:keepNext/>
              <w:jc w:val="left"/>
              <w:rPr>
                <w:rFonts w:ascii="Arial Narrow" w:eastAsia="Calibri" w:hAnsi="Arial Narrow" w:cs="Times New Roman"/>
                <w:sz w:val="20"/>
                <w:lang w:eastAsia="en-AU"/>
              </w:rPr>
            </w:pPr>
            <w:r>
              <w:rPr>
                <w:rFonts w:ascii="Arial Narrow" w:eastAsia="Calibri" w:hAnsi="Arial Narrow" w:cs="Times New Roman"/>
                <w:sz w:val="20"/>
                <w:lang w:eastAsia="en-AU"/>
              </w:rPr>
              <w:t>% not progressed/alive at 12 months (95% CI)</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14.5% (NR)</w:t>
            </w:r>
          </w:p>
        </w:tc>
        <w:tc>
          <w:tcPr>
            <w:tcW w:w="840"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3.4% (NR)</w:t>
            </w:r>
          </w:p>
        </w:tc>
        <w:tc>
          <w:tcPr>
            <w:tcW w:w="955" w:type="pct"/>
            <w:gridSpan w:val="2"/>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11.1%</w:t>
            </w:r>
          </w:p>
        </w:tc>
        <w:tc>
          <w:tcPr>
            <w:tcW w:w="1036" w:type="pct"/>
            <w:vMerge/>
            <w:tcBorders>
              <w:left w:val="single" w:sz="4" w:space="0" w:color="auto"/>
              <w:bottom w:val="single" w:sz="4" w:space="0" w:color="auto"/>
            </w:tcBorders>
            <w:shd w:val="clear" w:color="auto" w:fill="auto"/>
            <w:vAlign w:val="center"/>
          </w:tcPr>
          <w:p w:rsidR="002B6CEA" w:rsidRDefault="002B6CEA">
            <w:pPr>
              <w:keepNext/>
              <w:jc w:val="center"/>
              <w:rPr>
                <w:rFonts w:ascii="Arial Narrow" w:eastAsia="Calibri" w:hAnsi="Arial Narrow" w:cs="Times New Roman"/>
                <w:sz w:val="20"/>
                <w:lang w:eastAsia="en-AU"/>
              </w:rPr>
            </w:pPr>
          </w:p>
        </w:tc>
      </w:tr>
      <w:tr w:rsidR="002B6CEA">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2B6CEA" w:rsidRDefault="00A97395">
            <w:pPr>
              <w:keepNext/>
              <w:jc w:val="left"/>
              <w:rPr>
                <w:rFonts w:ascii="Arial Narrow" w:eastAsia="Calibri" w:hAnsi="Arial Narrow" w:cs="Times New Roman"/>
                <w:sz w:val="20"/>
                <w:lang w:eastAsia="en-AU"/>
              </w:rPr>
            </w:pPr>
            <w:r>
              <w:rPr>
                <w:rFonts w:ascii="Arial Narrow" w:eastAsia="Calibri" w:hAnsi="Arial Narrow" w:cs="Times New Roman"/>
                <w:b/>
                <w:sz w:val="20"/>
                <w:lang w:eastAsia="en-AU"/>
              </w:rPr>
              <w:t>Overall survival (median duration of follow up 22.9 months)</w:t>
            </w:r>
          </w:p>
        </w:tc>
      </w:tr>
      <w:tr w:rsidR="002B6CEA">
        <w:trPr>
          <w:trHeight w:val="20"/>
        </w:trPr>
        <w:tc>
          <w:tcPr>
            <w:tcW w:w="1367" w:type="pct"/>
            <w:gridSpan w:val="2"/>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left"/>
              <w:rPr>
                <w:rFonts w:ascii="Arial Narrow" w:eastAsia="Calibri" w:hAnsi="Arial Narrow" w:cs="Times New Roman"/>
                <w:sz w:val="20"/>
                <w:lang w:eastAsia="en-AU"/>
              </w:rPr>
            </w:pPr>
            <w:r>
              <w:rPr>
                <w:rFonts w:ascii="Arial Narrow" w:eastAsia="Calibri" w:hAnsi="Arial Narrow" w:cs="Times New Roman"/>
                <w:sz w:val="20"/>
                <w:lang w:eastAsia="en-AU"/>
              </w:rPr>
              <w:t xml:space="preserve">Deaths, n/N (%) </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lang w:eastAsia="en-AU"/>
              </w:rPr>
            </w:pPr>
            <w:r>
              <w:rPr>
                <w:rFonts w:ascii="Arial Narrow" w:eastAsia="Calibri" w:hAnsi="Arial Narrow" w:cs="Times New Roman"/>
                <w:sz w:val="20"/>
                <w:szCs w:val="20"/>
                <w:lang w:eastAsia="en-AU"/>
              </w:rPr>
              <w:t>317/470 (67)</w:t>
            </w:r>
          </w:p>
        </w:tc>
        <w:tc>
          <w:tcPr>
            <w:tcW w:w="840"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lang w:eastAsia="en-AU"/>
              </w:rPr>
            </w:pPr>
            <w:r>
              <w:rPr>
                <w:rFonts w:ascii="Arial Narrow" w:eastAsia="Calibri" w:hAnsi="Arial Narrow" w:cs="Times New Roman"/>
                <w:sz w:val="20"/>
                <w:szCs w:val="20"/>
                <w:lang w:eastAsia="en-AU"/>
              </w:rPr>
              <w:t>167/237 (70)</w:t>
            </w:r>
          </w:p>
        </w:tc>
        <w:tc>
          <w:tcPr>
            <w:tcW w:w="955" w:type="pct"/>
            <w:gridSpan w:val="2"/>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lang w:eastAsia="en-AU"/>
              </w:rPr>
            </w:pPr>
            <w:r>
              <w:rPr>
                <w:rFonts w:ascii="Arial Narrow" w:eastAsia="Calibri" w:hAnsi="Arial Narrow" w:cs="Times New Roman"/>
                <w:sz w:val="20"/>
                <w:lang w:eastAsia="en-AU"/>
              </w:rPr>
              <w:t>3%</w:t>
            </w:r>
          </w:p>
        </w:tc>
        <w:tc>
          <w:tcPr>
            <w:tcW w:w="1036" w:type="pct"/>
            <w:vMerge w:val="restart"/>
            <w:tcBorders>
              <w:top w:val="single" w:sz="4" w:space="0" w:color="auto"/>
              <w:left w:val="single" w:sz="4" w:space="0" w:color="auto"/>
              <w:right w:val="single" w:sz="4" w:space="0" w:color="auto"/>
            </w:tcBorders>
            <w:shd w:val="clear" w:color="auto" w:fill="auto"/>
            <w:vAlign w:val="center"/>
          </w:tcPr>
          <w:p w:rsidR="002B6CEA" w:rsidRDefault="00A97395">
            <w:pPr>
              <w:keepNext/>
              <w:jc w:val="center"/>
              <w:rPr>
                <w:rFonts w:ascii="Arial Narrow" w:eastAsia="Calibri" w:hAnsi="Arial Narrow" w:cs="Times New Roman"/>
                <w:b/>
                <w:sz w:val="20"/>
                <w:szCs w:val="20"/>
                <w:lang w:eastAsia="en-AU"/>
              </w:rPr>
            </w:pPr>
            <w:r>
              <w:rPr>
                <w:rFonts w:ascii="Arial Narrow" w:eastAsia="Calibri" w:hAnsi="Arial Narrow" w:cs="Times New Roman"/>
                <w:b/>
                <w:sz w:val="20"/>
                <w:szCs w:val="20"/>
                <w:lang w:eastAsia="en-AU"/>
              </w:rPr>
              <w:t>0.76 (95% CI 0.63, 0.92)</w:t>
            </w:r>
          </w:p>
          <w:p w:rsidR="002B6CEA" w:rsidRDefault="00A97395">
            <w:pPr>
              <w:keepNext/>
              <w:jc w:val="center"/>
              <w:rPr>
                <w:rFonts w:ascii="Arial Narrow" w:eastAsia="Calibri" w:hAnsi="Arial Narrow" w:cs="Times New Roman"/>
                <w:sz w:val="20"/>
                <w:lang w:eastAsia="en-AU"/>
              </w:rPr>
            </w:pPr>
            <w:r>
              <w:rPr>
                <w:rFonts w:ascii="Arial Narrow" w:eastAsia="Calibri" w:hAnsi="Arial Narrow" w:cs="Times New Roman"/>
                <w:b/>
                <w:sz w:val="20"/>
                <w:szCs w:val="20"/>
                <w:lang w:eastAsia="en-AU"/>
              </w:rPr>
              <w:t>P=0.0049</w:t>
            </w:r>
          </w:p>
        </w:tc>
      </w:tr>
      <w:tr w:rsidR="002B6CEA">
        <w:trPr>
          <w:trHeight w:val="20"/>
        </w:trPr>
        <w:tc>
          <w:tcPr>
            <w:tcW w:w="1367" w:type="pct"/>
            <w:gridSpan w:val="2"/>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left"/>
              <w:rPr>
                <w:rFonts w:ascii="Arial Narrow" w:eastAsia="Calibri" w:hAnsi="Arial Narrow" w:cs="Times New Roman"/>
                <w:sz w:val="20"/>
                <w:lang w:eastAsia="en-AU"/>
              </w:rPr>
            </w:pPr>
            <w:r>
              <w:rPr>
                <w:rFonts w:ascii="Arial Narrow" w:eastAsia="Calibri" w:hAnsi="Arial Narrow" w:cs="Times New Roman"/>
                <w:sz w:val="20"/>
                <w:lang w:eastAsia="en-AU"/>
              </w:rPr>
              <w:t xml:space="preserve">% Alive at 12 months (95% CI) </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lang w:eastAsia="en-AU"/>
              </w:rPr>
            </w:pPr>
            <w:r>
              <w:rPr>
                <w:rFonts w:ascii="Arial Narrow" w:eastAsia="Calibri" w:hAnsi="Arial Narrow" w:cs="Times New Roman"/>
                <w:sz w:val="20"/>
                <w:szCs w:val="20"/>
                <w:lang w:eastAsia="en-AU"/>
              </w:rPr>
              <w:t>45.6% (NR)</w:t>
            </w:r>
          </w:p>
        </w:tc>
        <w:tc>
          <w:tcPr>
            <w:tcW w:w="840"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34.3% (NR)</w:t>
            </w:r>
          </w:p>
        </w:tc>
        <w:tc>
          <w:tcPr>
            <w:tcW w:w="955" w:type="pct"/>
            <w:gridSpan w:val="2"/>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lang w:eastAsia="en-AU"/>
              </w:rPr>
            </w:pPr>
            <w:r>
              <w:rPr>
                <w:rFonts w:ascii="Arial Narrow" w:eastAsia="Calibri" w:hAnsi="Arial Narrow" w:cs="Times New Roman"/>
                <w:sz w:val="20"/>
                <w:lang w:eastAsia="en-AU"/>
              </w:rPr>
              <w:t>11.3%</w:t>
            </w:r>
          </w:p>
        </w:tc>
        <w:tc>
          <w:tcPr>
            <w:tcW w:w="1036" w:type="pct"/>
            <w:vMerge/>
            <w:tcBorders>
              <w:left w:val="single" w:sz="4" w:space="0" w:color="auto"/>
              <w:right w:val="single" w:sz="4" w:space="0" w:color="auto"/>
            </w:tcBorders>
            <w:shd w:val="clear" w:color="auto" w:fill="auto"/>
          </w:tcPr>
          <w:p w:rsidR="002B6CEA" w:rsidRDefault="002B6CEA">
            <w:pPr>
              <w:keepNext/>
              <w:jc w:val="center"/>
              <w:rPr>
                <w:rFonts w:ascii="Arial Narrow" w:eastAsia="Calibri" w:hAnsi="Arial Narrow" w:cs="Times New Roman"/>
                <w:sz w:val="20"/>
                <w:lang w:eastAsia="en-AU"/>
              </w:rPr>
            </w:pPr>
          </w:p>
        </w:tc>
      </w:tr>
      <w:tr w:rsidR="002B6CEA">
        <w:trPr>
          <w:trHeight w:val="20"/>
        </w:trPr>
        <w:tc>
          <w:tcPr>
            <w:tcW w:w="1367" w:type="pct"/>
            <w:gridSpan w:val="2"/>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left"/>
              <w:rPr>
                <w:rFonts w:ascii="Arial Narrow" w:eastAsia="Calibri" w:hAnsi="Arial Narrow" w:cs="Times New Roman"/>
                <w:sz w:val="20"/>
                <w:lang w:eastAsia="en-AU"/>
              </w:rPr>
            </w:pPr>
            <w:r>
              <w:rPr>
                <w:rFonts w:ascii="Arial Narrow" w:eastAsia="Calibri" w:hAnsi="Arial Narrow" w:cs="Times New Roman"/>
                <w:sz w:val="20"/>
                <w:lang w:eastAsia="en-AU"/>
              </w:rPr>
              <w:t>% Alive at 24 months (95% CI)</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17.8% (NR)</w:t>
            </w:r>
          </w:p>
        </w:tc>
        <w:tc>
          <w:tcPr>
            <w:tcW w:w="840"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12.5% (NR)</w:t>
            </w:r>
          </w:p>
        </w:tc>
        <w:tc>
          <w:tcPr>
            <w:tcW w:w="955" w:type="pct"/>
            <w:gridSpan w:val="2"/>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lang w:eastAsia="en-AU"/>
              </w:rPr>
            </w:pPr>
            <w:r>
              <w:rPr>
                <w:rFonts w:ascii="Arial Narrow" w:eastAsia="Calibri" w:hAnsi="Arial Narrow" w:cs="Times New Roman"/>
                <w:sz w:val="20"/>
                <w:lang w:eastAsia="en-AU"/>
              </w:rPr>
              <w:t>5.3%</w:t>
            </w:r>
          </w:p>
        </w:tc>
        <w:tc>
          <w:tcPr>
            <w:tcW w:w="1036" w:type="pct"/>
            <w:vMerge/>
            <w:tcBorders>
              <w:left w:val="single" w:sz="4" w:space="0" w:color="auto"/>
              <w:right w:val="single" w:sz="4" w:space="0" w:color="auto"/>
            </w:tcBorders>
            <w:shd w:val="clear" w:color="auto" w:fill="auto"/>
          </w:tcPr>
          <w:p w:rsidR="002B6CEA" w:rsidRDefault="002B6CEA">
            <w:pPr>
              <w:keepNext/>
              <w:jc w:val="center"/>
              <w:rPr>
                <w:rFonts w:ascii="Arial Narrow" w:eastAsia="Calibri" w:hAnsi="Arial Narrow" w:cs="Times New Roman"/>
                <w:sz w:val="20"/>
                <w:lang w:eastAsia="en-AU"/>
              </w:rPr>
            </w:pPr>
          </w:p>
        </w:tc>
      </w:tr>
      <w:tr w:rsidR="002B6CEA">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left"/>
              <w:rPr>
                <w:rFonts w:ascii="Arial Narrow" w:eastAsia="Calibri" w:hAnsi="Arial Narrow" w:cs="Times New Roman"/>
                <w:sz w:val="20"/>
                <w:lang w:eastAsia="en-AU"/>
              </w:rPr>
            </w:pPr>
            <w:r>
              <w:rPr>
                <w:rFonts w:ascii="Arial Narrow" w:eastAsia="Calibri" w:hAnsi="Arial Narrow" w:cs="Times New Roman"/>
                <w:b/>
                <w:sz w:val="20"/>
                <w:lang w:eastAsia="en-AU"/>
              </w:rPr>
              <w:t>Harms</w:t>
            </w:r>
          </w:p>
        </w:tc>
      </w:tr>
      <w:tr w:rsidR="002B6CEA">
        <w:trPr>
          <w:trHeight w:val="20"/>
        </w:trPr>
        <w:tc>
          <w:tcPr>
            <w:tcW w:w="683" w:type="pct"/>
            <w:vMerge w:val="restart"/>
            <w:tcBorders>
              <w:top w:val="single" w:sz="4" w:space="0" w:color="auto"/>
              <w:left w:val="single" w:sz="4" w:space="0" w:color="auto"/>
              <w:right w:val="single" w:sz="4" w:space="0" w:color="auto"/>
            </w:tcBorders>
            <w:shd w:val="clear" w:color="auto" w:fill="auto"/>
          </w:tcPr>
          <w:p w:rsidR="002B6CEA" w:rsidRDefault="002B6CEA">
            <w:pPr>
              <w:keepNext/>
              <w:jc w:val="center"/>
              <w:rPr>
                <w:rFonts w:ascii="Arial Narrow" w:eastAsia="Calibri" w:hAnsi="Arial Narrow" w:cs="Times New Roman"/>
                <w:b/>
                <w:sz w:val="20"/>
                <w:lang w:eastAsia="en-AU"/>
              </w:rPr>
            </w:pPr>
          </w:p>
        </w:tc>
        <w:tc>
          <w:tcPr>
            <w:tcW w:w="684" w:type="pct"/>
            <w:vMerge w:val="restart"/>
            <w:tcBorders>
              <w:top w:val="single" w:sz="4" w:space="0" w:color="auto"/>
              <w:left w:val="single" w:sz="4" w:space="0" w:color="auto"/>
              <w:right w:val="single" w:sz="4" w:space="0" w:color="auto"/>
            </w:tcBorders>
            <w:shd w:val="clear" w:color="auto" w:fill="auto"/>
            <w:vAlign w:val="center"/>
          </w:tcPr>
          <w:p w:rsidR="002B6CEA" w:rsidRDefault="00A97395">
            <w:pPr>
              <w:keepNext/>
              <w:jc w:val="center"/>
              <w:rPr>
                <w:rFonts w:ascii="Arial Narrow" w:eastAsia="Calibri" w:hAnsi="Arial Narrow" w:cs="Times New Roman"/>
                <w:b/>
                <w:sz w:val="20"/>
                <w:lang w:eastAsia="en-AU"/>
              </w:rPr>
            </w:pPr>
            <w:r>
              <w:rPr>
                <w:rFonts w:ascii="Arial Narrow" w:eastAsia="Calibri" w:hAnsi="Arial Narrow" w:cs="Times New Roman"/>
                <w:b/>
                <w:sz w:val="20"/>
                <w:lang w:eastAsia="en-AU"/>
              </w:rPr>
              <w:t>Cabo n/N</w:t>
            </w:r>
          </w:p>
        </w:tc>
        <w:tc>
          <w:tcPr>
            <w:tcW w:w="802" w:type="pct"/>
            <w:vMerge w:val="restart"/>
            <w:tcBorders>
              <w:top w:val="single" w:sz="4" w:space="0" w:color="auto"/>
              <w:left w:val="single" w:sz="4" w:space="0" w:color="auto"/>
              <w:right w:val="single" w:sz="4" w:space="0" w:color="auto"/>
            </w:tcBorders>
            <w:shd w:val="clear" w:color="auto" w:fill="auto"/>
            <w:vAlign w:val="center"/>
          </w:tcPr>
          <w:p w:rsidR="002B6CEA" w:rsidRDefault="00A97395">
            <w:pPr>
              <w:keepNext/>
              <w:jc w:val="center"/>
              <w:rPr>
                <w:rFonts w:ascii="Arial Narrow" w:eastAsia="Calibri" w:hAnsi="Arial Narrow" w:cs="Times New Roman"/>
                <w:b/>
                <w:sz w:val="20"/>
                <w:szCs w:val="20"/>
                <w:lang w:eastAsia="en-AU"/>
              </w:rPr>
            </w:pPr>
            <w:r>
              <w:rPr>
                <w:rFonts w:ascii="Arial Narrow" w:eastAsia="Calibri" w:hAnsi="Arial Narrow" w:cs="Times New Roman"/>
                <w:b/>
                <w:sz w:val="20"/>
                <w:szCs w:val="20"/>
                <w:lang w:eastAsia="en-AU"/>
              </w:rPr>
              <w:t xml:space="preserve">BSC </w:t>
            </w:r>
            <w:r>
              <w:rPr>
                <w:rFonts w:ascii="Arial Narrow" w:eastAsia="Calibri" w:hAnsi="Arial Narrow" w:cs="Times New Roman"/>
                <w:b/>
                <w:sz w:val="20"/>
                <w:lang w:eastAsia="en-AU"/>
              </w:rPr>
              <w:t>n/N</w:t>
            </w:r>
          </w:p>
        </w:tc>
        <w:tc>
          <w:tcPr>
            <w:tcW w:w="840" w:type="pct"/>
            <w:vMerge w:val="restart"/>
            <w:tcBorders>
              <w:top w:val="single" w:sz="4" w:space="0" w:color="auto"/>
              <w:left w:val="single" w:sz="4" w:space="0" w:color="auto"/>
              <w:right w:val="single" w:sz="4" w:space="0" w:color="auto"/>
            </w:tcBorders>
            <w:shd w:val="clear" w:color="auto" w:fill="auto"/>
            <w:vAlign w:val="center"/>
          </w:tcPr>
          <w:p w:rsidR="002B6CEA" w:rsidRDefault="00A97395">
            <w:pPr>
              <w:keepNext/>
              <w:jc w:val="center"/>
              <w:rPr>
                <w:rFonts w:ascii="Arial Narrow" w:eastAsia="Calibri" w:hAnsi="Arial Narrow" w:cs="Times New Roman"/>
                <w:b/>
                <w:sz w:val="20"/>
                <w:szCs w:val="20"/>
                <w:lang w:eastAsia="en-AU"/>
              </w:rPr>
            </w:pPr>
            <w:r>
              <w:rPr>
                <w:rFonts w:ascii="Arial Narrow" w:eastAsia="Calibri" w:hAnsi="Arial Narrow" w:cs="Times New Roman"/>
                <w:b/>
                <w:sz w:val="20"/>
                <w:szCs w:val="20"/>
                <w:lang w:eastAsia="en-AU"/>
              </w:rPr>
              <w:t>RR (95% CI)</w:t>
            </w:r>
          </w:p>
        </w:tc>
        <w:tc>
          <w:tcPr>
            <w:tcW w:w="955" w:type="pct"/>
            <w:gridSpan w:val="2"/>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b/>
                <w:sz w:val="20"/>
                <w:vertAlign w:val="superscript"/>
                <w:lang w:eastAsia="en-AU"/>
              </w:rPr>
            </w:pPr>
            <w:r>
              <w:rPr>
                <w:rFonts w:ascii="Arial Narrow" w:hAnsi="Arial Narrow"/>
                <w:b/>
                <w:color w:val="000000"/>
                <w:sz w:val="20"/>
                <w:szCs w:val="18"/>
              </w:rPr>
              <w:t>Event rate/100 patients</w:t>
            </w:r>
            <w:r>
              <w:rPr>
                <w:rFonts w:ascii="Arial Narrow" w:hAnsi="Arial Narrow"/>
                <w:b/>
                <w:color w:val="000000"/>
                <w:sz w:val="20"/>
                <w:szCs w:val="18"/>
                <w:vertAlign w:val="superscript"/>
              </w:rPr>
              <w:t>b</w:t>
            </w:r>
          </w:p>
        </w:tc>
        <w:tc>
          <w:tcPr>
            <w:tcW w:w="1036" w:type="pct"/>
            <w:vMerge w:val="restart"/>
            <w:tcBorders>
              <w:left w:val="single" w:sz="4" w:space="0" w:color="auto"/>
              <w:right w:val="single" w:sz="4" w:space="0" w:color="auto"/>
            </w:tcBorders>
            <w:shd w:val="clear" w:color="auto" w:fill="auto"/>
            <w:vAlign w:val="center"/>
          </w:tcPr>
          <w:p w:rsidR="002B6CEA" w:rsidRDefault="00A97395">
            <w:pPr>
              <w:keepNext/>
              <w:jc w:val="center"/>
              <w:rPr>
                <w:rFonts w:ascii="Arial Narrow" w:hAnsi="Arial Narrow"/>
                <w:b/>
                <w:color w:val="000000"/>
                <w:sz w:val="20"/>
                <w:szCs w:val="18"/>
              </w:rPr>
            </w:pPr>
            <w:r>
              <w:rPr>
                <w:rFonts w:ascii="Arial Narrow" w:hAnsi="Arial Narrow"/>
                <w:b/>
                <w:color w:val="000000"/>
                <w:sz w:val="20"/>
                <w:szCs w:val="18"/>
              </w:rPr>
              <w:t>RD</w:t>
            </w:r>
          </w:p>
          <w:p w:rsidR="002B6CEA" w:rsidRDefault="00A97395">
            <w:pPr>
              <w:keepNext/>
              <w:jc w:val="center"/>
              <w:rPr>
                <w:rFonts w:ascii="Arial Narrow" w:eastAsia="Calibri" w:hAnsi="Arial Narrow" w:cs="Times New Roman"/>
                <w:b/>
                <w:sz w:val="20"/>
                <w:lang w:eastAsia="en-AU"/>
              </w:rPr>
            </w:pPr>
            <w:r>
              <w:rPr>
                <w:rFonts w:ascii="Arial Narrow" w:hAnsi="Arial Narrow"/>
                <w:b/>
                <w:color w:val="000000"/>
                <w:sz w:val="20"/>
                <w:szCs w:val="18"/>
              </w:rPr>
              <w:t>(95% CI)</w:t>
            </w:r>
          </w:p>
        </w:tc>
      </w:tr>
      <w:tr w:rsidR="002B6CEA">
        <w:trPr>
          <w:trHeight w:val="20"/>
        </w:trPr>
        <w:tc>
          <w:tcPr>
            <w:tcW w:w="683" w:type="pct"/>
            <w:vMerge/>
            <w:tcBorders>
              <w:left w:val="single" w:sz="4" w:space="0" w:color="auto"/>
              <w:bottom w:val="single" w:sz="4" w:space="0" w:color="auto"/>
              <w:right w:val="single" w:sz="4" w:space="0" w:color="auto"/>
            </w:tcBorders>
            <w:shd w:val="clear" w:color="auto" w:fill="auto"/>
          </w:tcPr>
          <w:p w:rsidR="002B6CEA" w:rsidRDefault="002B6CEA">
            <w:pPr>
              <w:keepNext/>
              <w:jc w:val="left"/>
              <w:rPr>
                <w:rFonts w:ascii="Arial Narrow" w:eastAsia="Calibri" w:hAnsi="Arial Narrow" w:cs="Times New Roman"/>
                <w:b/>
                <w:sz w:val="20"/>
                <w:lang w:eastAsia="en-AU"/>
              </w:rPr>
            </w:pPr>
          </w:p>
        </w:tc>
        <w:tc>
          <w:tcPr>
            <w:tcW w:w="684" w:type="pct"/>
            <w:vMerge/>
            <w:tcBorders>
              <w:left w:val="single" w:sz="4" w:space="0" w:color="auto"/>
              <w:bottom w:val="single" w:sz="4" w:space="0" w:color="auto"/>
              <w:right w:val="single" w:sz="4" w:space="0" w:color="auto"/>
            </w:tcBorders>
            <w:shd w:val="clear" w:color="auto" w:fill="auto"/>
          </w:tcPr>
          <w:p w:rsidR="002B6CEA" w:rsidRDefault="002B6CEA">
            <w:pPr>
              <w:keepNext/>
              <w:jc w:val="left"/>
              <w:rPr>
                <w:rFonts w:ascii="Arial Narrow" w:eastAsia="Calibri" w:hAnsi="Arial Narrow" w:cs="Times New Roman"/>
                <w:b/>
                <w:sz w:val="20"/>
                <w:lang w:eastAsia="en-AU"/>
              </w:rPr>
            </w:pPr>
          </w:p>
        </w:tc>
        <w:tc>
          <w:tcPr>
            <w:tcW w:w="802" w:type="pct"/>
            <w:vMerge/>
            <w:tcBorders>
              <w:left w:val="single" w:sz="4" w:space="0" w:color="auto"/>
              <w:bottom w:val="single" w:sz="4" w:space="0" w:color="auto"/>
              <w:right w:val="single" w:sz="4" w:space="0" w:color="auto"/>
            </w:tcBorders>
            <w:shd w:val="clear" w:color="auto" w:fill="auto"/>
          </w:tcPr>
          <w:p w:rsidR="002B6CEA" w:rsidRDefault="002B6CEA">
            <w:pPr>
              <w:keepNext/>
              <w:jc w:val="center"/>
              <w:rPr>
                <w:rFonts w:ascii="Arial Narrow" w:eastAsia="Calibri" w:hAnsi="Arial Narrow" w:cs="Times New Roman"/>
                <w:b/>
                <w:sz w:val="20"/>
                <w:szCs w:val="20"/>
                <w:lang w:eastAsia="en-AU"/>
              </w:rPr>
            </w:pPr>
          </w:p>
        </w:tc>
        <w:tc>
          <w:tcPr>
            <w:tcW w:w="840" w:type="pct"/>
            <w:vMerge/>
            <w:tcBorders>
              <w:left w:val="single" w:sz="4" w:space="0" w:color="auto"/>
              <w:bottom w:val="single" w:sz="4" w:space="0" w:color="auto"/>
              <w:right w:val="single" w:sz="4" w:space="0" w:color="auto"/>
            </w:tcBorders>
            <w:shd w:val="clear" w:color="auto" w:fill="auto"/>
          </w:tcPr>
          <w:p w:rsidR="002B6CEA" w:rsidRDefault="002B6CEA">
            <w:pPr>
              <w:keepNext/>
              <w:jc w:val="center"/>
              <w:rPr>
                <w:rFonts w:ascii="Arial Narrow" w:eastAsia="Calibri" w:hAnsi="Arial Narrow" w:cs="Times New Roman"/>
                <w:b/>
                <w:sz w:val="20"/>
                <w:szCs w:val="20"/>
                <w:lang w:eastAsia="en-AU"/>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b/>
                <w:sz w:val="20"/>
                <w:lang w:eastAsia="en-AU"/>
              </w:rPr>
            </w:pPr>
            <w:r>
              <w:rPr>
                <w:rFonts w:ascii="Arial Narrow" w:eastAsia="Calibri" w:hAnsi="Arial Narrow" w:cs="Times New Roman"/>
                <w:b/>
                <w:sz w:val="20"/>
                <w:lang w:eastAsia="en-AU"/>
              </w:rPr>
              <w:t>Cabo</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b/>
                <w:sz w:val="20"/>
                <w:lang w:eastAsia="en-AU"/>
              </w:rPr>
            </w:pPr>
            <w:r>
              <w:rPr>
                <w:rFonts w:ascii="Arial Narrow" w:eastAsia="Calibri" w:hAnsi="Arial Narrow" w:cs="Times New Roman"/>
                <w:b/>
                <w:sz w:val="20"/>
                <w:lang w:eastAsia="en-AU"/>
              </w:rPr>
              <w:t>BSC</w:t>
            </w:r>
          </w:p>
        </w:tc>
        <w:tc>
          <w:tcPr>
            <w:tcW w:w="1036" w:type="pct"/>
            <w:vMerge/>
            <w:tcBorders>
              <w:left w:val="single" w:sz="4" w:space="0" w:color="auto"/>
              <w:right w:val="single" w:sz="4" w:space="0" w:color="auto"/>
            </w:tcBorders>
            <w:shd w:val="clear" w:color="auto" w:fill="auto"/>
          </w:tcPr>
          <w:p w:rsidR="002B6CEA" w:rsidRDefault="002B6CEA">
            <w:pPr>
              <w:keepNext/>
              <w:jc w:val="center"/>
              <w:rPr>
                <w:rFonts w:ascii="Arial Narrow" w:eastAsia="Calibri" w:hAnsi="Arial Narrow" w:cs="Times New Roman"/>
                <w:b/>
                <w:sz w:val="20"/>
                <w:lang w:eastAsia="en-AU"/>
              </w:rPr>
            </w:pPr>
          </w:p>
        </w:tc>
      </w:tr>
      <w:tr w:rsidR="002B6CEA">
        <w:trPr>
          <w:trHeight w:val="20"/>
        </w:trPr>
        <w:tc>
          <w:tcPr>
            <w:tcW w:w="5000" w:type="pct"/>
            <w:gridSpan w:val="7"/>
            <w:tcBorders>
              <w:left w:val="single" w:sz="4" w:space="0" w:color="auto"/>
              <w:bottom w:val="single" w:sz="4" w:space="0" w:color="auto"/>
              <w:right w:val="single" w:sz="4" w:space="0" w:color="auto"/>
            </w:tcBorders>
            <w:shd w:val="clear" w:color="auto" w:fill="auto"/>
          </w:tcPr>
          <w:p w:rsidR="002B6CEA" w:rsidRDefault="00A97395">
            <w:pPr>
              <w:keepNext/>
              <w:jc w:val="left"/>
              <w:rPr>
                <w:rFonts w:ascii="Arial Narrow" w:eastAsia="Calibri" w:hAnsi="Arial Narrow" w:cs="Times New Roman"/>
                <w:b/>
                <w:sz w:val="20"/>
                <w:lang w:eastAsia="en-AU"/>
              </w:rPr>
            </w:pPr>
            <w:r>
              <w:rPr>
                <w:rFonts w:ascii="Arial Narrow" w:eastAsia="Calibri" w:hAnsi="Arial Narrow" w:cs="Times New Roman"/>
                <w:b/>
                <w:sz w:val="20"/>
                <w:lang w:eastAsia="en-AU"/>
              </w:rPr>
              <w:t>Grade 3 and 4 adverse events (≥ 10%)</w:t>
            </w:r>
          </w:p>
        </w:tc>
      </w:tr>
      <w:tr w:rsidR="002B6CEA">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rsidR="002B6CEA" w:rsidRDefault="00A97395">
            <w:pPr>
              <w:keepNext/>
              <w:jc w:val="left"/>
              <w:rPr>
                <w:rFonts w:ascii="Arial Narrow" w:eastAsia="Calibri" w:hAnsi="Arial Narrow" w:cs="Times New Roman"/>
                <w:sz w:val="20"/>
                <w:lang w:eastAsia="en-AU"/>
              </w:rPr>
            </w:pPr>
            <w:r>
              <w:rPr>
                <w:rFonts w:ascii="Arial Narrow" w:hAnsi="Arial Narrow"/>
                <w:sz w:val="20"/>
                <w:szCs w:val="20"/>
              </w:rPr>
              <w:t>Diarrhoea</w:t>
            </w: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lang w:eastAsia="en-AU"/>
              </w:rPr>
            </w:pPr>
            <w:r>
              <w:rPr>
                <w:rFonts w:ascii="Arial Narrow" w:eastAsia="Calibri" w:hAnsi="Arial Narrow" w:cs="Times New Roman"/>
                <w:sz w:val="20"/>
                <w:lang w:eastAsia="en-AU"/>
              </w:rPr>
              <w:t>46/467</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4/237</w:t>
            </w:r>
          </w:p>
        </w:tc>
        <w:tc>
          <w:tcPr>
            <w:tcW w:w="840"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Style w:val="TableText0"/>
                <w:rFonts w:ascii="Arial Narrow" w:eastAsiaTheme="majorEastAsia" w:hAnsi="Arial Narrow"/>
                <w:b/>
                <w:sz w:val="20"/>
                <w:szCs w:val="20"/>
              </w:rPr>
            </w:pPr>
            <w:r>
              <w:rPr>
                <w:rStyle w:val="TableText0"/>
                <w:rFonts w:ascii="Arial Narrow" w:eastAsiaTheme="majorEastAsia" w:hAnsi="Arial Narrow"/>
                <w:b/>
                <w:sz w:val="20"/>
                <w:szCs w:val="20"/>
              </w:rPr>
              <w:t xml:space="preserve"> 5.84 (2.13, 16.02)</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lang w:eastAsia="en-AU"/>
              </w:rPr>
            </w:pPr>
            <w:r>
              <w:rPr>
                <w:rFonts w:ascii="Arial Narrow" w:eastAsia="Calibri" w:hAnsi="Arial Narrow" w:cs="Times New Roman"/>
                <w:sz w:val="20"/>
                <w:lang w:eastAsia="en-AU"/>
              </w:rPr>
              <w:t>9.9</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lang w:eastAsia="en-AU"/>
              </w:rPr>
            </w:pPr>
            <w:r>
              <w:rPr>
                <w:rFonts w:ascii="Arial Narrow" w:eastAsia="Calibri" w:hAnsi="Arial Narrow" w:cs="Times New Roman"/>
                <w:sz w:val="20"/>
                <w:lang w:eastAsia="en-AU"/>
              </w:rPr>
              <w:t>1.7</w:t>
            </w:r>
          </w:p>
        </w:tc>
        <w:tc>
          <w:tcPr>
            <w:tcW w:w="1036" w:type="pct"/>
            <w:tcBorders>
              <w:left w:val="single" w:sz="4" w:space="0" w:color="auto"/>
              <w:right w:val="single" w:sz="4" w:space="0" w:color="auto"/>
            </w:tcBorders>
            <w:shd w:val="clear" w:color="auto" w:fill="auto"/>
            <w:vAlign w:val="center"/>
          </w:tcPr>
          <w:p w:rsidR="002B6CEA" w:rsidRDefault="00A97395">
            <w:pPr>
              <w:keepNext/>
              <w:jc w:val="center"/>
              <w:rPr>
                <w:rFonts w:ascii="Arial Narrow" w:eastAsia="Calibri" w:hAnsi="Arial Narrow" w:cs="Times New Roman"/>
                <w:sz w:val="20"/>
                <w:lang w:eastAsia="en-AU"/>
              </w:rPr>
            </w:pPr>
            <w:r>
              <w:rPr>
                <w:rStyle w:val="TableText0"/>
                <w:rFonts w:ascii="Arial Narrow" w:eastAsiaTheme="majorEastAsia" w:hAnsi="Arial Narrow"/>
                <w:b/>
                <w:sz w:val="20"/>
                <w:szCs w:val="20"/>
              </w:rPr>
              <w:t>0.08 (0.05,0.11)</w:t>
            </w:r>
          </w:p>
        </w:tc>
      </w:tr>
      <w:tr w:rsidR="002B6CEA">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rsidR="002B6CEA" w:rsidRDefault="00A97395">
            <w:pPr>
              <w:keepNext/>
              <w:jc w:val="left"/>
              <w:rPr>
                <w:rFonts w:ascii="Arial Narrow" w:eastAsia="Calibri" w:hAnsi="Arial Narrow" w:cs="Times New Roman"/>
                <w:sz w:val="20"/>
                <w:lang w:eastAsia="en-AU"/>
              </w:rPr>
            </w:pPr>
            <w:r>
              <w:rPr>
                <w:rFonts w:ascii="Arial Narrow" w:hAnsi="Arial Narrow"/>
                <w:sz w:val="20"/>
                <w:szCs w:val="20"/>
              </w:rPr>
              <w:t>PPES</w:t>
            </w: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lang w:eastAsia="en-AU"/>
              </w:rPr>
            </w:pPr>
            <w:r>
              <w:rPr>
                <w:rFonts w:ascii="Arial Narrow" w:eastAsia="Calibri" w:hAnsi="Arial Narrow" w:cs="Times New Roman"/>
                <w:sz w:val="20"/>
                <w:lang w:eastAsia="en-AU"/>
              </w:rPr>
              <w:t>79/467</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1/237</w:t>
            </w:r>
          </w:p>
        </w:tc>
        <w:tc>
          <w:tcPr>
            <w:tcW w:w="840"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Style w:val="TableText0"/>
                <w:rFonts w:ascii="Arial Narrow" w:eastAsiaTheme="majorEastAsia" w:hAnsi="Arial Narrow"/>
                <w:b/>
                <w:sz w:val="20"/>
                <w:szCs w:val="20"/>
              </w:rPr>
            </w:pPr>
            <w:r>
              <w:rPr>
                <w:rStyle w:val="TableText0"/>
                <w:rFonts w:ascii="Arial Narrow" w:eastAsiaTheme="majorEastAsia" w:hAnsi="Arial Narrow"/>
                <w:b/>
                <w:sz w:val="20"/>
                <w:szCs w:val="20"/>
              </w:rPr>
              <w:t xml:space="preserve"> 40.09 (5.61,286.39)</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lang w:eastAsia="en-AU"/>
              </w:rPr>
            </w:pPr>
            <w:r>
              <w:rPr>
                <w:rFonts w:ascii="Arial Narrow" w:eastAsia="Calibri" w:hAnsi="Arial Narrow" w:cs="Times New Roman"/>
                <w:sz w:val="20"/>
                <w:lang w:eastAsia="en-AU"/>
              </w:rPr>
              <w:t>17</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lang w:eastAsia="en-AU"/>
              </w:rPr>
            </w:pPr>
            <w:r>
              <w:rPr>
                <w:rFonts w:ascii="Arial Narrow" w:eastAsia="Calibri" w:hAnsi="Arial Narrow" w:cs="Times New Roman"/>
                <w:sz w:val="20"/>
                <w:lang w:eastAsia="en-AU"/>
              </w:rPr>
              <w:t>0</w:t>
            </w:r>
          </w:p>
        </w:tc>
        <w:tc>
          <w:tcPr>
            <w:tcW w:w="1036" w:type="pct"/>
            <w:tcBorders>
              <w:left w:val="single" w:sz="4" w:space="0" w:color="auto"/>
              <w:right w:val="single" w:sz="4" w:space="0" w:color="auto"/>
            </w:tcBorders>
            <w:shd w:val="clear" w:color="auto" w:fill="auto"/>
            <w:vAlign w:val="center"/>
          </w:tcPr>
          <w:p w:rsidR="002B6CEA" w:rsidRDefault="00A97395">
            <w:pPr>
              <w:keepNext/>
              <w:jc w:val="center"/>
              <w:rPr>
                <w:rFonts w:ascii="Arial Narrow" w:eastAsia="Calibri" w:hAnsi="Arial Narrow" w:cs="Times New Roman"/>
                <w:sz w:val="20"/>
                <w:lang w:eastAsia="en-AU"/>
              </w:rPr>
            </w:pPr>
            <w:r>
              <w:rPr>
                <w:rStyle w:val="TableText0"/>
                <w:rFonts w:ascii="Arial Narrow" w:eastAsiaTheme="majorEastAsia" w:hAnsi="Arial Narrow"/>
                <w:b/>
                <w:sz w:val="20"/>
                <w:szCs w:val="20"/>
              </w:rPr>
              <w:t>0.17 (0.13,0.20)</w:t>
            </w:r>
          </w:p>
        </w:tc>
      </w:tr>
      <w:tr w:rsidR="002B6CEA">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rsidR="002B6CEA" w:rsidRDefault="00A97395">
            <w:pPr>
              <w:keepNext/>
              <w:jc w:val="left"/>
              <w:rPr>
                <w:rFonts w:ascii="Arial Narrow" w:eastAsia="Calibri" w:hAnsi="Arial Narrow" w:cs="Times New Roman"/>
                <w:sz w:val="20"/>
                <w:lang w:eastAsia="en-AU"/>
              </w:rPr>
            </w:pPr>
            <w:r>
              <w:rPr>
                <w:rFonts w:ascii="Arial Narrow" w:hAnsi="Arial Narrow"/>
                <w:sz w:val="20"/>
                <w:szCs w:val="20"/>
              </w:rPr>
              <w:t>Fatigue</w:t>
            </w: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lang w:eastAsia="en-AU"/>
              </w:rPr>
            </w:pPr>
            <w:r>
              <w:rPr>
                <w:rFonts w:ascii="Arial Narrow" w:eastAsia="Calibri" w:hAnsi="Arial Narrow" w:cs="Times New Roman"/>
                <w:sz w:val="20"/>
                <w:lang w:eastAsia="en-AU"/>
              </w:rPr>
              <w:t>49/467</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10/237</w:t>
            </w:r>
          </w:p>
        </w:tc>
        <w:tc>
          <w:tcPr>
            <w:tcW w:w="840"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Style w:val="TableText0"/>
                <w:rFonts w:ascii="Arial Narrow" w:eastAsiaTheme="majorEastAsia" w:hAnsi="Arial Narrow"/>
                <w:b/>
                <w:sz w:val="20"/>
                <w:szCs w:val="20"/>
              </w:rPr>
            </w:pPr>
            <w:r>
              <w:rPr>
                <w:rStyle w:val="TableText0"/>
                <w:rFonts w:ascii="Arial Narrow" w:eastAsiaTheme="majorEastAsia" w:hAnsi="Arial Narrow"/>
                <w:b/>
                <w:sz w:val="20"/>
                <w:szCs w:val="20"/>
              </w:rPr>
              <w:t xml:space="preserve"> 2.49 (1.28, 4.82) </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lang w:eastAsia="en-AU"/>
              </w:rPr>
            </w:pPr>
            <w:r>
              <w:rPr>
                <w:rFonts w:ascii="Arial Narrow" w:eastAsia="Calibri" w:hAnsi="Arial Narrow" w:cs="Times New Roman"/>
                <w:sz w:val="20"/>
                <w:lang w:eastAsia="en-AU"/>
              </w:rPr>
              <w:t>10</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lang w:eastAsia="en-AU"/>
              </w:rPr>
            </w:pPr>
            <w:r>
              <w:rPr>
                <w:rFonts w:ascii="Arial Narrow" w:eastAsia="Calibri" w:hAnsi="Arial Narrow" w:cs="Times New Roman"/>
                <w:sz w:val="20"/>
                <w:lang w:eastAsia="en-AU"/>
              </w:rPr>
              <w:t>4.2</w:t>
            </w:r>
          </w:p>
        </w:tc>
        <w:tc>
          <w:tcPr>
            <w:tcW w:w="1036" w:type="pct"/>
            <w:tcBorders>
              <w:left w:val="single" w:sz="4" w:space="0" w:color="auto"/>
              <w:right w:val="single" w:sz="4" w:space="0" w:color="auto"/>
            </w:tcBorders>
            <w:shd w:val="clear" w:color="auto" w:fill="auto"/>
            <w:vAlign w:val="center"/>
          </w:tcPr>
          <w:p w:rsidR="002B6CEA" w:rsidRDefault="00A97395">
            <w:pPr>
              <w:keepNext/>
              <w:jc w:val="center"/>
              <w:rPr>
                <w:rFonts w:ascii="Arial Narrow" w:eastAsia="Calibri" w:hAnsi="Arial Narrow" w:cs="Times New Roman"/>
                <w:sz w:val="20"/>
                <w:lang w:eastAsia="en-AU"/>
              </w:rPr>
            </w:pPr>
            <w:r>
              <w:rPr>
                <w:rStyle w:val="TableText0"/>
                <w:rFonts w:ascii="Arial Narrow" w:eastAsiaTheme="majorEastAsia" w:hAnsi="Arial Narrow"/>
                <w:b/>
                <w:sz w:val="20"/>
                <w:szCs w:val="20"/>
              </w:rPr>
              <w:t>0.06 (0.03,0.10)</w:t>
            </w:r>
          </w:p>
        </w:tc>
      </w:tr>
      <w:tr w:rsidR="002B6CEA">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rsidR="002B6CEA" w:rsidRDefault="00A97395">
            <w:pPr>
              <w:keepNext/>
              <w:jc w:val="left"/>
              <w:rPr>
                <w:rFonts w:ascii="Arial Narrow" w:eastAsia="Calibri" w:hAnsi="Arial Narrow" w:cs="Times New Roman"/>
                <w:sz w:val="20"/>
                <w:lang w:eastAsia="en-AU"/>
              </w:rPr>
            </w:pPr>
            <w:r>
              <w:rPr>
                <w:rFonts w:ascii="Arial Narrow" w:hAnsi="Arial Narrow"/>
                <w:sz w:val="20"/>
                <w:szCs w:val="20"/>
              </w:rPr>
              <w:t>Hypertension</w:t>
            </w: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lang w:eastAsia="en-AU"/>
              </w:rPr>
            </w:pPr>
            <w:r>
              <w:rPr>
                <w:rFonts w:ascii="Arial Narrow" w:eastAsia="Calibri" w:hAnsi="Arial Narrow" w:cs="Times New Roman"/>
                <w:sz w:val="20"/>
                <w:lang w:eastAsia="en-AU"/>
              </w:rPr>
              <w:t>74/467</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4/237</w:t>
            </w:r>
          </w:p>
        </w:tc>
        <w:tc>
          <w:tcPr>
            <w:tcW w:w="840"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Style w:val="TableText0"/>
                <w:rFonts w:ascii="Arial Narrow" w:eastAsiaTheme="majorEastAsia" w:hAnsi="Arial Narrow"/>
                <w:b/>
                <w:sz w:val="20"/>
                <w:szCs w:val="20"/>
              </w:rPr>
            </w:pPr>
            <w:r>
              <w:rPr>
                <w:rStyle w:val="TableText0"/>
                <w:rFonts w:ascii="Arial Narrow" w:eastAsiaTheme="majorEastAsia" w:hAnsi="Arial Narrow"/>
                <w:b/>
                <w:sz w:val="20"/>
                <w:szCs w:val="20"/>
              </w:rPr>
              <w:t xml:space="preserve"> 9.39 (3.47,25.37) </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lang w:eastAsia="en-AU"/>
              </w:rPr>
            </w:pPr>
            <w:r>
              <w:rPr>
                <w:rFonts w:ascii="Arial Narrow" w:eastAsia="Calibri" w:hAnsi="Arial Narrow" w:cs="Times New Roman"/>
                <w:sz w:val="20"/>
                <w:lang w:eastAsia="en-AU"/>
              </w:rPr>
              <w:t>16</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lang w:eastAsia="en-AU"/>
              </w:rPr>
            </w:pPr>
            <w:r>
              <w:rPr>
                <w:rFonts w:ascii="Arial Narrow" w:eastAsia="Calibri" w:hAnsi="Arial Narrow" w:cs="Times New Roman"/>
                <w:sz w:val="20"/>
                <w:lang w:eastAsia="en-AU"/>
              </w:rPr>
              <w:t>1.7</w:t>
            </w:r>
          </w:p>
        </w:tc>
        <w:tc>
          <w:tcPr>
            <w:tcW w:w="1036" w:type="pct"/>
            <w:tcBorders>
              <w:left w:val="single" w:sz="4" w:space="0" w:color="auto"/>
              <w:bottom w:val="single" w:sz="4" w:space="0" w:color="auto"/>
              <w:right w:val="single" w:sz="4" w:space="0" w:color="auto"/>
            </w:tcBorders>
            <w:shd w:val="clear" w:color="auto" w:fill="auto"/>
            <w:vAlign w:val="center"/>
          </w:tcPr>
          <w:p w:rsidR="002B6CEA" w:rsidRDefault="00A97395">
            <w:pPr>
              <w:keepNext/>
              <w:jc w:val="center"/>
              <w:rPr>
                <w:rFonts w:ascii="Arial Narrow" w:eastAsia="Calibri" w:hAnsi="Arial Narrow" w:cs="Times New Roman"/>
                <w:sz w:val="20"/>
                <w:lang w:eastAsia="en-AU"/>
              </w:rPr>
            </w:pPr>
            <w:r>
              <w:rPr>
                <w:rStyle w:val="TableText0"/>
                <w:rFonts w:ascii="Arial Narrow" w:eastAsiaTheme="majorEastAsia" w:hAnsi="Arial Narrow"/>
                <w:b/>
                <w:sz w:val="20"/>
                <w:szCs w:val="20"/>
              </w:rPr>
              <w:t>0.14 (0.11,0.18)</w:t>
            </w:r>
          </w:p>
        </w:tc>
      </w:tr>
      <w:tr w:rsidR="002B6CEA">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rsidR="002B6CEA" w:rsidRDefault="00A97395">
            <w:pPr>
              <w:keepNext/>
              <w:jc w:val="left"/>
              <w:rPr>
                <w:rFonts w:ascii="Arial Narrow" w:eastAsia="Calibri" w:hAnsi="Arial Narrow" w:cs="Times New Roman"/>
                <w:sz w:val="20"/>
                <w:lang w:eastAsia="en-AU"/>
              </w:rPr>
            </w:pPr>
            <w:r>
              <w:rPr>
                <w:rFonts w:ascii="Arial Narrow" w:hAnsi="Arial Narrow"/>
                <w:sz w:val="20"/>
                <w:szCs w:val="20"/>
              </w:rPr>
              <w:t>AST</w:t>
            </w: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lang w:eastAsia="en-AU"/>
              </w:rPr>
            </w:pPr>
            <w:r>
              <w:rPr>
                <w:rFonts w:ascii="Arial Narrow" w:eastAsia="Calibri" w:hAnsi="Arial Narrow" w:cs="Times New Roman"/>
                <w:sz w:val="20"/>
                <w:lang w:eastAsia="en-AU"/>
              </w:rPr>
              <w:t>55/467</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16/237</w:t>
            </w:r>
          </w:p>
        </w:tc>
        <w:tc>
          <w:tcPr>
            <w:tcW w:w="840"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Style w:val="TableText0"/>
                <w:rFonts w:ascii="Arial Narrow" w:eastAsiaTheme="majorEastAsia" w:hAnsi="Arial Narrow"/>
                <w:b/>
                <w:sz w:val="20"/>
                <w:szCs w:val="20"/>
              </w:rPr>
            </w:pPr>
            <w:r>
              <w:rPr>
                <w:rStyle w:val="TableText0"/>
                <w:rFonts w:ascii="Arial Narrow" w:eastAsiaTheme="majorEastAsia" w:hAnsi="Arial Narrow"/>
                <w:b/>
                <w:sz w:val="20"/>
                <w:szCs w:val="20"/>
              </w:rPr>
              <w:t xml:space="preserve"> 1.74 (1.02, 2.98)</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lang w:eastAsia="en-AU"/>
              </w:rPr>
            </w:pPr>
            <w:r>
              <w:rPr>
                <w:rFonts w:ascii="Arial Narrow" w:eastAsia="Calibri" w:hAnsi="Arial Narrow" w:cs="Times New Roman"/>
                <w:sz w:val="20"/>
                <w:lang w:eastAsia="en-AU"/>
              </w:rPr>
              <w:t>12</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B6CEA" w:rsidRDefault="00A97395">
            <w:pPr>
              <w:keepNext/>
              <w:jc w:val="center"/>
              <w:rPr>
                <w:rFonts w:ascii="Arial Narrow" w:eastAsia="Calibri" w:hAnsi="Arial Narrow" w:cs="Times New Roman"/>
                <w:sz w:val="20"/>
                <w:lang w:eastAsia="en-AU"/>
              </w:rPr>
            </w:pPr>
            <w:r>
              <w:rPr>
                <w:rFonts w:ascii="Arial Narrow" w:eastAsia="Calibri" w:hAnsi="Arial Narrow" w:cs="Times New Roman"/>
                <w:sz w:val="20"/>
                <w:lang w:eastAsia="en-AU"/>
              </w:rPr>
              <w:t>6.8</w:t>
            </w:r>
          </w:p>
        </w:tc>
        <w:tc>
          <w:tcPr>
            <w:tcW w:w="1036" w:type="pct"/>
            <w:tcBorders>
              <w:left w:val="single" w:sz="4" w:space="0" w:color="auto"/>
              <w:bottom w:val="single" w:sz="4" w:space="0" w:color="auto"/>
              <w:right w:val="single" w:sz="4" w:space="0" w:color="auto"/>
            </w:tcBorders>
            <w:shd w:val="clear" w:color="auto" w:fill="auto"/>
            <w:vAlign w:val="center"/>
          </w:tcPr>
          <w:p w:rsidR="002B6CEA" w:rsidRDefault="00A97395">
            <w:pPr>
              <w:keepNext/>
              <w:jc w:val="center"/>
              <w:rPr>
                <w:rFonts w:ascii="Arial Narrow" w:eastAsia="Calibri" w:hAnsi="Arial Narrow" w:cs="Times New Roman"/>
                <w:sz w:val="20"/>
                <w:lang w:eastAsia="en-AU"/>
              </w:rPr>
            </w:pPr>
            <w:r>
              <w:rPr>
                <w:rStyle w:val="TableText0"/>
                <w:rFonts w:ascii="Arial Narrow" w:eastAsiaTheme="majorEastAsia" w:hAnsi="Arial Narrow"/>
                <w:b/>
                <w:sz w:val="20"/>
                <w:szCs w:val="20"/>
              </w:rPr>
              <w:t>0.05 (0.01,0.09)</w:t>
            </w:r>
          </w:p>
        </w:tc>
      </w:tr>
    </w:tbl>
    <w:p w:rsidR="002B6CEA" w:rsidRDefault="00A97395">
      <w:pPr>
        <w:pStyle w:val="TableFooter"/>
      </w:pPr>
      <w:r>
        <w:t xml:space="preserve">Abbreviations: BSC= best supportive care; CI= confidence interval; HR= hazard ratio; NR= not reported; OS= overall survival; PFS= progression free survival. </w:t>
      </w:r>
    </w:p>
    <w:p w:rsidR="002B6CEA" w:rsidRDefault="00A97395">
      <w:pPr>
        <w:pStyle w:val="TableFooter"/>
      </w:pPr>
      <w:r>
        <w:t>Source: Table 2-11, 2-12, 2-15, 2-16, p. 74-75 and 82-84 of the submission.</w:t>
      </w:r>
    </w:p>
    <w:p w:rsidR="002B6CEA" w:rsidRDefault="00A97395">
      <w:pPr>
        <w:pStyle w:val="TableFooter"/>
      </w:pPr>
      <w:r>
        <w:t xml:space="preserve">Note: bold text indicates statically significant differences, </w:t>
      </w:r>
      <w:r>
        <w:rPr>
          <w:vertAlign w:val="superscript"/>
        </w:rPr>
        <w:t xml:space="preserve">a </w:t>
      </w:r>
      <w:r>
        <w:t xml:space="preserve">As the primary efficacy endpoint was met, statistical testing of secondary efficacy endpoints employed the same data cutoff date as the primary analysis of OS; </w:t>
      </w:r>
      <w:r>
        <w:rPr>
          <w:vertAlign w:val="superscript"/>
        </w:rPr>
        <w:t xml:space="preserve">b </w:t>
      </w:r>
      <w:r>
        <w:t xml:space="preserve">rate reported as per trial duration, 22.9 months. </w:t>
      </w:r>
    </w:p>
    <w:p w:rsidR="002B6CEA" w:rsidRDefault="002B6CEA">
      <w:pPr>
        <w:pStyle w:val="TableFooter"/>
      </w:pPr>
    </w:p>
    <w:p w:rsidR="002B6CEA" w:rsidRDefault="00A97395">
      <w:pPr>
        <w:pStyle w:val="ListParagraph"/>
        <w:widowControl/>
        <w:numPr>
          <w:ilvl w:val="1"/>
          <w:numId w:val="2"/>
        </w:numPr>
        <w:spacing w:after="0"/>
      </w:pPr>
      <w:r>
        <w:lastRenderedPageBreak/>
        <w:t xml:space="preserve">On the basis of the direct evidence presented by the submission, for every 100 patients treated with cabozantinib in comparison to BSC: </w:t>
      </w:r>
    </w:p>
    <w:p w:rsidR="002B6CEA" w:rsidRDefault="00A97395">
      <w:pPr>
        <w:pStyle w:val="ListParagraph"/>
        <w:numPr>
          <w:ilvl w:val="0"/>
          <w:numId w:val="1"/>
        </w:numPr>
        <w:spacing w:after="0"/>
        <w:ind w:left="992" w:hanging="357"/>
      </w:pPr>
      <w:r>
        <w:rPr>
          <w:rFonts w:cs="Calibri"/>
          <w:snapToGrid/>
          <w:szCs w:val="24"/>
          <w:lang w:eastAsia="en-AU"/>
        </w:rPr>
        <w:t>Approximately 11 additional patients will be alive at 12 months.</w:t>
      </w:r>
    </w:p>
    <w:p w:rsidR="002B6CEA" w:rsidRDefault="00A97395">
      <w:pPr>
        <w:pStyle w:val="ListParagraph"/>
        <w:numPr>
          <w:ilvl w:val="0"/>
          <w:numId w:val="1"/>
        </w:numPr>
        <w:spacing w:after="0"/>
        <w:ind w:left="992" w:hanging="357"/>
      </w:pPr>
      <w:r>
        <w:rPr>
          <w:rFonts w:cs="Calibri"/>
          <w:snapToGrid/>
          <w:szCs w:val="24"/>
          <w:lang w:eastAsia="en-AU"/>
        </w:rPr>
        <w:t>Approximately 11 additional patients will remain progression free at 12 months.</w:t>
      </w:r>
    </w:p>
    <w:p w:rsidR="002B6CEA" w:rsidRDefault="002B6CEA">
      <w:pPr>
        <w:pStyle w:val="ListParagraph"/>
        <w:widowControl/>
        <w:spacing w:after="0"/>
      </w:pPr>
    </w:p>
    <w:p w:rsidR="002B6CEA" w:rsidRDefault="00A97395">
      <w:pPr>
        <w:pStyle w:val="ListParagraph"/>
        <w:widowControl/>
        <w:spacing w:after="0"/>
      </w:pPr>
      <w:r>
        <w:t>Over a median duration of follow-up of 22.9 months:</w:t>
      </w:r>
    </w:p>
    <w:p w:rsidR="002B6CEA" w:rsidRDefault="00A97395">
      <w:pPr>
        <w:pStyle w:val="ListParagraph"/>
        <w:numPr>
          <w:ilvl w:val="0"/>
          <w:numId w:val="1"/>
        </w:numPr>
        <w:spacing w:after="0"/>
        <w:ind w:left="993" w:hanging="284"/>
      </w:pPr>
      <w:r>
        <w:rPr>
          <w:rFonts w:cs="Calibri"/>
          <w:snapToGrid/>
          <w:szCs w:val="24"/>
          <w:lang w:eastAsia="en-AU"/>
        </w:rPr>
        <w:t>Approximately 8 more patients will experience diarrhoea.</w:t>
      </w:r>
    </w:p>
    <w:p w:rsidR="002B6CEA" w:rsidRDefault="00A97395">
      <w:pPr>
        <w:pStyle w:val="ListParagraph"/>
        <w:numPr>
          <w:ilvl w:val="0"/>
          <w:numId w:val="1"/>
        </w:numPr>
        <w:spacing w:after="0"/>
        <w:ind w:left="993" w:hanging="284"/>
      </w:pPr>
      <w:r>
        <w:rPr>
          <w:rFonts w:cs="Calibri"/>
          <w:snapToGrid/>
          <w:szCs w:val="24"/>
          <w:lang w:eastAsia="en-AU"/>
        </w:rPr>
        <w:t>Approximately 17 more patients will experience a palmar-plantar erythrodysaesthesia (redness/swelling/pain of the hands and feet).</w:t>
      </w:r>
    </w:p>
    <w:p w:rsidR="002B6CEA" w:rsidRDefault="00A97395">
      <w:pPr>
        <w:pStyle w:val="ListParagraph"/>
        <w:numPr>
          <w:ilvl w:val="0"/>
          <w:numId w:val="1"/>
        </w:numPr>
        <w:spacing w:after="0"/>
        <w:ind w:left="993" w:hanging="284"/>
      </w:pPr>
      <w:r>
        <w:rPr>
          <w:rFonts w:cs="Calibri"/>
          <w:snapToGrid/>
          <w:szCs w:val="24"/>
          <w:lang w:eastAsia="en-AU"/>
        </w:rPr>
        <w:t>Approximately 6 more patients will experience fatigue.</w:t>
      </w:r>
    </w:p>
    <w:p w:rsidR="002B6CEA" w:rsidRDefault="00A97395">
      <w:pPr>
        <w:pStyle w:val="ListParagraph"/>
        <w:numPr>
          <w:ilvl w:val="0"/>
          <w:numId w:val="1"/>
        </w:numPr>
        <w:spacing w:after="0"/>
        <w:ind w:left="993" w:hanging="284"/>
      </w:pPr>
      <w:r>
        <w:rPr>
          <w:rFonts w:cs="Calibri"/>
          <w:snapToGrid/>
          <w:szCs w:val="24"/>
          <w:lang w:eastAsia="en-AU"/>
        </w:rPr>
        <w:t>Approximately 14 more patients will experience hypertension (increased blood pressure).</w:t>
      </w:r>
    </w:p>
    <w:p w:rsidR="002B6CEA" w:rsidRDefault="00A97395">
      <w:pPr>
        <w:pStyle w:val="ListParagraph"/>
        <w:numPr>
          <w:ilvl w:val="0"/>
          <w:numId w:val="1"/>
        </w:numPr>
        <w:spacing w:after="0"/>
        <w:ind w:left="993" w:hanging="284"/>
      </w:pPr>
      <w:r>
        <w:rPr>
          <w:rFonts w:cs="Calibri"/>
          <w:snapToGrid/>
          <w:szCs w:val="24"/>
          <w:lang w:eastAsia="en-AU"/>
        </w:rPr>
        <w:t>Approximately 5 more patients will experience increased liver enzymes.</w:t>
      </w:r>
    </w:p>
    <w:p w:rsidR="002B6CEA" w:rsidRDefault="002B6CEA">
      <w:pPr>
        <w:pStyle w:val="ListParagraph"/>
        <w:spacing w:after="0"/>
        <w:ind w:left="992"/>
      </w:pPr>
    </w:p>
    <w:p w:rsidR="002B6CEA" w:rsidRDefault="00A97395">
      <w:pPr>
        <w:pStyle w:val="ListParagraph"/>
        <w:spacing w:after="0"/>
        <w:ind w:left="0"/>
      </w:pPr>
      <w:r>
        <w:rPr>
          <w:u w:val="single"/>
        </w:rPr>
        <w:t>Cabozantinib vs. regorafenib: ITC</w:t>
      </w:r>
    </w:p>
    <w:p w:rsidR="002B6CEA" w:rsidRDefault="00A97395">
      <w:pPr>
        <w:pStyle w:val="ListParagraph"/>
        <w:widowControl/>
        <w:numPr>
          <w:ilvl w:val="1"/>
          <w:numId w:val="2"/>
        </w:numPr>
        <w:rPr>
          <w:rFonts w:cs="Calibri"/>
          <w:snapToGrid/>
          <w:szCs w:val="24"/>
          <w:lang w:eastAsia="en-AU"/>
        </w:rPr>
      </w:pPr>
      <w:r>
        <w:rPr>
          <w:rFonts w:cs="Calibri"/>
          <w:snapToGrid/>
          <w:szCs w:val="24"/>
          <w:lang w:eastAsia="en-AU"/>
        </w:rPr>
        <w:t>A summary of the comparative benefits and harms is not relevant for the comparison of cabozantinib with regorafenib given the non-inferiority claim.</w:t>
      </w:r>
    </w:p>
    <w:p w:rsidR="002B6CEA" w:rsidRDefault="00A97395">
      <w:pPr>
        <w:pStyle w:val="Heading2"/>
        <w:keepNext/>
        <w:widowControl/>
        <w:spacing w:after="120"/>
      </w:pPr>
      <w:bookmarkStart w:id="10" w:name="_Toc9419755"/>
      <w:r>
        <w:t>Clinical claim</w:t>
      </w:r>
      <w:bookmarkEnd w:id="10"/>
    </w:p>
    <w:p w:rsidR="002B6CEA" w:rsidRDefault="00A97395">
      <w:r>
        <w:rPr>
          <w:u w:val="single"/>
        </w:rPr>
        <w:t>Cabozantinib vs. BSC</w:t>
      </w:r>
    </w:p>
    <w:p w:rsidR="002B6CEA" w:rsidRDefault="00A97395">
      <w:pPr>
        <w:pStyle w:val="ListParagraph"/>
        <w:keepNext/>
        <w:widowControl/>
        <w:numPr>
          <w:ilvl w:val="1"/>
          <w:numId w:val="2"/>
        </w:numPr>
      </w:pPr>
      <w:r>
        <w:t xml:space="preserve">The submission claimed that cabozantinib is superior to BSC for the treatment of advanced HCC, providing significantly superior OS, PFS and ORR compared to BSC, and a worse but manageable safety profile. The clinical claim was supported by the evidence. </w:t>
      </w:r>
      <w:r>
        <w:rPr>
          <w:rFonts w:cs="Calibri"/>
        </w:rPr>
        <w:t>T</w:t>
      </w:r>
      <w:r>
        <w:t>he safety claim is likely to be supported by the evidence from CELESTIAL, noting that the management of Grade 3/4 AEs reported may require interventions beyond dose interruption/reduction. The ESC noted that AEs such as PPES and diarrhoea make this class of drugs difficult to manage.</w:t>
      </w:r>
    </w:p>
    <w:p w:rsidR="002B6CEA" w:rsidRDefault="00A97395">
      <w:pPr>
        <w:pStyle w:val="ListParagraph"/>
        <w:keepNext/>
        <w:widowControl/>
        <w:numPr>
          <w:ilvl w:val="1"/>
          <w:numId w:val="2"/>
        </w:numPr>
      </w:pPr>
      <w:r>
        <w:rPr>
          <w:rFonts w:asciiTheme="minorHAnsi" w:hAnsiTheme="minorHAnsi"/>
          <w:szCs w:val="20"/>
        </w:rPr>
        <w:t xml:space="preserve">The PBAC considered that the claim of superior comparative effectiveness of cabozantinib compared with BSC was reasonable. </w:t>
      </w:r>
    </w:p>
    <w:p w:rsidR="002B6CEA" w:rsidRDefault="00A97395">
      <w:pPr>
        <w:pStyle w:val="ListParagraph"/>
        <w:keepNext/>
        <w:widowControl/>
        <w:numPr>
          <w:ilvl w:val="1"/>
          <w:numId w:val="2"/>
        </w:numPr>
        <w:rPr>
          <w:rFonts w:asciiTheme="minorHAnsi" w:hAnsiTheme="minorHAnsi"/>
          <w:szCs w:val="20"/>
        </w:rPr>
      </w:pPr>
      <w:r>
        <w:rPr>
          <w:rFonts w:asciiTheme="minorHAnsi" w:hAnsiTheme="minorHAnsi"/>
          <w:szCs w:val="20"/>
        </w:rPr>
        <w:t>The PBAC considered that the claim of inferior comparative safety of cabozantinib compared with BSC was reasonable. The PBAC noted that the adverse event profile of cabozantinib is not benign, leading to discontinuations, interruptions, and reductions, but the description of “manageable” is still reasonable for the majority of patients, aided by the flexibility in dose. The PBAC noted the TGA comment that safety profile of cabozantinib is not fully characterised in HCC.</w:t>
      </w:r>
    </w:p>
    <w:p w:rsidR="002B6CEA" w:rsidRDefault="00A97395">
      <w:pPr>
        <w:keepNext/>
        <w:widowControl/>
      </w:pPr>
      <w:r>
        <w:rPr>
          <w:u w:val="single"/>
        </w:rPr>
        <w:t>Cabozantinib vs. regorafenib: ITC</w:t>
      </w:r>
    </w:p>
    <w:p w:rsidR="002B6CEA" w:rsidRDefault="00A97395">
      <w:pPr>
        <w:pStyle w:val="ListParagraph"/>
        <w:widowControl/>
        <w:numPr>
          <w:ilvl w:val="1"/>
          <w:numId w:val="2"/>
        </w:numPr>
        <w:rPr>
          <w:rFonts w:asciiTheme="minorHAnsi" w:hAnsiTheme="minorHAnsi"/>
          <w:szCs w:val="20"/>
        </w:rPr>
      </w:pPr>
      <w:r>
        <w:t xml:space="preserve">The submission claimed non-inferiority for cabozantinib with the near market comparator, regorafenib, in terms of OS, PFS, ORR and safety. The evaluator considered this was reasonable for the efficacy outcomes but not for safety, noting that potential transitivity issues may have biased the analysis against cabozantinib. </w:t>
      </w:r>
      <w:r>
        <w:lastRenderedPageBreak/>
        <w:t xml:space="preserve">The ESC considered, taking into consideration the differences in trial populations, that safety is likely to be comparable between cabozantinib and regorafenib. </w:t>
      </w:r>
    </w:p>
    <w:p w:rsidR="002B6CEA" w:rsidRDefault="00A97395">
      <w:pPr>
        <w:pStyle w:val="ListParagraph"/>
        <w:widowControl/>
        <w:numPr>
          <w:ilvl w:val="1"/>
          <w:numId w:val="2"/>
        </w:numPr>
        <w:spacing w:after="120"/>
        <w:ind w:left="709" w:hanging="709"/>
      </w:pPr>
      <w:r>
        <w:rPr>
          <w:rFonts w:asciiTheme="minorHAnsi" w:hAnsiTheme="minorHAnsi"/>
          <w:szCs w:val="20"/>
        </w:rPr>
        <w:t>The PBAC considered that the claim of non-inferior OS of cabozantinib compared with regorafenib, using BSC as the common reference, was reasonable. The PBAC considered that the claim of non-inferior PFS and ORR compared with regorafenib was not adequately supported by the evidence presented.</w:t>
      </w:r>
    </w:p>
    <w:p w:rsidR="002B6CEA" w:rsidRDefault="00A97395">
      <w:pPr>
        <w:pStyle w:val="ListParagraph"/>
        <w:widowControl/>
        <w:numPr>
          <w:ilvl w:val="1"/>
          <w:numId w:val="2"/>
        </w:numPr>
      </w:pPr>
      <w:r>
        <w:rPr>
          <w:rFonts w:asciiTheme="minorHAnsi" w:hAnsiTheme="minorHAnsi"/>
          <w:szCs w:val="20"/>
        </w:rPr>
        <w:t>The PBAC considered that the claim of non-inferior comparative safety of cabozantinib with regorafenib, using BSC as the common reference, was not adequately supported by the data. The PBAC considered that the safety data were inconclusive, noting that apparent differences in safety events may be because the CELESTIAL trial recruited both second- and third-line patients while the RESORCE trial recruited second-line patients only. The PBAC noted that the rate of diarrhoea is higher for cabozantinib compared with regorafenib using the MAIC analysis, where second-line line cabozantinib patients are compared with second-line regorafenib patients. Overall, the PBAC agreed with ESC that the safety profile of cabozantinib and regorafenib is likely to be comparable in clinical practice.</w:t>
      </w:r>
    </w:p>
    <w:p w:rsidR="002B6CEA" w:rsidRDefault="00A97395">
      <w:pPr>
        <w:pStyle w:val="Heading2"/>
        <w:spacing w:after="120"/>
      </w:pPr>
      <w:bookmarkStart w:id="11" w:name="_Toc9419756"/>
      <w:bookmarkStart w:id="12" w:name="_Toc341702043"/>
      <w:bookmarkStart w:id="13" w:name="_Toc380742621"/>
      <w:bookmarkStart w:id="14" w:name="_Toc380746188"/>
      <w:bookmarkStart w:id="15" w:name="_Toc380746314"/>
      <w:bookmarkStart w:id="16" w:name="_Toc380746595"/>
      <w:bookmarkStart w:id="17" w:name="_Toc6486535"/>
      <w:r>
        <w:t>Economic analysis</w:t>
      </w:r>
      <w:bookmarkEnd w:id="11"/>
      <w:r>
        <w:t xml:space="preserve"> </w:t>
      </w:r>
    </w:p>
    <w:p w:rsidR="002B6CEA" w:rsidRPr="00E50BF2" w:rsidRDefault="00A97395" w:rsidP="00E50BF2">
      <w:pPr>
        <w:pStyle w:val="ListParagraph"/>
        <w:widowControl/>
        <w:numPr>
          <w:ilvl w:val="1"/>
          <w:numId w:val="2"/>
        </w:numPr>
        <w:rPr>
          <w:rStyle w:val="CommentReference"/>
          <w:rFonts w:ascii="Calibri" w:hAnsi="Calibri"/>
          <w:b w:val="0"/>
          <w:sz w:val="24"/>
          <w:szCs w:val="22"/>
        </w:rPr>
      </w:pPr>
      <w:r>
        <w:t xml:space="preserve">The submission presented a cost utility </w:t>
      </w:r>
      <w:r w:rsidR="00157F3C">
        <w:t>analysis</w:t>
      </w:r>
      <w:r>
        <w:t xml:space="preserve"> (CUA) comparing cabozantinib with BSC, as outlined in Table 8.</w:t>
      </w:r>
    </w:p>
    <w:p w:rsidR="00E50BF2" w:rsidRPr="00E50BF2" w:rsidRDefault="00E50BF2" w:rsidP="00E50BF2">
      <w:pPr>
        <w:keepNext/>
        <w:keepLines/>
        <w:rPr>
          <w:rStyle w:val="CommentReference"/>
        </w:rPr>
      </w:pPr>
      <w:r w:rsidRPr="00E50BF2">
        <w:rPr>
          <w:rStyle w:val="CommentReference"/>
        </w:rPr>
        <w:t xml:space="preserve">Table </w:t>
      </w:r>
      <w:r w:rsidRPr="00E50BF2">
        <w:rPr>
          <w:rStyle w:val="CommentReference"/>
        </w:rPr>
        <w:fldChar w:fldCharType="begin"/>
      </w:r>
      <w:r w:rsidRPr="00E50BF2">
        <w:rPr>
          <w:rStyle w:val="CommentReference"/>
        </w:rPr>
        <w:instrText xml:space="preserve"> SEQ Table \* ARABIC </w:instrText>
      </w:r>
      <w:r w:rsidRPr="00E50BF2">
        <w:rPr>
          <w:rStyle w:val="CommentReference"/>
        </w:rPr>
        <w:fldChar w:fldCharType="separate"/>
      </w:r>
      <w:r w:rsidR="00310C38">
        <w:rPr>
          <w:rStyle w:val="CommentReference"/>
          <w:noProof/>
        </w:rPr>
        <w:t>8</w:t>
      </w:r>
      <w:r w:rsidRPr="00E50BF2">
        <w:rPr>
          <w:rStyle w:val="CommentReference"/>
        </w:rPr>
        <w:fldChar w:fldCharType="end"/>
      </w:r>
      <w:r w:rsidRPr="00E50BF2">
        <w:rPr>
          <w:rStyle w:val="CommentReference"/>
        </w:rPr>
        <w:t>: Summary of model structure and rationale</w:t>
      </w:r>
    </w:p>
    <w:tbl>
      <w:tblPr>
        <w:tblStyle w:val="HTATableshaded"/>
        <w:tblW w:w="5000" w:type="pct"/>
        <w:tblLook w:val="04A0" w:firstRow="1" w:lastRow="0" w:firstColumn="1" w:lastColumn="0" w:noHBand="0" w:noVBand="1"/>
        <w:tblCaption w:val="Table 8: Summary of model structure and rationale"/>
      </w:tblPr>
      <w:tblGrid>
        <w:gridCol w:w="2689"/>
        <w:gridCol w:w="6328"/>
      </w:tblGrid>
      <w:tr w:rsidR="002B6CEA" w:rsidTr="002B6CEA">
        <w:trPr>
          <w:cnfStyle w:val="100000000000" w:firstRow="1" w:lastRow="0" w:firstColumn="0" w:lastColumn="0" w:oddVBand="0" w:evenVBand="0" w:oddHBand="0" w:evenHBand="0" w:firstRowFirstColumn="0" w:firstRowLastColumn="0" w:lastRowFirstColumn="0" w:lastRowLastColumn="0"/>
          <w:tblHeader/>
        </w:trPr>
        <w:tc>
          <w:tcPr>
            <w:tcW w:w="1491" w:type="pct"/>
            <w:hideMark/>
          </w:tcPr>
          <w:p w:rsidR="002B6CEA" w:rsidRDefault="00A97395">
            <w:pPr>
              <w:pStyle w:val="TableLeft"/>
              <w:keepNext/>
              <w:keepLines/>
              <w:spacing w:before="0" w:after="0"/>
              <w:rPr>
                <w:rFonts w:ascii="Arial Narrow" w:hAnsi="Arial Narrow"/>
              </w:rPr>
            </w:pPr>
            <w:r>
              <w:rPr>
                <w:rFonts w:ascii="Arial Narrow" w:hAnsi="Arial Narrow"/>
                <w:b/>
              </w:rPr>
              <w:t>Component</w:t>
            </w:r>
          </w:p>
        </w:tc>
        <w:tc>
          <w:tcPr>
            <w:tcW w:w="3509" w:type="pct"/>
            <w:hideMark/>
          </w:tcPr>
          <w:p w:rsidR="002B6CEA" w:rsidRDefault="00A97395">
            <w:pPr>
              <w:pStyle w:val="TableLeft"/>
              <w:keepNext/>
              <w:keepLines/>
              <w:spacing w:before="0" w:after="0"/>
              <w:rPr>
                <w:rFonts w:ascii="Arial Narrow" w:hAnsi="Arial Narrow"/>
                <w:b/>
              </w:rPr>
            </w:pPr>
            <w:r>
              <w:rPr>
                <w:rFonts w:ascii="Arial Narrow" w:hAnsi="Arial Narrow"/>
                <w:b/>
              </w:rPr>
              <w:t>Description</w:t>
            </w:r>
          </w:p>
        </w:tc>
      </w:tr>
      <w:tr w:rsidR="002B6CEA" w:rsidTr="002B6CEA">
        <w:tc>
          <w:tcPr>
            <w:tcW w:w="1491" w:type="pct"/>
            <w:tcBorders>
              <w:top w:val="single" w:sz="4" w:space="0" w:color="auto"/>
              <w:left w:val="single" w:sz="4" w:space="0" w:color="auto"/>
              <w:bottom w:val="single" w:sz="4" w:space="0" w:color="auto"/>
              <w:right w:val="single" w:sz="4" w:space="0" w:color="auto"/>
            </w:tcBorders>
            <w:hideMark/>
          </w:tcPr>
          <w:p w:rsidR="002B6CEA" w:rsidRDefault="00A97395">
            <w:pPr>
              <w:pStyle w:val="TableLeft"/>
              <w:keepNext/>
              <w:keepLines/>
              <w:spacing w:before="0" w:after="0"/>
              <w:rPr>
                <w:rFonts w:ascii="Arial Narrow" w:hAnsi="Arial Narrow"/>
                <w:bCs/>
              </w:rPr>
            </w:pPr>
            <w:r>
              <w:rPr>
                <w:rFonts w:ascii="Arial Narrow" w:hAnsi="Arial Narrow"/>
                <w:bCs/>
              </w:rPr>
              <w:t>Types of analysis</w:t>
            </w:r>
          </w:p>
        </w:tc>
        <w:tc>
          <w:tcPr>
            <w:tcW w:w="3509" w:type="pct"/>
            <w:tcBorders>
              <w:top w:val="single" w:sz="4" w:space="0" w:color="auto"/>
              <w:left w:val="single" w:sz="4" w:space="0" w:color="auto"/>
              <w:bottom w:val="single" w:sz="4" w:space="0" w:color="auto"/>
              <w:right w:val="single" w:sz="4" w:space="0" w:color="auto"/>
            </w:tcBorders>
            <w:hideMark/>
          </w:tcPr>
          <w:p w:rsidR="002B6CEA" w:rsidRDefault="00A97395">
            <w:pPr>
              <w:pStyle w:val="TableLeft"/>
              <w:keepNext/>
              <w:keepLines/>
              <w:spacing w:before="0" w:after="0"/>
              <w:rPr>
                <w:rFonts w:ascii="Arial Narrow" w:hAnsi="Arial Narrow"/>
                <w:bCs/>
              </w:rPr>
            </w:pPr>
            <w:r>
              <w:rPr>
                <w:rFonts w:ascii="Arial Narrow" w:hAnsi="Arial Narrow"/>
                <w:bCs/>
              </w:rPr>
              <w:t>CEA and CUA</w:t>
            </w:r>
          </w:p>
        </w:tc>
      </w:tr>
      <w:tr w:rsidR="002B6CEA" w:rsidTr="002B6CEA">
        <w:tc>
          <w:tcPr>
            <w:tcW w:w="1491" w:type="pct"/>
            <w:tcBorders>
              <w:top w:val="single" w:sz="4" w:space="0" w:color="auto"/>
              <w:left w:val="single" w:sz="4" w:space="0" w:color="auto"/>
              <w:bottom w:val="single" w:sz="4" w:space="0" w:color="auto"/>
              <w:right w:val="single" w:sz="4" w:space="0" w:color="auto"/>
            </w:tcBorders>
            <w:hideMark/>
          </w:tcPr>
          <w:p w:rsidR="002B6CEA" w:rsidRDefault="00A97395">
            <w:pPr>
              <w:pStyle w:val="TableLeft"/>
              <w:keepNext/>
              <w:keepLines/>
              <w:spacing w:before="0" w:after="0"/>
              <w:rPr>
                <w:rFonts w:ascii="Arial Narrow" w:hAnsi="Arial Narrow"/>
                <w:bCs/>
              </w:rPr>
            </w:pPr>
            <w:r>
              <w:rPr>
                <w:rFonts w:ascii="Arial Narrow" w:hAnsi="Arial Narrow"/>
                <w:bCs/>
              </w:rPr>
              <w:t>Outcomes</w:t>
            </w:r>
          </w:p>
        </w:tc>
        <w:tc>
          <w:tcPr>
            <w:tcW w:w="3509" w:type="pct"/>
            <w:tcBorders>
              <w:top w:val="single" w:sz="4" w:space="0" w:color="auto"/>
              <w:left w:val="single" w:sz="4" w:space="0" w:color="auto"/>
              <w:bottom w:val="single" w:sz="4" w:space="0" w:color="auto"/>
              <w:right w:val="single" w:sz="4" w:space="0" w:color="auto"/>
            </w:tcBorders>
            <w:hideMark/>
          </w:tcPr>
          <w:p w:rsidR="002B6CEA" w:rsidRDefault="00A97395">
            <w:pPr>
              <w:pStyle w:val="TableLeft"/>
              <w:keepNext/>
              <w:keepLines/>
              <w:spacing w:before="0" w:after="0"/>
              <w:rPr>
                <w:rFonts w:ascii="Arial Narrow" w:hAnsi="Arial Narrow"/>
                <w:bCs/>
              </w:rPr>
            </w:pPr>
            <w:r>
              <w:rPr>
                <w:rFonts w:ascii="Arial Narrow" w:hAnsi="Arial Narrow"/>
                <w:bCs/>
              </w:rPr>
              <w:t>Cost per LYG and QALY gained</w:t>
            </w:r>
          </w:p>
        </w:tc>
      </w:tr>
      <w:tr w:rsidR="002B6CEA" w:rsidTr="002B6CEA">
        <w:tc>
          <w:tcPr>
            <w:tcW w:w="1491" w:type="pct"/>
            <w:tcBorders>
              <w:top w:val="single" w:sz="4" w:space="0" w:color="auto"/>
              <w:left w:val="single" w:sz="4" w:space="0" w:color="auto"/>
              <w:bottom w:val="single" w:sz="4" w:space="0" w:color="auto"/>
              <w:right w:val="single" w:sz="4" w:space="0" w:color="auto"/>
            </w:tcBorders>
            <w:hideMark/>
          </w:tcPr>
          <w:p w:rsidR="002B6CEA" w:rsidRDefault="00A97395">
            <w:pPr>
              <w:pStyle w:val="TableLeft"/>
              <w:keepNext/>
              <w:keepLines/>
              <w:spacing w:before="0" w:after="0"/>
              <w:rPr>
                <w:rFonts w:ascii="Arial Narrow" w:hAnsi="Arial Narrow"/>
                <w:bCs/>
              </w:rPr>
            </w:pPr>
            <w:r>
              <w:rPr>
                <w:rFonts w:ascii="Arial Narrow" w:hAnsi="Arial Narrow"/>
                <w:bCs/>
              </w:rPr>
              <w:t>Time horizon</w:t>
            </w:r>
          </w:p>
        </w:tc>
        <w:tc>
          <w:tcPr>
            <w:tcW w:w="3509" w:type="pct"/>
            <w:tcBorders>
              <w:top w:val="single" w:sz="4" w:space="0" w:color="auto"/>
              <w:left w:val="single" w:sz="4" w:space="0" w:color="auto"/>
              <w:bottom w:val="single" w:sz="4" w:space="0" w:color="auto"/>
              <w:right w:val="single" w:sz="4" w:space="0" w:color="auto"/>
            </w:tcBorders>
            <w:hideMark/>
          </w:tcPr>
          <w:p w:rsidR="002B6CEA" w:rsidRDefault="00A97395">
            <w:pPr>
              <w:pStyle w:val="TableLeft"/>
              <w:keepNext/>
              <w:keepLines/>
              <w:spacing w:before="0" w:after="0"/>
              <w:rPr>
                <w:rFonts w:ascii="Arial Narrow" w:hAnsi="Arial Narrow"/>
                <w:bCs/>
              </w:rPr>
            </w:pPr>
            <w:r>
              <w:rPr>
                <w:rFonts w:ascii="Arial Narrow" w:hAnsi="Arial Narrow"/>
                <w:bCs/>
              </w:rPr>
              <w:t>5 years</w:t>
            </w:r>
          </w:p>
        </w:tc>
      </w:tr>
      <w:tr w:rsidR="002B6CEA" w:rsidTr="002B6CEA">
        <w:tc>
          <w:tcPr>
            <w:tcW w:w="1491" w:type="pct"/>
            <w:tcBorders>
              <w:top w:val="single" w:sz="4" w:space="0" w:color="auto"/>
              <w:left w:val="single" w:sz="4" w:space="0" w:color="auto"/>
              <w:bottom w:val="single" w:sz="4" w:space="0" w:color="auto"/>
              <w:right w:val="single" w:sz="4" w:space="0" w:color="auto"/>
            </w:tcBorders>
            <w:hideMark/>
          </w:tcPr>
          <w:p w:rsidR="002B6CEA" w:rsidRDefault="00A97395">
            <w:pPr>
              <w:pStyle w:val="TableLeft"/>
              <w:keepNext/>
              <w:keepLines/>
              <w:spacing w:before="0" w:after="0"/>
              <w:rPr>
                <w:rFonts w:ascii="Arial Narrow" w:hAnsi="Arial Narrow"/>
                <w:bCs/>
              </w:rPr>
            </w:pPr>
            <w:r>
              <w:rPr>
                <w:rFonts w:ascii="Arial Narrow" w:hAnsi="Arial Narrow"/>
                <w:bCs/>
              </w:rPr>
              <w:t>Method used to generate results</w:t>
            </w:r>
          </w:p>
        </w:tc>
        <w:tc>
          <w:tcPr>
            <w:tcW w:w="3509" w:type="pct"/>
            <w:tcBorders>
              <w:top w:val="single" w:sz="4" w:space="0" w:color="auto"/>
              <w:left w:val="single" w:sz="4" w:space="0" w:color="auto"/>
              <w:bottom w:val="single" w:sz="4" w:space="0" w:color="auto"/>
              <w:right w:val="single" w:sz="4" w:space="0" w:color="auto"/>
            </w:tcBorders>
            <w:hideMark/>
          </w:tcPr>
          <w:p w:rsidR="002B6CEA" w:rsidRDefault="00A97395">
            <w:pPr>
              <w:pStyle w:val="TableLeft"/>
              <w:keepNext/>
              <w:keepLines/>
              <w:spacing w:before="0" w:after="0"/>
              <w:rPr>
                <w:rFonts w:ascii="Arial Narrow" w:hAnsi="Arial Narrow"/>
                <w:bCs/>
              </w:rPr>
            </w:pPr>
            <w:r>
              <w:rPr>
                <w:rFonts w:ascii="Arial Narrow" w:hAnsi="Arial Narrow"/>
                <w:bCs/>
              </w:rPr>
              <w:t>Partitioned survival model</w:t>
            </w:r>
          </w:p>
        </w:tc>
      </w:tr>
      <w:tr w:rsidR="002B6CEA" w:rsidTr="002B6CEA">
        <w:tc>
          <w:tcPr>
            <w:tcW w:w="1491" w:type="pct"/>
            <w:tcBorders>
              <w:top w:val="single" w:sz="4" w:space="0" w:color="auto"/>
              <w:left w:val="single" w:sz="4" w:space="0" w:color="auto"/>
              <w:bottom w:val="single" w:sz="4" w:space="0" w:color="auto"/>
              <w:right w:val="single" w:sz="4" w:space="0" w:color="auto"/>
            </w:tcBorders>
            <w:hideMark/>
          </w:tcPr>
          <w:p w:rsidR="002B6CEA" w:rsidRDefault="00A97395">
            <w:pPr>
              <w:pStyle w:val="TableLeft"/>
              <w:keepNext/>
              <w:keepLines/>
              <w:spacing w:before="0" w:after="0"/>
              <w:rPr>
                <w:rFonts w:ascii="Arial Narrow" w:hAnsi="Arial Narrow"/>
                <w:bCs/>
              </w:rPr>
            </w:pPr>
            <w:r>
              <w:rPr>
                <w:rFonts w:ascii="Arial Narrow" w:hAnsi="Arial Narrow"/>
                <w:bCs/>
              </w:rPr>
              <w:t>Health states</w:t>
            </w:r>
          </w:p>
        </w:tc>
        <w:tc>
          <w:tcPr>
            <w:tcW w:w="3509" w:type="pct"/>
            <w:tcBorders>
              <w:top w:val="single" w:sz="4" w:space="0" w:color="auto"/>
              <w:left w:val="single" w:sz="4" w:space="0" w:color="auto"/>
              <w:bottom w:val="single" w:sz="4" w:space="0" w:color="auto"/>
              <w:right w:val="single" w:sz="4" w:space="0" w:color="auto"/>
            </w:tcBorders>
            <w:hideMark/>
          </w:tcPr>
          <w:p w:rsidR="002B6CEA" w:rsidRDefault="00A97395">
            <w:pPr>
              <w:pStyle w:val="TableLeft"/>
              <w:keepNext/>
              <w:keepLines/>
              <w:spacing w:before="0" w:after="0"/>
              <w:rPr>
                <w:rFonts w:ascii="Arial Narrow" w:hAnsi="Arial Narrow"/>
                <w:bCs/>
              </w:rPr>
            </w:pPr>
            <w:r>
              <w:rPr>
                <w:rFonts w:ascii="Arial Narrow" w:hAnsi="Arial Narrow"/>
                <w:bCs/>
              </w:rPr>
              <w:t>Pre-progression, progressive disease and dead</w:t>
            </w:r>
          </w:p>
        </w:tc>
      </w:tr>
      <w:tr w:rsidR="002B6CEA" w:rsidTr="002B6CEA">
        <w:tc>
          <w:tcPr>
            <w:tcW w:w="1491" w:type="pct"/>
            <w:tcBorders>
              <w:top w:val="single" w:sz="4" w:space="0" w:color="auto"/>
              <w:left w:val="single" w:sz="4" w:space="0" w:color="auto"/>
              <w:bottom w:val="single" w:sz="4" w:space="0" w:color="auto"/>
              <w:right w:val="single" w:sz="4" w:space="0" w:color="auto"/>
            </w:tcBorders>
            <w:hideMark/>
          </w:tcPr>
          <w:p w:rsidR="002B6CEA" w:rsidRDefault="00A97395">
            <w:pPr>
              <w:pStyle w:val="TableLeft"/>
              <w:keepNext/>
              <w:keepLines/>
              <w:spacing w:before="0" w:after="0"/>
              <w:rPr>
                <w:rFonts w:ascii="Arial Narrow" w:hAnsi="Arial Narrow"/>
                <w:bCs/>
              </w:rPr>
            </w:pPr>
            <w:r>
              <w:rPr>
                <w:rFonts w:ascii="Arial Narrow" w:hAnsi="Arial Narrow"/>
                <w:bCs/>
              </w:rPr>
              <w:t>Cycle length</w:t>
            </w:r>
          </w:p>
        </w:tc>
        <w:tc>
          <w:tcPr>
            <w:tcW w:w="3509" w:type="pct"/>
            <w:tcBorders>
              <w:top w:val="single" w:sz="4" w:space="0" w:color="auto"/>
              <w:left w:val="single" w:sz="4" w:space="0" w:color="auto"/>
              <w:bottom w:val="single" w:sz="4" w:space="0" w:color="auto"/>
              <w:right w:val="single" w:sz="4" w:space="0" w:color="auto"/>
            </w:tcBorders>
            <w:hideMark/>
          </w:tcPr>
          <w:p w:rsidR="002B6CEA" w:rsidRDefault="00A97395">
            <w:pPr>
              <w:pStyle w:val="TableLeft"/>
              <w:keepNext/>
              <w:keepLines/>
              <w:spacing w:before="0" w:after="0"/>
              <w:rPr>
                <w:rFonts w:ascii="Arial Narrow" w:hAnsi="Arial Narrow"/>
                <w:bCs/>
              </w:rPr>
            </w:pPr>
            <w:r>
              <w:rPr>
                <w:rFonts w:ascii="Arial Narrow" w:hAnsi="Arial Narrow"/>
                <w:bCs/>
              </w:rPr>
              <w:t>28 days, half cycle corrected</w:t>
            </w:r>
          </w:p>
        </w:tc>
      </w:tr>
      <w:tr w:rsidR="002B6CEA" w:rsidTr="002B6CEA">
        <w:tc>
          <w:tcPr>
            <w:tcW w:w="1491" w:type="pct"/>
            <w:tcBorders>
              <w:top w:val="single" w:sz="4" w:space="0" w:color="auto"/>
              <w:left w:val="single" w:sz="4" w:space="0" w:color="auto"/>
              <w:bottom w:val="single" w:sz="4" w:space="0" w:color="auto"/>
              <w:right w:val="single" w:sz="4" w:space="0" w:color="auto"/>
            </w:tcBorders>
            <w:hideMark/>
          </w:tcPr>
          <w:p w:rsidR="002B6CEA" w:rsidRDefault="00A97395">
            <w:pPr>
              <w:pStyle w:val="TableLeft"/>
              <w:keepNext/>
              <w:keepLines/>
              <w:spacing w:before="0" w:after="0"/>
              <w:rPr>
                <w:rFonts w:ascii="Arial Narrow" w:hAnsi="Arial Narrow"/>
                <w:bCs/>
              </w:rPr>
            </w:pPr>
            <w:r>
              <w:rPr>
                <w:rFonts w:ascii="Arial Narrow" w:hAnsi="Arial Narrow"/>
                <w:bCs/>
                <w:iCs/>
              </w:rPr>
              <w:t>Area under the curve (AUC)</w:t>
            </w:r>
            <w:r>
              <w:rPr>
                <w:rFonts w:ascii="Arial Narrow" w:hAnsi="Arial Narrow"/>
                <w:bCs/>
              </w:rPr>
              <w:t xml:space="preserve"> </w:t>
            </w:r>
          </w:p>
        </w:tc>
        <w:tc>
          <w:tcPr>
            <w:tcW w:w="3509" w:type="pct"/>
            <w:tcBorders>
              <w:top w:val="single" w:sz="4" w:space="0" w:color="auto"/>
              <w:left w:val="single" w:sz="4" w:space="0" w:color="auto"/>
              <w:bottom w:val="single" w:sz="4" w:space="0" w:color="auto"/>
              <w:right w:val="single" w:sz="4" w:space="0" w:color="auto"/>
            </w:tcBorders>
            <w:hideMark/>
          </w:tcPr>
          <w:p w:rsidR="002B6CEA" w:rsidRDefault="00A97395">
            <w:pPr>
              <w:pStyle w:val="TableLeft"/>
              <w:keepNext/>
              <w:keepLines/>
              <w:spacing w:before="0" w:after="0"/>
              <w:rPr>
                <w:rFonts w:ascii="Arial Narrow" w:hAnsi="Arial Narrow"/>
                <w:bCs/>
              </w:rPr>
            </w:pPr>
            <w:r>
              <w:rPr>
                <w:rFonts w:ascii="Arial Narrow" w:hAnsi="Arial Narrow"/>
                <w:bCs/>
              </w:rPr>
              <w:t>Survival curves for PFS, TTD and OS estimated from CELESTIAL trial IPD.</w:t>
            </w:r>
          </w:p>
        </w:tc>
      </w:tr>
      <w:tr w:rsidR="002B6CEA" w:rsidTr="002B6CEA">
        <w:tc>
          <w:tcPr>
            <w:tcW w:w="1491" w:type="pct"/>
            <w:tcBorders>
              <w:top w:val="single" w:sz="4" w:space="0" w:color="auto"/>
              <w:left w:val="single" w:sz="4" w:space="0" w:color="auto"/>
              <w:bottom w:val="single" w:sz="4" w:space="0" w:color="auto"/>
              <w:right w:val="single" w:sz="4" w:space="0" w:color="auto"/>
            </w:tcBorders>
            <w:hideMark/>
          </w:tcPr>
          <w:p w:rsidR="002B6CEA" w:rsidRDefault="00A97395">
            <w:pPr>
              <w:pStyle w:val="TableLeft"/>
              <w:keepNext/>
              <w:keepLines/>
              <w:spacing w:before="0" w:after="0"/>
              <w:rPr>
                <w:rFonts w:ascii="Arial Narrow" w:hAnsi="Arial Narrow"/>
                <w:bCs/>
                <w:iCs/>
              </w:rPr>
            </w:pPr>
            <w:r>
              <w:rPr>
                <w:rFonts w:ascii="Arial Narrow" w:hAnsi="Arial Narrow"/>
                <w:bCs/>
                <w:iCs/>
              </w:rPr>
              <w:t>Health-related quality of life</w:t>
            </w:r>
          </w:p>
        </w:tc>
        <w:tc>
          <w:tcPr>
            <w:tcW w:w="3509" w:type="pct"/>
            <w:tcBorders>
              <w:top w:val="single" w:sz="4" w:space="0" w:color="auto"/>
              <w:left w:val="single" w:sz="4" w:space="0" w:color="auto"/>
              <w:bottom w:val="single" w:sz="4" w:space="0" w:color="auto"/>
              <w:right w:val="single" w:sz="4" w:space="0" w:color="auto"/>
            </w:tcBorders>
            <w:hideMark/>
          </w:tcPr>
          <w:p w:rsidR="002B6CEA" w:rsidRDefault="00A97395">
            <w:pPr>
              <w:pStyle w:val="TableLeft"/>
              <w:keepNext/>
              <w:keepLines/>
              <w:spacing w:before="0" w:after="0"/>
              <w:rPr>
                <w:rFonts w:ascii="Arial Narrow" w:hAnsi="Arial Narrow"/>
                <w:bCs/>
              </w:rPr>
            </w:pPr>
            <w:r>
              <w:rPr>
                <w:rFonts w:ascii="Arial Narrow" w:hAnsi="Arial Narrow"/>
                <w:bCs/>
              </w:rPr>
              <w:t>Calculated from EQ-5D data collected in the clinical trial.</w:t>
            </w:r>
          </w:p>
        </w:tc>
      </w:tr>
      <w:tr w:rsidR="002B6CEA" w:rsidTr="002B6CEA">
        <w:tc>
          <w:tcPr>
            <w:tcW w:w="1491" w:type="pct"/>
            <w:tcBorders>
              <w:top w:val="single" w:sz="4" w:space="0" w:color="auto"/>
              <w:left w:val="single" w:sz="4" w:space="0" w:color="auto"/>
              <w:bottom w:val="single" w:sz="4" w:space="0" w:color="auto"/>
              <w:right w:val="single" w:sz="4" w:space="0" w:color="auto"/>
            </w:tcBorders>
            <w:hideMark/>
          </w:tcPr>
          <w:p w:rsidR="002B6CEA" w:rsidRDefault="00A97395">
            <w:pPr>
              <w:pStyle w:val="TableLeft"/>
              <w:keepNext/>
              <w:keepLines/>
              <w:spacing w:before="0" w:after="0"/>
              <w:rPr>
                <w:rFonts w:ascii="Arial Narrow" w:hAnsi="Arial Narrow"/>
                <w:bCs/>
              </w:rPr>
            </w:pPr>
            <w:r>
              <w:rPr>
                <w:rFonts w:ascii="Arial Narrow" w:hAnsi="Arial Narrow"/>
                <w:bCs/>
              </w:rPr>
              <w:t>Resource utilisation</w:t>
            </w:r>
          </w:p>
        </w:tc>
        <w:tc>
          <w:tcPr>
            <w:tcW w:w="3509" w:type="pct"/>
            <w:tcBorders>
              <w:top w:val="single" w:sz="4" w:space="0" w:color="auto"/>
              <w:left w:val="single" w:sz="4" w:space="0" w:color="auto"/>
              <w:bottom w:val="single" w:sz="4" w:space="0" w:color="auto"/>
              <w:right w:val="single" w:sz="4" w:space="0" w:color="auto"/>
            </w:tcBorders>
            <w:hideMark/>
          </w:tcPr>
          <w:p w:rsidR="002B6CEA" w:rsidRDefault="00A97395">
            <w:pPr>
              <w:pStyle w:val="TableLeft"/>
              <w:keepNext/>
              <w:keepLines/>
              <w:spacing w:before="0" w:after="0"/>
              <w:rPr>
                <w:rFonts w:ascii="Arial Narrow" w:hAnsi="Arial Narrow"/>
                <w:bCs/>
              </w:rPr>
            </w:pPr>
            <w:r>
              <w:rPr>
                <w:rFonts w:ascii="Arial Narrow" w:hAnsi="Arial Narrow"/>
                <w:bCs/>
              </w:rPr>
              <w:t xml:space="preserve">Based on the available literature, eviQ and a review of published economic models. </w:t>
            </w:r>
          </w:p>
        </w:tc>
      </w:tr>
      <w:tr w:rsidR="002B6CEA" w:rsidTr="002B6CEA">
        <w:tc>
          <w:tcPr>
            <w:tcW w:w="1491" w:type="pct"/>
            <w:tcBorders>
              <w:top w:val="single" w:sz="4" w:space="0" w:color="auto"/>
              <w:left w:val="single" w:sz="4" w:space="0" w:color="auto"/>
              <w:bottom w:val="single" w:sz="4" w:space="0" w:color="auto"/>
              <w:right w:val="single" w:sz="4" w:space="0" w:color="auto"/>
            </w:tcBorders>
            <w:hideMark/>
          </w:tcPr>
          <w:p w:rsidR="002B6CEA" w:rsidRDefault="00A97395">
            <w:pPr>
              <w:pStyle w:val="TableLeft"/>
              <w:keepNext/>
              <w:keepLines/>
              <w:spacing w:before="0" w:after="0"/>
              <w:rPr>
                <w:rFonts w:ascii="Arial Narrow" w:hAnsi="Arial Narrow"/>
                <w:bCs/>
              </w:rPr>
            </w:pPr>
            <w:r>
              <w:rPr>
                <w:rFonts w:ascii="Arial Narrow" w:hAnsi="Arial Narrow"/>
                <w:bCs/>
              </w:rPr>
              <w:t>Post-progression disease costs</w:t>
            </w:r>
          </w:p>
        </w:tc>
        <w:tc>
          <w:tcPr>
            <w:tcW w:w="3509" w:type="pct"/>
            <w:tcBorders>
              <w:top w:val="single" w:sz="4" w:space="0" w:color="auto"/>
              <w:left w:val="single" w:sz="4" w:space="0" w:color="auto"/>
              <w:bottom w:val="single" w:sz="4" w:space="0" w:color="auto"/>
              <w:right w:val="single" w:sz="4" w:space="0" w:color="auto"/>
            </w:tcBorders>
            <w:hideMark/>
          </w:tcPr>
          <w:p w:rsidR="002B6CEA" w:rsidRDefault="00A97395">
            <w:pPr>
              <w:pStyle w:val="TableLeft"/>
              <w:keepNext/>
              <w:keepLines/>
              <w:spacing w:before="0" w:after="0"/>
              <w:rPr>
                <w:rFonts w:ascii="Arial Narrow" w:hAnsi="Arial Narrow"/>
                <w:bCs/>
              </w:rPr>
            </w:pPr>
            <w:r>
              <w:rPr>
                <w:rFonts w:ascii="Arial Narrow" w:hAnsi="Arial Narrow"/>
                <w:bCs/>
              </w:rPr>
              <w:t>Subsequent therapies as reported in CELESTIAL.</w:t>
            </w:r>
          </w:p>
        </w:tc>
      </w:tr>
      <w:tr w:rsidR="002B6CEA" w:rsidTr="002B6CEA">
        <w:tc>
          <w:tcPr>
            <w:tcW w:w="1491" w:type="pct"/>
            <w:tcBorders>
              <w:top w:val="single" w:sz="4" w:space="0" w:color="auto"/>
              <w:left w:val="single" w:sz="4" w:space="0" w:color="auto"/>
              <w:bottom w:val="single" w:sz="4" w:space="0" w:color="auto"/>
              <w:right w:val="single" w:sz="4" w:space="0" w:color="auto"/>
            </w:tcBorders>
            <w:hideMark/>
          </w:tcPr>
          <w:p w:rsidR="002B6CEA" w:rsidRDefault="00A97395">
            <w:pPr>
              <w:pStyle w:val="TableLeft"/>
              <w:keepNext/>
              <w:keepLines/>
              <w:spacing w:before="0" w:after="0"/>
              <w:rPr>
                <w:rFonts w:ascii="Arial Narrow" w:hAnsi="Arial Narrow"/>
                <w:bCs/>
              </w:rPr>
            </w:pPr>
            <w:r>
              <w:rPr>
                <w:rFonts w:ascii="Arial Narrow" w:hAnsi="Arial Narrow"/>
                <w:bCs/>
              </w:rPr>
              <w:t>Software</w:t>
            </w:r>
          </w:p>
        </w:tc>
        <w:tc>
          <w:tcPr>
            <w:tcW w:w="3509" w:type="pct"/>
            <w:tcBorders>
              <w:top w:val="single" w:sz="4" w:space="0" w:color="auto"/>
              <w:left w:val="single" w:sz="4" w:space="0" w:color="auto"/>
              <w:bottom w:val="single" w:sz="4" w:space="0" w:color="auto"/>
              <w:right w:val="single" w:sz="4" w:space="0" w:color="auto"/>
            </w:tcBorders>
            <w:hideMark/>
          </w:tcPr>
          <w:p w:rsidR="002B6CEA" w:rsidRDefault="00A97395">
            <w:pPr>
              <w:pStyle w:val="TableLeft"/>
              <w:keepNext/>
              <w:keepLines/>
              <w:spacing w:before="0" w:after="0"/>
              <w:rPr>
                <w:rFonts w:ascii="Arial Narrow" w:hAnsi="Arial Narrow"/>
                <w:bCs/>
              </w:rPr>
            </w:pPr>
            <w:r>
              <w:rPr>
                <w:rFonts w:ascii="Arial Narrow" w:hAnsi="Arial Narrow"/>
                <w:bCs/>
              </w:rPr>
              <w:t>Microsoft Excel 2010</w:t>
            </w:r>
          </w:p>
        </w:tc>
      </w:tr>
    </w:tbl>
    <w:p w:rsidR="002B6CEA" w:rsidRDefault="00A97395">
      <w:pPr>
        <w:pStyle w:val="Default"/>
        <w:keepNext/>
        <w:keepLines/>
        <w:jc w:val="both"/>
        <w:rPr>
          <w:rFonts w:ascii="Arial Narrow" w:hAnsi="Arial Narrow" w:cs="Arial"/>
          <w:bCs/>
          <w:sz w:val="18"/>
          <w:szCs w:val="18"/>
        </w:rPr>
      </w:pPr>
      <w:r>
        <w:rPr>
          <w:rFonts w:ascii="Arial Narrow" w:hAnsi="Arial Narrow" w:cs="Arial"/>
          <w:bCs/>
          <w:sz w:val="18"/>
          <w:szCs w:val="18"/>
        </w:rPr>
        <w:t>Abbreviations: AUC= area under the curve; CEA= cost-effectiveness analysis; CUA= cost-utility analysis; EQ-5D= EuroQoL five dimension; HCC= hepatocellular carcinoma cancer; IPD= individual patient data; LYG= life year gained; QALY= quality adjusted life year; PFS= progression free survival; OS= overall survival; TTD= time to treatment discontinuation.</w:t>
      </w:r>
    </w:p>
    <w:p w:rsidR="002B6CEA" w:rsidRDefault="00A97395">
      <w:pPr>
        <w:pStyle w:val="Default"/>
        <w:keepNext/>
        <w:keepLines/>
        <w:jc w:val="both"/>
        <w:rPr>
          <w:rFonts w:ascii="Arial Narrow" w:hAnsi="Arial Narrow" w:cs="Arial"/>
          <w:bCs/>
          <w:sz w:val="18"/>
          <w:szCs w:val="18"/>
        </w:rPr>
      </w:pPr>
      <w:r>
        <w:rPr>
          <w:rFonts w:ascii="Arial Narrow" w:hAnsi="Arial Narrow" w:cs="Arial"/>
          <w:bCs/>
          <w:sz w:val="18"/>
          <w:szCs w:val="18"/>
        </w:rPr>
        <w:t>Source: Compiled during the evaluation based on Table 3-2, p157 of the submission.</w:t>
      </w:r>
    </w:p>
    <w:p w:rsidR="002B6CEA" w:rsidRDefault="002B6CEA"/>
    <w:p w:rsidR="002B6CEA" w:rsidRDefault="00A97395">
      <w:pPr>
        <w:pStyle w:val="ListParagraph"/>
        <w:widowControl/>
        <w:numPr>
          <w:ilvl w:val="1"/>
          <w:numId w:val="2"/>
        </w:numPr>
        <w:rPr>
          <w:iCs/>
          <w:szCs w:val="24"/>
        </w:rPr>
      </w:pPr>
      <w:r>
        <w:rPr>
          <w:iCs/>
        </w:rPr>
        <w:t>The submission excluded patients from Asian centres from the base case analysis on the basis that would not reflect practice in Australia. To support this claim, the submission noted that patients from Asian centres had poorer OS outcomes which were likely due to systematic differences in disease and treatment for HCC in these countries where higher rates of mortality were observed</w:t>
      </w:r>
      <w:r>
        <w:t xml:space="preserve">. </w:t>
      </w:r>
      <w:r>
        <w:rPr>
          <w:iCs/>
        </w:rPr>
        <w:t xml:space="preserve">The exclusion of patients from Asian centres from the base case analysis was inappropriate given the ethnicity of the Australian population. At its March 2018 meeting, </w:t>
      </w:r>
      <w:r>
        <w:t xml:space="preserve">the PBAC noted that 38% of </w:t>
      </w:r>
      <w:r>
        <w:lastRenderedPageBreak/>
        <w:t xml:space="preserve">patients in RESORCE came from Asian centres (regorafenib PSD, March 2018, point 6.8). However, while the PBAC noted that there were differences between the RESORCE population and the Australian setting due to the strict inclusion criteria in RESORCE, there was no evidence that such a difference had a meaningful impact on the treatment effect (regorafenib PSD, March 2018, point 7.6). The PSCR  maintained that the exclusion of patients from Asian centres in the base case was valid and was based on differences in clinical practice rather than the impacts of ethnicity. The PSCR also noted that patients with Asian ethnicity were not excluded from the analysis. </w:t>
      </w:r>
      <w:r>
        <w:rPr>
          <w:iCs/>
        </w:rPr>
        <w:t xml:space="preserve">The ESC noted that treatments such as TACE (transarterial chemoembolization) are potentially available to patients in Australia. The ESC also noted no treatment by subgroup interactions were presented, and the confidence intervals overlapped with the HR for the ITT population for the various subgroups presented. The ESC considered that the ITT analysis provided the greatest precision (due to sample size) and was the most reliable basis on which to form an estimate of the cost-effectiveness of cabozantinib versus BSC. </w:t>
      </w:r>
      <w:r>
        <w:rPr>
          <w:iCs/>
          <w:szCs w:val="24"/>
        </w:rPr>
        <w:t xml:space="preserve">The sponsor maintained that </w:t>
      </w:r>
      <w:r>
        <w:t>the base case excluding patients treated in Asian centres best reflects the Australian setting and argued that differences in aetiology (higher proportion of HBV), population (more metastatic disease, younger patients) and treatment (more TACE and NPACT [placebo arm]) in Asia, confound the OS outcome.</w:t>
      </w:r>
      <w:r>
        <w:rPr>
          <w:iCs/>
          <w:szCs w:val="24"/>
        </w:rPr>
        <w:t xml:space="preserve"> The PBAC agreed with the ESC that exclusion of Asian centres significantly and unnecessarily reduced the sample size, and the economic model for cabozantinib versus BSC should be based on data from the full ITT population.</w:t>
      </w:r>
    </w:p>
    <w:p w:rsidR="002B6CEA" w:rsidRDefault="00A97395">
      <w:pPr>
        <w:pStyle w:val="ListParagraph"/>
        <w:widowControl/>
        <w:numPr>
          <w:ilvl w:val="1"/>
          <w:numId w:val="2"/>
        </w:numPr>
        <w:snapToGrid w:val="0"/>
      </w:pPr>
      <w:r>
        <w:rPr>
          <w:iCs/>
        </w:rPr>
        <w:t>The submission extrapolated the observed data from CELESTIAL out to five years. This was despite the data showing that at 24 months, there were approximately 18% of cabozantinib patients and 13% of BSC patients alive, and that beyond that, the OS curves had converged at month 34. The ESC considered that the 5 year time horizon was questionable given the convergence of OS and noted that the curves in the economic model never</w:t>
      </w:r>
      <w:r>
        <w:t xml:space="preserve"> converged, thus overestimating the OS benefit. </w:t>
      </w:r>
      <w:r>
        <w:rPr>
          <w:iCs/>
          <w:szCs w:val="24"/>
        </w:rPr>
        <w:t xml:space="preserve">The sponsor stated in the pre-PBAC response (p3) that </w:t>
      </w:r>
      <w:r>
        <w:rPr>
          <w:szCs w:val="24"/>
        </w:rPr>
        <w:t xml:space="preserve">convergence of </w:t>
      </w:r>
      <w:r>
        <w:rPr>
          <w:iCs/>
        </w:rPr>
        <w:t xml:space="preserve">Kaplan-Meier </w:t>
      </w:r>
      <w:r>
        <w:rPr>
          <w:szCs w:val="24"/>
        </w:rPr>
        <w:t>curves at 34 weeks is an artefact of the low number of patients at risk at 34 weeks in the placebo arm (n=5) and a high rate of censoring in the tails of both KM curves.</w:t>
      </w:r>
      <w:r>
        <w:rPr>
          <w:iCs/>
          <w:szCs w:val="24"/>
        </w:rPr>
        <w:t xml:space="preserve"> The sponsor recalculated the base case ICER in the pre-PBAC response (p2) to allow for convergence of the KM curves from month 34 to month 60. The PBAC considered this approach was not appropriate and that the base case should have convergence applied to survival curves starting at the median follow-up of 22.9 months as this better reflects the available data. This resulted in an ICER of $105,000 - $200,000 </w:t>
      </w:r>
      <w:r>
        <w:rPr>
          <w:szCs w:val="24"/>
        </w:rPr>
        <w:t>per QALY gained</w:t>
      </w:r>
      <w:r>
        <w:rPr>
          <w:iCs/>
          <w:szCs w:val="24"/>
        </w:rPr>
        <w:t xml:space="preserve"> excluding Asian centres, and $105,000 - $200,000 </w:t>
      </w:r>
      <w:r>
        <w:rPr>
          <w:szCs w:val="24"/>
        </w:rPr>
        <w:t xml:space="preserve">per QALY gained </w:t>
      </w:r>
      <w:r>
        <w:rPr>
          <w:iCs/>
          <w:szCs w:val="24"/>
        </w:rPr>
        <w:t>for the ITT population.</w:t>
      </w:r>
    </w:p>
    <w:p w:rsidR="002B6CEA" w:rsidRDefault="00A97395">
      <w:pPr>
        <w:pStyle w:val="ListParagraph"/>
        <w:widowControl/>
        <w:numPr>
          <w:ilvl w:val="1"/>
          <w:numId w:val="2"/>
        </w:numPr>
        <w:snapToGrid w:val="0"/>
        <w:rPr>
          <w:iCs/>
          <w:szCs w:val="24"/>
        </w:rPr>
      </w:pPr>
      <w:r>
        <w:rPr>
          <w:iCs/>
        </w:rPr>
        <w:t xml:space="preserve">The submission applied the extrapolated survival data to the entirety of the model time-horizon without including the Kaplan-Meier data. The ESC considered that the Kaplan-Meier data should have been applied to the point of median follow-up. Overall, the approach to the extrapolation of survival outcomes was not well justified </w:t>
      </w:r>
      <w:r>
        <w:rPr>
          <w:iCs/>
        </w:rPr>
        <w:lastRenderedPageBreak/>
        <w:t xml:space="preserve">and the </w:t>
      </w:r>
      <w:r>
        <w:t xml:space="preserve">criteria used for the selection of the fitted parametric functions was not well described by the submission. </w:t>
      </w:r>
      <w:r>
        <w:rPr>
          <w:iCs/>
        </w:rPr>
        <w:t xml:space="preserve">The PBAC noted that if Kaplan-Meier data were applied up to the median follow-up, and </w:t>
      </w:r>
      <w:r>
        <w:rPr>
          <w:iCs/>
          <w:szCs w:val="24"/>
        </w:rPr>
        <w:t xml:space="preserve">convergence applied to survival curves starting at the median follow-up of 22.9 months, the ICER increased to $105,000 - $200,000 </w:t>
      </w:r>
      <w:r>
        <w:rPr>
          <w:szCs w:val="24"/>
        </w:rPr>
        <w:t>per QALY gained</w:t>
      </w:r>
      <w:r>
        <w:rPr>
          <w:iCs/>
          <w:szCs w:val="24"/>
        </w:rPr>
        <w:t xml:space="preserve"> excluding Asian centres, and $105,000 - $200,000 </w:t>
      </w:r>
      <w:r>
        <w:rPr>
          <w:szCs w:val="24"/>
        </w:rPr>
        <w:t>per QALY gained</w:t>
      </w:r>
      <w:r>
        <w:rPr>
          <w:iCs/>
          <w:szCs w:val="24"/>
        </w:rPr>
        <w:t xml:space="preserve"> for the ITT population. </w:t>
      </w:r>
      <w:r>
        <w:t>The Sponsor stated in the pre-PBAC response (p2) that extrapolating from the point of median follow-up commences the extrapolation of health outcomes at a point of high uncertainty and argued it would be more appropriate to model each of the Kaplan-Meier curves to their individual median survival and extrapolate from the median onwards.</w:t>
      </w:r>
      <w:r>
        <w:rPr>
          <w:iCs/>
        </w:rPr>
        <w:t xml:space="preserve"> The PBAC considered that the extrapolation method chosen by the sponsor was not well justified. </w:t>
      </w:r>
    </w:p>
    <w:p w:rsidR="002B6CEA" w:rsidRDefault="00A97395">
      <w:pPr>
        <w:pStyle w:val="ListParagraph"/>
        <w:widowControl/>
        <w:numPr>
          <w:ilvl w:val="1"/>
          <w:numId w:val="2"/>
        </w:numPr>
        <w:snapToGrid w:val="0"/>
      </w:pPr>
      <w:r>
        <w:rPr>
          <w:iCs/>
        </w:rPr>
        <w:t xml:space="preserve">The economic model included utility values that did not reflect the results from CELESTIAL that showed poorer quality of life for cabozantinib patients. </w:t>
      </w:r>
      <w:r>
        <w:t xml:space="preserve">The health outcomes used in the base case of the economic evaluation were obtained from additional analyses comparing several regression models on HRQoL of patients from CELESTIAL. To do the analysis, the submission used the crosswalk method to transform the EQ-5D-5L results from CELESTIAL to EQ-5D-3L values (based on the UK tariff). Regression analyses were applied to the EQ-5D-3L results to take account of the impact on </w:t>
      </w:r>
      <w:r>
        <w:rPr>
          <w:iCs/>
        </w:rPr>
        <w:t>quality</w:t>
      </w:r>
      <w:r>
        <w:t xml:space="preserve"> of life of treatment status, progression status, TEAE grade and treatment arm. The submission did not justify why it did not apply the HRQoL data obtained directly from CELESTIAL in the economic model rather than using values derived from the regression models. The approaches used in the HRQoL analyses appeared reasonable; however, the selection of the utility values for use in the base case of the economic model was not justified. The model chosen applied a common treatment effect rather than the alternative model, which incorporated the inferior HRQoL of cabozantinib compared with BSC as per CELESTIAL. The evaluator considered this approach would have been preferable; however, the PSCR and pre-PBAC response (p3) argued that this model was not reasonable. The PBAC agreed with the ESC that the utilities used in the base case did not fully capture adverse events and toxicity experienced by patients treated with cabozantinib. The pre-PBAC response (p3) argued that the efficacy and safety of cabozantinib and regorafenib are similar and an alternative set of utility values to apply are those from the RESORCE study, which resulted in an 11% reduction in the ICER. The PBAC considered that applying the utilities from RESORCE may be an appropriate approach. </w:t>
      </w:r>
    </w:p>
    <w:p w:rsidR="002B6CEA" w:rsidRDefault="00A97395">
      <w:pPr>
        <w:pStyle w:val="ListParagraph"/>
        <w:widowControl/>
        <w:numPr>
          <w:ilvl w:val="1"/>
          <w:numId w:val="2"/>
        </w:numPr>
        <w:rPr>
          <w:iCs/>
          <w:szCs w:val="24"/>
        </w:rPr>
      </w:pPr>
      <w:r>
        <w:t>Post-progression therapies applied in the economic evaluation were obtained from CELESTIAL. As not all post-progression treatments used in CELESTIAL would apply in Australia, the submission assumed that use of the treatments in CELESTIAL would be</w:t>
      </w:r>
      <w:r>
        <w:rPr>
          <w:szCs w:val="24"/>
        </w:rPr>
        <w:t xml:space="preserve"> as per </w:t>
      </w:r>
      <w:r>
        <w:rPr>
          <w:iCs/>
        </w:rPr>
        <w:t>treatment</w:t>
      </w:r>
      <w:r>
        <w:rPr>
          <w:szCs w:val="24"/>
        </w:rPr>
        <w:t xml:space="preserve"> protocols and guidelines published by eviQ. The submission noted that there were some patients who used more than one treatment in CELESTIAL.</w:t>
      </w:r>
      <w:r>
        <w:rPr>
          <w:iCs/>
          <w:szCs w:val="24"/>
        </w:rPr>
        <w:t xml:space="preserve"> However, it was unknown what proportion used multiple treatments at the same time or used only one treatment at a time but received multiple lines of subsequent treatment. That is, data on subsequent treatment use were reported in CELESTIAL as </w:t>
      </w:r>
      <w:r>
        <w:rPr>
          <w:iCs/>
          <w:szCs w:val="24"/>
        </w:rPr>
        <w:lastRenderedPageBreak/>
        <w:t>instances of use rather than use per patient. Without accounting for multiple lines of therapy within patients, it is likely that subsequent treatment use has been overestimated. T</w:t>
      </w:r>
      <w:r>
        <w:t>he evaluation tested the sensitivity of the model to this parameter by varying costs by an arbitrary 30% in either direction (for both treatment arms separately and together).</w:t>
      </w:r>
    </w:p>
    <w:p w:rsidR="002B6CEA" w:rsidRPr="00E50BF2" w:rsidRDefault="00A97395" w:rsidP="00E50BF2">
      <w:pPr>
        <w:pStyle w:val="ListParagraph"/>
        <w:widowControl/>
        <w:numPr>
          <w:ilvl w:val="1"/>
          <w:numId w:val="2"/>
        </w:numPr>
        <w:rPr>
          <w:rStyle w:val="CommentReference"/>
          <w:rFonts w:ascii="Calibri" w:hAnsi="Calibri"/>
          <w:b w:val="0"/>
          <w:sz w:val="24"/>
          <w:szCs w:val="22"/>
        </w:rPr>
      </w:pPr>
      <w:r>
        <w:t xml:space="preserve">A summary of the model results based on the cabozantinib proposed effective price is presented in Table 9. Based on the published price, the base case ICER for cabozantinib compared to BSC was estimated at more than </w:t>
      </w:r>
      <w:r w:rsidR="00167E14">
        <w:t>$</w:t>
      </w:r>
      <w:r>
        <w:t xml:space="preserve">200,000/QALY gained, </w:t>
      </w:r>
      <w:r>
        <w:rPr>
          <w:iCs/>
        </w:rPr>
        <w:t>compared with $105,000 - $200,000/QALY at the proposed effective price.</w:t>
      </w:r>
    </w:p>
    <w:p w:rsidR="00E50BF2" w:rsidRPr="00E50BF2" w:rsidRDefault="00E50BF2" w:rsidP="00E50BF2">
      <w:pPr>
        <w:keepNext/>
        <w:keepLines/>
        <w:widowControl/>
        <w:rPr>
          <w:rStyle w:val="CommentReference"/>
        </w:rPr>
      </w:pPr>
      <w:r w:rsidRPr="00E50BF2">
        <w:rPr>
          <w:rStyle w:val="CommentReference"/>
        </w:rPr>
        <w:t xml:space="preserve">Table </w:t>
      </w:r>
      <w:r w:rsidRPr="00E50BF2">
        <w:rPr>
          <w:rStyle w:val="CommentReference"/>
        </w:rPr>
        <w:fldChar w:fldCharType="begin"/>
      </w:r>
      <w:r w:rsidRPr="00E50BF2">
        <w:rPr>
          <w:rStyle w:val="CommentReference"/>
        </w:rPr>
        <w:instrText xml:space="preserve"> SEQ Table \* ARABIC </w:instrText>
      </w:r>
      <w:r w:rsidRPr="00E50BF2">
        <w:rPr>
          <w:rStyle w:val="CommentReference"/>
        </w:rPr>
        <w:fldChar w:fldCharType="separate"/>
      </w:r>
      <w:r w:rsidR="00310C38">
        <w:rPr>
          <w:rStyle w:val="CommentReference"/>
          <w:noProof/>
        </w:rPr>
        <w:t>9</w:t>
      </w:r>
      <w:r w:rsidRPr="00E50BF2">
        <w:rPr>
          <w:rStyle w:val="CommentReference"/>
        </w:rPr>
        <w:fldChar w:fldCharType="end"/>
      </w:r>
      <w:r w:rsidRPr="00E50BF2">
        <w:rPr>
          <w:rStyle w:val="CommentReference"/>
        </w:rPr>
        <w:t>: Results of the economic evaluation (effective price)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9: Results of the economic evaluation (effective price)"/>
      </w:tblPr>
      <w:tblGrid>
        <w:gridCol w:w="2757"/>
        <w:gridCol w:w="2451"/>
        <w:gridCol w:w="2298"/>
        <w:gridCol w:w="1511"/>
      </w:tblGrid>
      <w:tr w:rsidR="002B6CEA">
        <w:trPr>
          <w:tblHeader/>
        </w:trPr>
        <w:tc>
          <w:tcPr>
            <w:tcW w:w="1529" w:type="pct"/>
            <w:vAlign w:val="center"/>
          </w:tcPr>
          <w:p w:rsidR="002B6CEA" w:rsidRDefault="00A97395">
            <w:pPr>
              <w:pStyle w:val="Tabletext"/>
              <w:rPr>
                <w:b/>
              </w:rPr>
            </w:pPr>
            <w:r>
              <w:rPr>
                <w:b/>
              </w:rPr>
              <w:t>Component</w:t>
            </w:r>
          </w:p>
        </w:tc>
        <w:tc>
          <w:tcPr>
            <w:tcW w:w="1359" w:type="pct"/>
            <w:vAlign w:val="center"/>
          </w:tcPr>
          <w:p w:rsidR="002B6CEA" w:rsidRDefault="00A97395">
            <w:pPr>
              <w:pStyle w:val="Tabletext"/>
              <w:jc w:val="center"/>
              <w:rPr>
                <w:b/>
              </w:rPr>
            </w:pPr>
            <w:r>
              <w:rPr>
                <w:b/>
              </w:rPr>
              <w:t>Proposed medicine</w:t>
            </w:r>
          </w:p>
        </w:tc>
        <w:tc>
          <w:tcPr>
            <w:tcW w:w="1274" w:type="pct"/>
            <w:vAlign w:val="center"/>
          </w:tcPr>
          <w:p w:rsidR="002B6CEA" w:rsidRDefault="00A97395">
            <w:pPr>
              <w:pStyle w:val="Tabletext"/>
              <w:jc w:val="center"/>
              <w:rPr>
                <w:b/>
              </w:rPr>
            </w:pPr>
            <w:r>
              <w:rPr>
                <w:b/>
              </w:rPr>
              <w:t>Comparator</w:t>
            </w:r>
          </w:p>
        </w:tc>
        <w:tc>
          <w:tcPr>
            <w:tcW w:w="838" w:type="pct"/>
            <w:vAlign w:val="center"/>
          </w:tcPr>
          <w:p w:rsidR="002B6CEA" w:rsidRDefault="00A97395">
            <w:pPr>
              <w:pStyle w:val="Tabletext"/>
              <w:jc w:val="center"/>
              <w:rPr>
                <w:b/>
              </w:rPr>
            </w:pPr>
            <w:r>
              <w:rPr>
                <w:b/>
              </w:rPr>
              <w:t>Increment</w:t>
            </w:r>
          </w:p>
        </w:tc>
      </w:tr>
      <w:tr w:rsidR="002B6CEA">
        <w:tc>
          <w:tcPr>
            <w:tcW w:w="1529" w:type="pct"/>
            <w:vAlign w:val="center"/>
          </w:tcPr>
          <w:p w:rsidR="002B6CEA" w:rsidRDefault="00A97395">
            <w:pPr>
              <w:pStyle w:val="Tabletext"/>
              <w:rPr>
                <w:rFonts w:ascii="Times" w:hAnsi="Times"/>
              </w:rPr>
            </w:pPr>
            <w:r>
              <w:t>Costs</w:t>
            </w:r>
          </w:p>
        </w:tc>
        <w:tc>
          <w:tcPr>
            <w:tcW w:w="1359" w:type="pct"/>
            <w:vAlign w:val="bottom"/>
          </w:tcPr>
          <w:p w:rsidR="002B6CEA" w:rsidRDefault="00A97395">
            <w:pPr>
              <w:pStyle w:val="Tabletext"/>
              <w:jc w:val="center"/>
              <w:rPr>
                <w:iCs/>
                <w:szCs w:val="20"/>
              </w:rPr>
            </w:pPr>
            <w:r>
              <w:rPr>
                <w:rFonts w:cs="Arial"/>
                <w:iCs/>
                <w:color w:val="000000"/>
                <w:szCs w:val="20"/>
              </w:rPr>
              <w:t>$</w:t>
            </w:r>
            <w:r w:rsidR="00950C8B">
              <w:rPr>
                <w:rFonts w:cs="Arial"/>
                <w:iCs/>
                <w:noProof/>
                <w:color w:val="000000"/>
                <w:szCs w:val="20"/>
                <w:highlight w:val="black"/>
              </w:rPr>
              <w:t>''''''''''''''''</w:t>
            </w:r>
          </w:p>
        </w:tc>
        <w:tc>
          <w:tcPr>
            <w:tcW w:w="1274" w:type="pct"/>
            <w:vAlign w:val="bottom"/>
          </w:tcPr>
          <w:p w:rsidR="002B6CEA" w:rsidRDefault="00A97395">
            <w:pPr>
              <w:pStyle w:val="Tabletext"/>
              <w:jc w:val="center"/>
              <w:rPr>
                <w:iCs/>
                <w:szCs w:val="20"/>
              </w:rPr>
            </w:pPr>
            <w:r>
              <w:rPr>
                <w:rFonts w:cs="Arial"/>
                <w:iCs/>
                <w:color w:val="000000"/>
                <w:szCs w:val="20"/>
              </w:rPr>
              <w:t>$20,097</w:t>
            </w:r>
          </w:p>
        </w:tc>
        <w:tc>
          <w:tcPr>
            <w:tcW w:w="838" w:type="pct"/>
            <w:vAlign w:val="bottom"/>
          </w:tcPr>
          <w:p w:rsidR="002B6CEA" w:rsidRDefault="00A97395">
            <w:pPr>
              <w:pStyle w:val="Tabletext"/>
              <w:jc w:val="center"/>
              <w:rPr>
                <w:iCs/>
                <w:szCs w:val="20"/>
              </w:rPr>
            </w:pPr>
            <w:r>
              <w:rPr>
                <w:rFonts w:cs="Arial"/>
                <w:iCs/>
                <w:color w:val="000000"/>
                <w:szCs w:val="20"/>
              </w:rPr>
              <w:t>$</w:t>
            </w:r>
            <w:r w:rsidR="00950C8B">
              <w:rPr>
                <w:rFonts w:cs="Arial"/>
                <w:iCs/>
                <w:noProof/>
                <w:color w:val="000000"/>
                <w:szCs w:val="20"/>
                <w:highlight w:val="black"/>
              </w:rPr>
              <w:t>'''''''''''''''''</w:t>
            </w:r>
          </w:p>
        </w:tc>
      </w:tr>
      <w:tr w:rsidR="002B6CEA">
        <w:tc>
          <w:tcPr>
            <w:tcW w:w="1529" w:type="pct"/>
            <w:vAlign w:val="center"/>
          </w:tcPr>
          <w:p w:rsidR="002B6CEA" w:rsidRDefault="00A97395">
            <w:pPr>
              <w:pStyle w:val="Tabletext"/>
              <w:rPr>
                <w:rFonts w:ascii="Times" w:hAnsi="Times"/>
              </w:rPr>
            </w:pPr>
            <w:r>
              <w:t>QALYs</w:t>
            </w:r>
          </w:p>
        </w:tc>
        <w:tc>
          <w:tcPr>
            <w:tcW w:w="1359" w:type="pct"/>
            <w:vAlign w:val="bottom"/>
          </w:tcPr>
          <w:p w:rsidR="002B6CEA" w:rsidRPr="00950C8B" w:rsidRDefault="00950C8B">
            <w:pPr>
              <w:pStyle w:val="Tabletext"/>
              <w:jc w:val="center"/>
              <w:rPr>
                <w:iCs/>
                <w:szCs w:val="20"/>
                <w:highlight w:val="black"/>
              </w:rPr>
            </w:pPr>
            <w:r>
              <w:rPr>
                <w:rFonts w:cs="Arial"/>
                <w:iCs/>
                <w:noProof/>
                <w:color w:val="000000"/>
                <w:szCs w:val="20"/>
                <w:highlight w:val="black"/>
              </w:rPr>
              <w:t>'''''''''''</w:t>
            </w:r>
          </w:p>
        </w:tc>
        <w:tc>
          <w:tcPr>
            <w:tcW w:w="1274" w:type="pct"/>
            <w:vAlign w:val="bottom"/>
          </w:tcPr>
          <w:p w:rsidR="002B6CEA" w:rsidRDefault="00A97395">
            <w:pPr>
              <w:pStyle w:val="Tabletext"/>
              <w:jc w:val="center"/>
              <w:rPr>
                <w:iCs/>
                <w:szCs w:val="20"/>
              </w:rPr>
            </w:pPr>
            <w:r>
              <w:rPr>
                <w:rFonts w:cs="Arial"/>
                <w:iCs/>
                <w:color w:val="000000"/>
                <w:szCs w:val="20"/>
              </w:rPr>
              <w:t>0.70</w:t>
            </w:r>
          </w:p>
        </w:tc>
        <w:tc>
          <w:tcPr>
            <w:tcW w:w="838" w:type="pct"/>
            <w:vAlign w:val="bottom"/>
          </w:tcPr>
          <w:p w:rsidR="002B6CEA" w:rsidRPr="00950C8B" w:rsidRDefault="00950C8B">
            <w:pPr>
              <w:pStyle w:val="Tabletext"/>
              <w:jc w:val="center"/>
              <w:rPr>
                <w:iCs/>
                <w:szCs w:val="20"/>
                <w:highlight w:val="black"/>
              </w:rPr>
            </w:pPr>
            <w:r>
              <w:rPr>
                <w:rFonts w:cs="Arial"/>
                <w:iCs/>
                <w:noProof/>
                <w:color w:val="000000"/>
                <w:szCs w:val="20"/>
                <w:highlight w:val="black"/>
              </w:rPr>
              <w:t>''''''''''</w:t>
            </w:r>
          </w:p>
        </w:tc>
      </w:tr>
      <w:tr w:rsidR="002B6CEA">
        <w:tc>
          <w:tcPr>
            <w:tcW w:w="4162" w:type="pct"/>
            <w:gridSpan w:val="3"/>
            <w:vAlign w:val="center"/>
          </w:tcPr>
          <w:p w:rsidR="002B6CEA" w:rsidRDefault="00A97395">
            <w:pPr>
              <w:pStyle w:val="Tabletext"/>
              <w:rPr>
                <w:rFonts w:ascii="Times" w:hAnsi="Times"/>
                <w:b/>
                <w:snapToGrid w:val="0"/>
              </w:rPr>
            </w:pPr>
            <w:r>
              <w:rPr>
                <w:b/>
              </w:rPr>
              <w:t>ICER</w:t>
            </w:r>
          </w:p>
        </w:tc>
        <w:tc>
          <w:tcPr>
            <w:tcW w:w="838" w:type="pct"/>
            <w:vAlign w:val="center"/>
          </w:tcPr>
          <w:p w:rsidR="002B6CEA" w:rsidRDefault="00A97395">
            <w:pPr>
              <w:widowControl/>
              <w:jc w:val="center"/>
              <w:rPr>
                <w:rFonts w:ascii="Arial Narrow" w:hAnsi="Arial Narrow"/>
                <w:b/>
                <w:bCs/>
                <w:iCs/>
                <w:snapToGrid/>
                <w:color w:val="000000"/>
                <w:sz w:val="20"/>
                <w:szCs w:val="20"/>
                <w:lang w:eastAsia="en-AU"/>
              </w:rPr>
            </w:pPr>
            <w:r>
              <w:rPr>
                <w:rFonts w:ascii="Arial Narrow" w:hAnsi="Arial Narrow"/>
                <w:b/>
                <w:bCs/>
                <w:iCs/>
                <w:color w:val="000000"/>
                <w:sz w:val="20"/>
                <w:szCs w:val="20"/>
              </w:rPr>
              <w:t>$</w:t>
            </w:r>
            <w:r w:rsidR="00950C8B">
              <w:rPr>
                <w:rFonts w:ascii="Arial Narrow" w:hAnsi="Arial Narrow"/>
                <w:b/>
                <w:bCs/>
                <w:iCs/>
                <w:noProof/>
                <w:color w:val="000000"/>
                <w:sz w:val="20"/>
                <w:szCs w:val="20"/>
                <w:highlight w:val="black"/>
              </w:rPr>
              <w:t>'''''''''''''''</w:t>
            </w:r>
          </w:p>
        </w:tc>
      </w:tr>
    </w:tbl>
    <w:p w:rsidR="002B6CEA" w:rsidRDefault="00A97395">
      <w:pPr>
        <w:pStyle w:val="TableFooter"/>
      </w:pPr>
      <w:r>
        <w:t xml:space="preserve">Abbreviations: ICER = incremental cost effectiveness ratio; </w:t>
      </w:r>
      <w:r>
        <w:rPr>
          <w:bCs/>
          <w:szCs w:val="18"/>
        </w:rPr>
        <w:t>QALY = quality adjusted life year</w:t>
      </w:r>
      <w:r>
        <w:rPr>
          <w:highlight w:val="yellow"/>
        </w:rPr>
        <w:t xml:space="preserve"> </w:t>
      </w:r>
    </w:p>
    <w:p w:rsidR="002B6CEA" w:rsidRDefault="00A97395">
      <w:pPr>
        <w:pStyle w:val="TableFooter"/>
      </w:pPr>
      <w:r>
        <w:t>Source: developed during the evaluation based on the excel model Attachment 13. Only the cost of the proposed medicine was changed to reflect the effective price.</w:t>
      </w:r>
    </w:p>
    <w:p w:rsidR="002B6CEA" w:rsidRDefault="00A97395" w:rsidP="00CE2B30">
      <w:pPr>
        <w:pStyle w:val="ListParagraph"/>
        <w:widowControl/>
        <w:numPr>
          <w:ilvl w:val="1"/>
          <w:numId w:val="2"/>
        </w:numPr>
        <w:spacing w:before="120"/>
      </w:pPr>
      <w:r>
        <w:t xml:space="preserve">A summary of the key drivers of the model is presented in Table 10. </w:t>
      </w:r>
    </w:p>
    <w:p w:rsidR="00E50BF2" w:rsidRPr="00E50BF2" w:rsidRDefault="00E50BF2" w:rsidP="00E50BF2">
      <w:pPr>
        <w:keepNext/>
        <w:keepLines/>
        <w:widowControl/>
        <w:rPr>
          <w:rStyle w:val="CommentReference"/>
        </w:rPr>
      </w:pPr>
      <w:r w:rsidRPr="00E50BF2">
        <w:rPr>
          <w:rStyle w:val="CommentReference"/>
        </w:rPr>
        <w:t xml:space="preserve">Table </w:t>
      </w:r>
      <w:r w:rsidRPr="00E50BF2">
        <w:rPr>
          <w:rStyle w:val="CommentReference"/>
        </w:rPr>
        <w:fldChar w:fldCharType="begin"/>
      </w:r>
      <w:r w:rsidRPr="00E50BF2">
        <w:rPr>
          <w:rStyle w:val="CommentReference"/>
        </w:rPr>
        <w:instrText xml:space="preserve"> SEQ Table \* ARABIC </w:instrText>
      </w:r>
      <w:r w:rsidRPr="00E50BF2">
        <w:rPr>
          <w:rStyle w:val="CommentReference"/>
        </w:rPr>
        <w:fldChar w:fldCharType="separate"/>
      </w:r>
      <w:r w:rsidR="00310C38">
        <w:rPr>
          <w:rStyle w:val="CommentReference"/>
          <w:noProof/>
        </w:rPr>
        <w:t>10</w:t>
      </w:r>
      <w:r w:rsidRPr="00E50BF2">
        <w:rPr>
          <w:rStyle w:val="CommentReference"/>
        </w:rPr>
        <w:fldChar w:fldCharType="end"/>
      </w:r>
      <w:r w:rsidRPr="00E50BF2">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0: Key drivers of the model"/>
      </w:tblPr>
      <w:tblGrid>
        <w:gridCol w:w="1713"/>
        <w:gridCol w:w="4236"/>
        <w:gridCol w:w="3068"/>
      </w:tblGrid>
      <w:tr w:rsidR="002B6CEA">
        <w:trPr>
          <w:trHeight w:val="113"/>
          <w:tblHeader/>
        </w:trPr>
        <w:tc>
          <w:tcPr>
            <w:tcW w:w="950" w:type="pct"/>
            <w:shd w:val="clear" w:color="auto" w:fill="auto"/>
          </w:tcPr>
          <w:p w:rsidR="002B6CEA" w:rsidRDefault="00A97395">
            <w:pPr>
              <w:pStyle w:val="Tabletext"/>
              <w:keepNext/>
              <w:keepLines/>
              <w:rPr>
                <w:b/>
              </w:rPr>
            </w:pPr>
            <w:r>
              <w:rPr>
                <w:b/>
              </w:rPr>
              <w:t>Description</w:t>
            </w:r>
          </w:p>
        </w:tc>
        <w:tc>
          <w:tcPr>
            <w:tcW w:w="2349" w:type="pct"/>
            <w:shd w:val="clear" w:color="auto" w:fill="auto"/>
          </w:tcPr>
          <w:p w:rsidR="002B6CEA" w:rsidRDefault="00A97395">
            <w:pPr>
              <w:pStyle w:val="Tabletext"/>
              <w:keepNext/>
              <w:keepLines/>
              <w:jc w:val="center"/>
              <w:rPr>
                <w:b/>
              </w:rPr>
            </w:pPr>
            <w:r>
              <w:rPr>
                <w:b/>
              </w:rPr>
              <w:t>Method/Value</w:t>
            </w:r>
          </w:p>
        </w:tc>
        <w:tc>
          <w:tcPr>
            <w:tcW w:w="1701" w:type="pct"/>
            <w:shd w:val="clear" w:color="auto" w:fill="auto"/>
          </w:tcPr>
          <w:p w:rsidR="002B6CEA" w:rsidRDefault="00A97395">
            <w:pPr>
              <w:pStyle w:val="Tabletext"/>
              <w:keepNext/>
              <w:keepLines/>
              <w:jc w:val="center"/>
              <w:rPr>
                <w:b/>
              </w:rPr>
            </w:pPr>
            <w:r>
              <w:rPr>
                <w:b/>
              </w:rPr>
              <w:t>Impact</w:t>
            </w:r>
          </w:p>
          <w:p w:rsidR="002B6CEA" w:rsidRDefault="00A97395">
            <w:pPr>
              <w:pStyle w:val="Tabletext"/>
              <w:keepNext/>
              <w:keepLines/>
              <w:jc w:val="center"/>
              <w:rPr>
                <w:b/>
              </w:rPr>
            </w:pPr>
            <w:r>
              <w:rPr>
                <w:b/>
              </w:rPr>
              <w:t>Base case (ICER = $</w:t>
            </w:r>
            <w:r w:rsidR="00950C8B">
              <w:rPr>
                <w:b/>
                <w:bCs/>
                <w:iCs/>
                <w:noProof/>
                <w:color w:val="000000"/>
                <w:szCs w:val="20"/>
                <w:highlight w:val="black"/>
              </w:rPr>
              <w:t>'''''''''''''''</w:t>
            </w:r>
            <w:r>
              <w:rPr>
                <w:b/>
                <w:bCs/>
                <w:iCs/>
                <w:color w:val="000000"/>
                <w:szCs w:val="20"/>
              </w:rPr>
              <w:t>)</w:t>
            </w:r>
          </w:p>
        </w:tc>
      </w:tr>
      <w:tr w:rsidR="002B6CEA">
        <w:trPr>
          <w:trHeight w:val="113"/>
        </w:trPr>
        <w:tc>
          <w:tcPr>
            <w:tcW w:w="950" w:type="pct"/>
            <w:shd w:val="clear" w:color="auto" w:fill="auto"/>
          </w:tcPr>
          <w:p w:rsidR="002B6CEA" w:rsidRDefault="00A97395">
            <w:pPr>
              <w:pStyle w:val="Tabletext"/>
              <w:keepNext/>
              <w:keepLines/>
            </w:pPr>
            <w:r>
              <w:t>Prior therapies</w:t>
            </w:r>
          </w:p>
        </w:tc>
        <w:tc>
          <w:tcPr>
            <w:tcW w:w="2349" w:type="pct"/>
            <w:shd w:val="clear" w:color="auto" w:fill="auto"/>
          </w:tcPr>
          <w:p w:rsidR="002B6CEA" w:rsidRDefault="00A97395">
            <w:pPr>
              <w:pStyle w:val="Tabletext"/>
              <w:keepNext/>
              <w:keepLines/>
            </w:pPr>
            <w:r>
              <w:t>Inclusion of all patients with prior treatments</w:t>
            </w:r>
          </w:p>
        </w:tc>
        <w:tc>
          <w:tcPr>
            <w:tcW w:w="1701" w:type="pct"/>
            <w:shd w:val="clear" w:color="auto" w:fill="auto"/>
          </w:tcPr>
          <w:p w:rsidR="002B6CEA" w:rsidRDefault="00A97395">
            <w:pPr>
              <w:pStyle w:val="Tabletext"/>
              <w:keepNext/>
              <w:keepLines/>
              <w:jc w:val="center"/>
            </w:pPr>
            <w:r>
              <w:t>High, favours cabozantinib</w:t>
            </w:r>
          </w:p>
          <w:p w:rsidR="002B6CEA" w:rsidRDefault="00A97395">
            <w:pPr>
              <w:pStyle w:val="Tabletext"/>
              <w:keepNext/>
              <w:keepLines/>
              <w:jc w:val="center"/>
            </w:pPr>
            <w:r>
              <w:t xml:space="preserve">(ICER = </w:t>
            </w:r>
            <w:r w:rsidR="00950C8B">
              <w:rPr>
                <w:rFonts w:cstheme="minorHAnsi"/>
                <w:noProof/>
                <w:color w:val="000000"/>
                <w:szCs w:val="20"/>
                <w:highlight w:val="black"/>
              </w:rPr>
              <w:t>''''''''''''''''''''''</w:t>
            </w:r>
            <w:r>
              <w:rPr>
                <w:rFonts w:cstheme="minorHAnsi"/>
                <w:szCs w:val="20"/>
              </w:rPr>
              <w:t xml:space="preserve"> post-sorafenib only)</w:t>
            </w:r>
          </w:p>
        </w:tc>
      </w:tr>
      <w:tr w:rsidR="002B6CEA">
        <w:trPr>
          <w:trHeight w:val="113"/>
        </w:trPr>
        <w:tc>
          <w:tcPr>
            <w:tcW w:w="950" w:type="pct"/>
            <w:shd w:val="clear" w:color="auto" w:fill="auto"/>
          </w:tcPr>
          <w:p w:rsidR="002B6CEA" w:rsidRDefault="00A97395">
            <w:pPr>
              <w:pStyle w:val="Tabletext"/>
              <w:keepNext/>
              <w:keepLines/>
            </w:pPr>
            <w:r>
              <w:t>Outcomes</w:t>
            </w:r>
          </w:p>
        </w:tc>
        <w:tc>
          <w:tcPr>
            <w:tcW w:w="2349" w:type="pct"/>
            <w:shd w:val="clear" w:color="auto" w:fill="auto"/>
          </w:tcPr>
          <w:p w:rsidR="002B6CEA" w:rsidRDefault="00A97395">
            <w:pPr>
              <w:pStyle w:val="Tabletext"/>
              <w:keepNext/>
              <w:keepLines/>
            </w:pPr>
            <w:r>
              <w:t>Exclusion of patients from Asian centres</w:t>
            </w:r>
          </w:p>
        </w:tc>
        <w:tc>
          <w:tcPr>
            <w:tcW w:w="1701" w:type="pct"/>
            <w:shd w:val="clear" w:color="auto" w:fill="auto"/>
          </w:tcPr>
          <w:p w:rsidR="002B6CEA" w:rsidRDefault="00A97395">
            <w:pPr>
              <w:pStyle w:val="Tabletext"/>
              <w:keepNext/>
              <w:keepLines/>
              <w:jc w:val="center"/>
            </w:pPr>
            <w:r>
              <w:t>High, favours cabozantinib</w:t>
            </w:r>
          </w:p>
          <w:p w:rsidR="002B6CEA" w:rsidRDefault="00A97395">
            <w:pPr>
              <w:pStyle w:val="Tabletext"/>
              <w:keepNext/>
              <w:keepLines/>
              <w:jc w:val="center"/>
              <w:rPr>
                <w:iCs/>
              </w:rPr>
            </w:pPr>
            <w:r>
              <w:rPr>
                <w:iCs/>
              </w:rPr>
              <w:t xml:space="preserve">(ICER = </w:t>
            </w:r>
            <w:r w:rsidR="00950C8B">
              <w:rPr>
                <w:rFonts w:cstheme="minorHAnsi"/>
                <w:iCs/>
                <w:noProof/>
                <w:color w:val="000000"/>
                <w:szCs w:val="20"/>
                <w:highlight w:val="black"/>
              </w:rPr>
              <w:t>''''''''''''''''''''''''</w:t>
            </w:r>
            <w:r>
              <w:rPr>
                <w:rFonts w:cstheme="minorHAnsi"/>
                <w:iCs/>
                <w:szCs w:val="20"/>
              </w:rPr>
              <w:t xml:space="preserve"> </w:t>
            </w:r>
            <w:r>
              <w:rPr>
                <w:iCs/>
              </w:rPr>
              <w:t>for ITT)</w:t>
            </w:r>
          </w:p>
        </w:tc>
      </w:tr>
      <w:tr w:rsidR="002B6CEA">
        <w:trPr>
          <w:trHeight w:val="113"/>
        </w:trPr>
        <w:tc>
          <w:tcPr>
            <w:tcW w:w="950" w:type="pct"/>
            <w:shd w:val="clear" w:color="auto" w:fill="auto"/>
          </w:tcPr>
          <w:p w:rsidR="002B6CEA" w:rsidRDefault="00A97395">
            <w:pPr>
              <w:pStyle w:val="Tabletext"/>
              <w:keepNext/>
              <w:keepLines/>
            </w:pPr>
            <w:r>
              <w:t>Extrapolation</w:t>
            </w:r>
          </w:p>
        </w:tc>
        <w:tc>
          <w:tcPr>
            <w:tcW w:w="2349" w:type="pct"/>
            <w:shd w:val="clear" w:color="auto" w:fill="auto"/>
          </w:tcPr>
          <w:p w:rsidR="002B6CEA" w:rsidRDefault="00A97395">
            <w:pPr>
              <w:pStyle w:val="Tabletext"/>
              <w:keepNext/>
              <w:keepLines/>
            </w:pPr>
            <w:r>
              <w:t>Selection of log-logistic function for OS of cabozantinib</w:t>
            </w:r>
          </w:p>
        </w:tc>
        <w:tc>
          <w:tcPr>
            <w:tcW w:w="1701" w:type="pct"/>
            <w:shd w:val="clear" w:color="auto" w:fill="auto"/>
          </w:tcPr>
          <w:p w:rsidR="002B6CEA" w:rsidRDefault="00A97395">
            <w:pPr>
              <w:pStyle w:val="Tabletext"/>
              <w:keepNext/>
              <w:keepLines/>
              <w:jc w:val="center"/>
            </w:pPr>
            <w:r>
              <w:t>High, favours cabozantinib</w:t>
            </w:r>
          </w:p>
          <w:p w:rsidR="002B6CEA" w:rsidRDefault="00A97395">
            <w:pPr>
              <w:pStyle w:val="Tabletext"/>
              <w:keepNext/>
              <w:keepLines/>
              <w:jc w:val="center"/>
              <w:rPr>
                <w:iCs/>
              </w:rPr>
            </w:pPr>
            <w:r>
              <w:rPr>
                <w:iCs/>
              </w:rPr>
              <w:t xml:space="preserve">(ICER = </w:t>
            </w:r>
            <w:r w:rsidR="00950C8B">
              <w:rPr>
                <w:iCs/>
                <w:noProof/>
                <w:color w:val="000000"/>
                <w:highlight w:val="black"/>
              </w:rPr>
              <w:t>''''''''''''''''''''''''</w:t>
            </w:r>
            <w:r>
              <w:rPr>
                <w:iCs/>
              </w:rPr>
              <w:t xml:space="preserve"> for the Gompertz)</w:t>
            </w:r>
          </w:p>
        </w:tc>
      </w:tr>
      <w:tr w:rsidR="002B6CEA">
        <w:trPr>
          <w:trHeight w:val="113"/>
        </w:trPr>
        <w:tc>
          <w:tcPr>
            <w:tcW w:w="950" w:type="pct"/>
            <w:shd w:val="clear" w:color="auto" w:fill="auto"/>
          </w:tcPr>
          <w:p w:rsidR="002B6CEA" w:rsidRDefault="00A97395">
            <w:pPr>
              <w:pStyle w:val="Tabletext"/>
              <w:keepNext/>
              <w:keepLines/>
            </w:pPr>
            <w:r>
              <w:t>Utilities</w:t>
            </w:r>
          </w:p>
        </w:tc>
        <w:tc>
          <w:tcPr>
            <w:tcW w:w="2349" w:type="pct"/>
            <w:shd w:val="clear" w:color="auto" w:fill="auto"/>
          </w:tcPr>
          <w:p w:rsidR="002B6CEA" w:rsidRDefault="00A97395">
            <w:pPr>
              <w:pStyle w:val="Tabletext"/>
              <w:keepNext/>
              <w:keepLines/>
            </w:pPr>
            <w:r>
              <w:t xml:space="preserve">Derived from one of several compared regression models </w:t>
            </w:r>
          </w:p>
        </w:tc>
        <w:tc>
          <w:tcPr>
            <w:tcW w:w="1701" w:type="pct"/>
            <w:shd w:val="clear" w:color="auto" w:fill="auto"/>
          </w:tcPr>
          <w:p w:rsidR="002B6CEA" w:rsidRDefault="00A97395">
            <w:pPr>
              <w:pStyle w:val="Tabletext"/>
              <w:keepNext/>
              <w:keepLines/>
              <w:jc w:val="center"/>
            </w:pPr>
            <w:r>
              <w:t>High, favours cabozantinib</w:t>
            </w:r>
          </w:p>
          <w:p w:rsidR="002B6CEA" w:rsidRDefault="00A97395">
            <w:pPr>
              <w:pStyle w:val="Tabletext"/>
              <w:keepNext/>
              <w:keepLines/>
              <w:jc w:val="center"/>
              <w:rPr>
                <w:iCs/>
              </w:rPr>
            </w:pPr>
            <w:r>
              <w:rPr>
                <w:iCs/>
              </w:rPr>
              <w:t xml:space="preserve">(ICER = </w:t>
            </w:r>
            <w:r w:rsidR="00950C8B">
              <w:rPr>
                <w:iCs/>
                <w:noProof/>
                <w:color w:val="000000"/>
                <w:highlight w:val="black"/>
              </w:rPr>
              <w:t>''''''''''''''''''''''''</w:t>
            </w:r>
            <w:r>
              <w:rPr>
                <w:iCs/>
              </w:rPr>
              <w:t xml:space="preserve"> for the </w:t>
            </w:r>
            <w:r>
              <w:rPr>
                <w:szCs w:val="20"/>
              </w:rPr>
              <w:t>utility values adjusted for treatment arms</w:t>
            </w:r>
            <w:r>
              <w:rPr>
                <w:iCs/>
              </w:rPr>
              <w:t>)</w:t>
            </w:r>
          </w:p>
        </w:tc>
      </w:tr>
    </w:tbl>
    <w:p w:rsidR="002B6CEA" w:rsidRDefault="00A97395">
      <w:pPr>
        <w:pStyle w:val="TableFooter"/>
        <w:keepNext/>
        <w:keepLines/>
        <w:widowControl/>
      </w:pPr>
      <w:r>
        <w:t>Abbreviations: ICER = incremental cost effectiveness ratio; OS = overall survival</w:t>
      </w:r>
    </w:p>
    <w:p w:rsidR="002B6CEA" w:rsidRDefault="00A97395">
      <w:pPr>
        <w:pStyle w:val="TableFooter"/>
        <w:keepNext/>
        <w:keepLines/>
        <w:widowControl/>
      </w:pPr>
      <w:r>
        <w:t>Source: developed during the evaluation based on the excel model Attachment 13.</w:t>
      </w:r>
    </w:p>
    <w:p w:rsidR="002B6CEA" w:rsidRDefault="002B6CEA">
      <w:pPr>
        <w:pStyle w:val="TableFooter"/>
      </w:pPr>
    </w:p>
    <w:p w:rsidR="002B6CEA" w:rsidRDefault="00A97395">
      <w:pPr>
        <w:pStyle w:val="ListParagraph"/>
        <w:widowControl/>
        <w:numPr>
          <w:ilvl w:val="1"/>
          <w:numId w:val="2"/>
        </w:numPr>
      </w:pPr>
      <w:r>
        <w:t xml:space="preserve">A summary of the key sensitivity analyses presented by the submission, re-estimated based on the effective price of cabozantinib, was developed during the evaluation and is presented in Table 11. Additional sensitivity analyses developed during the evaluation relating to the use of alternative utility values, application of the Kaplan-Meier data, alternative extrapolation functions and changes to the estimation of post-progression therapy are also shown in Table 11. Sensitivity analyses have been updated using the full ITT population as considered appropriate by the ESC. </w:t>
      </w:r>
    </w:p>
    <w:p w:rsidR="00950C8B" w:rsidRDefault="00950C8B">
      <w:pPr>
        <w:widowControl/>
        <w:jc w:val="left"/>
        <w:rPr>
          <w:rStyle w:val="CommentReference"/>
        </w:rPr>
      </w:pPr>
      <w:r>
        <w:rPr>
          <w:rStyle w:val="CommentReference"/>
        </w:rPr>
        <w:br w:type="page"/>
      </w:r>
    </w:p>
    <w:p w:rsidR="00E50BF2" w:rsidRPr="00E50BF2" w:rsidRDefault="00E50BF2" w:rsidP="00E50BF2">
      <w:pPr>
        <w:keepNext/>
        <w:rPr>
          <w:rStyle w:val="CommentReference"/>
        </w:rPr>
      </w:pPr>
      <w:r w:rsidRPr="00E50BF2">
        <w:rPr>
          <w:rStyle w:val="CommentReference"/>
        </w:rPr>
        <w:lastRenderedPageBreak/>
        <w:t xml:space="preserve">Table </w:t>
      </w:r>
      <w:r w:rsidRPr="00E50BF2">
        <w:rPr>
          <w:rStyle w:val="CommentReference"/>
        </w:rPr>
        <w:fldChar w:fldCharType="begin"/>
      </w:r>
      <w:r w:rsidRPr="00E50BF2">
        <w:rPr>
          <w:rStyle w:val="CommentReference"/>
        </w:rPr>
        <w:instrText xml:space="preserve"> SEQ Table \* ARABIC </w:instrText>
      </w:r>
      <w:r w:rsidRPr="00E50BF2">
        <w:rPr>
          <w:rStyle w:val="CommentReference"/>
        </w:rPr>
        <w:fldChar w:fldCharType="separate"/>
      </w:r>
      <w:r w:rsidR="00310C38">
        <w:rPr>
          <w:rStyle w:val="CommentReference"/>
          <w:noProof/>
        </w:rPr>
        <w:t>11</w:t>
      </w:r>
      <w:r w:rsidRPr="00E50BF2">
        <w:rPr>
          <w:rStyle w:val="CommentReference"/>
        </w:rPr>
        <w:fldChar w:fldCharType="end"/>
      </w:r>
      <w:r w:rsidRPr="00E50BF2">
        <w:rPr>
          <w:rStyle w:val="CommentReference"/>
        </w:rPr>
        <w:t>: Key results of sensitivity analyses (effective price)</w:t>
      </w:r>
    </w:p>
    <w:tbl>
      <w:tblPr>
        <w:tblStyle w:val="TableGrid"/>
        <w:tblW w:w="5000" w:type="pct"/>
        <w:tblLayout w:type="fixed"/>
        <w:tblLook w:val="04A0" w:firstRow="1" w:lastRow="0" w:firstColumn="1" w:lastColumn="0" w:noHBand="0" w:noVBand="1"/>
        <w:tblCaption w:val="Table 11: Key results of sensitivity analyses (effective price)"/>
      </w:tblPr>
      <w:tblGrid>
        <w:gridCol w:w="1554"/>
        <w:gridCol w:w="1277"/>
        <w:gridCol w:w="2117"/>
        <w:gridCol w:w="777"/>
        <w:gridCol w:w="792"/>
        <w:gridCol w:w="848"/>
        <w:gridCol w:w="711"/>
        <w:gridCol w:w="941"/>
      </w:tblGrid>
      <w:tr w:rsidR="002B6CEA">
        <w:trPr>
          <w:trHeight w:val="113"/>
          <w:tblHeader/>
        </w:trPr>
        <w:tc>
          <w:tcPr>
            <w:tcW w:w="862" w:type="pct"/>
            <w:tcMar>
              <w:left w:w="28" w:type="dxa"/>
              <w:right w:w="28" w:type="dxa"/>
            </w:tcMar>
          </w:tcPr>
          <w:p w:rsidR="002B6CEA" w:rsidRDefault="00A97395">
            <w:pPr>
              <w:jc w:val="left"/>
              <w:rPr>
                <w:rFonts w:ascii="Arial Narrow" w:hAnsi="Arial Narrow"/>
                <w:b/>
                <w:iCs/>
                <w:sz w:val="20"/>
                <w:szCs w:val="20"/>
              </w:rPr>
            </w:pPr>
            <w:r>
              <w:rPr>
                <w:rFonts w:ascii="Arial Narrow" w:hAnsi="Arial Narrow"/>
                <w:b/>
                <w:iCs/>
                <w:sz w:val="20"/>
                <w:szCs w:val="20"/>
              </w:rPr>
              <w:t>Variable</w:t>
            </w:r>
          </w:p>
        </w:tc>
        <w:tc>
          <w:tcPr>
            <w:tcW w:w="708" w:type="pct"/>
            <w:tcMar>
              <w:left w:w="28" w:type="dxa"/>
              <w:right w:w="28" w:type="dxa"/>
            </w:tcMar>
            <w:hideMark/>
          </w:tcPr>
          <w:p w:rsidR="002B6CEA" w:rsidRDefault="00A97395">
            <w:pPr>
              <w:jc w:val="left"/>
              <w:rPr>
                <w:rFonts w:ascii="Arial Narrow" w:hAnsi="Arial Narrow"/>
                <w:b/>
                <w:iCs/>
                <w:sz w:val="20"/>
                <w:szCs w:val="20"/>
              </w:rPr>
            </w:pPr>
            <w:r>
              <w:rPr>
                <w:rFonts w:ascii="Arial Narrow" w:hAnsi="Arial Narrow"/>
                <w:b/>
                <w:iCs/>
                <w:sz w:val="20"/>
                <w:szCs w:val="20"/>
              </w:rPr>
              <w:t>Base case value (The submission)</w:t>
            </w:r>
          </w:p>
        </w:tc>
        <w:tc>
          <w:tcPr>
            <w:tcW w:w="1174" w:type="pct"/>
            <w:tcMar>
              <w:left w:w="28" w:type="dxa"/>
              <w:right w:w="28" w:type="dxa"/>
            </w:tcMar>
            <w:hideMark/>
          </w:tcPr>
          <w:p w:rsidR="002B6CEA" w:rsidRDefault="00A97395">
            <w:pPr>
              <w:jc w:val="left"/>
              <w:rPr>
                <w:rFonts w:ascii="Arial Narrow" w:hAnsi="Arial Narrow"/>
                <w:b/>
                <w:iCs/>
                <w:sz w:val="20"/>
                <w:szCs w:val="20"/>
              </w:rPr>
            </w:pPr>
            <w:r>
              <w:rPr>
                <w:rFonts w:ascii="Arial Narrow" w:hAnsi="Arial Narrow"/>
                <w:b/>
                <w:iCs/>
                <w:sz w:val="20"/>
                <w:szCs w:val="20"/>
              </w:rPr>
              <w:t>Plausible value</w:t>
            </w:r>
          </w:p>
        </w:tc>
        <w:tc>
          <w:tcPr>
            <w:tcW w:w="431" w:type="pct"/>
            <w:tcMar>
              <w:left w:w="28" w:type="dxa"/>
              <w:right w:w="28" w:type="dxa"/>
            </w:tcMar>
            <w:hideMark/>
          </w:tcPr>
          <w:p w:rsidR="002B6CEA" w:rsidRDefault="00A97395">
            <w:pPr>
              <w:jc w:val="center"/>
              <w:rPr>
                <w:rFonts w:ascii="Arial Narrow" w:hAnsi="Arial Narrow"/>
                <w:b/>
                <w:iCs/>
                <w:sz w:val="20"/>
                <w:szCs w:val="20"/>
              </w:rPr>
            </w:pPr>
            <w:r>
              <w:rPr>
                <w:rFonts w:ascii="Arial Narrow" w:hAnsi="Arial Narrow"/>
                <w:b/>
                <w:iCs/>
                <w:sz w:val="20"/>
                <w:szCs w:val="20"/>
              </w:rPr>
              <w:t>Inc. QALYs</w:t>
            </w:r>
          </w:p>
        </w:tc>
        <w:tc>
          <w:tcPr>
            <w:tcW w:w="439" w:type="pct"/>
            <w:tcMar>
              <w:left w:w="28" w:type="dxa"/>
              <w:right w:w="28" w:type="dxa"/>
            </w:tcMar>
            <w:hideMark/>
          </w:tcPr>
          <w:p w:rsidR="002B6CEA" w:rsidRDefault="00A97395">
            <w:pPr>
              <w:jc w:val="center"/>
              <w:rPr>
                <w:rFonts w:ascii="Arial Narrow" w:hAnsi="Arial Narrow"/>
                <w:b/>
                <w:sz w:val="20"/>
                <w:szCs w:val="20"/>
              </w:rPr>
            </w:pPr>
            <w:r>
              <w:rPr>
                <w:rFonts w:ascii="Arial Narrow" w:hAnsi="Arial Narrow"/>
                <w:b/>
                <w:sz w:val="20"/>
                <w:szCs w:val="20"/>
              </w:rPr>
              <w:t xml:space="preserve">Inc. costs </w:t>
            </w:r>
          </w:p>
        </w:tc>
        <w:tc>
          <w:tcPr>
            <w:tcW w:w="470" w:type="pct"/>
            <w:tcMar>
              <w:left w:w="28" w:type="dxa"/>
              <w:right w:w="28" w:type="dxa"/>
            </w:tcMar>
            <w:hideMark/>
          </w:tcPr>
          <w:p w:rsidR="002B6CEA" w:rsidRDefault="00A97395">
            <w:pPr>
              <w:jc w:val="center"/>
              <w:rPr>
                <w:rFonts w:ascii="Arial Narrow" w:hAnsi="Arial Narrow"/>
                <w:b/>
                <w:sz w:val="20"/>
                <w:szCs w:val="20"/>
              </w:rPr>
            </w:pPr>
            <w:r>
              <w:rPr>
                <w:rFonts w:ascii="Arial Narrow" w:hAnsi="Arial Narrow"/>
                <w:b/>
                <w:sz w:val="20"/>
                <w:szCs w:val="20"/>
              </w:rPr>
              <w:t>ICER</w:t>
            </w:r>
          </w:p>
          <w:p w:rsidR="002B6CEA" w:rsidRDefault="00A97395">
            <w:pPr>
              <w:jc w:val="center"/>
              <w:rPr>
                <w:rFonts w:ascii="Arial Narrow" w:hAnsi="Arial Narrow"/>
                <w:b/>
                <w:sz w:val="20"/>
                <w:szCs w:val="20"/>
              </w:rPr>
            </w:pPr>
            <w:r>
              <w:rPr>
                <w:rFonts w:ascii="Arial Narrow" w:hAnsi="Arial Narrow"/>
                <w:b/>
                <w:sz w:val="20"/>
                <w:szCs w:val="20"/>
              </w:rPr>
              <w:t>$/QALY</w:t>
            </w:r>
          </w:p>
        </w:tc>
        <w:tc>
          <w:tcPr>
            <w:tcW w:w="394" w:type="pct"/>
            <w:tcMar>
              <w:left w:w="28" w:type="dxa"/>
              <w:right w:w="28" w:type="dxa"/>
            </w:tcMar>
            <w:hideMark/>
          </w:tcPr>
          <w:p w:rsidR="002B6CEA" w:rsidRDefault="00A97395">
            <w:pPr>
              <w:jc w:val="center"/>
              <w:rPr>
                <w:rFonts w:ascii="Arial Narrow" w:hAnsi="Arial Narrow"/>
                <w:b/>
                <w:sz w:val="20"/>
                <w:szCs w:val="20"/>
              </w:rPr>
            </w:pPr>
            <w:r>
              <w:rPr>
                <w:rFonts w:ascii="Arial Narrow" w:hAnsi="Arial Narrow"/>
                <w:b/>
                <w:sz w:val="20"/>
                <w:szCs w:val="20"/>
              </w:rPr>
              <w:t>% ICER change</w:t>
            </w:r>
          </w:p>
        </w:tc>
        <w:tc>
          <w:tcPr>
            <w:tcW w:w="522" w:type="pct"/>
          </w:tcPr>
          <w:p w:rsidR="002B6CEA" w:rsidRDefault="00A97395">
            <w:pPr>
              <w:jc w:val="center"/>
              <w:rPr>
                <w:rFonts w:ascii="Arial Narrow" w:hAnsi="Arial Narrow"/>
                <w:b/>
                <w:sz w:val="20"/>
                <w:szCs w:val="20"/>
              </w:rPr>
            </w:pPr>
            <w:r>
              <w:rPr>
                <w:rFonts w:ascii="Arial Narrow" w:hAnsi="Arial Narrow"/>
                <w:b/>
                <w:sz w:val="20"/>
                <w:szCs w:val="20"/>
              </w:rPr>
              <w:t>ICER (ITT)</w:t>
            </w:r>
          </w:p>
        </w:tc>
      </w:tr>
      <w:tr w:rsidR="002B6CEA">
        <w:trPr>
          <w:trHeight w:val="113"/>
        </w:trPr>
        <w:tc>
          <w:tcPr>
            <w:tcW w:w="2744" w:type="pct"/>
            <w:gridSpan w:val="3"/>
            <w:tcMar>
              <w:left w:w="28" w:type="dxa"/>
              <w:right w:w="28" w:type="dxa"/>
            </w:tcMar>
          </w:tcPr>
          <w:p w:rsidR="002B6CEA" w:rsidRDefault="00A97395">
            <w:pPr>
              <w:jc w:val="left"/>
              <w:rPr>
                <w:rFonts w:ascii="Arial Narrow" w:hAnsi="Arial Narrow"/>
                <w:bCs/>
                <w:iCs/>
                <w:sz w:val="20"/>
                <w:szCs w:val="20"/>
              </w:rPr>
            </w:pPr>
            <w:r>
              <w:rPr>
                <w:rFonts w:ascii="Arial Narrow" w:hAnsi="Arial Narrow"/>
                <w:bCs/>
                <w:iCs/>
                <w:sz w:val="20"/>
                <w:szCs w:val="20"/>
              </w:rPr>
              <w:t xml:space="preserve">Base case </w:t>
            </w:r>
          </w:p>
        </w:tc>
        <w:tc>
          <w:tcPr>
            <w:tcW w:w="431" w:type="pct"/>
            <w:tcMar>
              <w:left w:w="28" w:type="dxa"/>
              <w:right w:w="28" w:type="dxa"/>
            </w:tcMar>
            <w:vAlign w:val="center"/>
          </w:tcPr>
          <w:p w:rsidR="002B6CEA" w:rsidRDefault="00A97395">
            <w:pPr>
              <w:jc w:val="center"/>
              <w:rPr>
                <w:rFonts w:ascii="Arial Narrow" w:hAnsi="Arial Narrow"/>
                <w:bCs/>
                <w:sz w:val="20"/>
                <w:szCs w:val="20"/>
              </w:rPr>
            </w:pPr>
            <w:r>
              <w:rPr>
                <w:rFonts w:ascii="Arial Narrow" w:hAnsi="Arial Narrow"/>
                <w:bCs/>
                <w:sz w:val="20"/>
                <w:szCs w:val="20"/>
              </w:rPr>
              <w:t>0.27</w:t>
            </w:r>
          </w:p>
        </w:tc>
        <w:tc>
          <w:tcPr>
            <w:tcW w:w="439" w:type="pct"/>
            <w:tcMar>
              <w:left w:w="28" w:type="dxa"/>
              <w:right w:w="28" w:type="dxa"/>
            </w:tcMar>
            <w:vAlign w:val="center"/>
          </w:tcPr>
          <w:p w:rsidR="002B6CEA" w:rsidRPr="00950C8B" w:rsidRDefault="00950C8B">
            <w:pPr>
              <w:jc w:val="center"/>
              <w:rPr>
                <w:rFonts w:ascii="Arial Narrow" w:hAnsi="Arial Narrow"/>
                <w:bCs/>
                <w:iCs/>
                <w:sz w:val="20"/>
                <w:szCs w:val="20"/>
                <w:highlight w:val="black"/>
              </w:rPr>
            </w:pPr>
            <w:r>
              <w:rPr>
                <w:rFonts w:ascii="Arial Narrow" w:hAnsi="Arial Narrow"/>
                <w:bCs/>
                <w:iCs/>
                <w:noProof/>
                <w:color w:val="000000"/>
                <w:sz w:val="20"/>
                <w:szCs w:val="20"/>
                <w:highlight w:val="black"/>
              </w:rPr>
              <w:t>''''''''''''''''''</w:t>
            </w:r>
          </w:p>
        </w:tc>
        <w:tc>
          <w:tcPr>
            <w:tcW w:w="470" w:type="pct"/>
            <w:tcMar>
              <w:left w:w="28" w:type="dxa"/>
              <w:right w:w="28" w:type="dxa"/>
            </w:tcMar>
            <w:vAlign w:val="center"/>
          </w:tcPr>
          <w:p w:rsidR="002B6CEA" w:rsidRPr="00950C8B" w:rsidRDefault="00950C8B">
            <w:pPr>
              <w:jc w:val="center"/>
              <w:rPr>
                <w:rFonts w:ascii="Arial Narrow" w:hAnsi="Arial Narrow"/>
                <w:bCs/>
                <w:iCs/>
                <w:sz w:val="20"/>
                <w:szCs w:val="20"/>
                <w:highlight w:val="black"/>
              </w:rPr>
            </w:pPr>
            <w:r>
              <w:rPr>
                <w:rFonts w:ascii="Arial Narrow" w:hAnsi="Arial Narrow" w:cs="Calibri"/>
                <w:iCs/>
                <w:noProof/>
                <w:snapToGrid/>
                <w:color w:val="000000"/>
                <w:sz w:val="20"/>
                <w:szCs w:val="20"/>
                <w:highlight w:val="black"/>
                <w:lang w:eastAsia="en-AU" w:bidi="th-TH"/>
              </w:rPr>
              <w:t>''''''''''''''''''''''</w:t>
            </w:r>
          </w:p>
        </w:tc>
        <w:tc>
          <w:tcPr>
            <w:tcW w:w="394" w:type="pct"/>
            <w:tcMar>
              <w:left w:w="28" w:type="dxa"/>
              <w:right w:w="28" w:type="dxa"/>
            </w:tcMar>
            <w:vAlign w:val="center"/>
          </w:tcPr>
          <w:p w:rsidR="002B6CEA" w:rsidRDefault="00A97395">
            <w:pPr>
              <w:jc w:val="center"/>
              <w:rPr>
                <w:rFonts w:ascii="Arial Narrow" w:hAnsi="Arial Narrow"/>
                <w:bCs/>
                <w:sz w:val="20"/>
                <w:szCs w:val="20"/>
              </w:rPr>
            </w:pPr>
            <w:r>
              <w:rPr>
                <w:rFonts w:ascii="Arial Narrow" w:hAnsi="Arial Narrow"/>
                <w:bCs/>
                <w:sz w:val="20"/>
                <w:szCs w:val="20"/>
              </w:rPr>
              <w:t>-</w:t>
            </w:r>
          </w:p>
        </w:tc>
        <w:tc>
          <w:tcPr>
            <w:tcW w:w="522" w:type="pct"/>
          </w:tcPr>
          <w:p w:rsidR="002B6CEA" w:rsidRDefault="002B6CEA">
            <w:pPr>
              <w:jc w:val="center"/>
              <w:rPr>
                <w:rFonts w:ascii="Arial Narrow" w:hAnsi="Arial Narrow"/>
                <w:bCs/>
                <w:sz w:val="20"/>
                <w:szCs w:val="20"/>
              </w:rPr>
            </w:pPr>
          </w:p>
        </w:tc>
      </w:tr>
      <w:tr w:rsidR="002B6CEA">
        <w:trPr>
          <w:trHeight w:val="113"/>
        </w:trPr>
        <w:tc>
          <w:tcPr>
            <w:tcW w:w="862" w:type="pct"/>
            <w:tcMar>
              <w:left w:w="28" w:type="dxa"/>
              <w:right w:w="28" w:type="dxa"/>
            </w:tcMar>
          </w:tcPr>
          <w:p w:rsidR="002B6CEA" w:rsidRDefault="00A97395">
            <w:pPr>
              <w:jc w:val="left"/>
              <w:rPr>
                <w:rFonts w:ascii="Arial Narrow" w:hAnsi="Arial Narrow" w:cstheme="minorHAnsi"/>
                <w:iCs/>
                <w:sz w:val="20"/>
                <w:szCs w:val="20"/>
              </w:rPr>
            </w:pPr>
            <w:r>
              <w:rPr>
                <w:rFonts w:ascii="Arial Narrow" w:hAnsi="Arial Narrow" w:cstheme="minorHAnsi"/>
                <w:iCs/>
                <w:sz w:val="20"/>
                <w:szCs w:val="20"/>
              </w:rPr>
              <w:t>Time horizon</w:t>
            </w:r>
          </w:p>
        </w:tc>
        <w:tc>
          <w:tcPr>
            <w:tcW w:w="708" w:type="pct"/>
            <w:tcMar>
              <w:left w:w="28" w:type="dxa"/>
              <w:right w:w="28" w:type="dxa"/>
            </w:tcMar>
          </w:tcPr>
          <w:p w:rsidR="002B6CEA" w:rsidRDefault="00A97395">
            <w:pPr>
              <w:jc w:val="left"/>
              <w:rPr>
                <w:rFonts w:ascii="Arial Narrow" w:hAnsi="Arial Narrow" w:cstheme="minorHAnsi"/>
                <w:iCs/>
                <w:sz w:val="20"/>
                <w:szCs w:val="20"/>
              </w:rPr>
            </w:pPr>
            <w:r>
              <w:rPr>
                <w:rFonts w:ascii="Arial Narrow" w:hAnsi="Arial Narrow" w:cstheme="minorHAnsi"/>
                <w:iCs/>
                <w:sz w:val="20"/>
                <w:szCs w:val="20"/>
              </w:rPr>
              <w:t>5 years</w:t>
            </w:r>
          </w:p>
        </w:tc>
        <w:tc>
          <w:tcPr>
            <w:tcW w:w="1174" w:type="pct"/>
            <w:tcMar>
              <w:left w:w="28" w:type="dxa"/>
              <w:right w:w="28" w:type="dxa"/>
            </w:tcMar>
          </w:tcPr>
          <w:p w:rsidR="002B6CEA" w:rsidRDefault="00A97395">
            <w:pPr>
              <w:jc w:val="left"/>
              <w:rPr>
                <w:rFonts w:ascii="Arial Narrow" w:hAnsi="Arial Narrow" w:cstheme="minorHAnsi"/>
                <w:iCs/>
                <w:sz w:val="20"/>
                <w:szCs w:val="20"/>
              </w:rPr>
            </w:pPr>
            <w:r>
              <w:rPr>
                <w:rFonts w:ascii="Arial Narrow" w:hAnsi="Arial Narrow" w:cstheme="minorHAnsi"/>
                <w:iCs/>
                <w:sz w:val="20"/>
                <w:szCs w:val="20"/>
              </w:rPr>
              <w:t>3 years</w:t>
            </w:r>
          </w:p>
        </w:tc>
        <w:tc>
          <w:tcPr>
            <w:tcW w:w="431" w:type="pct"/>
            <w:tcMar>
              <w:left w:w="28" w:type="dxa"/>
              <w:right w:w="28" w:type="dxa"/>
            </w:tcMar>
            <w:vAlign w:val="center"/>
          </w:tcPr>
          <w:p w:rsidR="002B6CEA" w:rsidRDefault="00A97395">
            <w:pPr>
              <w:jc w:val="center"/>
              <w:rPr>
                <w:rFonts w:ascii="Arial Narrow" w:hAnsi="Arial Narrow" w:cstheme="minorHAnsi"/>
                <w:iCs/>
                <w:sz w:val="20"/>
                <w:szCs w:val="20"/>
              </w:rPr>
            </w:pPr>
            <w:r>
              <w:rPr>
                <w:rFonts w:ascii="Arial Narrow" w:hAnsi="Arial Narrow" w:cstheme="minorHAnsi"/>
                <w:iCs/>
                <w:sz w:val="20"/>
                <w:szCs w:val="20"/>
              </w:rPr>
              <w:t>0.21</w:t>
            </w:r>
          </w:p>
        </w:tc>
        <w:tc>
          <w:tcPr>
            <w:tcW w:w="439" w:type="pct"/>
            <w:tcMar>
              <w:left w:w="28" w:type="dxa"/>
              <w:right w:w="28" w:type="dxa"/>
            </w:tcMar>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70" w:type="pct"/>
            <w:tcMar>
              <w:left w:w="28" w:type="dxa"/>
              <w:right w:w="28" w:type="dxa"/>
            </w:tcMar>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394" w:type="pct"/>
            <w:tcMar>
              <w:left w:w="28" w:type="dxa"/>
              <w:right w:w="28" w:type="dxa"/>
            </w:tcMar>
            <w:vAlign w:val="center"/>
          </w:tcPr>
          <w:p w:rsidR="002B6CEA" w:rsidRDefault="00A97395">
            <w:pPr>
              <w:jc w:val="center"/>
              <w:rPr>
                <w:rFonts w:ascii="Arial Narrow" w:hAnsi="Arial Narrow" w:cstheme="minorHAnsi"/>
                <w:sz w:val="20"/>
                <w:szCs w:val="20"/>
              </w:rPr>
            </w:pPr>
            <w:r>
              <w:rPr>
                <w:rFonts w:ascii="Arial Narrow" w:hAnsi="Arial Narrow" w:cstheme="minorHAnsi"/>
                <w:sz w:val="20"/>
                <w:szCs w:val="20"/>
              </w:rPr>
              <w:t>+16%</w:t>
            </w:r>
          </w:p>
        </w:tc>
        <w:tc>
          <w:tcPr>
            <w:tcW w:w="522" w:type="pct"/>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highlight w:val="black"/>
              </w:rPr>
              <w:t>''''''''''''''''''''''</w:t>
            </w:r>
          </w:p>
        </w:tc>
      </w:tr>
      <w:tr w:rsidR="002B6CEA">
        <w:trPr>
          <w:trHeight w:val="113"/>
        </w:trPr>
        <w:tc>
          <w:tcPr>
            <w:tcW w:w="2744" w:type="pct"/>
            <w:gridSpan w:val="3"/>
            <w:tcMar>
              <w:left w:w="28" w:type="dxa"/>
              <w:right w:w="28" w:type="dxa"/>
            </w:tcMar>
          </w:tcPr>
          <w:p w:rsidR="002B6CEA" w:rsidRDefault="00A97395">
            <w:pPr>
              <w:jc w:val="left"/>
              <w:rPr>
                <w:rFonts w:ascii="Arial Narrow" w:hAnsi="Arial Narrow" w:cstheme="minorHAnsi"/>
                <w:iCs/>
                <w:sz w:val="20"/>
                <w:szCs w:val="20"/>
              </w:rPr>
            </w:pPr>
            <w:r>
              <w:rPr>
                <w:rFonts w:ascii="Arial Narrow" w:hAnsi="Arial Narrow" w:cstheme="minorHAnsi"/>
                <w:b/>
                <w:bCs/>
                <w:iCs/>
                <w:sz w:val="20"/>
                <w:szCs w:val="20"/>
              </w:rPr>
              <w:t>Populations and assumptions</w:t>
            </w:r>
          </w:p>
        </w:tc>
        <w:tc>
          <w:tcPr>
            <w:tcW w:w="431" w:type="pct"/>
            <w:tcMar>
              <w:left w:w="28" w:type="dxa"/>
              <w:right w:w="28" w:type="dxa"/>
            </w:tcMar>
            <w:vAlign w:val="center"/>
          </w:tcPr>
          <w:p w:rsidR="002B6CEA" w:rsidRDefault="002B6CEA">
            <w:pPr>
              <w:jc w:val="center"/>
              <w:rPr>
                <w:rFonts w:ascii="Arial Narrow" w:hAnsi="Arial Narrow" w:cstheme="minorHAnsi"/>
                <w:sz w:val="20"/>
                <w:szCs w:val="20"/>
              </w:rPr>
            </w:pPr>
          </w:p>
        </w:tc>
        <w:tc>
          <w:tcPr>
            <w:tcW w:w="439" w:type="pct"/>
            <w:tcMar>
              <w:left w:w="28" w:type="dxa"/>
              <w:right w:w="28" w:type="dxa"/>
            </w:tcMar>
            <w:vAlign w:val="center"/>
          </w:tcPr>
          <w:p w:rsidR="002B6CEA" w:rsidRDefault="002B6CEA">
            <w:pPr>
              <w:jc w:val="center"/>
              <w:rPr>
                <w:rFonts w:ascii="Arial Narrow" w:hAnsi="Arial Narrow" w:cstheme="minorHAnsi"/>
                <w:sz w:val="20"/>
                <w:szCs w:val="20"/>
              </w:rPr>
            </w:pPr>
          </w:p>
        </w:tc>
        <w:tc>
          <w:tcPr>
            <w:tcW w:w="470" w:type="pct"/>
            <w:tcMar>
              <w:left w:w="28" w:type="dxa"/>
              <w:right w:w="28" w:type="dxa"/>
            </w:tcMar>
            <w:vAlign w:val="center"/>
          </w:tcPr>
          <w:p w:rsidR="002B6CEA" w:rsidRDefault="002B6CEA">
            <w:pPr>
              <w:jc w:val="center"/>
              <w:rPr>
                <w:rFonts w:ascii="Arial Narrow" w:hAnsi="Arial Narrow" w:cstheme="minorHAnsi"/>
                <w:sz w:val="20"/>
                <w:szCs w:val="20"/>
              </w:rPr>
            </w:pPr>
          </w:p>
        </w:tc>
        <w:tc>
          <w:tcPr>
            <w:tcW w:w="394" w:type="pct"/>
            <w:tcMar>
              <w:left w:w="28" w:type="dxa"/>
              <w:right w:w="28" w:type="dxa"/>
            </w:tcMar>
            <w:vAlign w:val="center"/>
          </w:tcPr>
          <w:p w:rsidR="002B6CEA" w:rsidRDefault="002B6CEA">
            <w:pPr>
              <w:jc w:val="center"/>
              <w:rPr>
                <w:rFonts w:ascii="Arial Narrow" w:hAnsi="Arial Narrow" w:cstheme="minorHAnsi"/>
                <w:sz w:val="20"/>
                <w:szCs w:val="20"/>
              </w:rPr>
            </w:pPr>
          </w:p>
        </w:tc>
        <w:tc>
          <w:tcPr>
            <w:tcW w:w="522" w:type="pct"/>
          </w:tcPr>
          <w:p w:rsidR="002B6CEA" w:rsidRDefault="002B6CEA">
            <w:pPr>
              <w:jc w:val="center"/>
              <w:rPr>
                <w:rFonts w:ascii="Arial Narrow" w:hAnsi="Arial Narrow" w:cstheme="minorHAnsi"/>
                <w:sz w:val="20"/>
                <w:szCs w:val="20"/>
              </w:rPr>
            </w:pPr>
          </w:p>
        </w:tc>
      </w:tr>
      <w:tr w:rsidR="002B6CEA">
        <w:trPr>
          <w:trHeight w:val="113"/>
        </w:trPr>
        <w:tc>
          <w:tcPr>
            <w:tcW w:w="2744" w:type="pct"/>
            <w:gridSpan w:val="3"/>
            <w:tcMar>
              <w:left w:w="28" w:type="dxa"/>
              <w:right w:w="28" w:type="dxa"/>
            </w:tcMar>
          </w:tcPr>
          <w:p w:rsidR="002B6CEA" w:rsidRDefault="00A97395">
            <w:pPr>
              <w:jc w:val="left"/>
              <w:rPr>
                <w:rFonts w:ascii="Arial Narrow" w:hAnsi="Arial Narrow" w:cstheme="minorHAnsi"/>
                <w:iCs/>
                <w:sz w:val="20"/>
                <w:szCs w:val="20"/>
              </w:rPr>
            </w:pPr>
            <w:r>
              <w:rPr>
                <w:rFonts w:ascii="Arial Narrow" w:hAnsi="Arial Narrow" w:cstheme="minorHAnsi"/>
                <w:iCs/>
                <w:sz w:val="20"/>
                <w:szCs w:val="20"/>
              </w:rPr>
              <w:t>Full CELESTIAL population (ITT)</w:t>
            </w:r>
          </w:p>
        </w:tc>
        <w:tc>
          <w:tcPr>
            <w:tcW w:w="431" w:type="pct"/>
            <w:tcMar>
              <w:left w:w="28" w:type="dxa"/>
              <w:right w:w="28" w:type="dxa"/>
            </w:tcMar>
            <w:vAlign w:val="center"/>
          </w:tcPr>
          <w:p w:rsidR="002B6CEA" w:rsidRDefault="00A97395">
            <w:pPr>
              <w:jc w:val="center"/>
              <w:rPr>
                <w:rFonts w:ascii="Arial Narrow" w:hAnsi="Arial Narrow" w:cstheme="minorHAnsi"/>
                <w:iCs/>
                <w:sz w:val="20"/>
                <w:szCs w:val="20"/>
              </w:rPr>
            </w:pPr>
            <w:r>
              <w:rPr>
                <w:rFonts w:ascii="Arial Narrow" w:hAnsi="Arial Narrow" w:cstheme="minorHAnsi"/>
                <w:iCs/>
                <w:sz w:val="20"/>
                <w:szCs w:val="20"/>
              </w:rPr>
              <w:t>0.20</w:t>
            </w:r>
          </w:p>
        </w:tc>
        <w:tc>
          <w:tcPr>
            <w:tcW w:w="439" w:type="pct"/>
            <w:tcMar>
              <w:left w:w="28" w:type="dxa"/>
              <w:right w:w="28" w:type="dxa"/>
            </w:tcMar>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70" w:type="pct"/>
            <w:tcMar>
              <w:left w:w="28" w:type="dxa"/>
              <w:right w:w="28" w:type="dxa"/>
            </w:tcMar>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394" w:type="pct"/>
            <w:tcMar>
              <w:left w:w="28" w:type="dxa"/>
              <w:right w:w="28" w:type="dxa"/>
            </w:tcMar>
            <w:vAlign w:val="center"/>
          </w:tcPr>
          <w:p w:rsidR="002B6CEA" w:rsidRDefault="00A97395">
            <w:pPr>
              <w:jc w:val="center"/>
              <w:rPr>
                <w:rFonts w:ascii="Arial Narrow" w:hAnsi="Arial Narrow" w:cstheme="minorHAnsi"/>
                <w:sz w:val="20"/>
                <w:szCs w:val="20"/>
              </w:rPr>
            </w:pPr>
            <w:r>
              <w:rPr>
                <w:rFonts w:ascii="Arial Narrow" w:hAnsi="Arial Narrow" w:cstheme="minorHAnsi"/>
                <w:sz w:val="20"/>
                <w:szCs w:val="20"/>
              </w:rPr>
              <w:t>+30%</w:t>
            </w:r>
          </w:p>
        </w:tc>
        <w:tc>
          <w:tcPr>
            <w:tcW w:w="522" w:type="pct"/>
          </w:tcPr>
          <w:p w:rsidR="002B6CEA" w:rsidRDefault="00A97395">
            <w:pPr>
              <w:jc w:val="center"/>
              <w:rPr>
                <w:rFonts w:ascii="Arial Narrow" w:hAnsi="Arial Narrow" w:cstheme="minorHAnsi"/>
                <w:sz w:val="20"/>
                <w:szCs w:val="20"/>
              </w:rPr>
            </w:pPr>
            <w:r>
              <w:rPr>
                <w:rFonts w:ascii="Arial Narrow" w:hAnsi="Arial Narrow" w:cstheme="minorHAnsi"/>
                <w:sz w:val="20"/>
                <w:szCs w:val="20"/>
              </w:rPr>
              <w:t>-</w:t>
            </w:r>
          </w:p>
        </w:tc>
      </w:tr>
      <w:tr w:rsidR="002B6CEA">
        <w:trPr>
          <w:trHeight w:val="113"/>
        </w:trPr>
        <w:tc>
          <w:tcPr>
            <w:tcW w:w="2744" w:type="pct"/>
            <w:gridSpan w:val="3"/>
            <w:tcMar>
              <w:left w:w="28" w:type="dxa"/>
              <w:right w:w="28" w:type="dxa"/>
            </w:tcMar>
          </w:tcPr>
          <w:p w:rsidR="002B6CEA" w:rsidRDefault="00A97395">
            <w:pPr>
              <w:jc w:val="left"/>
              <w:rPr>
                <w:rFonts w:ascii="Arial Narrow" w:hAnsi="Arial Narrow" w:cstheme="minorHAnsi"/>
                <w:iCs/>
                <w:sz w:val="20"/>
                <w:szCs w:val="20"/>
              </w:rPr>
            </w:pPr>
            <w:r>
              <w:rPr>
                <w:rFonts w:ascii="Arial Narrow" w:hAnsi="Arial Narrow" w:cstheme="minorHAnsi"/>
                <w:iCs/>
                <w:sz w:val="20"/>
                <w:szCs w:val="20"/>
              </w:rPr>
              <w:t>Sorafenib only prior treatment</w:t>
            </w:r>
          </w:p>
        </w:tc>
        <w:tc>
          <w:tcPr>
            <w:tcW w:w="431" w:type="pct"/>
            <w:tcMar>
              <w:left w:w="28" w:type="dxa"/>
              <w:right w:w="28" w:type="dxa"/>
            </w:tcMar>
            <w:vAlign w:val="center"/>
          </w:tcPr>
          <w:p w:rsidR="002B6CEA" w:rsidRDefault="00A97395">
            <w:pPr>
              <w:jc w:val="center"/>
              <w:rPr>
                <w:rFonts w:ascii="Arial Narrow" w:hAnsi="Arial Narrow" w:cstheme="minorHAnsi"/>
                <w:iCs/>
                <w:sz w:val="20"/>
                <w:szCs w:val="20"/>
              </w:rPr>
            </w:pPr>
            <w:r>
              <w:rPr>
                <w:rFonts w:ascii="Arial Narrow" w:hAnsi="Arial Narrow" w:cstheme="minorHAnsi"/>
                <w:iCs/>
                <w:sz w:val="20"/>
                <w:szCs w:val="20"/>
              </w:rPr>
              <w:t>0.17</w:t>
            </w:r>
          </w:p>
        </w:tc>
        <w:tc>
          <w:tcPr>
            <w:tcW w:w="439" w:type="pct"/>
            <w:tcMar>
              <w:left w:w="28" w:type="dxa"/>
              <w:right w:w="28" w:type="dxa"/>
            </w:tcMar>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70" w:type="pct"/>
            <w:tcMar>
              <w:left w:w="28" w:type="dxa"/>
              <w:right w:w="28" w:type="dxa"/>
            </w:tcMar>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394" w:type="pct"/>
            <w:tcMar>
              <w:left w:w="28" w:type="dxa"/>
              <w:right w:w="28" w:type="dxa"/>
            </w:tcMar>
            <w:vAlign w:val="center"/>
          </w:tcPr>
          <w:p w:rsidR="002B6CEA" w:rsidRDefault="00A97395">
            <w:pPr>
              <w:jc w:val="center"/>
              <w:rPr>
                <w:rFonts w:ascii="Arial Narrow" w:hAnsi="Arial Narrow" w:cstheme="minorHAnsi"/>
                <w:sz w:val="20"/>
                <w:szCs w:val="20"/>
              </w:rPr>
            </w:pPr>
            <w:r>
              <w:rPr>
                <w:rFonts w:ascii="Arial Narrow" w:hAnsi="Arial Narrow" w:cstheme="minorHAnsi"/>
                <w:sz w:val="20"/>
                <w:szCs w:val="20"/>
              </w:rPr>
              <w:t>+38%</w:t>
            </w:r>
          </w:p>
        </w:tc>
        <w:tc>
          <w:tcPr>
            <w:tcW w:w="522" w:type="pct"/>
          </w:tcPr>
          <w:p w:rsidR="002B6CEA" w:rsidRDefault="00A97395">
            <w:pPr>
              <w:jc w:val="center"/>
              <w:rPr>
                <w:rFonts w:ascii="Arial Narrow" w:hAnsi="Arial Narrow" w:cstheme="minorHAnsi"/>
                <w:sz w:val="20"/>
                <w:szCs w:val="20"/>
              </w:rPr>
            </w:pPr>
            <w:r>
              <w:rPr>
                <w:rFonts w:ascii="Arial Narrow" w:hAnsi="Arial Narrow" w:cstheme="minorHAnsi"/>
                <w:sz w:val="20"/>
                <w:szCs w:val="20"/>
              </w:rPr>
              <w:t>-</w:t>
            </w:r>
          </w:p>
        </w:tc>
      </w:tr>
      <w:tr w:rsidR="002B6CEA">
        <w:trPr>
          <w:trHeight w:val="113"/>
        </w:trPr>
        <w:tc>
          <w:tcPr>
            <w:tcW w:w="862" w:type="pct"/>
            <w:vMerge w:val="restart"/>
            <w:tcMar>
              <w:left w:w="28" w:type="dxa"/>
              <w:right w:w="28" w:type="dxa"/>
            </w:tcMar>
          </w:tcPr>
          <w:p w:rsidR="002B6CEA" w:rsidRDefault="00A97395">
            <w:pPr>
              <w:jc w:val="left"/>
              <w:rPr>
                <w:rFonts w:ascii="Arial Narrow" w:hAnsi="Arial Narrow" w:cstheme="minorHAnsi"/>
                <w:iCs/>
                <w:sz w:val="20"/>
                <w:szCs w:val="20"/>
              </w:rPr>
            </w:pPr>
            <w:r>
              <w:rPr>
                <w:rFonts w:ascii="Arial Narrow" w:hAnsi="Arial Narrow" w:cstheme="minorHAnsi"/>
                <w:iCs/>
                <w:sz w:val="20"/>
                <w:szCs w:val="20"/>
              </w:rPr>
              <w:t>Utilities estimates</w:t>
            </w:r>
          </w:p>
        </w:tc>
        <w:tc>
          <w:tcPr>
            <w:tcW w:w="708" w:type="pct"/>
            <w:vMerge w:val="restart"/>
            <w:tcMar>
              <w:left w:w="28" w:type="dxa"/>
              <w:right w:w="28" w:type="dxa"/>
            </w:tcMar>
          </w:tcPr>
          <w:p w:rsidR="002B6CEA" w:rsidRDefault="00A97395">
            <w:pPr>
              <w:jc w:val="left"/>
              <w:rPr>
                <w:rFonts w:ascii="Arial Narrow" w:hAnsi="Arial Narrow" w:cstheme="minorHAnsi"/>
                <w:iCs/>
                <w:sz w:val="20"/>
                <w:szCs w:val="20"/>
              </w:rPr>
            </w:pPr>
            <w:r>
              <w:rPr>
                <w:rFonts w:ascii="Arial Narrow" w:hAnsi="Arial Narrow"/>
                <w:iCs/>
                <w:sz w:val="20"/>
                <w:szCs w:val="20"/>
              </w:rPr>
              <w:t>Multivariate mixed model for repeat measurement</w:t>
            </w:r>
          </w:p>
        </w:tc>
        <w:tc>
          <w:tcPr>
            <w:tcW w:w="1174" w:type="pct"/>
            <w:tcMar>
              <w:left w:w="28" w:type="dxa"/>
              <w:right w:w="28" w:type="dxa"/>
            </w:tcMar>
          </w:tcPr>
          <w:p w:rsidR="002B6CEA" w:rsidRDefault="00A97395">
            <w:pPr>
              <w:jc w:val="left"/>
              <w:rPr>
                <w:rFonts w:ascii="Arial Narrow" w:hAnsi="Arial Narrow" w:cstheme="minorHAnsi"/>
                <w:iCs/>
                <w:sz w:val="20"/>
                <w:szCs w:val="20"/>
              </w:rPr>
            </w:pPr>
            <w:r>
              <w:rPr>
                <w:rFonts w:ascii="Arial Narrow" w:hAnsi="Arial Narrow" w:cstheme="minorHAnsi"/>
                <w:iCs/>
                <w:sz w:val="20"/>
                <w:szCs w:val="20"/>
              </w:rPr>
              <w:t>Health states: TA514 - Regorafenib</w:t>
            </w:r>
          </w:p>
        </w:tc>
        <w:tc>
          <w:tcPr>
            <w:tcW w:w="431" w:type="pct"/>
            <w:tcMar>
              <w:left w:w="28" w:type="dxa"/>
              <w:right w:w="28" w:type="dxa"/>
            </w:tcMar>
            <w:vAlign w:val="center"/>
          </w:tcPr>
          <w:p w:rsidR="002B6CEA" w:rsidRDefault="00A97395">
            <w:pPr>
              <w:jc w:val="center"/>
              <w:rPr>
                <w:rFonts w:ascii="Arial Narrow" w:hAnsi="Arial Narrow" w:cstheme="minorHAnsi"/>
                <w:iCs/>
                <w:sz w:val="20"/>
                <w:szCs w:val="20"/>
              </w:rPr>
            </w:pPr>
            <w:r>
              <w:rPr>
                <w:rFonts w:ascii="Arial Narrow" w:hAnsi="Arial Narrow" w:cstheme="minorHAnsi"/>
                <w:iCs/>
                <w:sz w:val="20"/>
                <w:szCs w:val="20"/>
              </w:rPr>
              <w:t>0.30</w:t>
            </w:r>
          </w:p>
        </w:tc>
        <w:tc>
          <w:tcPr>
            <w:tcW w:w="439" w:type="pct"/>
            <w:tcMar>
              <w:left w:w="28" w:type="dxa"/>
              <w:right w:w="28" w:type="dxa"/>
            </w:tcMar>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70" w:type="pct"/>
            <w:tcMar>
              <w:left w:w="28" w:type="dxa"/>
              <w:right w:w="28" w:type="dxa"/>
            </w:tcMar>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394" w:type="pct"/>
            <w:tcMar>
              <w:left w:w="28" w:type="dxa"/>
              <w:right w:w="28" w:type="dxa"/>
            </w:tcMar>
            <w:vAlign w:val="center"/>
          </w:tcPr>
          <w:p w:rsidR="002B6CEA" w:rsidRDefault="00A97395">
            <w:pPr>
              <w:jc w:val="center"/>
              <w:rPr>
                <w:rFonts w:ascii="Arial Narrow" w:hAnsi="Arial Narrow" w:cstheme="minorHAnsi"/>
                <w:sz w:val="20"/>
                <w:szCs w:val="20"/>
              </w:rPr>
            </w:pPr>
            <w:r>
              <w:rPr>
                <w:rFonts w:ascii="Arial Narrow" w:hAnsi="Arial Narrow" w:cstheme="minorHAnsi"/>
                <w:sz w:val="20"/>
                <w:szCs w:val="20"/>
              </w:rPr>
              <w:t>-10%</w:t>
            </w:r>
          </w:p>
        </w:tc>
        <w:tc>
          <w:tcPr>
            <w:tcW w:w="522" w:type="pct"/>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highlight w:val="black"/>
              </w:rPr>
              <w:t>'''''''''''''''''''''''</w:t>
            </w:r>
          </w:p>
        </w:tc>
      </w:tr>
      <w:tr w:rsidR="002B6CEA">
        <w:trPr>
          <w:trHeight w:val="113"/>
        </w:trPr>
        <w:tc>
          <w:tcPr>
            <w:tcW w:w="862" w:type="pct"/>
            <w:vMerge/>
            <w:tcMar>
              <w:left w:w="28" w:type="dxa"/>
              <w:right w:w="28" w:type="dxa"/>
            </w:tcMar>
          </w:tcPr>
          <w:p w:rsidR="002B6CEA" w:rsidRDefault="002B6CEA">
            <w:pPr>
              <w:jc w:val="left"/>
              <w:rPr>
                <w:rFonts w:ascii="Arial Narrow" w:hAnsi="Arial Narrow" w:cstheme="minorHAnsi"/>
                <w:iCs/>
                <w:sz w:val="20"/>
                <w:szCs w:val="20"/>
              </w:rPr>
            </w:pPr>
          </w:p>
        </w:tc>
        <w:tc>
          <w:tcPr>
            <w:tcW w:w="708" w:type="pct"/>
            <w:vMerge/>
            <w:tcMar>
              <w:left w:w="28" w:type="dxa"/>
              <w:right w:w="28" w:type="dxa"/>
            </w:tcMar>
          </w:tcPr>
          <w:p w:rsidR="002B6CEA" w:rsidRDefault="002B6CEA">
            <w:pPr>
              <w:jc w:val="left"/>
              <w:rPr>
                <w:rFonts w:ascii="Arial Narrow" w:hAnsi="Arial Narrow" w:cstheme="minorHAnsi"/>
                <w:iCs/>
                <w:sz w:val="20"/>
                <w:szCs w:val="20"/>
              </w:rPr>
            </w:pPr>
          </w:p>
        </w:tc>
        <w:tc>
          <w:tcPr>
            <w:tcW w:w="1174" w:type="pct"/>
            <w:tcMar>
              <w:left w:w="28" w:type="dxa"/>
              <w:right w:w="28" w:type="dxa"/>
            </w:tcMar>
          </w:tcPr>
          <w:p w:rsidR="002B6CEA" w:rsidRDefault="00A97395">
            <w:pPr>
              <w:jc w:val="left"/>
              <w:rPr>
                <w:rFonts w:ascii="Arial Narrow" w:hAnsi="Arial Narrow" w:cstheme="minorHAnsi"/>
                <w:iCs/>
                <w:sz w:val="20"/>
                <w:szCs w:val="20"/>
              </w:rPr>
            </w:pPr>
            <w:r>
              <w:rPr>
                <w:rFonts w:ascii="Arial Narrow" w:hAnsi="Arial Narrow" w:cstheme="minorHAnsi"/>
                <w:iCs/>
                <w:sz w:val="20"/>
                <w:szCs w:val="20"/>
              </w:rPr>
              <w:t>Health States &amp; Adverse events: TA514 - Regorafenib</w:t>
            </w:r>
          </w:p>
        </w:tc>
        <w:tc>
          <w:tcPr>
            <w:tcW w:w="431" w:type="pct"/>
            <w:tcMar>
              <w:left w:w="28" w:type="dxa"/>
              <w:right w:w="28" w:type="dxa"/>
            </w:tcMar>
            <w:vAlign w:val="center"/>
          </w:tcPr>
          <w:p w:rsidR="002B6CEA" w:rsidRDefault="00A97395">
            <w:pPr>
              <w:jc w:val="center"/>
              <w:rPr>
                <w:rFonts w:ascii="Arial Narrow" w:hAnsi="Arial Narrow" w:cstheme="minorHAnsi"/>
                <w:iCs/>
                <w:sz w:val="20"/>
                <w:szCs w:val="20"/>
              </w:rPr>
            </w:pPr>
            <w:r>
              <w:rPr>
                <w:rFonts w:ascii="Arial Narrow" w:hAnsi="Arial Narrow" w:cstheme="minorHAnsi"/>
                <w:iCs/>
                <w:sz w:val="20"/>
                <w:szCs w:val="20"/>
              </w:rPr>
              <w:t>0.30</w:t>
            </w:r>
          </w:p>
        </w:tc>
        <w:tc>
          <w:tcPr>
            <w:tcW w:w="439" w:type="pct"/>
            <w:tcMar>
              <w:left w:w="28" w:type="dxa"/>
              <w:right w:w="28" w:type="dxa"/>
            </w:tcMar>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70" w:type="pct"/>
            <w:tcMar>
              <w:left w:w="28" w:type="dxa"/>
              <w:right w:w="28" w:type="dxa"/>
            </w:tcMar>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394" w:type="pct"/>
            <w:tcMar>
              <w:left w:w="28" w:type="dxa"/>
              <w:right w:w="28" w:type="dxa"/>
            </w:tcMar>
            <w:vAlign w:val="center"/>
          </w:tcPr>
          <w:p w:rsidR="002B6CEA" w:rsidRDefault="00A97395">
            <w:pPr>
              <w:jc w:val="center"/>
              <w:rPr>
                <w:rFonts w:ascii="Arial Narrow" w:hAnsi="Arial Narrow" w:cstheme="minorHAnsi"/>
                <w:sz w:val="20"/>
                <w:szCs w:val="20"/>
              </w:rPr>
            </w:pPr>
            <w:r>
              <w:rPr>
                <w:rFonts w:ascii="Arial Narrow" w:hAnsi="Arial Narrow" w:cstheme="minorHAnsi"/>
                <w:sz w:val="20"/>
                <w:szCs w:val="20"/>
              </w:rPr>
              <w:t>-11%</w:t>
            </w:r>
          </w:p>
        </w:tc>
        <w:tc>
          <w:tcPr>
            <w:tcW w:w="522" w:type="pct"/>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highlight w:val="black"/>
              </w:rPr>
              <w:t>''''''''''''''''''''</w:t>
            </w:r>
          </w:p>
        </w:tc>
      </w:tr>
      <w:tr w:rsidR="002B6CEA">
        <w:trPr>
          <w:trHeight w:val="113"/>
        </w:trPr>
        <w:tc>
          <w:tcPr>
            <w:tcW w:w="862" w:type="pct"/>
            <w:vMerge/>
            <w:tcMar>
              <w:left w:w="28" w:type="dxa"/>
              <w:right w:w="28" w:type="dxa"/>
            </w:tcMar>
          </w:tcPr>
          <w:p w:rsidR="002B6CEA" w:rsidRDefault="002B6CEA">
            <w:pPr>
              <w:jc w:val="left"/>
              <w:rPr>
                <w:rFonts w:ascii="Arial Narrow" w:hAnsi="Arial Narrow" w:cstheme="minorHAnsi"/>
                <w:iCs/>
                <w:sz w:val="20"/>
                <w:szCs w:val="20"/>
              </w:rPr>
            </w:pPr>
          </w:p>
        </w:tc>
        <w:tc>
          <w:tcPr>
            <w:tcW w:w="708" w:type="pct"/>
            <w:vMerge/>
            <w:tcMar>
              <w:left w:w="28" w:type="dxa"/>
              <w:right w:w="28" w:type="dxa"/>
            </w:tcMar>
          </w:tcPr>
          <w:p w:rsidR="002B6CEA" w:rsidRDefault="002B6CEA">
            <w:pPr>
              <w:jc w:val="left"/>
              <w:rPr>
                <w:rFonts w:ascii="Arial Narrow" w:hAnsi="Arial Narrow" w:cstheme="minorHAnsi"/>
                <w:iCs/>
                <w:sz w:val="20"/>
                <w:szCs w:val="20"/>
              </w:rPr>
            </w:pPr>
          </w:p>
        </w:tc>
        <w:tc>
          <w:tcPr>
            <w:tcW w:w="1174" w:type="pct"/>
            <w:tcMar>
              <w:left w:w="28" w:type="dxa"/>
              <w:right w:w="28" w:type="dxa"/>
            </w:tcMar>
          </w:tcPr>
          <w:p w:rsidR="002B6CEA" w:rsidRDefault="00A97395">
            <w:pPr>
              <w:jc w:val="left"/>
              <w:rPr>
                <w:rFonts w:ascii="Arial Narrow" w:hAnsi="Arial Narrow" w:cstheme="minorHAnsi"/>
                <w:iCs/>
                <w:sz w:val="20"/>
                <w:szCs w:val="20"/>
              </w:rPr>
            </w:pPr>
            <w:r>
              <w:rPr>
                <w:rFonts w:ascii="Arial Narrow" w:hAnsi="Arial Narrow" w:cstheme="minorHAnsi"/>
                <w:iCs/>
                <w:sz w:val="20"/>
                <w:szCs w:val="20"/>
              </w:rPr>
              <w:t>Health States &amp; Adverse events:  CELESTIAL 5L alternative</w:t>
            </w:r>
          </w:p>
        </w:tc>
        <w:tc>
          <w:tcPr>
            <w:tcW w:w="431" w:type="pct"/>
            <w:tcMar>
              <w:left w:w="28" w:type="dxa"/>
              <w:right w:w="28" w:type="dxa"/>
            </w:tcMar>
            <w:vAlign w:val="center"/>
          </w:tcPr>
          <w:p w:rsidR="002B6CEA" w:rsidRDefault="00A97395">
            <w:pPr>
              <w:jc w:val="center"/>
              <w:rPr>
                <w:rFonts w:ascii="Arial Narrow" w:hAnsi="Arial Narrow" w:cstheme="minorHAnsi"/>
                <w:iCs/>
                <w:sz w:val="20"/>
                <w:szCs w:val="20"/>
              </w:rPr>
            </w:pPr>
            <w:r>
              <w:rPr>
                <w:rFonts w:ascii="Arial Narrow" w:hAnsi="Arial Narrow" w:cstheme="minorHAnsi"/>
                <w:iCs/>
                <w:sz w:val="20"/>
                <w:szCs w:val="20"/>
              </w:rPr>
              <w:t>0.30</w:t>
            </w:r>
          </w:p>
        </w:tc>
        <w:tc>
          <w:tcPr>
            <w:tcW w:w="439" w:type="pct"/>
            <w:tcMar>
              <w:left w:w="28" w:type="dxa"/>
              <w:right w:w="28" w:type="dxa"/>
            </w:tcMar>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70" w:type="pct"/>
            <w:tcMar>
              <w:left w:w="28" w:type="dxa"/>
              <w:right w:w="28" w:type="dxa"/>
            </w:tcMar>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394" w:type="pct"/>
            <w:tcMar>
              <w:left w:w="28" w:type="dxa"/>
              <w:right w:w="28" w:type="dxa"/>
            </w:tcMar>
            <w:vAlign w:val="center"/>
          </w:tcPr>
          <w:p w:rsidR="002B6CEA" w:rsidRDefault="00A97395">
            <w:pPr>
              <w:jc w:val="center"/>
              <w:rPr>
                <w:rFonts w:ascii="Arial Narrow" w:hAnsi="Arial Narrow" w:cstheme="minorHAnsi"/>
                <w:sz w:val="20"/>
                <w:szCs w:val="20"/>
              </w:rPr>
            </w:pPr>
            <w:r>
              <w:rPr>
                <w:rFonts w:ascii="Arial Narrow" w:hAnsi="Arial Narrow" w:cstheme="minorHAnsi"/>
                <w:sz w:val="20"/>
                <w:szCs w:val="20"/>
              </w:rPr>
              <w:t>-12%</w:t>
            </w:r>
          </w:p>
        </w:tc>
        <w:tc>
          <w:tcPr>
            <w:tcW w:w="522" w:type="pct"/>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highlight w:val="black"/>
              </w:rPr>
              <w:t>'''''''''''''''''''''</w:t>
            </w:r>
          </w:p>
        </w:tc>
      </w:tr>
      <w:tr w:rsidR="002B6CEA">
        <w:trPr>
          <w:trHeight w:val="113"/>
        </w:trPr>
        <w:tc>
          <w:tcPr>
            <w:tcW w:w="862" w:type="pct"/>
            <w:vMerge/>
            <w:tcMar>
              <w:left w:w="28" w:type="dxa"/>
              <w:right w:w="28" w:type="dxa"/>
            </w:tcMar>
          </w:tcPr>
          <w:p w:rsidR="002B6CEA" w:rsidRDefault="002B6CEA">
            <w:pPr>
              <w:jc w:val="left"/>
              <w:rPr>
                <w:rFonts w:ascii="Arial Narrow" w:hAnsi="Arial Narrow" w:cstheme="minorHAnsi"/>
                <w:iCs/>
                <w:sz w:val="20"/>
                <w:szCs w:val="20"/>
              </w:rPr>
            </w:pPr>
          </w:p>
        </w:tc>
        <w:tc>
          <w:tcPr>
            <w:tcW w:w="708" w:type="pct"/>
            <w:vMerge/>
            <w:tcMar>
              <w:left w:w="28" w:type="dxa"/>
              <w:right w:w="28" w:type="dxa"/>
            </w:tcMar>
          </w:tcPr>
          <w:p w:rsidR="002B6CEA" w:rsidRDefault="002B6CEA">
            <w:pPr>
              <w:jc w:val="left"/>
              <w:rPr>
                <w:rFonts w:ascii="Arial Narrow" w:hAnsi="Arial Narrow" w:cstheme="minorHAnsi"/>
                <w:iCs/>
                <w:sz w:val="20"/>
                <w:szCs w:val="20"/>
              </w:rPr>
            </w:pPr>
          </w:p>
        </w:tc>
        <w:tc>
          <w:tcPr>
            <w:tcW w:w="1174" w:type="pct"/>
            <w:tcMar>
              <w:left w:w="28" w:type="dxa"/>
              <w:right w:w="28" w:type="dxa"/>
            </w:tcMar>
          </w:tcPr>
          <w:p w:rsidR="002B6CEA" w:rsidRDefault="00A97395">
            <w:pPr>
              <w:jc w:val="left"/>
              <w:rPr>
                <w:rFonts w:ascii="Arial Narrow" w:hAnsi="Arial Narrow" w:cstheme="minorHAnsi"/>
                <w:iCs/>
                <w:sz w:val="20"/>
                <w:szCs w:val="20"/>
              </w:rPr>
            </w:pPr>
            <w:r>
              <w:rPr>
                <w:rFonts w:ascii="Arial Narrow" w:hAnsi="Arial Narrow"/>
                <w:sz w:val="20"/>
                <w:szCs w:val="20"/>
              </w:rPr>
              <w:t>Multivariate mixed model for repeat measurement by adjusting treatment arms</w:t>
            </w:r>
          </w:p>
        </w:tc>
        <w:tc>
          <w:tcPr>
            <w:tcW w:w="431" w:type="pct"/>
            <w:tcMar>
              <w:left w:w="28" w:type="dxa"/>
              <w:right w:w="28" w:type="dxa"/>
            </w:tcMar>
            <w:vAlign w:val="center"/>
          </w:tcPr>
          <w:p w:rsidR="002B6CEA" w:rsidRDefault="00A97395">
            <w:pPr>
              <w:jc w:val="center"/>
              <w:rPr>
                <w:rFonts w:ascii="Arial Narrow" w:hAnsi="Arial Narrow" w:cstheme="minorHAnsi"/>
                <w:iCs/>
                <w:sz w:val="20"/>
                <w:szCs w:val="20"/>
              </w:rPr>
            </w:pPr>
            <w:r>
              <w:rPr>
                <w:rFonts w:ascii="Arial Narrow" w:hAnsi="Arial Narrow" w:cstheme="minorHAnsi"/>
                <w:sz w:val="20"/>
                <w:szCs w:val="20"/>
              </w:rPr>
              <w:t>0.19</w:t>
            </w:r>
          </w:p>
        </w:tc>
        <w:tc>
          <w:tcPr>
            <w:tcW w:w="439" w:type="pct"/>
            <w:tcMar>
              <w:left w:w="28" w:type="dxa"/>
              <w:right w:w="28" w:type="dxa"/>
            </w:tcMar>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70" w:type="pct"/>
            <w:tcMar>
              <w:left w:w="28" w:type="dxa"/>
              <w:right w:w="28" w:type="dxa"/>
            </w:tcMar>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394" w:type="pct"/>
            <w:tcMar>
              <w:left w:w="28" w:type="dxa"/>
              <w:right w:w="28" w:type="dxa"/>
            </w:tcMar>
            <w:vAlign w:val="center"/>
          </w:tcPr>
          <w:p w:rsidR="002B6CEA" w:rsidRDefault="00A97395">
            <w:pPr>
              <w:jc w:val="center"/>
              <w:rPr>
                <w:rFonts w:ascii="Arial Narrow" w:hAnsi="Arial Narrow" w:cstheme="minorHAnsi"/>
                <w:sz w:val="20"/>
                <w:szCs w:val="20"/>
              </w:rPr>
            </w:pPr>
            <w:r>
              <w:rPr>
                <w:rFonts w:ascii="Arial Narrow" w:hAnsi="Arial Narrow" w:cstheme="minorHAnsi"/>
                <w:sz w:val="20"/>
                <w:szCs w:val="20"/>
              </w:rPr>
              <w:t>+37%</w:t>
            </w:r>
          </w:p>
        </w:tc>
        <w:tc>
          <w:tcPr>
            <w:tcW w:w="522" w:type="pct"/>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highlight w:val="black"/>
              </w:rPr>
              <w:t>'''''''''''''''''''''</w:t>
            </w:r>
          </w:p>
        </w:tc>
      </w:tr>
      <w:tr w:rsidR="002B6CEA">
        <w:trPr>
          <w:trHeight w:val="253"/>
        </w:trPr>
        <w:tc>
          <w:tcPr>
            <w:tcW w:w="862" w:type="pct"/>
            <w:tcMar>
              <w:left w:w="28" w:type="dxa"/>
              <w:right w:w="28" w:type="dxa"/>
            </w:tcMar>
          </w:tcPr>
          <w:p w:rsidR="002B6CEA" w:rsidRDefault="00A97395">
            <w:pPr>
              <w:jc w:val="left"/>
              <w:rPr>
                <w:rFonts w:ascii="Arial Narrow" w:hAnsi="Arial Narrow" w:cstheme="minorHAnsi"/>
                <w:sz w:val="20"/>
                <w:szCs w:val="20"/>
              </w:rPr>
            </w:pPr>
            <w:r>
              <w:rPr>
                <w:rFonts w:ascii="Arial Narrow" w:hAnsi="Arial Narrow" w:cstheme="minorHAnsi"/>
                <w:sz w:val="20"/>
                <w:szCs w:val="20"/>
              </w:rPr>
              <w:t>Convergence of treatment effects of cabozantinib (OS, PFS, TTD)</w:t>
            </w:r>
          </w:p>
        </w:tc>
        <w:tc>
          <w:tcPr>
            <w:tcW w:w="708" w:type="pct"/>
            <w:tcMar>
              <w:left w:w="28" w:type="dxa"/>
              <w:right w:w="28" w:type="dxa"/>
            </w:tcMar>
          </w:tcPr>
          <w:p w:rsidR="002B6CEA" w:rsidRDefault="00A97395">
            <w:pPr>
              <w:jc w:val="left"/>
              <w:rPr>
                <w:rFonts w:ascii="Arial Narrow" w:hAnsi="Arial Narrow" w:cstheme="minorHAnsi"/>
                <w:sz w:val="20"/>
                <w:szCs w:val="20"/>
              </w:rPr>
            </w:pPr>
            <w:r>
              <w:rPr>
                <w:rFonts w:ascii="Arial Narrow" w:hAnsi="Arial Narrow" w:cstheme="minorHAnsi"/>
                <w:sz w:val="20"/>
                <w:szCs w:val="20"/>
              </w:rPr>
              <w:t>No convergence of treatment effects</w:t>
            </w:r>
          </w:p>
        </w:tc>
        <w:tc>
          <w:tcPr>
            <w:tcW w:w="1174" w:type="pct"/>
            <w:tcMar>
              <w:left w:w="28" w:type="dxa"/>
              <w:right w:w="28" w:type="dxa"/>
            </w:tcMar>
          </w:tcPr>
          <w:p w:rsidR="002B6CEA" w:rsidRDefault="00A97395">
            <w:pPr>
              <w:jc w:val="left"/>
              <w:rPr>
                <w:rFonts w:ascii="Arial Narrow" w:hAnsi="Arial Narrow" w:cstheme="minorHAnsi"/>
                <w:sz w:val="20"/>
                <w:szCs w:val="20"/>
              </w:rPr>
            </w:pPr>
            <w:r>
              <w:rPr>
                <w:rFonts w:ascii="Arial Narrow" w:hAnsi="Arial Narrow" w:cstheme="minorHAnsi"/>
                <w:sz w:val="20"/>
                <w:szCs w:val="20"/>
              </w:rPr>
              <w:t xml:space="preserve">Convergence applied to survival curves starting median follow-up of 22.9 months </w:t>
            </w:r>
          </w:p>
        </w:tc>
        <w:tc>
          <w:tcPr>
            <w:tcW w:w="431" w:type="pct"/>
            <w:tcMar>
              <w:left w:w="28" w:type="dxa"/>
              <w:right w:w="28" w:type="dxa"/>
            </w:tcMar>
            <w:vAlign w:val="center"/>
          </w:tcPr>
          <w:p w:rsidR="002B6CEA" w:rsidRDefault="00A97395">
            <w:pPr>
              <w:jc w:val="center"/>
              <w:rPr>
                <w:rFonts w:ascii="Arial Narrow" w:hAnsi="Arial Narrow" w:cstheme="minorHAnsi"/>
                <w:sz w:val="20"/>
                <w:szCs w:val="20"/>
              </w:rPr>
            </w:pPr>
            <w:r>
              <w:rPr>
                <w:rFonts w:ascii="Arial Narrow" w:hAnsi="Arial Narrow" w:cstheme="minorHAnsi"/>
                <w:sz w:val="20"/>
                <w:szCs w:val="20"/>
              </w:rPr>
              <w:t>0.22</w:t>
            </w:r>
          </w:p>
        </w:tc>
        <w:tc>
          <w:tcPr>
            <w:tcW w:w="439" w:type="pct"/>
            <w:tcMar>
              <w:left w:w="28" w:type="dxa"/>
              <w:right w:w="28" w:type="dxa"/>
            </w:tcMar>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70" w:type="pct"/>
            <w:tcMar>
              <w:left w:w="28" w:type="dxa"/>
              <w:right w:w="28" w:type="dxa"/>
            </w:tcMar>
            <w:vAlign w:val="center"/>
          </w:tcPr>
          <w:p w:rsidR="002B6CEA" w:rsidRDefault="00A97395">
            <w:pPr>
              <w:jc w:val="center"/>
              <w:rPr>
                <w:rFonts w:ascii="Arial Narrow" w:hAnsi="Arial Narrow" w:cstheme="minorHAnsi"/>
                <w:sz w:val="20"/>
                <w:szCs w:val="20"/>
              </w:rPr>
            </w:pPr>
            <w:r>
              <w:rPr>
                <w:rFonts w:ascii="Arial Narrow" w:hAnsi="Arial Narrow" w:cstheme="minorHAnsi"/>
                <w:sz w:val="20"/>
                <w:szCs w:val="20"/>
              </w:rPr>
              <w:t>$</w:t>
            </w:r>
            <w:r w:rsidR="00950C8B">
              <w:rPr>
                <w:rFonts w:ascii="Arial Narrow" w:hAnsi="Arial Narrow" w:cstheme="minorHAnsi"/>
                <w:noProof/>
                <w:color w:val="000000"/>
                <w:sz w:val="20"/>
                <w:szCs w:val="20"/>
                <w:highlight w:val="black"/>
              </w:rPr>
              <w:t>''''''''''''''''''</w:t>
            </w:r>
          </w:p>
        </w:tc>
        <w:tc>
          <w:tcPr>
            <w:tcW w:w="394" w:type="pct"/>
            <w:tcMar>
              <w:left w:w="28" w:type="dxa"/>
              <w:right w:w="28" w:type="dxa"/>
            </w:tcMar>
            <w:vAlign w:val="center"/>
          </w:tcPr>
          <w:p w:rsidR="002B6CEA" w:rsidRDefault="00A97395">
            <w:pPr>
              <w:jc w:val="center"/>
              <w:rPr>
                <w:rFonts w:ascii="Arial Narrow" w:hAnsi="Arial Narrow" w:cstheme="minorHAnsi"/>
                <w:sz w:val="20"/>
                <w:szCs w:val="20"/>
              </w:rPr>
            </w:pPr>
            <w:r>
              <w:rPr>
                <w:rFonts w:ascii="Arial Narrow" w:hAnsi="Arial Narrow" w:cstheme="minorHAnsi"/>
                <w:sz w:val="20"/>
                <w:szCs w:val="20"/>
              </w:rPr>
              <w:t>+8%</w:t>
            </w:r>
          </w:p>
        </w:tc>
        <w:tc>
          <w:tcPr>
            <w:tcW w:w="522" w:type="pct"/>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r>
      <w:tr w:rsidR="002B6CEA">
        <w:trPr>
          <w:trHeight w:val="113"/>
        </w:trPr>
        <w:tc>
          <w:tcPr>
            <w:tcW w:w="862" w:type="pct"/>
            <w:tcMar>
              <w:left w:w="28" w:type="dxa"/>
              <w:right w:w="28" w:type="dxa"/>
            </w:tcMar>
          </w:tcPr>
          <w:p w:rsidR="002B6CEA" w:rsidRDefault="00A97395">
            <w:pPr>
              <w:jc w:val="left"/>
              <w:rPr>
                <w:rFonts w:ascii="Arial Narrow" w:hAnsi="Arial Narrow" w:cstheme="minorHAnsi"/>
                <w:sz w:val="20"/>
                <w:szCs w:val="20"/>
              </w:rPr>
            </w:pPr>
            <w:r>
              <w:rPr>
                <w:rFonts w:ascii="Arial Narrow" w:hAnsi="Arial Narrow" w:cstheme="minorHAnsi"/>
                <w:sz w:val="20"/>
                <w:szCs w:val="20"/>
              </w:rPr>
              <w:t>KM data (OS, PFS, TTD) and convergence of treatment effects of cabozantinib</w:t>
            </w:r>
          </w:p>
        </w:tc>
        <w:tc>
          <w:tcPr>
            <w:tcW w:w="708" w:type="pct"/>
            <w:tcMar>
              <w:left w:w="28" w:type="dxa"/>
              <w:right w:w="28" w:type="dxa"/>
            </w:tcMar>
          </w:tcPr>
          <w:p w:rsidR="002B6CEA" w:rsidRDefault="00A97395">
            <w:pPr>
              <w:jc w:val="left"/>
              <w:rPr>
                <w:rFonts w:ascii="Arial Narrow" w:hAnsi="Arial Narrow" w:cstheme="minorHAnsi"/>
                <w:sz w:val="20"/>
                <w:szCs w:val="20"/>
              </w:rPr>
            </w:pPr>
            <w:r>
              <w:rPr>
                <w:rFonts w:ascii="Arial Narrow" w:hAnsi="Arial Narrow" w:cstheme="minorHAnsi"/>
                <w:sz w:val="20"/>
                <w:szCs w:val="20"/>
              </w:rPr>
              <w:t>Parametric function adjusted to the whole time-horizon and no convergence</w:t>
            </w:r>
          </w:p>
        </w:tc>
        <w:tc>
          <w:tcPr>
            <w:tcW w:w="1174" w:type="pct"/>
            <w:tcMar>
              <w:left w:w="28" w:type="dxa"/>
              <w:right w:w="28" w:type="dxa"/>
            </w:tcMar>
          </w:tcPr>
          <w:p w:rsidR="002B6CEA" w:rsidRDefault="00A97395">
            <w:pPr>
              <w:jc w:val="left"/>
              <w:rPr>
                <w:rFonts w:ascii="Arial Narrow" w:hAnsi="Arial Narrow" w:cstheme="minorHAnsi"/>
                <w:sz w:val="20"/>
                <w:szCs w:val="20"/>
              </w:rPr>
            </w:pPr>
            <w:r>
              <w:rPr>
                <w:rFonts w:ascii="Arial Narrow" w:hAnsi="Arial Narrow" w:cstheme="minorHAnsi"/>
                <w:sz w:val="20"/>
                <w:szCs w:val="20"/>
              </w:rPr>
              <w:t xml:space="preserve">KM data applied up to the median follow-up, and convergence treatment effect applied to the base case parametric functions starting median follow-up of 22.9 months </w:t>
            </w:r>
          </w:p>
        </w:tc>
        <w:tc>
          <w:tcPr>
            <w:tcW w:w="431" w:type="pct"/>
            <w:tcMar>
              <w:left w:w="28" w:type="dxa"/>
              <w:right w:w="28" w:type="dxa"/>
            </w:tcMar>
            <w:vAlign w:val="center"/>
          </w:tcPr>
          <w:p w:rsidR="002B6CEA" w:rsidRDefault="00A97395">
            <w:pPr>
              <w:jc w:val="center"/>
              <w:rPr>
                <w:rFonts w:ascii="Arial Narrow" w:hAnsi="Arial Narrow" w:cstheme="minorHAnsi"/>
                <w:sz w:val="20"/>
                <w:szCs w:val="20"/>
              </w:rPr>
            </w:pPr>
            <w:r>
              <w:rPr>
                <w:rFonts w:ascii="Arial Narrow" w:hAnsi="Arial Narrow" w:cstheme="minorHAnsi"/>
                <w:sz w:val="20"/>
                <w:szCs w:val="20"/>
              </w:rPr>
              <w:t>0.22</w:t>
            </w:r>
          </w:p>
        </w:tc>
        <w:tc>
          <w:tcPr>
            <w:tcW w:w="439" w:type="pct"/>
            <w:tcMar>
              <w:left w:w="28" w:type="dxa"/>
              <w:right w:w="28" w:type="dxa"/>
            </w:tcMar>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70" w:type="pct"/>
            <w:tcMar>
              <w:left w:w="28" w:type="dxa"/>
              <w:right w:w="28" w:type="dxa"/>
            </w:tcMar>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394" w:type="pct"/>
            <w:tcMar>
              <w:left w:w="28" w:type="dxa"/>
              <w:right w:w="28" w:type="dxa"/>
            </w:tcMar>
            <w:vAlign w:val="center"/>
          </w:tcPr>
          <w:p w:rsidR="002B6CEA" w:rsidRDefault="00A97395">
            <w:pPr>
              <w:jc w:val="center"/>
              <w:rPr>
                <w:rFonts w:ascii="Arial Narrow" w:hAnsi="Arial Narrow" w:cstheme="minorHAnsi"/>
                <w:sz w:val="20"/>
                <w:szCs w:val="20"/>
              </w:rPr>
            </w:pPr>
            <w:r>
              <w:rPr>
                <w:rFonts w:ascii="Arial Narrow" w:hAnsi="Arial Narrow" w:cstheme="minorHAnsi"/>
                <w:sz w:val="20"/>
                <w:szCs w:val="20"/>
              </w:rPr>
              <w:t>+16%</w:t>
            </w:r>
          </w:p>
        </w:tc>
        <w:tc>
          <w:tcPr>
            <w:tcW w:w="522" w:type="pct"/>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highlight w:val="black"/>
              </w:rPr>
              <w:t>'''''''''''''''''''''''</w:t>
            </w:r>
          </w:p>
        </w:tc>
      </w:tr>
      <w:tr w:rsidR="002B6CEA">
        <w:trPr>
          <w:trHeight w:val="113"/>
        </w:trPr>
        <w:tc>
          <w:tcPr>
            <w:tcW w:w="862" w:type="pct"/>
            <w:tcMar>
              <w:left w:w="28" w:type="dxa"/>
              <w:right w:w="28" w:type="dxa"/>
            </w:tcMar>
          </w:tcPr>
          <w:p w:rsidR="002B6CEA" w:rsidRDefault="00A97395">
            <w:pPr>
              <w:jc w:val="left"/>
              <w:rPr>
                <w:rFonts w:ascii="Arial Narrow" w:hAnsi="Arial Narrow" w:cstheme="minorHAnsi"/>
                <w:sz w:val="20"/>
                <w:szCs w:val="20"/>
              </w:rPr>
            </w:pPr>
            <w:r>
              <w:rPr>
                <w:rFonts w:ascii="Arial Narrow" w:hAnsi="Arial Narrow" w:cstheme="minorHAnsi"/>
                <w:sz w:val="20"/>
                <w:szCs w:val="20"/>
              </w:rPr>
              <w:t xml:space="preserve">KM data and exponential function adjusted to OS to both arms. </w:t>
            </w:r>
          </w:p>
        </w:tc>
        <w:tc>
          <w:tcPr>
            <w:tcW w:w="708" w:type="pct"/>
            <w:tcMar>
              <w:left w:w="28" w:type="dxa"/>
              <w:right w:w="28" w:type="dxa"/>
            </w:tcMar>
          </w:tcPr>
          <w:p w:rsidR="002B6CEA" w:rsidRDefault="00A97395">
            <w:pPr>
              <w:jc w:val="left"/>
              <w:rPr>
                <w:rFonts w:ascii="Arial Narrow" w:hAnsi="Arial Narrow" w:cstheme="minorHAnsi"/>
                <w:sz w:val="20"/>
                <w:szCs w:val="20"/>
              </w:rPr>
            </w:pPr>
            <w:r>
              <w:rPr>
                <w:rFonts w:ascii="Arial Narrow" w:hAnsi="Arial Narrow" w:cstheme="minorHAnsi"/>
                <w:sz w:val="20"/>
                <w:szCs w:val="20"/>
              </w:rPr>
              <w:t xml:space="preserve">Log-logistic adjusted to OS to both arms. </w:t>
            </w:r>
          </w:p>
        </w:tc>
        <w:tc>
          <w:tcPr>
            <w:tcW w:w="1174" w:type="pct"/>
            <w:tcMar>
              <w:left w:w="28" w:type="dxa"/>
              <w:right w:w="28" w:type="dxa"/>
            </w:tcMar>
          </w:tcPr>
          <w:p w:rsidR="002B6CEA" w:rsidRDefault="00A97395">
            <w:pPr>
              <w:jc w:val="left"/>
              <w:rPr>
                <w:rFonts w:ascii="Arial Narrow" w:hAnsi="Arial Narrow" w:cstheme="minorHAnsi"/>
                <w:sz w:val="20"/>
                <w:szCs w:val="20"/>
              </w:rPr>
            </w:pPr>
            <w:r>
              <w:rPr>
                <w:rFonts w:ascii="Arial Narrow" w:hAnsi="Arial Narrow" w:cstheme="minorHAnsi"/>
                <w:sz w:val="20"/>
                <w:szCs w:val="20"/>
              </w:rPr>
              <w:t xml:space="preserve">KM data up to median follow-up for PFS, OS and TTD, extrapolation based on the submission, except for OS, which was altered to the exponential </w:t>
            </w:r>
          </w:p>
        </w:tc>
        <w:tc>
          <w:tcPr>
            <w:tcW w:w="431" w:type="pct"/>
            <w:tcMar>
              <w:left w:w="28" w:type="dxa"/>
              <w:right w:w="28" w:type="dxa"/>
            </w:tcMar>
            <w:vAlign w:val="center"/>
          </w:tcPr>
          <w:p w:rsidR="002B6CEA" w:rsidRDefault="00A97395">
            <w:pPr>
              <w:jc w:val="center"/>
              <w:rPr>
                <w:rFonts w:ascii="Arial Narrow" w:hAnsi="Arial Narrow" w:cstheme="minorHAnsi"/>
                <w:sz w:val="20"/>
                <w:szCs w:val="20"/>
              </w:rPr>
            </w:pPr>
            <w:r>
              <w:rPr>
                <w:rFonts w:ascii="Arial Narrow" w:hAnsi="Arial Narrow" w:cstheme="minorHAnsi"/>
                <w:sz w:val="20"/>
                <w:szCs w:val="20"/>
              </w:rPr>
              <w:t>0.24</w:t>
            </w:r>
          </w:p>
        </w:tc>
        <w:tc>
          <w:tcPr>
            <w:tcW w:w="439" w:type="pct"/>
            <w:tcMar>
              <w:left w:w="28" w:type="dxa"/>
              <w:right w:w="28" w:type="dxa"/>
            </w:tcMar>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70" w:type="pct"/>
            <w:tcMar>
              <w:left w:w="28" w:type="dxa"/>
              <w:right w:w="28" w:type="dxa"/>
            </w:tcMar>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394" w:type="pct"/>
            <w:tcMar>
              <w:left w:w="28" w:type="dxa"/>
              <w:right w:w="28" w:type="dxa"/>
            </w:tcMar>
            <w:vAlign w:val="center"/>
          </w:tcPr>
          <w:p w:rsidR="002B6CEA" w:rsidRDefault="00A97395">
            <w:pPr>
              <w:jc w:val="center"/>
              <w:rPr>
                <w:rFonts w:ascii="Arial Narrow" w:hAnsi="Arial Narrow" w:cstheme="minorHAnsi"/>
                <w:sz w:val="20"/>
                <w:szCs w:val="20"/>
              </w:rPr>
            </w:pPr>
            <w:r>
              <w:rPr>
                <w:rFonts w:ascii="Arial Narrow" w:hAnsi="Arial Narrow" w:cstheme="minorHAnsi"/>
                <w:sz w:val="20"/>
                <w:szCs w:val="20"/>
              </w:rPr>
              <w:t>+15%</w:t>
            </w:r>
          </w:p>
        </w:tc>
        <w:tc>
          <w:tcPr>
            <w:tcW w:w="522" w:type="pct"/>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highlight w:val="black"/>
              </w:rPr>
              <w:t>''''''''''''''''''''''</w:t>
            </w:r>
          </w:p>
        </w:tc>
      </w:tr>
      <w:tr w:rsidR="002B6CEA">
        <w:trPr>
          <w:trHeight w:val="113"/>
        </w:trPr>
        <w:tc>
          <w:tcPr>
            <w:tcW w:w="862" w:type="pct"/>
            <w:tcMar>
              <w:left w:w="28" w:type="dxa"/>
              <w:right w:w="28" w:type="dxa"/>
            </w:tcMar>
          </w:tcPr>
          <w:p w:rsidR="002B6CEA" w:rsidRDefault="00A97395">
            <w:pPr>
              <w:jc w:val="left"/>
              <w:rPr>
                <w:rFonts w:ascii="Arial Narrow" w:hAnsi="Arial Narrow" w:cstheme="minorHAnsi"/>
                <w:sz w:val="20"/>
                <w:szCs w:val="20"/>
              </w:rPr>
            </w:pPr>
            <w:r>
              <w:rPr>
                <w:rFonts w:ascii="Arial Narrow" w:hAnsi="Arial Narrow" w:cstheme="minorHAnsi"/>
                <w:sz w:val="20"/>
                <w:szCs w:val="20"/>
              </w:rPr>
              <w:t>KM data and the Gompertz function for OS of cabozantinib and BSC</w:t>
            </w:r>
          </w:p>
        </w:tc>
        <w:tc>
          <w:tcPr>
            <w:tcW w:w="708" w:type="pct"/>
            <w:tcMar>
              <w:left w:w="28" w:type="dxa"/>
              <w:right w:w="28" w:type="dxa"/>
            </w:tcMar>
          </w:tcPr>
          <w:p w:rsidR="002B6CEA" w:rsidRDefault="00A97395">
            <w:pPr>
              <w:jc w:val="left"/>
              <w:rPr>
                <w:rFonts w:ascii="Arial Narrow" w:hAnsi="Arial Narrow" w:cstheme="minorHAnsi"/>
                <w:sz w:val="20"/>
                <w:szCs w:val="20"/>
              </w:rPr>
            </w:pPr>
            <w:r>
              <w:rPr>
                <w:rFonts w:ascii="Arial Narrow" w:hAnsi="Arial Narrow" w:cstheme="minorHAnsi"/>
                <w:sz w:val="20"/>
                <w:szCs w:val="20"/>
              </w:rPr>
              <w:t>Log-logistic for OS of cabozantinib and BSC</w:t>
            </w:r>
          </w:p>
        </w:tc>
        <w:tc>
          <w:tcPr>
            <w:tcW w:w="1174" w:type="pct"/>
            <w:tcMar>
              <w:left w:w="28" w:type="dxa"/>
              <w:right w:w="28" w:type="dxa"/>
            </w:tcMar>
          </w:tcPr>
          <w:p w:rsidR="002B6CEA" w:rsidRDefault="00A97395">
            <w:pPr>
              <w:jc w:val="left"/>
              <w:rPr>
                <w:rFonts w:ascii="Arial Narrow" w:hAnsi="Arial Narrow" w:cstheme="minorHAnsi"/>
                <w:sz w:val="20"/>
                <w:szCs w:val="20"/>
              </w:rPr>
            </w:pPr>
            <w:r>
              <w:rPr>
                <w:rFonts w:ascii="Arial Narrow" w:hAnsi="Arial Narrow" w:cstheme="minorHAnsi"/>
                <w:sz w:val="20"/>
                <w:szCs w:val="20"/>
              </w:rPr>
              <w:t xml:space="preserve">KM data up to median follow-up for PFS, OS and TTD, extrapolation based on the submission, except for OS that was altered to the Gompertz </w:t>
            </w:r>
          </w:p>
        </w:tc>
        <w:tc>
          <w:tcPr>
            <w:tcW w:w="431" w:type="pct"/>
            <w:tcMar>
              <w:left w:w="28" w:type="dxa"/>
              <w:right w:w="28" w:type="dxa"/>
            </w:tcMar>
            <w:vAlign w:val="center"/>
          </w:tcPr>
          <w:p w:rsidR="002B6CEA" w:rsidRDefault="00A97395">
            <w:pPr>
              <w:jc w:val="center"/>
              <w:rPr>
                <w:rFonts w:ascii="Arial Narrow" w:hAnsi="Arial Narrow" w:cstheme="minorHAnsi"/>
                <w:sz w:val="20"/>
                <w:szCs w:val="20"/>
              </w:rPr>
            </w:pPr>
            <w:r>
              <w:rPr>
                <w:rFonts w:ascii="Arial Narrow" w:hAnsi="Arial Narrow" w:cstheme="minorHAnsi"/>
                <w:sz w:val="20"/>
                <w:szCs w:val="20"/>
              </w:rPr>
              <w:t>0.21</w:t>
            </w:r>
          </w:p>
        </w:tc>
        <w:tc>
          <w:tcPr>
            <w:tcW w:w="439" w:type="pct"/>
            <w:tcMar>
              <w:left w:w="28" w:type="dxa"/>
              <w:right w:w="28" w:type="dxa"/>
            </w:tcMar>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70" w:type="pct"/>
            <w:tcMar>
              <w:left w:w="28" w:type="dxa"/>
              <w:right w:w="28" w:type="dxa"/>
            </w:tcMar>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394" w:type="pct"/>
            <w:tcMar>
              <w:left w:w="28" w:type="dxa"/>
              <w:right w:w="28" w:type="dxa"/>
            </w:tcMar>
            <w:vAlign w:val="center"/>
          </w:tcPr>
          <w:p w:rsidR="002B6CEA" w:rsidRDefault="00A97395">
            <w:pPr>
              <w:jc w:val="center"/>
              <w:rPr>
                <w:rFonts w:ascii="Arial Narrow" w:hAnsi="Arial Narrow" w:cstheme="minorHAnsi"/>
                <w:sz w:val="20"/>
                <w:szCs w:val="20"/>
              </w:rPr>
            </w:pPr>
            <w:r>
              <w:rPr>
                <w:rFonts w:ascii="Arial Narrow" w:hAnsi="Arial Narrow" w:cstheme="minorHAnsi"/>
                <w:sz w:val="20"/>
                <w:szCs w:val="20"/>
              </w:rPr>
              <w:t>+29%</w:t>
            </w:r>
          </w:p>
        </w:tc>
        <w:tc>
          <w:tcPr>
            <w:tcW w:w="522" w:type="pct"/>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highlight w:val="black"/>
              </w:rPr>
              <w:t>''''''''''''''''''''''</w:t>
            </w:r>
          </w:p>
        </w:tc>
      </w:tr>
      <w:tr w:rsidR="002B6CEA">
        <w:trPr>
          <w:trHeight w:val="113"/>
        </w:trPr>
        <w:tc>
          <w:tcPr>
            <w:tcW w:w="862" w:type="pct"/>
            <w:tcMar>
              <w:left w:w="28" w:type="dxa"/>
              <w:right w:w="28" w:type="dxa"/>
            </w:tcMar>
          </w:tcPr>
          <w:p w:rsidR="002B6CEA" w:rsidRDefault="00A97395">
            <w:pPr>
              <w:jc w:val="left"/>
              <w:rPr>
                <w:rFonts w:ascii="Arial Narrow" w:hAnsi="Arial Narrow"/>
                <w:bCs/>
                <w:sz w:val="20"/>
                <w:szCs w:val="20"/>
              </w:rPr>
            </w:pPr>
            <w:r>
              <w:rPr>
                <w:rFonts w:ascii="Arial Narrow" w:hAnsi="Arial Narrow"/>
                <w:bCs/>
                <w:sz w:val="20"/>
                <w:szCs w:val="20"/>
              </w:rPr>
              <w:t xml:space="preserve">Decrease </w:t>
            </w:r>
            <w:r>
              <w:rPr>
                <w:rFonts w:ascii="Arial Narrow" w:hAnsi="Arial Narrow" w:cstheme="minorHAnsi"/>
                <w:sz w:val="20"/>
                <w:szCs w:val="20"/>
              </w:rPr>
              <w:t>costs of post-progression for cabozantinib by 30%</w:t>
            </w:r>
          </w:p>
        </w:tc>
        <w:tc>
          <w:tcPr>
            <w:tcW w:w="708" w:type="pct"/>
            <w:tcMar>
              <w:left w:w="28" w:type="dxa"/>
              <w:right w:w="28" w:type="dxa"/>
            </w:tcMar>
            <w:vAlign w:val="center"/>
          </w:tcPr>
          <w:p w:rsidR="002B6CEA" w:rsidRDefault="00A97395">
            <w:pPr>
              <w:jc w:val="center"/>
              <w:rPr>
                <w:rFonts w:ascii="Arial Narrow" w:hAnsi="Arial Narrow" w:cstheme="minorHAnsi"/>
                <w:sz w:val="20"/>
                <w:szCs w:val="20"/>
              </w:rPr>
            </w:pPr>
            <w:r>
              <w:rPr>
                <w:rFonts w:ascii="Arial Narrow" w:hAnsi="Arial Narrow" w:cstheme="minorHAnsi"/>
                <w:sz w:val="20"/>
                <w:szCs w:val="20"/>
              </w:rPr>
              <w:t>$1,957/cycle</w:t>
            </w:r>
          </w:p>
        </w:tc>
        <w:tc>
          <w:tcPr>
            <w:tcW w:w="1174" w:type="pct"/>
            <w:tcMar>
              <w:left w:w="28" w:type="dxa"/>
              <w:right w:w="28" w:type="dxa"/>
            </w:tcMar>
            <w:vAlign w:val="center"/>
          </w:tcPr>
          <w:p w:rsidR="002B6CEA" w:rsidRDefault="00A97395">
            <w:pPr>
              <w:jc w:val="center"/>
              <w:rPr>
                <w:rFonts w:ascii="Arial Narrow" w:hAnsi="Arial Narrow" w:cstheme="minorHAnsi"/>
                <w:sz w:val="20"/>
                <w:szCs w:val="20"/>
              </w:rPr>
            </w:pPr>
            <w:r>
              <w:rPr>
                <w:rFonts w:ascii="Arial Narrow" w:hAnsi="Arial Narrow" w:cstheme="minorHAnsi"/>
                <w:sz w:val="20"/>
                <w:szCs w:val="20"/>
              </w:rPr>
              <w:t>$1,370/cycle</w:t>
            </w:r>
          </w:p>
        </w:tc>
        <w:tc>
          <w:tcPr>
            <w:tcW w:w="431" w:type="pct"/>
            <w:tcMar>
              <w:left w:w="28" w:type="dxa"/>
              <w:right w:w="28" w:type="dxa"/>
            </w:tcMar>
            <w:vAlign w:val="center"/>
          </w:tcPr>
          <w:p w:rsidR="002B6CEA" w:rsidRDefault="00A97395">
            <w:pPr>
              <w:jc w:val="center"/>
              <w:rPr>
                <w:rFonts w:ascii="Arial Narrow" w:hAnsi="Arial Narrow" w:cstheme="minorHAnsi"/>
                <w:iCs/>
                <w:sz w:val="20"/>
                <w:szCs w:val="20"/>
              </w:rPr>
            </w:pPr>
            <w:r>
              <w:rPr>
                <w:rFonts w:ascii="Arial Narrow" w:hAnsi="Arial Narrow" w:cstheme="minorHAnsi"/>
                <w:iCs/>
                <w:sz w:val="20"/>
                <w:szCs w:val="20"/>
              </w:rPr>
              <w:t>0.27</w:t>
            </w:r>
          </w:p>
        </w:tc>
        <w:tc>
          <w:tcPr>
            <w:tcW w:w="439" w:type="pct"/>
            <w:tcMar>
              <w:left w:w="28" w:type="dxa"/>
              <w:right w:w="28" w:type="dxa"/>
            </w:tcMar>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70" w:type="pct"/>
            <w:tcMar>
              <w:left w:w="28" w:type="dxa"/>
              <w:right w:w="28" w:type="dxa"/>
            </w:tcMar>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394" w:type="pct"/>
            <w:tcMar>
              <w:left w:w="28" w:type="dxa"/>
              <w:right w:w="28" w:type="dxa"/>
            </w:tcMar>
            <w:vAlign w:val="center"/>
          </w:tcPr>
          <w:p w:rsidR="002B6CEA" w:rsidRDefault="00A97395">
            <w:pPr>
              <w:jc w:val="center"/>
              <w:rPr>
                <w:rFonts w:ascii="Arial Narrow" w:hAnsi="Arial Narrow" w:cstheme="minorHAnsi"/>
                <w:sz w:val="20"/>
                <w:szCs w:val="20"/>
              </w:rPr>
            </w:pPr>
            <w:r>
              <w:rPr>
                <w:rFonts w:ascii="Arial Narrow" w:hAnsi="Arial Narrow" w:cstheme="minorHAnsi"/>
                <w:sz w:val="20"/>
                <w:szCs w:val="20"/>
              </w:rPr>
              <w:t>-17%</w:t>
            </w:r>
          </w:p>
        </w:tc>
        <w:tc>
          <w:tcPr>
            <w:tcW w:w="522" w:type="pct"/>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highlight w:val="black"/>
              </w:rPr>
              <w:t>'''''''''''''''''''''</w:t>
            </w:r>
          </w:p>
        </w:tc>
      </w:tr>
      <w:tr w:rsidR="002B6CEA">
        <w:trPr>
          <w:trHeight w:val="113"/>
        </w:trPr>
        <w:tc>
          <w:tcPr>
            <w:tcW w:w="862" w:type="pct"/>
            <w:tcMar>
              <w:left w:w="28" w:type="dxa"/>
              <w:right w:w="28" w:type="dxa"/>
            </w:tcMar>
          </w:tcPr>
          <w:p w:rsidR="002B6CEA" w:rsidRDefault="00A97395">
            <w:pPr>
              <w:jc w:val="left"/>
              <w:rPr>
                <w:rFonts w:ascii="Arial Narrow" w:hAnsi="Arial Narrow"/>
                <w:bCs/>
                <w:sz w:val="20"/>
                <w:szCs w:val="20"/>
              </w:rPr>
            </w:pPr>
            <w:r>
              <w:rPr>
                <w:rFonts w:ascii="Arial Narrow" w:hAnsi="Arial Narrow"/>
                <w:bCs/>
                <w:sz w:val="20"/>
                <w:szCs w:val="20"/>
              </w:rPr>
              <w:t xml:space="preserve">Decrease </w:t>
            </w:r>
            <w:r>
              <w:rPr>
                <w:rFonts w:ascii="Arial Narrow" w:hAnsi="Arial Narrow" w:cstheme="minorHAnsi"/>
                <w:sz w:val="20"/>
                <w:szCs w:val="20"/>
              </w:rPr>
              <w:t>costs of post-progression for BSC by 30%</w:t>
            </w:r>
          </w:p>
        </w:tc>
        <w:tc>
          <w:tcPr>
            <w:tcW w:w="708" w:type="pct"/>
            <w:tcMar>
              <w:left w:w="28" w:type="dxa"/>
              <w:right w:w="28" w:type="dxa"/>
            </w:tcMar>
            <w:vAlign w:val="center"/>
          </w:tcPr>
          <w:p w:rsidR="002B6CEA" w:rsidRDefault="00A97395">
            <w:pPr>
              <w:jc w:val="center"/>
              <w:rPr>
                <w:rFonts w:ascii="Arial Narrow" w:hAnsi="Arial Narrow" w:cstheme="minorHAnsi"/>
                <w:sz w:val="20"/>
                <w:szCs w:val="20"/>
              </w:rPr>
            </w:pPr>
            <w:r>
              <w:rPr>
                <w:rFonts w:ascii="Arial Narrow" w:hAnsi="Arial Narrow" w:cstheme="minorHAnsi"/>
                <w:sz w:val="20"/>
                <w:szCs w:val="20"/>
              </w:rPr>
              <w:t>$2,242/cycle</w:t>
            </w:r>
          </w:p>
        </w:tc>
        <w:tc>
          <w:tcPr>
            <w:tcW w:w="1174" w:type="pct"/>
            <w:tcMar>
              <w:left w:w="28" w:type="dxa"/>
              <w:right w:w="28" w:type="dxa"/>
            </w:tcMar>
            <w:vAlign w:val="center"/>
          </w:tcPr>
          <w:p w:rsidR="002B6CEA" w:rsidRDefault="00A97395">
            <w:pPr>
              <w:jc w:val="center"/>
              <w:rPr>
                <w:rFonts w:ascii="Arial Narrow" w:hAnsi="Arial Narrow" w:cstheme="minorHAnsi"/>
                <w:sz w:val="20"/>
                <w:szCs w:val="20"/>
              </w:rPr>
            </w:pPr>
            <w:r>
              <w:rPr>
                <w:rFonts w:ascii="Arial Narrow" w:hAnsi="Arial Narrow" w:cstheme="minorHAnsi"/>
                <w:sz w:val="20"/>
                <w:szCs w:val="20"/>
              </w:rPr>
              <w:t>$1,569/cycle</w:t>
            </w:r>
          </w:p>
        </w:tc>
        <w:tc>
          <w:tcPr>
            <w:tcW w:w="431" w:type="pct"/>
            <w:tcMar>
              <w:left w:w="28" w:type="dxa"/>
              <w:right w:w="28" w:type="dxa"/>
            </w:tcMar>
            <w:vAlign w:val="center"/>
          </w:tcPr>
          <w:p w:rsidR="002B6CEA" w:rsidRDefault="00A97395">
            <w:pPr>
              <w:jc w:val="center"/>
              <w:rPr>
                <w:rFonts w:ascii="Arial Narrow" w:hAnsi="Arial Narrow" w:cstheme="minorHAnsi"/>
                <w:iCs/>
                <w:sz w:val="20"/>
                <w:szCs w:val="20"/>
              </w:rPr>
            </w:pPr>
            <w:r>
              <w:rPr>
                <w:rFonts w:ascii="Arial Narrow" w:hAnsi="Arial Narrow" w:cstheme="minorHAnsi"/>
                <w:iCs/>
                <w:sz w:val="20"/>
                <w:szCs w:val="20"/>
              </w:rPr>
              <w:t>0.27</w:t>
            </w:r>
          </w:p>
        </w:tc>
        <w:tc>
          <w:tcPr>
            <w:tcW w:w="439" w:type="pct"/>
            <w:tcMar>
              <w:left w:w="28" w:type="dxa"/>
              <w:right w:w="28" w:type="dxa"/>
            </w:tcMar>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70" w:type="pct"/>
            <w:tcMar>
              <w:left w:w="28" w:type="dxa"/>
              <w:right w:w="28" w:type="dxa"/>
            </w:tcMar>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394" w:type="pct"/>
            <w:tcMar>
              <w:left w:w="28" w:type="dxa"/>
              <w:right w:w="28" w:type="dxa"/>
            </w:tcMar>
            <w:vAlign w:val="center"/>
          </w:tcPr>
          <w:p w:rsidR="002B6CEA" w:rsidRDefault="00A97395">
            <w:pPr>
              <w:jc w:val="center"/>
              <w:rPr>
                <w:rFonts w:ascii="Arial Narrow" w:hAnsi="Arial Narrow" w:cstheme="minorHAnsi"/>
                <w:sz w:val="20"/>
                <w:szCs w:val="20"/>
              </w:rPr>
            </w:pPr>
            <w:r>
              <w:rPr>
                <w:rFonts w:ascii="Arial Narrow" w:hAnsi="Arial Narrow" w:cstheme="minorHAnsi"/>
                <w:sz w:val="20"/>
                <w:szCs w:val="20"/>
              </w:rPr>
              <w:t>+17%</w:t>
            </w:r>
          </w:p>
        </w:tc>
        <w:tc>
          <w:tcPr>
            <w:tcW w:w="522" w:type="pct"/>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highlight w:val="black"/>
              </w:rPr>
              <w:t>''''''''''''''''''''''</w:t>
            </w:r>
          </w:p>
        </w:tc>
      </w:tr>
      <w:tr w:rsidR="002B6CEA">
        <w:trPr>
          <w:trHeight w:val="113"/>
        </w:trPr>
        <w:tc>
          <w:tcPr>
            <w:tcW w:w="862" w:type="pct"/>
            <w:tcMar>
              <w:left w:w="28" w:type="dxa"/>
              <w:right w:w="28" w:type="dxa"/>
            </w:tcMar>
          </w:tcPr>
          <w:p w:rsidR="002B6CEA" w:rsidRDefault="00A97395">
            <w:pPr>
              <w:jc w:val="left"/>
              <w:rPr>
                <w:rFonts w:ascii="Arial Narrow" w:hAnsi="Arial Narrow" w:cstheme="minorHAnsi"/>
                <w:sz w:val="20"/>
                <w:szCs w:val="20"/>
              </w:rPr>
            </w:pPr>
            <w:r>
              <w:rPr>
                <w:rFonts w:ascii="Arial Narrow" w:hAnsi="Arial Narrow"/>
                <w:bCs/>
                <w:sz w:val="20"/>
                <w:szCs w:val="20"/>
              </w:rPr>
              <w:t xml:space="preserve">Correction of possible error in Excel in post-progression costs of </w:t>
            </w:r>
            <w:r>
              <w:rPr>
                <w:rFonts w:ascii="Arial Narrow" w:hAnsi="Arial Narrow"/>
                <w:bCs/>
                <w:sz w:val="20"/>
                <w:szCs w:val="20"/>
              </w:rPr>
              <w:lastRenderedPageBreak/>
              <w:t>treatment for BSC</w:t>
            </w:r>
          </w:p>
        </w:tc>
        <w:tc>
          <w:tcPr>
            <w:tcW w:w="708" w:type="pct"/>
            <w:tcMar>
              <w:left w:w="28" w:type="dxa"/>
              <w:right w:w="28" w:type="dxa"/>
            </w:tcMar>
            <w:vAlign w:val="center"/>
          </w:tcPr>
          <w:p w:rsidR="002B6CEA" w:rsidRDefault="00A97395">
            <w:pPr>
              <w:jc w:val="center"/>
              <w:rPr>
                <w:rFonts w:ascii="Arial Narrow" w:hAnsi="Arial Narrow" w:cstheme="minorHAnsi"/>
                <w:sz w:val="20"/>
                <w:szCs w:val="20"/>
              </w:rPr>
            </w:pPr>
            <w:r>
              <w:rPr>
                <w:rFonts w:ascii="Arial Narrow" w:hAnsi="Arial Narrow" w:cstheme="minorHAnsi"/>
                <w:sz w:val="20"/>
                <w:szCs w:val="20"/>
              </w:rPr>
              <w:lastRenderedPageBreak/>
              <w:t>2,242</w:t>
            </w:r>
          </w:p>
        </w:tc>
        <w:tc>
          <w:tcPr>
            <w:tcW w:w="1174" w:type="pct"/>
            <w:tcMar>
              <w:left w:w="28" w:type="dxa"/>
              <w:right w:w="28" w:type="dxa"/>
            </w:tcMar>
            <w:vAlign w:val="center"/>
          </w:tcPr>
          <w:p w:rsidR="002B6CEA" w:rsidRDefault="00A97395">
            <w:pPr>
              <w:jc w:val="center"/>
              <w:rPr>
                <w:rFonts w:ascii="Arial Narrow" w:hAnsi="Arial Narrow" w:cstheme="minorHAnsi"/>
                <w:sz w:val="20"/>
                <w:szCs w:val="20"/>
              </w:rPr>
            </w:pPr>
            <w:r>
              <w:rPr>
                <w:rFonts w:ascii="Arial Narrow" w:hAnsi="Arial Narrow" w:cstheme="minorHAnsi"/>
                <w:sz w:val="20"/>
                <w:szCs w:val="20"/>
              </w:rPr>
              <w:t>1,823</w:t>
            </w:r>
          </w:p>
        </w:tc>
        <w:tc>
          <w:tcPr>
            <w:tcW w:w="431" w:type="pct"/>
            <w:tcMar>
              <w:left w:w="28" w:type="dxa"/>
              <w:right w:w="28" w:type="dxa"/>
            </w:tcMar>
            <w:vAlign w:val="center"/>
          </w:tcPr>
          <w:p w:rsidR="002B6CEA" w:rsidRDefault="00A97395">
            <w:pPr>
              <w:jc w:val="center"/>
              <w:rPr>
                <w:rFonts w:ascii="Arial Narrow" w:hAnsi="Arial Narrow" w:cstheme="minorHAnsi"/>
                <w:iCs/>
                <w:sz w:val="20"/>
                <w:szCs w:val="20"/>
              </w:rPr>
            </w:pPr>
            <w:r>
              <w:rPr>
                <w:rFonts w:ascii="Arial Narrow" w:hAnsi="Arial Narrow" w:cstheme="minorHAnsi"/>
                <w:iCs/>
                <w:sz w:val="20"/>
                <w:szCs w:val="20"/>
              </w:rPr>
              <w:t>0.27</w:t>
            </w:r>
          </w:p>
        </w:tc>
        <w:tc>
          <w:tcPr>
            <w:tcW w:w="439" w:type="pct"/>
            <w:tcMar>
              <w:left w:w="28" w:type="dxa"/>
              <w:right w:w="28" w:type="dxa"/>
            </w:tcMar>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70" w:type="pct"/>
            <w:tcMar>
              <w:left w:w="28" w:type="dxa"/>
              <w:right w:w="28" w:type="dxa"/>
            </w:tcMar>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394" w:type="pct"/>
            <w:tcMar>
              <w:left w:w="28" w:type="dxa"/>
              <w:right w:w="28" w:type="dxa"/>
            </w:tcMar>
            <w:vAlign w:val="center"/>
          </w:tcPr>
          <w:p w:rsidR="002B6CEA" w:rsidRDefault="00A97395">
            <w:pPr>
              <w:jc w:val="center"/>
              <w:rPr>
                <w:rFonts w:ascii="Arial Narrow" w:hAnsi="Arial Narrow" w:cstheme="minorHAnsi"/>
                <w:sz w:val="20"/>
                <w:szCs w:val="20"/>
              </w:rPr>
            </w:pPr>
            <w:r>
              <w:rPr>
                <w:rFonts w:ascii="Arial Narrow" w:hAnsi="Arial Narrow" w:cstheme="minorHAnsi"/>
                <w:sz w:val="20"/>
                <w:szCs w:val="20"/>
              </w:rPr>
              <w:t>+11%</w:t>
            </w:r>
          </w:p>
        </w:tc>
        <w:tc>
          <w:tcPr>
            <w:tcW w:w="522" w:type="pct"/>
            <w:vAlign w:val="center"/>
          </w:tcPr>
          <w:p w:rsidR="002B6CEA" w:rsidRPr="00950C8B" w:rsidRDefault="00950C8B">
            <w:pPr>
              <w:jc w:val="center"/>
              <w:rPr>
                <w:rFonts w:ascii="Arial Narrow" w:hAnsi="Arial Narrow" w:cstheme="minorHAnsi"/>
                <w:sz w:val="20"/>
                <w:szCs w:val="20"/>
                <w:highlight w:val="black"/>
              </w:rPr>
            </w:pPr>
            <w:r>
              <w:rPr>
                <w:rFonts w:ascii="Arial Narrow" w:hAnsi="Arial Narrow" w:cstheme="minorHAnsi"/>
                <w:noProof/>
                <w:color w:val="000000"/>
                <w:sz w:val="20"/>
                <w:highlight w:val="black"/>
              </w:rPr>
              <w:t>'''''''''''''''''''''''</w:t>
            </w:r>
          </w:p>
        </w:tc>
      </w:tr>
    </w:tbl>
    <w:p w:rsidR="002B6CEA" w:rsidRDefault="00A97395">
      <w:pPr>
        <w:pStyle w:val="TableFooter"/>
      </w:pPr>
      <w:r>
        <w:t xml:space="preserve">Abbreviations: 3L = three levels; 5L = five levels; BSC = best supportive care; ICER = incremental cost effectiveness ratio; Inc = incremental; </w:t>
      </w:r>
      <w:r>
        <w:rPr>
          <w:szCs w:val="18"/>
        </w:rPr>
        <w:t>ITT= intention to treat</w:t>
      </w:r>
      <w:r>
        <w:t xml:space="preserve">; KM = Kaplan-Meier; </w:t>
      </w:r>
      <w:r>
        <w:rPr>
          <w:bCs/>
          <w:szCs w:val="18"/>
        </w:rPr>
        <w:t xml:space="preserve">QALY = quality adjusted life year; OS = overall survival; PFS = progression free survival; TA = technical analysis; TTD = time to treatment discontinuation; </w:t>
      </w:r>
    </w:p>
    <w:p w:rsidR="002B6CEA" w:rsidRDefault="00A97395">
      <w:pPr>
        <w:pStyle w:val="TableFooter"/>
      </w:pPr>
      <w:r>
        <w:t>Source: developed based on the excel model Attachment 13.</w:t>
      </w:r>
    </w:p>
    <w:p w:rsidR="002B6CEA" w:rsidRDefault="002B6CEA">
      <w:pPr>
        <w:rPr>
          <w:rStyle w:val="CommentReference"/>
        </w:rPr>
      </w:pPr>
    </w:p>
    <w:p w:rsidR="002B6CEA" w:rsidRDefault="00A97395">
      <w:pPr>
        <w:pStyle w:val="ListParagraph"/>
        <w:widowControl/>
        <w:numPr>
          <w:ilvl w:val="1"/>
          <w:numId w:val="2"/>
        </w:numPr>
        <w:rPr>
          <w:iCs/>
        </w:rPr>
      </w:pPr>
      <w:r>
        <w:t xml:space="preserve">The results were most sensitive to restricting the study population to those patients in CELESTIAL who had only received prior sorafenib therapy (i.e. excluding patients treated with multiple systemic therapies prior to cabozantinib); increasing the ICER by 38%. The result for the sorafenib only subgroup is somewhat counterintuitive given that the results from the clinical evidence showed it had HR for both OS and PFS that was consistent with that of the non-Asian subgroup (OS, HR=0.70 compared with 0.71 for the non-Asian region; PFS HR=0.40 compared with 0.45 for the non-Asian region). However, the extrapolation approach resulted in the OS curve for BSC crossing above that of cabozantinib when restricted to the sorafenib only subgroup thereby reducing the QALYs gained relative to the submission’s base case.  </w:t>
      </w:r>
    </w:p>
    <w:p w:rsidR="002B6CEA" w:rsidRDefault="00A97395">
      <w:pPr>
        <w:pStyle w:val="ListParagraph"/>
        <w:widowControl/>
        <w:numPr>
          <w:ilvl w:val="1"/>
          <w:numId w:val="2"/>
        </w:numPr>
        <w:rPr>
          <w:iCs/>
        </w:rPr>
      </w:pPr>
      <w:r>
        <w:t xml:space="preserve">The results were next most sensitive to the use of the utility values from the multivariate multiple mixed model that accounted for treatment arms as a variable. Accounting for treatment arms in the model decreased the incremental QALY from 0.27 to 0.19 and increased the ICER by 37%. </w:t>
      </w:r>
      <w:r>
        <w:rPr>
          <w:iCs/>
        </w:rPr>
        <w:t>The results were also sensitive to the exclusion of patients from Asian centres. By including these patients (ITT population), the incremental QALY decreased from 0.27 to 0.20 and increased the ICER by 30%. The model results were also sensitive to the alternative parametric functions applied to the extrapolation of OS. The application of the Gompertz function for OS of cabozantinib and BSC (applied to the Kaplan-Meier data from median follow-up) decreased the incremental QALY from the base case of 0.27 to 0.21 (while slightly increasing incremental costs) and incr</w:t>
      </w:r>
      <w:r w:rsidR="00167E14">
        <w:rPr>
          <w:iCs/>
        </w:rPr>
        <w:t>eased the ICER by 29%. The PSCR</w:t>
      </w:r>
      <w:r>
        <w:rPr>
          <w:iCs/>
        </w:rPr>
        <w:t xml:space="preserve"> disagreed with the use of the Gompertz function for OS on the basis that was the parametric function with the highest AIC and BIC metrics.</w:t>
      </w:r>
    </w:p>
    <w:p w:rsidR="002B6CEA" w:rsidRDefault="00A97395">
      <w:pPr>
        <w:pStyle w:val="ListParagraph"/>
        <w:widowControl/>
        <w:numPr>
          <w:ilvl w:val="1"/>
          <w:numId w:val="2"/>
        </w:numPr>
        <w:rPr>
          <w:iCs/>
        </w:rPr>
      </w:pPr>
      <w:r>
        <w:rPr>
          <w:iCs/>
        </w:rPr>
        <w:t>The ESC considered that the most appropriate base case for the economic evaluation should include the full ITT population, application of KM data up to the point of median follow-up and convergence of treatment effect applied to the base case parametric functions from the point of median follow-up. This re-specified base case resulted in an ICER of $</w:t>
      </w:r>
      <w:r>
        <w:rPr>
          <w:iCs/>
          <w:szCs w:val="24"/>
        </w:rPr>
        <w:t>105,000 - $200,000</w:t>
      </w:r>
      <w:r>
        <w:rPr>
          <w:iCs/>
        </w:rPr>
        <w:t xml:space="preserve"> per QALY using the effective price. The PBAC considered that the parameters for the model base case recommended by ESC were appropriate and that use of utilities from the RESORCE trial would be appropriate.</w:t>
      </w:r>
    </w:p>
    <w:p w:rsidR="002B6CEA" w:rsidRDefault="00A97395">
      <w:pPr>
        <w:pStyle w:val="Heading2"/>
        <w:spacing w:after="120"/>
      </w:pPr>
      <w:bookmarkStart w:id="18" w:name="_Toc9419757"/>
      <w:r>
        <w:t>Drug cost/patient/course and year</w:t>
      </w:r>
      <w:bookmarkEnd w:id="18"/>
    </w:p>
    <w:p w:rsidR="002B6CEA" w:rsidRDefault="00A97395">
      <w:pPr>
        <w:pStyle w:val="ListParagraph"/>
        <w:numPr>
          <w:ilvl w:val="1"/>
          <w:numId w:val="2"/>
        </w:numPr>
      </w:pPr>
      <w:r>
        <w:t xml:space="preserve">The effective DPMQ per pack is </w:t>
      </w:r>
      <w:r w:rsidR="00950C8B">
        <w:rPr>
          <w:noProof/>
          <w:color w:val="000000"/>
          <w:highlight w:val="black"/>
        </w:rPr>
        <w:t>''''''''''''</w:t>
      </w:r>
      <w:r>
        <w:t xml:space="preserve"> per 30-day pack resulting in a cost per course per patient of </w:t>
      </w:r>
      <w:r w:rsidR="00950C8B">
        <w:rPr>
          <w:noProof/>
          <w:color w:val="000000"/>
          <w:highlight w:val="black"/>
        </w:rPr>
        <w:t>'''''''''''''''''</w:t>
      </w:r>
      <w:r>
        <w:t xml:space="preserve"> for economic model and a cost per year of </w:t>
      </w:r>
      <w:r w:rsidR="00950C8B">
        <w:rPr>
          <w:noProof/>
          <w:color w:val="000000"/>
          <w:highlight w:val="black"/>
        </w:rPr>
        <w:t>'''''''''''''''</w:t>
      </w:r>
      <w:r>
        <w:t xml:space="preserve"> for financial estimates.</w:t>
      </w:r>
      <w:r>
        <w:rPr>
          <w:iCs/>
        </w:rPr>
        <w:t xml:space="preserve"> The drug costs in the submission were likely to be underestimated </w:t>
      </w:r>
      <w:r>
        <w:rPr>
          <w:iCs/>
        </w:rPr>
        <w:lastRenderedPageBreak/>
        <w:t>as they were based on the median duration of exposure rather than the mean.</w:t>
      </w:r>
      <w:r>
        <w:t xml:space="preserve"> A summary of the drug cost per patient of cabozantinib is provided in Table 12. </w:t>
      </w:r>
    </w:p>
    <w:p w:rsidR="002B6CEA" w:rsidRDefault="00A97395">
      <w:pPr>
        <w:pStyle w:val="ListParagraph"/>
        <w:widowControl/>
        <w:numPr>
          <w:ilvl w:val="1"/>
          <w:numId w:val="2"/>
        </w:numPr>
      </w:pPr>
      <w:r>
        <w:rPr>
          <w:rFonts w:asciiTheme="minorHAnsi" w:hAnsiTheme="minorHAnsi"/>
          <w:bCs/>
        </w:rPr>
        <w:t>The submission proposed flat pricing across the 3 strengths of cabozantinib. The PBAC noted that</w:t>
      </w:r>
      <w:r>
        <w:rPr>
          <w:rFonts w:asciiTheme="minorHAnsi" w:hAnsiTheme="minorHAnsi"/>
          <w:bCs/>
          <w:iCs/>
        </w:rPr>
        <w:t xml:space="preserve"> the recommended cabozantinib daily dose was 60 mg; however, the median average daily dose in the CELESTIAL trial was 35.8 mg, because 62% of patients on cabozantinib required dose reductions. Thus, many </w:t>
      </w:r>
      <w:r>
        <w:t>patients will potentially not receive the maximum dose, but the cost to the PBS would be the same.</w:t>
      </w:r>
    </w:p>
    <w:p w:rsidR="00E50BF2" w:rsidRPr="00E50BF2" w:rsidRDefault="00E50BF2" w:rsidP="00E50BF2">
      <w:pPr>
        <w:keepNext/>
        <w:keepLines/>
        <w:widowControl/>
        <w:rPr>
          <w:rStyle w:val="CommentReference"/>
        </w:rPr>
      </w:pPr>
      <w:r w:rsidRPr="00E50BF2">
        <w:rPr>
          <w:rStyle w:val="CommentReference"/>
        </w:rPr>
        <w:t xml:space="preserve">Table </w:t>
      </w:r>
      <w:r w:rsidRPr="00E50BF2">
        <w:rPr>
          <w:rStyle w:val="CommentReference"/>
        </w:rPr>
        <w:fldChar w:fldCharType="begin"/>
      </w:r>
      <w:r w:rsidRPr="00E50BF2">
        <w:rPr>
          <w:rStyle w:val="CommentReference"/>
        </w:rPr>
        <w:instrText xml:space="preserve"> SEQ Table \* ARABIC </w:instrText>
      </w:r>
      <w:r w:rsidRPr="00E50BF2">
        <w:rPr>
          <w:rStyle w:val="CommentReference"/>
        </w:rPr>
        <w:fldChar w:fldCharType="separate"/>
      </w:r>
      <w:r w:rsidR="00310C38">
        <w:rPr>
          <w:rStyle w:val="CommentReference"/>
          <w:noProof/>
        </w:rPr>
        <w:t>12</w:t>
      </w:r>
      <w:r w:rsidRPr="00E50BF2">
        <w:rPr>
          <w:rStyle w:val="CommentReference"/>
        </w:rPr>
        <w:fldChar w:fldCharType="end"/>
      </w:r>
      <w:r w:rsidRPr="00E50BF2">
        <w:rPr>
          <w:rStyle w:val="CommentReference"/>
        </w:rPr>
        <w:t>: Drug cost per patient for proposed and comparator drugs (no discounting applied)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2: Drug cost per patient for proposed and comparator drugs (no discounting applied)"/>
      </w:tblPr>
      <w:tblGrid>
        <w:gridCol w:w="2712"/>
        <w:gridCol w:w="2179"/>
        <w:gridCol w:w="1960"/>
        <w:gridCol w:w="2166"/>
      </w:tblGrid>
      <w:tr w:rsidR="002B6CEA">
        <w:trPr>
          <w:jc w:val="center"/>
        </w:trPr>
        <w:tc>
          <w:tcPr>
            <w:tcW w:w="1504" w:type="pct"/>
            <w:shd w:val="clear" w:color="auto" w:fill="auto"/>
            <w:vAlign w:val="center"/>
          </w:tcPr>
          <w:p w:rsidR="002B6CEA" w:rsidRDefault="002B6CEA">
            <w:pPr>
              <w:keepNext/>
              <w:keepLines/>
              <w:widowControl/>
              <w:jc w:val="left"/>
              <w:rPr>
                <w:rFonts w:ascii="Arial Narrow" w:hAnsi="Arial Narrow"/>
                <w:b/>
                <w:sz w:val="20"/>
              </w:rPr>
            </w:pPr>
          </w:p>
        </w:tc>
        <w:tc>
          <w:tcPr>
            <w:tcW w:w="1208" w:type="pct"/>
            <w:shd w:val="clear" w:color="auto" w:fill="auto"/>
            <w:vAlign w:val="center"/>
          </w:tcPr>
          <w:p w:rsidR="002B6CEA" w:rsidRDefault="00A97395">
            <w:pPr>
              <w:keepNext/>
              <w:keepLines/>
              <w:widowControl/>
              <w:jc w:val="center"/>
              <w:rPr>
                <w:rFonts w:ascii="Arial Narrow" w:hAnsi="Arial Narrow"/>
                <w:b/>
                <w:sz w:val="20"/>
              </w:rPr>
            </w:pPr>
            <w:r>
              <w:rPr>
                <w:rFonts w:ascii="Arial Narrow" w:hAnsi="Arial Narrow"/>
                <w:b/>
                <w:sz w:val="20"/>
              </w:rPr>
              <w:t>Proposed drug</w:t>
            </w:r>
          </w:p>
          <w:p w:rsidR="002B6CEA" w:rsidRDefault="00A97395">
            <w:pPr>
              <w:keepNext/>
              <w:keepLines/>
              <w:widowControl/>
              <w:jc w:val="center"/>
              <w:rPr>
                <w:rFonts w:ascii="Arial Narrow" w:hAnsi="Arial Narrow"/>
                <w:b/>
                <w:sz w:val="20"/>
              </w:rPr>
            </w:pPr>
            <w:r>
              <w:rPr>
                <w:rFonts w:ascii="Arial Narrow" w:hAnsi="Arial Narrow"/>
                <w:b/>
                <w:sz w:val="20"/>
              </w:rPr>
              <w:t>Trial dose and duration</w:t>
            </w:r>
          </w:p>
        </w:tc>
        <w:tc>
          <w:tcPr>
            <w:tcW w:w="1087" w:type="pct"/>
            <w:shd w:val="clear" w:color="auto" w:fill="auto"/>
            <w:vAlign w:val="center"/>
          </w:tcPr>
          <w:p w:rsidR="002B6CEA" w:rsidRDefault="00A97395">
            <w:pPr>
              <w:keepNext/>
              <w:keepLines/>
              <w:widowControl/>
              <w:jc w:val="center"/>
              <w:rPr>
                <w:rFonts w:ascii="Arial Narrow" w:hAnsi="Arial Narrow"/>
                <w:b/>
                <w:sz w:val="20"/>
              </w:rPr>
            </w:pPr>
            <w:r>
              <w:rPr>
                <w:rFonts w:ascii="Arial Narrow" w:hAnsi="Arial Narrow"/>
                <w:b/>
                <w:sz w:val="20"/>
              </w:rPr>
              <w:t>Proposed drug</w:t>
            </w:r>
          </w:p>
          <w:p w:rsidR="002B6CEA" w:rsidRDefault="00A97395">
            <w:pPr>
              <w:keepNext/>
              <w:keepLines/>
              <w:widowControl/>
              <w:jc w:val="center"/>
              <w:rPr>
                <w:rFonts w:ascii="Arial Narrow" w:hAnsi="Arial Narrow"/>
                <w:b/>
                <w:sz w:val="20"/>
              </w:rPr>
            </w:pPr>
            <w:r>
              <w:rPr>
                <w:rFonts w:ascii="Arial Narrow" w:hAnsi="Arial Narrow"/>
                <w:b/>
                <w:sz w:val="20"/>
              </w:rPr>
              <w:t>Model</w:t>
            </w:r>
          </w:p>
        </w:tc>
        <w:tc>
          <w:tcPr>
            <w:tcW w:w="1201" w:type="pct"/>
            <w:shd w:val="clear" w:color="auto" w:fill="auto"/>
            <w:vAlign w:val="center"/>
          </w:tcPr>
          <w:p w:rsidR="002B6CEA" w:rsidRDefault="00A97395">
            <w:pPr>
              <w:keepNext/>
              <w:keepLines/>
              <w:widowControl/>
              <w:jc w:val="center"/>
              <w:rPr>
                <w:rFonts w:ascii="Arial Narrow" w:hAnsi="Arial Narrow"/>
                <w:b/>
                <w:sz w:val="20"/>
              </w:rPr>
            </w:pPr>
            <w:r>
              <w:rPr>
                <w:rFonts w:ascii="Arial Narrow" w:hAnsi="Arial Narrow"/>
                <w:b/>
                <w:sz w:val="20"/>
              </w:rPr>
              <w:t>Proposed drug</w:t>
            </w:r>
          </w:p>
          <w:p w:rsidR="002B6CEA" w:rsidRDefault="00A97395">
            <w:pPr>
              <w:keepNext/>
              <w:keepLines/>
              <w:widowControl/>
              <w:jc w:val="center"/>
              <w:rPr>
                <w:rFonts w:ascii="Arial Narrow" w:hAnsi="Arial Narrow"/>
                <w:b/>
                <w:sz w:val="20"/>
              </w:rPr>
            </w:pPr>
            <w:r>
              <w:rPr>
                <w:rFonts w:ascii="Arial Narrow" w:hAnsi="Arial Narrow"/>
                <w:b/>
                <w:sz w:val="20"/>
              </w:rPr>
              <w:t>Financial estimates</w:t>
            </w:r>
          </w:p>
        </w:tc>
      </w:tr>
      <w:tr w:rsidR="002B6CEA">
        <w:trPr>
          <w:jc w:val="center"/>
        </w:trPr>
        <w:tc>
          <w:tcPr>
            <w:tcW w:w="1504" w:type="pct"/>
            <w:shd w:val="clear" w:color="auto" w:fill="auto"/>
            <w:vAlign w:val="center"/>
          </w:tcPr>
          <w:p w:rsidR="002B6CEA" w:rsidRDefault="00A97395">
            <w:pPr>
              <w:keepNext/>
              <w:keepLines/>
              <w:widowControl/>
              <w:jc w:val="left"/>
              <w:rPr>
                <w:rFonts w:ascii="Arial Narrow" w:hAnsi="Arial Narrow"/>
                <w:sz w:val="20"/>
              </w:rPr>
            </w:pPr>
            <w:r>
              <w:rPr>
                <w:rFonts w:ascii="Arial Narrow" w:hAnsi="Arial Narrow"/>
                <w:sz w:val="20"/>
              </w:rPr>
              <w:t>Mean dose, mg/day (SD)</w:t>
            </w:r>
          </w:p>
        </w:tc>
        <w:tc>
          <w:tcPr>
            <w:tcW w:w="1208" w:type="pct"/>
            <w:shd w:val="clear" w:color="auto" w:fill="auto"/>
            <w:vAlign w:val="center"/>
          </w:tcPr>
          <w:p w:rsidR="002B6CEA" w:rsidRDefault="00A97395">
            <w:pPr>
              <w:keepNext/>
              <w:keepLines/>
              <w:widowControl/>
              <w:jc w:val="center"/>
              <w:rPr>
                <w:rFonts w:ascii="Arial Narrow" w:hAnsi="Arial Narrow"/>
                <w:sz w:val="20"/>
              </w:rPr>
            </w:pPr>
            <w:r>
              <w:rPr>
                <w:rFonts w:ascii="Arial Narrow" w:hAnsi="Arial Narrow"/>
                <w:sz w:val="20"/>
              </w:rPr>
              <w:t>36.56 (13.783)</w:t>
            </w:r>
          </w:p>
        </w:tc>
        <w:tc>
          <w:tcPr>
            <w:tcW w:w="1087" w:type="pct"/>
            <w:shd w:val="clear" w:color="auto" w:fill="auto"/>
            <w:vAlign w:val="center"/>
          </w:tcPr>
          <w:p w:rsidR="002B6CEA" w:rsidRDefault="00A97395">
            <w:pPr>
              <w:keepNext/>
              <w:keepLines/>
              <w:widowControl/>
              <w:jc w:val="center"/>
              <w:rPr>
                <w:rFonts w:ascii="Arial Narrow" w:hAnsi="Arial Narrow"/>
                <w:iCs/>
                <w:sz w:val="20"/>
              </w:rPr>
            </w:pPr>
            <w:r>
              <w:rPr>
                <w:rFonts w:ascii="Arial Narrow" w:hAnsi="Arial Narrow"/>
                <w:iCs/>
                <w:sz w:val="20"/>
              </w:rPr>
              <w:t>60</w:t>
            </w:r>
          </w:p>
        </w:tc>
        <w:tc>
          <w:tcPr>
            <w:tcW w:w="1201" w:type="pct"/>
            <w:shd w:val="clear" w:color="auto" w:fill="auto"/>
            <w:vAlign w:val="center"/>
          </w:tcPr>
          <w:p w:rsidR="002B6CEA" w:rsidRDefault="00A97395">
            <w:pPr>
              <w:keepNext/>
              <w:keepLines/>
              <w:widowControl/>
              <w:jc w:val="center"/>
              <w:rPr>
                <w:rFonts w:ascii="Arial Narrow" w:hAnsi="Arial Narrow"/>
                <w:sz w:val="20"/>
              </w:rPr>
            </w:pPr>
            <w:r>
              <w:rPr>
                <w:rFonts w:ascii="Arial Narrow" w:hAnsi="Arial Narrow"/>
                <w:sz w:val="20"/>
              </w:rPr>
              <w:t>41</w:t>
            </w:r>
          </w:p>
        </w:tc>
      </w:tr>
      <w:tr w:rsidR="002B6CEA">
        <w:trPr>
          <w:jc w:val="center"/>
        </w:trPr>
        <w:tc>
          <w:tcPr>
            <w:tcW w:w="1504" w:type="pct"/>
            <w:shd w:val="clear" w:color="auto" w:fill="auto"/>
            <w:vAlign w:val="center"/>
          </w:tcPr>
          <w:p w:rsidR="002B6CEA" w:rsidRDefault="00A97395">
            <w:pPr>
              <w:keepNext/>
              <w:keepLines/>
              <w:widowControl/>
              <w:jc w:val="left"/>
              <w:rPr>
                <w:rFonts w:ascii="Arial Narrow" w:hAnsi="Arial Narrow"/>
                <w:sz w:val="20"/>
              </w:rPr>
            </w:pPr>
            <w:r>
              <w:rPr>
                <w:rFonts w:ascii="Arial Narrow" w:hAnsi="Arial Narrow"/>
                <w:sz w:val="20"/>
              </w:rPr>
              <w:t>Mean duration, months (SD)</w:t>
            </w:r>
          </w:p>
        </w:tc>
        <w:tc>
          <w:tcPr>
            <w:tcW w:w="1208" w:type="pct"/>
            <w:shd w:val="clear" w:color="auto" w:fill="auto"/>
            <w:vAlign w:val="center"/>
          </w:tcPr>
          <w:p w:rsidR="002B6CEA" w:rsidRDefault="00A97395">
            <w:pPr>
              <w:keepNext/>
              <w:keepLines/>
              <w:widowControl/>
              <w:jc w:val="center"/>
              <w:rPr>
                <w:rFonts w:ascii="Arial Narrow" w:hAnsi="Arial Narrow"/>
                <w:sz w:val="20"/>
                <w:vertAlign w:val="superscript"/>
              </w:rPr>
            </w:pPr>
            <w:r>
              <w:rPr>
                <w:rFonts w:ascii="Arial Narrow" w:hAnsi="Arial Narrow"/>
                <w:sz w:val="20"/>
              </w:rPr>
              <w:t xml:space="preserve">4.97 (5.47) </w:t>
            </w:r>
            <w:r>
              <w:rPr>
                <w:rFonts w:ascii="Arial Narrow" w:hAnsi="Arial Narrow"/>
                <w:sz w:val="20"/>
                <w:vertAlign w:val="superscript"/>
              </w:rPr>
              <w:t>a</w:t>
            </w:r>
          </w:p>
        </w:tc>
        <w:tc>
          <w:tcPr>
            <w:tcW w:w="1087" w:type="pct"/>
            <w:shd w:val="clear" w:color="auto" w:fill="auto"/>
            <w:vAlign w:val="center"/>
          </w:tcPr>
          <w:p w:rsidR="002B6CEA" w:rsidRDefault="00A97395">
            <w:pPr>
              <w:keepNext/>
              <w:keepLines/>
              <w:widowControl/>
              <w:jc w:val="center"/>
              <w:rPr>
                <w:rFonts w:ascii="Arial Narrow" w:hAnsi="Arial Narrow"/>
                <w:iCs/>
                <w:sz w:val="20"/>
              </w:rPr>
            </w:pPr>
            <w:r>
              <w:rPr>
                <w:rFonts w:ascii="Arial Narrow" w:hAnsi="Arial Narrow"/>
                <w:iCs/>
                <w:sz w:val="20"/>
              </w:rPr>
              <w:t>6.43</w:t>
            </w:r>
          </w:p>
        </w:tc>
        <w:tc>
          <w:tcPr>
            <w:tcW w:w="1201" w:type="pct"/>
            <w:shd w:val="clear" w:color="auto" w:fill="auto"/>
            <w:vAlign w:val="center"/>
          </w:tcPr>
          <w:p w:rsidR="002B6CEA" w:rsidRDefault="00A97395">
            <w:pPr>
              <w:keepNext/>
              <w:keepLines/>
              <w:widowControl/>
              <w:jc w:val="center"/>
              <w:rPr>
                <w:rFonts w:ascii="Arial Narrow" w:hAnsi="Arial Narrow"/>
                <w:iCs/>
                <w:sz w:val="20"/>
              </w:rPr>
            </w:pPr>
            <w:r>
              <w:rPr>
                <w:rFonts w:ascii="Arial Narrow" w:hAnsi="Arial Narrow"/>
                <w:iCs/>
                <w:sz w:val="20"/>
              </w:rPr>
              <w:t xml:space="preserve">3.8 </w:t>
            </w:r>
            <w:r>
              <w:rPr>
                <w:rFonts w:ascii="Arial Narrow" w:hAnsi="Arial Narrow"/>
                <w:iCs/>
                <w:sz w:val="20"/>
                <w:vertAlign w:val="superscript"/>
              </w:rPr>
              <w:t>b</w:t>
            </w:r>
          </w:p>
        </w:tc>
      </w:tr>
      <w:tr w:rsidR="002B6CEA">
        <w:trPr>
          <w:jc w:val="center"/>
        </w:trPr>
        <w:tc>
          <w:tcPr>
            <w:tcW w:w="1504" w:type="pct"/>
            <w:shd w:val="clear" w:color="auto" w:fill="auto"/>
            <w:vAlign w:val="center"/>
          </w:tcPr>
          <w:p w:rsidR="002B6CEA" w:rsidRDefault="00A97395">
            <w:pPr>
              <w:keepNext/>
              <w:keepLines/>
              <w:widowControl/>
              <w:jc w:val="left"/>
              <w:rPr>
                <w:rFonts w:ascii="Arial Narrow" w:hAnsi="Arial Narrow"/>
                <w:sz w:val="20"/>
              </w:rPr>
            </w:pPr>
            <w:r>
              <w:rPr>
                <w:rFonts w:ascii="Arial Narrow" w:hAnsi="Arial Narrow"/>
                <w:sz w:val="20"/>
              </w:rPr>
              <w:t>Cost/patient/month</w:t>
            </w:r>
          </w:p>
        </w:tc>
        <w:tc>
          <w:tcPr>
            <w:tcW w:w="1208" w:type="pct"/>
            <w:shd w:val="clear" w:color="auto" w:fill="auto"/>
            <w:vAlign w:val="center"/>
          </w:tcPr>
          <w:p w:rsidR="002B6CEA" w:rsidRDefault="00950C8B">
            <w:pPr>
              <w:keepNext/>
              <w:keepLines/>
              <w:widowControl/>
              <w:jc w:val="center"/>
              <w:rPr>
                <w:rFonts w:ascii="Arial Narrow" w:hAnsi="Arial Narrow"/>
                <w:iCs/>
                <w:sz w:val="20"/>
                <w:vertAlign w:val="superscript"/>
              </w:rPr>
            </w:pPr>
            <w:r>
              <w:rPr>
                <w:rFonts w:ascii="Arial Narrow" w:hAnsi="Arial Narrow"/>
                <w:iCs/>
                <w:noProof/>
                <w:color w:val="000000"/>
                <w:sz w:val="20"/>
                <w:highlight w:val="black"/>
              </w:rPr>
              <w:t>'''''''''''''''''</w:t>
            </w:r>
            <w:r w:rsidR="00A97395">
              <w:rPr>
                <w:rFonts w:ascii="Arial Narrow" w:hAnsi="Arial Narrow"/>
                <w:iCs/>
                <w:sz w:val="20"/>
                <w:vertAlign w:val="superscript"/>
              </w:rPr>
              <w:t xml:space="preserve"> c</w:t>
            </w:r>
          </w:p>
        </w:tc>
        <w:tc>
          <w:tcPr>
            <w:tcW w:w="1087" w:type="pct"/>
            <w:shd w:val="clear" w:color="auto" w:fill="auto"/>
            <w:vAlign w:val="center"/>
          </w:tcPr>
          <w:p w:rsidR="002B6CEA" w:rsidRDefault="00950C8B">
            <w:pPr>
              <w:keepNext/>
              <w:keepLines/>
              <w:widowControl/>
              <w:jc w:val="center"/>
              <w:rPr>
                <w:rFonts w:ascii="Arial Narrow" w:hAnsi="Arial Narrow"/>
                <w:iCs/>
                <w:sz w:val="20"/>
                <w:vertAlign w:val="superscript"/>
              </w:rPr>
            </w:pPr>
            <w:r>
              <w:rPr>
                <w:rFonts w:ascii="Arial Narrow" w:hAnsi="Arial Narrow"/>
                <w:iCs/>
                <w:noProof/>
                <w:color w:val="000000"/>
                <w:sz w:val="20"/>
                <w:highlight w:val="black"/>
              </w:rPr>
              <w:t>'''''''''''''''</w:t>
            </w:r>
            <w:r w:rsidR="00A97395">
              <w:rPr>
                <w:rFonts w:ascii="Arial Narrow" w:hAnsi="Arial Narrow"/>
                <w:iCs/>
                <w:sz w:val="20"/>
              </w:rPr>
              <w:t xml:space="preserve"> </w:t>
            </w:r>
            <w:r w:rsidR="00A97395">
              <w:rPr>
                <w:rFonts w:ascii="Arial Narrow" w:hAnsi="Arial Narrow"/>
                <w:iCs/>
                <w:sz w:val="20"/>
                <w:vertAlign w:val="superscript"/>
              </w:rPr>
              <w:t>c</w:t>
            </w:r>
          </w:p>
        </w:tc>
        <w:tc>
          <w:tcPr>
            <w:tcW w:w="1201" w:type="pct"/>
            <w:shd w:val="clear" w:color="auto" w:fill="auto"/>
            <w:vAlign w:val="center"/>
          </w:tcPr>
          <w:p w:rsidR="002B6CEA" w:rsidRDefault="00950C8B">
            <w:pPr>
              <w:keepNext/>
              <w:keepLines/>
              <w:widowControl/>
              <w:jc w:val="center"/>
              <w:rPr>
                <w:rFonts w:ascii="Arial Narrow" w:hAnsi="Arial Narrow"/>
                <w:sz w:val="20"/>
              </w:rPr>
            </w:pPr>
            <w:r>
              <w:rPr>
                <w:rFonts w:ascii="Arial Narrow" w:hAnsi="Arial Narrow"/>
                <w:iCs/>
                <w:noProof/>
                <w:color w:val="000000"/>
                <w:sz w:val="20"/>
                <w:highlight w:val="black"/>
              </w:rPr>
              <w:t>'''''''''''''''''</w:t>
            </w:r>
            <w:r w:rsidR="00A97395">
              <w:rPr>
                <w:rFonts w:ascii="Arial Narrow" w:hAnsi="Arial Narrow"/>
                <w:iCs/>
                <w:sz w:val="20"/>
              </w:rPr>
              <w:t xml:space="preserve"> </w:t>
            </w:r>
            <w:r w:rsidR="00A97395">
              <w:rPr>
                <w:rFonts w:ascii="Arial Narrow" w:hAnsi="Arial Narrow"/>
                <w:iCs/>
                <w:sz w:val="20"/>
                <w:vertAlign w:val="superscript"/>
              </w:rPr>
              <w:t>c</w:t>
            </w:r>
          </w:p>
        </w:tc>
      </w:tr>
      <w:tr w:rsidR="002B6CEA">
        <w:trPr>
          <w:jc w:val="center"/>
        </w:trPr>
        <w:tc>
          <w:tcPr>
            <w:tcW w:w="1504" w:type="pct"/>
            <w:shd w:val="clear" w:color="auto" w:fill="auto"/>
            <w:vAlign w:val="center"/>
          </w:tcPr>
          <w:p w:rsidR="002B6CEA" w:rsidRDefault="00A97395">
            <w:pPr>
              <w:keepNext/>
              <w:keepLines/>
              <w:widowControl/>
              <w:jc w:val="left"/>
              <w:rPr>
                <w:rFonts w:ascii="Arial Narrow" w:hAnsi="Arial Narrow"/>
                <w:sz w:val="20"/>
              </w:rPr>
            </w:pPr>
            <w:r>
              <w:rPr>
                <w:rFonts w:ascii="Arial Narrow" w:hAnsi="Arial Narrow"/>
                <w:sz w:val="20"/>
              </w:rPr>
              <w:t>Cost/patient</w:t>
            </w:r>
          </w:p>
        </w:tc>
        <w:tc>
          <w:tcPr>
            <w:tcW w:w="1208" w:type="pct"/>
            <w:shd w:val="clear" w:color="auto" w:fill="auto"/>
            <w:vAlign w:val="center"/>
          </w:tcPr>
          <w:p w:rsidR="002B6CEA" w:rsidRDefault="00950C8B">
            <w:pPr>
              <w:keepNext/>
              <w:keepLines/>
              <w:widowControl/>
              <w:jc w:val="center"/>
              <w:rPr>
                <w:rFonts w:ascii="Arial Narrow" w:hAnsi="Arial Narrow"/>
                <w:sz w:val="20"/>
              </w:rPr>
            </w:pPr>
            <w:r>
              <w:rPr>
                <w:rFonts w:ascii="Arial Narrow" w:hAnsi="Arial Narrow"/>
                <w:iCs/>
                <w:noProof/>
                <w:color w:val="000000"/>
                <w:sz w:val="20"/>
                <w:szCs w:val="20"/>
                <w:highlight w:val="black"/>
              </w:rPr>
              <w:t>'''''''''''''''''''''''</w:t>
            </w:r>
            <w:r w:rsidR="00A97395">
              <w:rPr>
                <w:rFonts w:ascii="Arial Narrow" w:hAnsi="Arial Narrow"/>
                <w:iCs/>
                <w:sz w:val="20"/>
              </w:rPr>
              <w:t>course</w:t>
            </w:r>
            <w:r w:rsidR="00A97395">
              <w:rPr>
                <w:rFonts w:ascii="Arial Narrow" w:hAnsi="Arial Narrow"/>
                <w:iCs/>
                <w:sz w:val="20"/>
                <w:vertAlign w:val="superscript"/>
              </w:rPr>
              <w:t xml:space="preserve"> d</w:t>
            </w:r>
          </w:p>
        </w:tc>
        <w:tc>
          <w:tcPr>
            <w:tcW w:w="1087" w:type="pct"/>
            <w:shd w:val="clear" w:color="auto" w:fill="auto"/>
            <w:vAlign w:val="center"/>
          </w:tcPr>
          <w:p w:rsidR="002B6CEA" w:rsidRDefault="00950C8B">
            <w:pPr>
              <w:keepNext/>
              <w:keepLines/>
              <w:widowControl/>
              <w:jc w:val="center"/>
              <w:rPr>
                <w:rFonts w:ascii="Arial Narrow" w:hAnsi="Arial Narrow"/>
                <w:iCs/>
                <w:sz w:val="20"/>
              </w:rPr>
            </w:pPr>
            <w:r>
              <w:rPr>
                <w:rFonts w:ascii="Arial Narrow" w:hAnsi="Arial Narrow"/>
                <w:iCs/>
                <w:noProof/>
                <w:color w:val="000000"/>
                <w:sz w:val="20"/>
                <w:highlight w:val="black"/>
              </w:rPr>
              <w:t>'''''''''''''''''''</w:t>
            </w:r>
            <w:r w:rsidR="00A97395">
              <w:rPr>
                <w:rFonts w:ascii="Arial Narrow" w:hAnsi="Arial Narrow"/>
                <w:iCs/>
                <w:sz w:val="20"/>
              </w:rPr>
              <w:t xml:space="preserve">course </w:t>
            </w:r>
            <w:r w:rsidR="00A97395">
              <w:rPr>
                <w:rFonts w:ascii="Arial Narrow" w:hAnsi="Arial Narrow"/>
                <w:iCs/>
                <w:sz w:val="20"/>
                <w:vertAlign w:val="superscript"/>
              </w:rPr>
              <w:t>e</w:t>
            </w:r>
          </w:p>
        </w:tc>
        <w:tc>
          <w:tcPr>
            <w:tcW w:w="1201" w:type="pct"/>
            <w:shd w:val="clear" w:color="auto" w:fill="auto"/>
            <w:vAlign w:val="center"/>
          </w:tcPr>
          <w:p w:rsidR="002B6CEA" w:rsidRDefault="00950C8B">
            <w:pPr>
              <w:keepNext/>
              <w:keepLines/>
              <w:widowControl/>
              <w:jc w:val="center"/>
              <w:rPr>
                <w:rFonts w:ascii="Arial Narrow" w:hAnsi="Arial Narrow"/>
                <w:iCs/>
                <w:sz w:val="20"/>
              </w:rPr>
            </w:pPr>
            <w:r>
              <w:rPr>
                <w:rFonts w:ascii="Arial Narrow" w:hAnsi="Arial Narrow"/>
                <w:iCs/>
                <w:noProof/>
                <w:color w:val="000000"/>
                <w:sz w:val="20"/>
                <w:highlight w:val="black"/>
              </w:rPr>
              <w:t>'''''''''''''''''''''</w:t>
            </w:r>
            <w:r w:rsidR="00A97395">
              <w:rPr>
                <w:rFonts w:ascii="Arial Narrow" w:hAnsi="Arial Narrow"/>
                <w:iCs/>
                <w:sz w:val="20"/>
              </w:rPr>
              <w:t>year</w:t>
            </w:r>
          </w:p>
        </w:tc>
      </w:tr>
    </w:tbl>
    <w:p w:rsidR="002B6CEA" w:rsidRDefault="00A97395">
      <w:pPr>
        <w:pStyle w:val="TableFooter"/>
        <w:keepNext/>
        <w:keepLines/>
        <w:widowControl/>
      </w:pPr>
      <w:r>
        <w:t>Abbreviations: SD = standard deviation</w:t>
      </w:r>
    </w:p>
    <w:p w:rsidR="002B6CEA" w:rsidRDefault="00A97395">
      <w:pPr>
        <w:pStyle w:val="TableFooter"/>
        <w:keepNext/>
        <w:keepLines/>
        <w:widowControl/>
      </w:pPr>
      <w:r>
        <w:t>Source: Table 44 p153 of the CSR; Compiled during the evaluation based on Attachment 13 (economic model) and 14 (financial estimates)</w:t>
      </w:r>
    </w:p>
    <w:p w:rsidR="002B6CEA" w:rsidRDefault="00A97395">
      <w:pPr>
        <w:keepNext/>
        <w:keepLines/>
        <w:widowControl/>
        <w:rPr>
          <w:rFonts w:ascii="Arial Narrow" w:hAnsi="Arial Narrow"/>
          <w:sz w:val="18"/>
        </w:rPr>
      </w:pPr>
      <w:r>
        <w:rPr>
          <w:rFonts w:ascii="Arial Narrow" w:hAnsi="Arial Narrow"/>
          <w:sz w:val="18"/>
        </w:rPr>
        <w:t xml:space="preserve">Note: </w:t>
      </w:r>
      <w:r>
        <w:rPr>
          <w:rFonts w:ascii="Arial Narrow" w:hAnsi="Arial Narrow"/>
          <w:sz w:val="18"/>
          <w:vertAlign w:val="superscript"/>
        </w:rPr>
        <w:t>a</w:t>
      </w:r>
      <w:r>
        <w:rPr>
          <w:rFonts w:ascii="Arial Narrow" w:hAnsi="Arial Narrow"/>
          <w:sz w:val="18"/>
        </w:rPr>
        <w:t xml:space="preserve"> The figure was mean duration of treatment while the mean duration of exposure was 5.87 (5.895) months.</w:t>
      </w:r>
    </w:p>
    <w:p w:rsidR="002B6CEA" w:rsidRDefault="00A97395">
      <w:pPr>
        <w:keepNext/>
        <w:keepLines/>
        <w:widowControl/>
        <w:rPr>
          <w:rFonts w:ascii="Arial Narrow" w:hAnsi="Arial Narrow"/>
          <w:sz w:val="18"/>
        </w:rPr>
      </w:pPr>
      <w:r>
        <w:rPr>
          <w:rFonts w:ascii="Arial Narrow" w:hAnsi="Arial Narrow"/>
          <w:sz w:val="18"/>
          <w:vertAlign w:val="superscript"/>
        </w:rPr>
        <w:t>b</w:t>
      </w:r>
      <w:r>
        <w:rPr>
          <w:rFonts w:ascii="Arial Narrow" w:hAnsi="Arial Narrow"/>
          <w:sz w:val="18"/>
        </w:rPr>
        <w:t xml:space="preserve"> Median duration of 3.8 months was rounded up to 4 months per the submission.</w:t>
      </w:r>
    </w:p>
    <w:p w:rsidR="002B6CEA" w:rsidRDefault="00A97395">
      <w:pPr>
        <w:keepNext/>
        <w:keepLines/>
        <w:widowControl/>
        <w:rPr>
          <w:rFonts w:ascii="Arial Narrow" w:hAnsi="Arial Narrow"/>
          <w:sz w:val="18"/>
          <w:szCs w:val="18"/>
        </w:rPr>
      </w:pPr>
      <w:r>
        <w:rPr>
          <w:rFonts w:ascii="Arial Narrow" w:hAnsi="Arial Narrow"/>
          <w:sz w:val="18"/>
          <w:szCs w:val="18"/>
          <w:vertAlign w:val="superscript"/>
        </w:rPr>
        <w:t>c</w:t>
      </w:r>
      <w:r>
        <w:rPr>
          <w:rFonts w:ascii="Arial Narrow" w:hAnsi="Arial Narrow"/>
          <w:sz w:val="18"/>
          <w:szCs w:val="18"/>
        </w:rPr>
        <w:t xml:space="preserve"> Flat prices across three strengths, 30 tablets per pack.</w:t>
      </w:r>
    </w:p>
    <w:p w:rsidR="002B6CEA" w:rsidRDefault="00A97395">
      <w:pPr>
        <w:keepNext/>
        <w:keepLines/>
        <w:widowControl/>
        <w:rPr>
          <w:rFonts w:ascii="Arial Narrow" w:hAnsi="Arial Narrow"/>
          <w:sz w:val="18"/>
          <w:szCs w:val="18"/>
        </w:rPr>
      </w:pPr>
      <w:r>
        <w:rPr>
          <w:rFonts w:ascii="Arial Narrow" w:hAnsi="Arial Narrow"/>
          <w:sz w:val="18"/>
          <w:szCs w:val="18"/>
          <w:vertAlign w:val="superscript"/>
        </w:rPr>
        <w:t>d</w:t>
      </w:r>
      <w:r>
        <w:rPr>
          <w:rFonts w:ascii="Arial Narrow" w:hAnsi="Arial Narrow"/>
          <w:sz w:val="18"/>
          <w:szCs w:val="18"/>
        </w:rPr>
        <w:t xml:space="preserve"> the mean duration of treatment of 4.97 months (rounded up to 5 months). </w:t>
      </w:r>
    </w:p>
    <w:p w:rsidR="002B6CEA" w:rsidRDefault="00A97395">
      <w:pPr>
        <w:keepNext/>
        <w:keepLines/>
        <w:widowControl/>
        <w:rPr>
          <w:rFonts w:ascii="Arial Narrow" w:hAnsi="Arial Narrow"/>
          <w:sz w:val="18"/>
          <w:szCs w:val="18"/>
        </w:rPr>
      </w:pPr>
      <w:r>
        <w:rPr>
          <w:rFonts w:ascii="Arial Narrow" w:hAnsi="Arial Narrow"/>
          <w:sz w:val="18"/>
          <w:szCs w:val="18"/>
          <w:vertAlign w:val="superscript"/>
        </w:rPr>
        <w:t>e</w:t>
      </w:r>
      <w:r>
        <w:rPr>
          <w:rFonts w:ascii="Arial Narrow" w:hAnsi="Arial Narrow"/>
          <w:sz w:val="18"/>
          <w:szCs w:val="18"/>
        </w:rPr>
        <w:t xml:space="preserve"> Over the entire time horizon of 5 years.</w:t>
      </w:r>
    </w:p>
    <w:p w:rsidR="002B6CEA" w:rsidRDefault="002B6CEA"/>
    <w:p w:rsidR="002B6CEA" w:rsidRDefault="00A97395">
      <w:pPr>
        <w:pStyle w:val="Heading2"/>
        <w:keepNext/>
        <w:keepLines/>
        <w:widowControl/>
        <w:spacing w:after="120"/>
      </w:pPr>
      <w:bookmarkStart w:id="19" w:name="_Toc9419758"/>
      <w:r>
        <w:t>Estimated PBS usage &amp; financial implications</w:t>
      </w:r>
      <w:bookmarkEnd w:id="19"/>
    </w:p>
    <w:p w:rsidR="002B6CEA" w:rsidRDefault="00A97395">
      <w:pPr>
        <w:pStyle w:val="ListParagraph"/>
        <w:keepNext/>
        <w:keepLines/>
        <w:widowControl/>
        <w:numPr>
          <w:ilvl w:val="1"/>
          <w:numId w:val="2"/>
        </w:numPr>
      </w:pPr>
      <w:r>
        <w:t>This submission was not considered by DUSC. The submission used an epidemiological approach to estimate the expected financial impact associated with the listing of cabozantinib based on the published price. Data on the current use of sorafenib (a market share approach) were presented as a means of externally validating the estimate of patients with HCC.</w:t>
      </w:r>
    </w:p>
    <w:p w:rsidR="002B6CEA" w:rsidRDefault="00A97395">
      <w:pPr>
        <w:pStyle w:val="ListParagraph"/>
        <w:widowControl/>
        <w:numPr>
          <w:ilvl w:val="1"/>
          <w:numId w:val="2"/>
        </w:numPr>
      </w:pPr>
      <w:r>
        <w:t>The financial estimates for the use of cabozantinib per the submission (published price) are presented in Table 13.</w:t>
      </w:r>
    </w:p>
    <w:p w:rsidR="00CE2B30" w:rsidRDefault="00CE2B30">
      <w:pPr>
        <w:widowControl/>
        <w:jc w:val="left"/>
        <w:rPr>
          <w:rStyle w:val="CommentReference"/>
        </w:rPr>
      </w:pPr>
      <w:r>
        <w:rPr>
          <w:rStyle w:val="CommentReference"/>
        </w:rPr>
        <w:br w:type="page"/>
      </w:r>
    </w:p>
    <w:p w:rsidR="00E50BF2" w:rsidRPr="00E50BF2" w:rsidRDefault="00E50BF2" w:rsidP="00E50BF2">
      <w:pPr>
        <w:rPr>
          <w:rStyle w:val="CommentReference"/>
        </w:rPr>
      </w:pPr>
      <w:r w:rsidRPr="00E50BF2">
        <w:rPr>
          <w:rStyle w:val="CommentReference"/>
        </w:rPr>
        <w:lastRenderedPageBreak/>
        <w:t xml:space="preserve">Table </w:t>
      </w:r>
      <w:r w:rsidRPr="00E50BF2">
        <w:rPr>
          <w:rStyle w:val="CommentReference"/>
        </w:rPr>
        <w:fldChar w:fldCharType="begin"/>
      </w:r>
      <w:r w:rsidRPr="00E50BF2">
        <w:rPr>
          <w:rStyle w:val="CommentReference"/>
        </w:rPr>
        <w:instrText xml:space="preserve"> SEQ Table \* ARABIC </w:instrText>
      </w:r>
      <w:r w:rsidRPr="00E50BF2">
        <w:rPr>
          <w:rStyle w:val="CommentReference"/>
        </w:rPr>
        <w:fldChar w:fldCharType="separate"/>
      </w:r>
      <w:r w:rsidR="00310C38">
        <w:rPr>
          <w:rStyle w:val="CommentReference"/>
          <w:noProof/>
        </w:rPr>
        <w:t>13</w:t>
      </w:r>
      <w:r w:rsidRPr="00E50BF2">
        <w:rPr>
          <w:rStyle w:val="CommentReference"/>
        </w:rPr>
        <w:fldChar w:fldCharType="end"/>
      </w:r>
      <w:r w:rsidRPr="00E50BF2">
        <w:rPr>
          <w:rStyle w:val="CommentReference"/>
        </w:rPr>
        <w:t>: Estimated use and financial implications (published price)</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3: Estimated use and financial implications (published price)"/>
      </w:tblPr>
      <w:tblGrid>
        <w:gridCol w:w="2000"/>
        <w:gridCol w:w="1156"/>
        <w:gridCol w:w="1157"/>
        <w:gridCol w:w="1157"/>
        <w:gridCol w:w="1157"/>
        <w:gridCol w:w="1157"/>
        <w:gridCol w:w="1155"/>
      </w:tblGrid>
      <w:tr w:rsidR="002B6CEA">
        <w:trPr>
          <w:tblHeader/>
        </w:trPr>
        <w:tc>
          <w:tcPr>
            <w:tcW w:w="1119" w:type="pct"/>
            <w:shd w:val="clear" w:color="auto" w:fill="auto"/>
            <w:vAlign w:val="center"/>
          </w:tcPr>
          <w:p w:rsidR="002B6CEA" w:rsidRDefault="002B6CEA">
            <w:pPr>
              <w:pStyle w:val="Tabletext"/>
            </w:pPr>
          </w:p>
        </w:tc>
        <w:tc>
          <w:tcPr>
            <w:tcW w:w="647" w:type="pct"/>
            <w:shd w:val="clear" w:color="auto" w:fill="auto"/>
            <w:vAlign w:val="center"/>
          </w:tcPr>
          <w:p w:rsidR="002B6CEA" w:rsidRDefault="00A97395">
            <w:pPr>
              <w:pStyle w:val="Tabletext"/>
              <w:jc w:val="center"/>
              <w:rPr>
                <w:b/>
              </w:rPr>
            </w:pPr>
            <w:r>
              <w:rPr>
                <w:b/>
              </w:rPr>
              <w:t>2019</w:t>
            </w:r>
          </w:p>
        </w:tc>
        <w:tc>
          <w:tcPr>
            <w:tcW w:w="647" w:type="pct"/>
            <w:shd w:val="clear" w:color="auto" w:fill="auto"/>
            <w:vAlign w:val="center"/>
          </w:tcPr>
          <w:p w:rsidR="002B6CEA" w:rsidRDefault="00A97395">
            <w:pPr>
              <w:pStyle w:val="Tabletext"/>
              <w:jc w:val="center"/>
              <w:rPr>
                <w:b/>
              </w:rPr>
            </w:pPr>
            <w:r>
              <w:rPr>
                <w:b/>
              </w:rPr>
              <w:t>2020</w:t>
            </w:r>
          </w:p>
        </w:tc>
        <w:tc>
          <w:tcPr>
            <w:tcW w:w="647" w:type="pct"/>
            <w:shd w:val="clear" w:color="auto" w:fill="auto"/>
            <w:vAlign w:val="center"/>
          </w:tcPr>
          <w:p w:rsidR="002B6CEA" w:rsidRDefault="00A97395">
            <w:pPr>
              <w:pStyle w:val="Tabletext"/>
              <w:jc w:val="center"/>
              <w:rPr>
                <w:b/>
              </w:rPr>
            </w:pPr>
            <w:r>
              <w:rPr>
                <w:b/>
              </w:rPr>
              <w:t>2021</w:t>
            </w:r>
          </w:p>
        </w:tc>
        <w:tc>
          <w:tcPr>
            <w:tcW w:w="647" w:type="pct"/>
            <w:shd w:val="clear" w:color="auto" w:fill="auto"/>
            <w:vAlign w:val="center"/>
          </w:tcPr>
          <w:p w:rsidR="002B6CEA" w:rsidRDefault="00A97395">
            <w:pPr>
              <w:pStyle w:val="Tabletext"/>
              <w:jc w:val="center"/>
              <w:rPr>
                <w:b/>
              </w:rPr>
            </w:pPr>
            <w:r>
              <w:rPr>
                <w:b/>
              </w:rPr>
              <w:t>2022</w:t>
            </w:r>
          </w:p>
        </w:tc>
        <w:tc>
          <w:tcPr>
            <w:tcW w:w="647" w:type="pct"/>
            <w:shd w:val="clear" w:color="auto" w:fill="auto"/>
            <w:vAlign w:val="center"/>
          </w:tcPr>
          <w:p w:rsidR="002B6CEA" w:rsidRDefault="00A97395">
            <w:pPr>
              <w:pStyle w:val="Tabletext"/>
              <w:jc w:val="center"/>
              <w:rPr>
                <w:b/>
              </w:rPr>
            </w:pPr>
            <w:r>
              <w:rPr>
                <w:b/>
              </w:rPr>
              <w:t>2023</w:t>
            </w:r>
          </w:p>
        </w:tc>
        <w:tc>
          <w:tcPr>
            <w:tcW w:w="646" w:type="pct"/>
          </w:tcPr>
          <w:p w:rsidR="002B6CEA" w:rsidRDefault="00A97395">
            <w:pPr>
              <w:pStyle w:val="Tabletext"/>
              <w:jc w:val="center"/>
              <w:rPr>
                <w:b/>
              </w:rPr>
            </w:pPr>
            <w:r>
              <w:rPr>
                <w:b/>
              </w:rPr>
              <w:t>2024</w:t>
            </w:r>
          </w:p>
        </w:tc>
      </w:tr>
      <w:tr w:rsidR="002B6CEA">
        <w:tc>
          <w:tcPr>
            <w:tcW w:w="5000" w:type="pct"/>
            <w:gridSpan w:val="7"/>
            <w:shd w:val="clear" w:color="auto" w:fill="auto"/>
            <w:vAlign w:val="center"/>
          </w:tcPr>
          <w:p w:rsidR="002B6CEA" w:rsidRDefault="00A97395">
            <w:pPr>
              <w:pStyle w:val="Tabletext"/>
              <w:rPr>
                <w:b/>
                <w:bCs/>
                <w:color w:val="000000"/>
              </w:rPr>
            </w:pPr>
            <w:r>
              <w:rPr>
                <w:b/>
                <w:bCs/>
                <w:color w:val="000000"/>
              </w:rPr>
              <w:t>Estimated extent of use</w:t>
            </w:r>
          </w:p>
        </w:tc>
      </w:tr>
      <w:tr w:rsidR="002B6CEA">
        <w:tc>
          <w:tcPr>
            <w:tcW w:w="1119" w:type="pct"/>
            <w:shd w:val="clear" w:color="auto" w:fill="auto"/>
            <w:vAlign w:val="center"/>
          </w:tcPr>
          <w:p w:rsidR="002B6CEA" w:rsidRDefault="00A97395">
            <w:pPr>
              <w:pStyle w:val="Tabletext"/>
              <w:rPr>
                <w:rFonts w:ascii="Times" w:hAnsi="Times"/>
                <w:szCs w:val="20"/>
              </w:rPr>
            </w:pPr>
            <w:r>
              <w:rPr>
                <w:szCs w:val="20"/>
              </w:rPr>
              <w:t>Number of patients treated</w:t>
            </w:r>
          </w:p>
        </w:tc>
        <w:tc>
          <w:tcPr>
            <w:tcW w:w="647" w:type="pct"/>
            <w:shd w:val="clear" w:color="auto" w:fill="auto"/>
          </w:tcPr>
          <w:p w:rsidR="002B6CEA" w:rsidRPr="00950C8B" w:rsidRDefault="00950C8B">
            <w:pPr>
              <w:pStyle w:val="Tabletext"/>
              <w:jc w:val="center"/>
              <w:rPr>
                <w:bCs/>
                <w:color w:val="000000"/>
                <w:highlight w:val="black"/>
              </w:rPr>
            </w:pPr>
            <w:r>
              <w:rPr>
                <w:noProof/>
                <w:color w:val="000000"/>
                <w:szCs w:val="20"/>
                <w:highlight w:val="black"/>
              </w:rPr>
              <w:t>'''''''''</w:t>
            </w:r>
          </w:p>
        </w:tc>
        <w:tc>
          <w:tcPr>
            <w:tcW w:w="647" w:type="pct"/>
            <w:shd w:val="clear" w:color="auto" w:fill="auto"/>
          </w:tcPr>
          <w:p w:rsidR="002B6CEA" w:rsidRPr="00950C8B" w:rsidRDefault="00950C8B">
            <w:pPr>
              <w:pStyle w:val="Tabletext"/>
              <w:jc w:val="center"/>
              <w:rPr>
                <w:bCs/>
                <w:color w:val="000000"/>
                <w:highlight w:val="black"/>
              </w:rPr>
            </w:pPr>
            <w:r>
              <w:rPr>
                <w:noProof/>
                <w:color w:val="000000"/>
                <w:szCs w:val="20"/>
                <w:highlight w:val="black"/>
              </w:rPr>
              <w:t>'''''''''</w:t>
            </w:r>
          </w:p>
        </w:tc>
        <w:tc>
          <w:tcPr>
            <w:tcW w:w="647" w:type="pct"/>
            <w:shd w:val="clear" w:color="auto" w:fill="auto"/>
          </w:tcPr>
          <w:p w:rsidR="002B6CEA" w:rsidRPr="00950C8B" w:rsidRDefault="00950C8B">
            <w:pPr>
              <w:pStyle w:val="Tabletext"/>
              <w:jc w:val="center"/>
              <w:rPr>
                <w:bCs/>
                <w:color w:val="000000"/>
                <w:highlight w:val="black"/>
              </w:rPr>
            </w:pPr>
            <w:r>
              <w:rPr>
                <w:noProof/>
                <w:color w:val="000000"/>
                <w:szCs w:val="20"/>
                <w:highlight w:val="black"/>
              </w:rPr>
              <w:t>'''''''''</w:t>
            </w:r>
          </w:p>
        </w:tc>
        <w:tc>
          <w:tcPr>
            <w:tcW w:w="647" w:type="pct"/>
            <w:shd w:val="clear" w:color="auto" w:fill="auto"/>
          </w:tcPr>
          <w:p w:rsidR="002B6CEA" w:rsidRPr="00950C8B" w:rsidRDefault="00950C8B">
            <w:pPr>
              <w:pStyle w:val="Tabletext"/>
              <w:jc w:val="center"/>
              <w:rPr>
                <w:bCs/>
                <w:color w:val="000000"/>
                <w:highlight w:val="black"/>
              </w:rPr>
            </w:pPr>
            <w:r>
              <w:rPr>
                <w:noProof/>
                <w:color w:val="000000"/>
                <w:szCs w:val="20"/>
                <w:highlight w:val="black"/>
              </w:rPr>
              <w:t>'''''''''</w:t>
            </w:r>
          </w:p>
        </w:tc>
        <w:tc>
          <w:tcPr>
            <w:tcW w:w="647" w:type="pct"/>
            <w:shd w:val="clear" w:color="auto" w:fill="auto"/>
          </w:tcPr>
          <w:p w:rsidR="002B6CEA" w:rsidRPr="00950C8B" w:rsidRDefault="00950C8B">
            <w:pPr>
              <w:pStyle w:val="Tabletext"/>
              <w:jc w:val="center"/>
              <w:rPr>
                <w:bCs/>
                <w:color w:val="000000"/>
                <w:highlight w:val="black"/>
              </w:rPr>
            </w:pPr>
            <w:r>
              <w:rPr>
                <w:noProof/>
                <w:color w:val="000000"/>
                <w:szCs w:val="20"/>
                <w:highlight w:val="black"/>
              </w:rPr>
              <w:t>'''''''''</w:t>
            </w:r>
          </w:p>
        </w:tc>
        <w:tc>
          <w:tcPr>
            <w:tcW w:w="646" w:type="pct"/>
          </w:tcPr>
          <w:p w:rsidR="002B6CEA" w:rsidRPr="00950C8B" w:rsidRDefault="00950C8B">
            <w:pPr>
              <w:pStyle w:val="Tabletext"/>
              <w:jc w:val="center"/>
              <w:rPr>
                <w:bCs/>
                <w:color w:val="000000"/>
                <w:highlight w:val="black"/>
              </w:rPr>
            </w:pPr>
            <w:r>
              <w:rPr>
                <w:noProof/>
                <w:color w:val="000000"/>
                <w:szCs w:val="20"/>
                <w:highlight w:val="black"/>
              </w:rPr>
              <w:t>'''''''''</w:t>
            </w:r>
          </w:p>
        </w:tc>
      </w:tr>
      <w:tr w:rsidR="002B6CEA">
        <w:tc>
          <w:tcPr>
            <w:tcW w:w="1119" w:type="pct"/>
            <w:shd w:val="clear" w:color="auto" w:fill="auto"/>
            <w:vAlign w:val="center"/>
          </w:tcPr>
          <w:p w:rsidR="002B6CEA" w:rsidRDefault="00A97395">
            <w:pPr>
              <w:pStyle w:val="Tabletext"/>
              <w:rPr>
                <w:rFonts w:ascii="Times" w:hAnsi="Times"/>
                <w:szCs w:val="20"/>
              </w:rPr>
            </w:pPr>
            <w:r>
              <w:rPr>
                <w:szCs w:val="20"/>
              </w:rPr>
              <w:t>Number of scripts dispensed</w:t>
            </w:r>
            <w:r>
              <w:rPr>
                <w:szCs w:val="20"/>
                <w:vertAlign w:val="superscript"/>
              </w:rPr>
              <w:t>a</w:t>
            </w:r>
          </w:p>
        </w:tc>
        <w:tc>
          <w:tcPr>
            <w:tcW w:w="647" w:type="pct"/>
            <w:shd w:val="clear" w:color="auto" w:fill="auto"/>
          </w:tcPr>
          <w:p w:rsidR="002B6CEA" w:rsidRPr="00950C8B" w:rsidRDefault="00950C8B">
            <w:pPr>
              <w:pStyle w:val="Tabletext"/>
              <w:jc w:val="center"/>
              <w:rPr>
                <w:bCs/>
                <w:color w:val="000000"/>
                <w:highlight w:val="black"/>
              </w:rPr>
            </w:pPr>
            <w:r>
              <w:rPr>
                <w:noProof/>
                <w:color w:val="000000"/>
                <w:szCs w:val="20"/>
                <w:highlight w:val="black"/>
              </w:rPr>
              <w:t>''''''''''''</w:t>
            </w:r>
          </w:p>
        </w:tc>
        <w:tc>
          <w:tcPr>
            <w:tcW w:w="647" w:type="pct"/>
            <w:shd w:val="clear" w:color="auto" w:fill="auto"/>
          </w:tcPr>
          <w:p w:rsidR="002B6CEA" w:rsidRPr="00950C8B" w:rsidRDefault="00950C8B">
            <w:pPr>
              <w:pStyle w:val="Tabletext"/>
              <w:jc w:val="center"/>
              <w:rPr>
                <w:bCs/>
                <w:color w:val="000000"/>
                <w:highlight w:val="black"/>
              </w:rPr>
            </w:pPr>
            <w:r>
              <w:rPr>
                <w:noProof/>
                <w:color w:val="000000"/>
                <w:szCs w:val="20"/>
                <w:highlight w:val="black"/>
              </w:rPr>
              <w:t>''''''''''''</w:t>
            </w:r>
          </w:p>
        </w:tc>
        <w:tc>
          <w:tcPr>
            <w:tcW w:w="647" w:type="pct"/>
            <w:shd w:val="clear" w:color="auto" w:fill="auto"/>
          </w:tcPr>
          <w:p w:rsidR="002B6CEA" w:rsidRPr="00950C8B" w:rsidRDefault="00950C8B">
            <w:pPr>
              <w:pStyle w:val="Tabletext"/>
              <w:jc w:val="center"/>
              <w:rPr>
                <w:bCs/>
                <w:color w:val="000000"/>
                <w:highlight w:val="black"/>
              </w:rPr>
            </w:pPr>
            <w:r>
              <w:rPr>
                <w:noProof/>
                <w:color w:val="000000"/>
                <w:szCs w:val="20"/>
                <w:highlight w:val="black"/>
              </w:rPr>
              <w:t>''''''''''''''</w:t>
            </w:r>
          </w:p>
        </w:tc>
        <w:tc>
          <w:tcPr>
            <w:tcW w:w="647" w:type="pct"/>
            <w:shd w:val="clear" w:color="auto" w:fill="auto"/>
          </w:tcPr>
          <w:p w:rsidR="002B6CEA" w:rsidRPr="00950C8B" w:rsidRDefault="00950C8B">
            <w:pPr>
              <w:pStyle w:val="Tabletext"/>
              <w:jc w:val="center"/>
              <w:rPr>
                <w:bCs/>
                <w:color w:val="000000"/>
                <w:highlight w:val="black"/>
              </w:rPr>
            </w:pPr>
            <w:r>
              <w:rPr>
                <w:noProof/>
                <w:color w:val="000000"/>
                <w:szCs w:val="20"/>
                <w:highlight w:val="black"/>
              </w:rPr>
              <w:t>''''''''''''''</w:t>
            </w:r>
          </w:p>
        </w:tc>
        <w:tc>
          <w:tcPr>
            <w:tcW w:w="647" w:type="pct"/>
            <w:shd w:val="clear" w:color="auto" w:fill="auto"/>
          </w:tcPr>
          <w:p w:rsidR="002B6CEA" w:rsidRPr="00950C8B" w:rsidRDefault="00950C8B">
            <w:pPr>
              <w:pStyle w:val="Tabletext"/>
              <w:jc w:val="center"/>
              <w:rPr>
                <w:bCs/>
                <w:color w:val="000000"/>
                <w:highlight w:val="black"/>
              </w:rPr>
            </w:pPr>
            <w:r>
              <w:rPr>
                <w:noProof/>
                <w:color w:val="000000"/>
                <w:szCs w:val="20"/>
                <w:highlight w:val="black"/>
              </w:rPr>
              <w:t>''''''''''''''</w:t>
            </w:r>
          </w:p>
        </w:tc>
        <w:tc>
          <w:tcPr>
            <w:tcW w:w="646" w:type="pct"/>
          </w:tcPr>
          <w:p w:rsidR="002B6CEA" w:rsidRPr="00950C8B" w:rsidRDefault="00950C8B">
            <w:pPr>
              <w:pStyle w:val="Tabletext"/>
              <w:jc w:val="center"/>
              <w:rPr>
                <w:bCs/>
                <w:color w:val="000000"/>
                <w:highlight w:val="black"/>
              </w:rPr>
            </w:pPr>
            <w:r>
              <w:rPr>
                <w:noProof/>
                <w:color w:val="000000"/>
                <w:szCs w:val="20"/>
                <w:highlight w:val="black"/>
              </w:rPr>
              <w:t>''''''''''''''</w:t>
            </w:r>
          </w:p>
        </w:tc>
      </w:tr>
      <w:tr w:rsidR="002B6CEA">
        <w:tc>
          <w:tcPr>
            <w:tcW w:w="5000" w:type="pct"/>
            <w:gridSpan w:val="7"/>
            <w:shd w:val="clear" w:color="auto" w:fill="auto"/>
            <w:vAlign w:val="center"/>
          </w:tcPr>
          <w:p w:rsidR="002B6CEA" w:rsidRDefault="00A97395">
            <w:pPr>
              <w:pStyle w:val="Tabletext"/>
              <w:rPr>
                <w:b/>
                <w:bCs/>
                <w:color w:val="000000"/>
                <w:szCs w:val="20"/>
              </w:rPr>
            </w:pPr>
            <w:r>
              <w:rPr>
                <w:b/>
                <w:bCs/>
                <w:color w:val="000000"/>
                <w:szCs w:val="20"/>
              </w:rPr>
              <w:t>Estimated financial implications of cabozantinib</w:t>
            </w:r>
          </w:p>
        </w:tc>
      </w:tr>
      <w:tr w:rsidR="002B6CEA">
        <w:tc>
          <w:tcPr>
            <w:tcW w:w="1119" w:type="pct"/>
            <w:shd w:val="clear" w:color="auto" w:fill="auto"/>
            <w:vAlign w:val="center"/>
          </w:tcPr>
          <w:p w:rsidR="002B6CEA" w:rsidRDefault="00A97395">
            <w:pPr>
              <w:pStyle w:val="Tabletext"/>
              <w:rPr>
                <w:rFonts w:ascii="Times" w:hAnsi="Times"/>
                <w:szCs w:val="20"/>
              </w:rPr>
            </w:pPr>
            <w:r>
              <w:rPr>
                <w:szCs w:val="20"/>
              </w:rPr>
              <w:t>Cost to PBS/RPBS</w:t>
            </w:r>
          </w:p>
        </w:tc>
        <w:tc>
          <w:tcPr>
            <w:tcW w:w="647" w:type="pct"/>
            <w:shd w:val="clear" w:color="auto" w:fill="auto"/>
          </w:tcPr>
          <w:p w:rsidR="002B6CEA" w:rsidRPr="00950C8B" w:rsidRDefault="00950C8B">
            <w:pPr>
              <w:pStyle w:val="Tabletext"/>
              <w:jc w:val="center"/>
              <w:rPr>
                <w:bCs/>
                <w:color w:val="000000"/>
                <w:highlight w:val="black"/>
              </w:rPr>
            </w:pPr>
            <w:r>
              <w:rPr>
                <w:noProof/>
                <w:color w:val="000000"/>
                <w:szCs w:val="20"/>
                <w:highlight w:val="black"/>
              </w:rPr>
              <w:t>'''''''''''''''''''''''''''''''</w:t>
            </w:r>
          </w:p>
        </w:tc>
        <w:tc>
          <w:tcPr>
            <w:tcW w:w="647" w:type="pct"/>
            <w:shd w:val="clear" w:color="auto" w:fill="auto"/>
          </w:tcPr>
          <w:p w:rsidR="002B6CEA" w:rsidRPr="00950C8B" w:rsidRDefault="00950C8B">
            <w:pPr>
              <w:pStyle w:val="Tabletext"/>
              <w:jc w:val="center"/>
              <w:rPr>
                <w:bCs/>
                <w:color w:val="000000"/>
                <w:highlight w:val="black"/>
              </w:rPr>
            </w:pPr>
            <w:r>
              <w:rPr>
                <w:noProof/>
                <w:color w:val="000000"/>
                <w:szCs w:val="20"/>
                <w:highlight w:val="black"/>
              </w:rPr>
              <w:t>''''''''''''''''''''''''''''''''</w:t>
            </w:r>
          </w:p>
        </w:tc>
        <w:tc>
          <w:tcPr>
            <w:tcW w:w="647" w:type="pct"/>
            <w:shd w:val="clear" w:color="auto" w:fill="auto"/>
          </w:tcPr>
          <w:p w:rsidR="002B6CEA" w:rsidRPr="00950C8B" w:rsidRDefault="00950C8B">
            <w:pPr>
              <w:pStyle w:val="Tabletext"/>
              <w:jc w:val="center"/>
              <w:rPr>
                <w:bCs/>
                <w:color w:val="000000"/>
                <w:highlight w:val="black"/>
              </w:rPr>
            </w:pPr>
            <w:r>
              <w:rPr>
                <w:noProof/>
                <w:color w:val="000000"/>
                <w:szCs w:val="20"/>
                <w:highlight w:val="black"/>
              </w:rPr>
              <w:t>'''''''''''''''''''''''''''''</w:t>
            </w:r>
          </w:p>
        </w:tc>
        <w:tc>
          <w:tcPr>
            <w:tcW w:w="647" w:type="pct"/>
            <w:shd w:val="clear" w:color="auto" w:fill="auto"/>
          </w:tcPr>
          <w:p w:rsidR="002B6CEA" w:rsidRPr="00950C8B" w:rsidRDefault="00950C8B">
            <w:pPr>
              <w:pStyle w:val="Tabletext"/>
              <w:jc w:val="center"/>
              <w:rPr>
                <w:bCs/>
                <w:color w:val="000000"/>
                <w:highlight w:val="black"/>
              </w:rPr>
            </w:pPr>
            <w:r>
              <w:rPr>
                <w:noProof/>
                <w:color w:val="000000"/>
                <w:szCs w:val="20"/>
                <w:highlight w:val="black"/>
              </w:rPr>
              <w:t>'''''''''''''''''''''''''''''</w:t>
            </w:r>
          </w:p>
        </w:tc>
        <w:tc>
          <w:tcPr>
            <w:tcW w:w="647" w:type="pct"/>
            <w:shd w:val="clear" w:color="auto" w:fill="auto"/>
          </w:tcPr>
          <w:p w:rsidR="002B6CEA" w:rsidRPr="00950C8B" w:rsidRDefault="00950C8B">
            <w:pPr>
              <w:pStyle w:val="Tabletext"/>
              <w:jc w:val="center"/>
              <w:rPr>
                <w:bCs/>
                <w:color w:val="000000"/>
                <w:highlight w:val="black"/>
              </w:rPr>
            </w:pPr>
            <w:r>
              <w:rPr>
                <w:noProof/>
                <w:color w:val="000000"/>
                <w:szCs w:val="20"/>
                <w:highlight w:val="black"/>
              </w:rPr>
              <w:t>'''''''''''''''''''''''''''''</w:t>
            </w:r>
          </w:p>
        </w:tc>
        <w:tc>
          <w:tcPr>
            <w:tcW w:w="646" w:type="pct"/>
          </w:tcPr>
          <w:p w:rsidR="002B6CEA" w:rsidRPr="00950C8B" w:rsidRDefault="00950C8B">
            <w:pPr>
              <w:pStyle w:val="Tabletext"/>
              <w:jc w:val="center"/>
              <w:rPr>
                <w:bCs/>
                <w:color w:val="000000"/>
                <w:highlight w:val="black"/>
              </w:rPr>
            </w:pPr>
            <w:r>
              <w:rPr>
                <w:noProof/>
                <w:color w:val="000000"/>
                <w:szCs w:val="20"/>
                <w:highlight w:val="black"/>
              </w:rPr>
              <w:t>''''''''''''''''''''''''''''''''</w:t>
            </w:r>
          </w:p>
        </w:tc>
      </w:tr>
      <w:tr w:rsidR="002B6CEA">
        <w:tc>
          <w:tcPr>
            <w:tcW w:w="1119" w:type="pct"/>
            <w:shd w:val="clear" w:color="auto" w:fill="auto"/>
            <w:vAlign w:val="center"/>
          </w:tcPr>
          <w:p w:rsidR="002B6CEA" w:rsidRDefault="00A97395">
            <w:pPr>
              <w:pStyle w:val="Tabletext"/>
              <w:rPr>
                <w:szCs w:val="20"/>
              </w:rPr>
            </w:pPr>
            <w:r>
              <w:rPr>
                <w:szCs w:val="20"/>
              </w:rPr>
              <w:t>Copayments</w:t>
            </w:r>
          </w:p>
        </w:tc>
        <w:tc>
          <w:tcPr>
            <w:tcW w:w="647" w:type="pct"/>
            <w:shd w:val="clear" w:color="auto" w:fill="auto"/>
          </w:tcPr>
          <w:p w:rsidR="002B6CEA" w:rsidRPr="00950C8B" w:rsidRDefault="00950C8B">
            <w:pPr>
              <w:pStyle w:val="Tabletext"/>
              <w:jc w:val="center"/>
              <w:rPr>
                <w:bCs/>
                <w:color w:val="000000"/>
                <w:highlight w:val="black"/>
              </w:rPr>
            </w:pPr>
            <w:r>
              <w:rPr>
                <w:noProof/>
                <w:color w:val="000000"/>
                <w:szCs w:val="20"/>
                <w:highlight w:val="black"/>
              </w:rPr>
              <w:t>'''''''''''''''''''''</w:t>
            </w:r>
          </w:p>
        </w:tc>
        <w:tc>
          <w:tcPr>
            <w:tcW w:w="647" w:type="pct"/>
            <w:shd w:val="clear" w:color="auto" w:fill="auto"/>
          </w:tcPr>
          <w:p w:rsidR="002B6CEA" w:rsidRPr="00950C8B" w:rsidRDefault="00950C8B">
            <w:pPr>
              <w:pStyle w:val="Tabletext"/>
              <w:jc w:val="center"/>
              <w:rPr>
                <w:bCs/>
                <w:color w:val="000000"/>
                <w:highlight w:val="black"/>
              </w:rPr>
            </w:pPr>
            <w:r>
              <w:rPr>
                <w:noProof/>
                <w:color w:val="000000"/>
                <w:szCs w:val="20"/>
                <w:highlight w:val="black"/>
              </w:rPr>
              <w:t>''''''''''''''''''''''</w:t>
            </w:r>
          </w:p>
        </w:tc>
        <w:tc>
          <w:tcPr>
            <w:tcW w:w="647" w:type="pct"/>
            <w:shd w:val="clear" w:color="auto" w:fill="auto"/>
          </w:tcPr>
          <w:p w:rsidR="002B6CEA" w:rsidRPr="00950C8B" w:rsidRDefault="00950C8B">
            <w:pPr>
              <w:pStyle w:val="Tabletext"/>
              <w:jc w:val="center"/>
              <w:rPr>
                <w:bCs/>
                <w:color w:val="000000"/>
                <w:highlight w:val="black"/>
              </w:rPr>
            </w:pPr>
            <w:r>
              <w:rPr>
                <w:noProof/>
                <w:color w:val="000000"/>
                <w:szCs w:val="20"/>
                <w:highlight w:val="black"/>
              </w:rPr>
              <w:t>'''''''''''''''''''''''</w:t>
            </w:r>
          </w:p>
        </w:tc>
        <w:tc>
          <w:tcPr>
            <w:tcW w:w="647" w:type="pct"/>
            <w:shd w:val="clear" w:color="auto" w:fill="auto"/>
          </w:tcPr>
          <w:p w:rsidR="002B6CEA" w:rsidRPr="00950C8B" w:rsidRDefault="00950C8B">
            <w:pPr>
              <w:pStyle w:val="Tabletext"/>
              <w:jc w:val="center"/>
              <w:rPr>
                <w:bCs/>
                <w:color w:val="000000"/>
                <w:highlight w:val="black"/>
              </w:rPr>
            </w:pPr>
            <w:r>
              <w:rPr>
                <w:noProof/>
                <w:color w:val="000000"/>
                <w:szCs w:val="20"/>
                <w:highlight w:val="black"/>
              </w:rPr>
              <w:t>'''''''''''''''''''''</w:t>
            </w:r>
          </w:p>
        </w:tc>
        <w:tc>
          <w:tcPr>
            <w:tcW w:w="647" w:type="pct"/>
            <w:shd w:val="clear" w:color="auto" w:fill="auto"/>
          </w:tcPr>
          <w:p w:rsidR="002B6CEA" w:rsidRPr="00950C8B" w:rsidRDefault="00950C8B">
            <w:pPr>
              <w:pStyle w:val="Tabletext"/>
              <w:jc w:val="center"/>
              <w:rPr>
                <w:bCs/>
                <w:color w:val="000000"/>
                <w:highlight w:val="black"/>
              </w:rPr>
            </w:pPr>
            <w:r>
              <w:rPr>
                <w:noProof/>
                <w:color w:val="000000"/>
                <w:szCs w:val="20"/>
                <w:highlight w:val="black"/>
              </w:rPr>
              <w:t>''''''''''''''''''''''</w:t>
            </w:r>
          </w:p>
        </w:tc>
        <w:tc>
          <w:tcPr>
            <w:tcW w:w="646" w:type="pct"/>
          </w:tcPr>
          <w:p w:rsidR="002B6CEA" w:rsidRPr="00950C8B" w:rsidRDefault="00950C8B">
            <w:pPr>
              <w:pStyle w:val="Tabletext"/>
              <w:jc w:val="center"/>
              <w:rPr>
                <w:bCs/>
                <w:color w:val="000000"/>
                <w:highlight w:val="black"/>
              </w:rPr>
            </w:pPr>
            <w:r>
              <w:rPr>
                <w:noProof/>
                <w:color w:val="000000"/>
                <w:szCs w:val="20"/>
                <w:highlight w:val="black"/>
              </w:rPr>
              <w:t>'''''''''''''''''''''</w:t>
            </w:r>
          </w:p>
        </w:tc>
      </w:tr>
      <w:tr w:rsidR="002B6CEA">
        <w:tc>
          <w:tcPr>
            <w:tcW w:w="1119" w:type="pct"/>
            <w:shd w:val="clear" w:color="auto" w:fill="auto"/>
            <w:vAlign w:val="center"/>
          </w:tcPr>
          <w:p w:rsidR="002B6CEA" w:rsidRDefault="00A97395">
            <w:pPr>
              <w:pStyle w:val="Tabletext"/>
              <w:rPr>
                <w:szCs w:val="20"/>
              </w:rPr>
            </w:pPr>
            <w:r>
              <w:rPr>
                <w:szCs w:val="20"/>
              </w:rPr>
              <w:t>Cost to PBS/RPBS less copayments</w:t>
            </w:r>
          </w:p>
        </w:tc>
        <w:tc>
          <w:tcPr>
            <w:tcW w:w="647" w:type="pct"/>
            <w:shd w:val="clear" w:color="auto" w:fill="auto"/>
          </w:tcPr>
          <w:p w:rsidR="002B6CEA" w:rsidRPr="00950C8B" w:rsidRDefault="00950C8B">
            <w:pPr>
              <w:pStyle w:val="Tabletext"/>
              <w:jc w:val="center"/>
              <w:rPr>
                <w:bCs/>
                <w:color w:val="000000"/>
                <w:highlight w:val="black"/>
              </w:rPr>
            </w:pPr>
            <w:r>
              <w:rPr>
                <w:noProof/>
                <w:color w:val="000000"/>
                <w:szCs w:val="20"/>
                <w:highlight w:val="black"/>
              </w:rPr>
              <w:t>'''''''''''''''''''''''''''</w:t>
            </w:r>
          </w:p>
        </w:tc>
        <w:tc>
          <w:tcPr>
            <w:tcW w:w="647" w:type="pct"/>
            <w:shd w:val="clear" w:color="auto" w:fill="auto"/>
          </w:tcPr>
          <w:p w:rsidR="002B6CEA" w:rsidRPr="00950C8B" w:rsidRDefault="00950C8B">
            <w:pPr>
              <w:pStyle w:val="Tabletext"/>
              <w:jc w:val="center"/>
              <w:rPr>
                <w:bCs/>
                <w:color w:val="000000"/>
                <w:highlight w:val="black"/>
              </w:rPr>
            </w:pPr>
            <w:r>
              <w:rPr>
                <w:noProof/>
                <w:color w:val="000000"/>
                <w:szCs w:val="20"/>
                <w:highlight w:val="black"/>
              </w:rPr>
              <w:t>''''''''''''''''''''''''''''</w:t>
            </w:r>
          </w:p>
        </w:tc>
        <w:tc>
          <w:tcPr>
            <w:tcW w:w="647" w:type="pct"/>
            <w:shd w:val="clear" w:color="auto" w:fill="auto"/>
          </w:tcPr>
          <w:p w:rsidR="002B6CEA" w:rsidRPr="00950C8B" w:rsidRDefault="00950C8B">
            <w:pPr>
              <w:pStyle w:val="Tabletext"/>
              <w:jc w:val="center"/>
              <w:rPr>
                <w:bCs/>
                <w:color w:val="000000"/>
                <w:highlight w:val="black"/>
              </w:rPr>
            </w:pPr>
            <w:r>
              <w:rPr>
                <w:noProof/>
                <w:color w:val="000000"/>
                <w:szCs w:val="20"/>
                <w:highlight w:val="black"/>
              </w:rPr>
              <w:t>''''''''''''''''''''''''''''''''</w:t>
            </w:r>
          </w:p>
        </w:tc>
        <w:tc>
          <w:tcPr>
            <w:tcW w:w="647" w:type="pct"/>
            <w:shd w:val="clear" w:color="auto" w:fill="auto"/>
          </w:tcPr>
          <w:p w:rsidR="002B6CEA" w:rsidRPr="00950C8B" w:rsidRDefault="00950C8B">
            <w:pPr>
              <w:pStyle w:val="Tabletext"/>
              <w:jc w:val="center"/>
              <w:rPr>
                <w:bCs/>
                <w:color w:val="000000"/>
                <w:highlight w:val="black"/>
              </w:rPr>
            </w:pPr>
            <w:r>
              <w:rPr>
                <w:noProof/>
                <w:color w:val="000000"/>
                <w:szCs w:val="20"/>
                <w:highlight w:val="black"/>
              </w:rPr>
              <w:t>'''''''''''''''''''''''''''</w:t>
            </w:r>
          </w:p>
        </w:tc>
        <w:tc>
          <w:tcPr>
            <w:tcW w:w="647" w:type="pct"/>
            <w:shd w:val="clear" w:color="auto" w:fill="auto"/>
          </w:tcPr>
          <w:p w:rsidR="002B6CEA" w:rsidRPr="00950C8B" w:rsidRDefault="00950C8B">
            <w:pPr>
              <w:pStyle w:val="Tabletext"/>
              <w:jc w:val="center"/>
              <w:rPr>
                <w:bCs/>
                <w:color w:val="000000"/>
                <w:highlight w:val="black"/>
              </w:rPr>
            </w:pPr>
            <w:r>
              <w:rPr>
                <w:noProof/>
                <w:color w:val="000000"/>
                <w:szCs w:val="20"/>
                <w:highlight w:val="black"/>
              </w:rPr>
              <w:t>'''''''''''''''''''''''''''</w:t>
            </w:r>
          </w:p>
        </w:tc>
        <w:tc>
          <w:tcPr>
            <w:tcW w:w="646" w:type="pct"/>
          </w:tcPr>
          <w:p w:rsidR="002B6CEA" w:rsidRPr="00950C8B" w:rsidRDefault="00950C8B">
            <w:pPr>
              <w:pStyle w:val="Tabletext"/>
              <w:jc w:val="center"/>
              <w:rPr>
                <w:bCs/>
                <w:color w:val="000000"/>
                <w:highlight w:val="black"/>
              </w:rPr>
            </w:pPr>
            <w:r>
              <w:rPr>
                <w:noProof/>
                <w:color w:val="000000"/>
                <w:szCs w:val="20"/>
                <w:highlight w:val="black"/>
              </w:rPr>
              <w:t>'''''''''''''''''''''''''''''</w:t>
            </w:r>
          </w:p>
        </w:tc>
      </w:tr>
      <w:tr w:rsidR="002B6CEA">
        <w:tc>
          <w:tcPr>
            <w:tcW w:w="5000" w:type="pct"/>
            <w:gridSpan w:val="7"/>
            <w:shd w:val="clear" w:color="auto" w:fill="auto"/>
            <w:vAlign w:val="center"/>
          </w:tcPr>
          <w:p w:rsidR="002B6CEA" w:rsidRDefault="00A97395">
            <w:pPr>
              <w:pStyle w:val="Tabletext"/>
              <w:rPr>
                <w:bCs/>
                <w:color w:val="000000"/>
                <w:szCs w:val="20"/>
              </w:rPr>
            </w:pPr>
            <w:r>
              <w:rPr>
                <w:b/>
                <w:bCs/>
                <w:color w:val="000000"/>
                <w:szCs w:val="20"/>
              </w:rPr>
              <w:t>Estimated financial implications for BSC</w:t>
            </w:r>
          </w:p>
        </w:tc>
      </w:tr>
      <w:tr w:rsidR="002B6CEA">
        <w:tc>
          <w:tcPr>
            <w:tcW w:w="1119" w:type="pct"/>
            <w:shd w:val="clear" w:color="auto" w:fill="auto"/>
            <w:vAlign w:val="center"/>
          </w:tcPr>
          <w:p w:rsidR="002B6CEA" w:rsidRDefault="00A97395">
            <w:pPr>
              <w:pStyle w:val="Tabletext"/>
              <w:rPr>
                <w:szCs w:val="20"/>
              </w:rPr>
            </w:pPr>
            <w:r>
              <w:rPr>
                <w:szCs w:val="20"/>
              </w:rPr>
              <w:t>Cost to PBS/RPBS less copayments</w:t>
            </w:r>
          </w:p>
        </w:tc>
        <w:tc>
          <w:tcPr>
            <w:tcW w:w="647" w:type="pct"/>
            <w:shd w:val="clear" w:color="auto" w:fill="auto"/>
          </w:tcPr>
          <w:p w:rsidR="002B6CEA" w:rsidRDefault="00A97395">
            <w:pPr>
              <w:pStyle w:val="Tabletext"/>
              <w:jc w:val="center"/>
              <w:rPr>
                <w:bCs/>
                <w:color w:val="000000"/>
              </w:rPr>
            </w:pPr>
            <w:r>
              <w:rPr>
                <w:bCs/>
                <w:color w:val="000000"/>
              </w:rPr>
              <w:t>0</w:t>
            </w:r>
          </w:p>
        </w:tc>
        <w:tc>
          <w:tcPr>
            <w:tcW w:w="647" w:type="pct"/>
            <w:shd w:val="clear" w:color="auto" w:fill="auto"/>
          </w:tcPr>
          <w:p w:rsidR="002B6CEA" w:rsidRDefault="00A97395">
            <w:pPr>
              <w:pStyle w:val="Tabletext"/>
              <w:jc w:val="center"/>
              <w:rPr>
                <w:bCs/>
                <w:color w:val="000000"/>
              </w:rPr>
            </w:pPr>
            <w:r>
              <w:rPr>
                <w:bCs/>
                <w:color w:val="000000"/>
              </w:rPr>
              <w:t>0</w:t>
            </w:r>
          </w:p>
        </w:tc>
        <w:tc>
          <w:tcPr>
            <w:tcW w:w="647" w:type="pct"/>
            <w:shd w:val="clear" w:color="auto" w:fill="auto"/>
          </w:tcPr>
          <w:p w:rsidR="002B6CEA" w:rsidRDefault="00A97395">
            <w:pPr>
              <w:pStyle w:val="Tabletext"/>
              <w:jc w:val="center"/>
              <w:rPr>
                <w:bCs/>
                <w:color w:val="000000"/>
              </w:rPr>
            </w:pPr>
            <w:r>
              <w:rPr>
                <w:bCs/>
                <w:color w:val="000000"/>
              </w:rPr>
              <w:t>0</w:t>
            </w:r>
          </w:p>
        </w:tc>
        <w:tc>
          <w:tcPr>
            <w:tcW w:w="647" w:type="pct"/>
            <w:shd w:val="clear" w:color="auto" w:fill="auto"/>
          </w:tcPr>
          <w:p w:rsidR="002B6CEA" w:rsidRDefault="00A97395">
            <w:pPr>
              <w:pStyle w:val="Tabletext"/>
              <w:jc w:val="center"/>
              <w:rPr>
                <w:bCs/>
                <w:color w:val="000000"/>
              </w:rPr>
            </w:pPr>
            <w:r>
              <w:rPr>
                <w:bCs/>
                <w:color w:val="000000"/>
              </w:rPr>
              <w:t>0</w:t>
            </w:r>
          </w:p>
        </w:tc>
        <w:tc>
          <w:tcPr>
            <w:tcW w:w="647" w:type="pct"/>
            <w:shd w:val="clear" w:color="auto" w:fill="auto"/>
          </w:tcPr>
          <w:p w:rsidR="002B6CEA" w:rsidRDefault="00A97395">
            <w:pPr>
              <w:pStyle w:val="Tabletext"/>
              <w:jc w:val="center"/>
              <w:rPr>
                <w:bCs/>
                <w:color w:val="000000"/>
              </w:rPr>
            </w:pPr>
            <w:r>
              <w:rPr>
                <w:bCs/>
                <w:color w:val="000000"/>
              </w:rPr>
              <w:t>0</w:t>
            </w:r>
          </w:p>
        </w:tc>
        <w:tc>
          <w:tcPr>
            <w:tcW w:w="646" w:type="pct"/>
          </w:tcPr>
          <w:p w:rsidR="002B6CEA" w:rsidRDefault="00A97395">
            <w:pPr>
              <w:pStyle w:val="Tabletext"/>
              <w:jc w:val="center"/>
              <w:rPr>
                <w:bCs/>
                <w:color w:val="000000"/>
              </w:rPr>
            </w:pPr>
            <w:r>
              <w:rPr>
                <w:bCs/>
                <w:color w:val="000000"/>
              </w:rPr>
              <w:t>0</w:t>
            </w:r>
          </w:p>
        </w:tc>
      </w:tr>
      <w:tr w:rsidR="002B6CEA">
        <w:tc>
          <w:tcPr>
            <w:tcW w:w="5000" w:type="pct"/>
            <w:gridSpan w:val="7"/>
            <w:shd w:val="clear" w:color="auto" w:fill="auto"/>
            <w:vAlign w:val="center"/>
          </w:tcPr>
          <w:p w:rsidR="002B6CEA" w:rsidRDefault="00A97395">
            <w:pPr>
              <w:pStyle w:val="Tabletext"/>
              <w:rPr>
                <w:b/>
                <w:bCs/>
                <w:color w:val="000000"/>
                <w:szCs w:val="20"/>
              </w:rPr>
            </w:pPr>
            <w:r>
              <w:rPr>
                <w:b/>
                <w:bCs/>
                <w:color w:val="000000"/>
                <w:szCs w:val="20"/>
              </w:rPr>
              <w:t>Net financial implications</w:t>
            </w:r>
            <w:r>
              <w:rPr>
                <w:b/>
                <w:bCs/>
                <w:color w:val="4BACC6" w:themeColor="accent5"/>
                <w:szCs w:val="20"/>
              </w:rPr>
              <w:t xml:space="preserve"> </w:t>
            </w:r>
          </w:p>
        </w:tc>
      </w:tr>
      <w:tr w:rsidR="002B6CEA">
        <w:tc>
          <w:tcPr>
            <w:tcW w:w="1119" w:type="pct"/>
            <w:shd w:val="clear" w:color="auto" w:fill="auto"/>
            <w:vAlign w:val="center"/>
          </w:tcPr>
          <w:p w:rsidR="002B6CEA" w:rsidRDefault="00A97395">
            <w:pPr>
              <w:pStyle w:val="Tabletext"/>
              <w:rPr>
                <w:szCs w:val="20"/>
              </w:rPr>
            </w:pPr>
            <w:r>
              <w:rPr>
                <w:szCs w:val="20"/>
              </w:rPr>
              <w:t>Net cost to PBS/RPBS</w:t>
            </w:r>
          </w:p>
        </w:tc>
        <w:tc>
          <w:tcPr>
            <w:tcW w:w="647" w:type="pct"/>
            <w:shd w:val="clear" w:color="auto" w:fill="auto"/>
          </w:tcPr>
          <w:p w:rsidR="002B6CEA" w:rsidRPr="00950C8B" w:rsidRDefault="00950C8B">
            <w:pPr>
              <w:pStyle w:val="Tabletext"/>
              <w:jc w:val="center"/>
              <w:rPr>
                <w:bCs/>
                <w:color w:val="000000"/>
                <w:highlight w:val="black"/>
              </w:rPr>
            </w:pPr>
            <w:r>
              <w:rPr>
                <w:rFonts w:cs="Arial"/>
                <w:iCs/>
                <w:noProof/>
                <w:color w:val="000000"/>
                <w:szCs w:val="20"/>
                <w:highlight w:val="black"/>
              </w:rPr>
              <w:t>'''''''''''''''''''''''''''</w:t>
            </w:r>
            <w:r w:rsidR="00A97395" w:rsidRPr="00950C8B">
              <w:rPr>
                <w:rFonts w:cs="Arial"/>
                <w:iCs/>
                <w:color w:val="000000"/>
                <w:szCs w:val="20"/>
                <w:highlight w:val="black"/>
              </w:rPr>
              <w:t xml:space="preserve"> </w:t>
            </w:r>
          </w:p>
        </w:tc>
        <w:tc>
          <w:tcPr>
            <w:tcW w:w="647" w:type="pct"/>
            <w:shd w:val="clear" w:color="auto" w:fill="auto"/>
          </w:tcPr>
          <w:p w:rsidR="002B6CEA" w:rsidRPr="00950C8B" w:rsidRDefault="00950C8B">
            <w:pPr>
              <w:pStyle w:val="Tabletext"/>
              <w:jc w:val="center"/>
              <w:rPr>
                <w:bCs/>
                <w:color w:val="000000"/>
                <w:highlight w:val="black"/>
              </w:rPr>
            </w:pPr>
            <w:r>
              <w:rPr>
                <w:rFonts w:cs="Arial"/>
                <w:iCs/>
                <w:noProof/>
                <w:color w:val="000000"/>
                <w:szCs w:val="20"/>
                <w:highlight w:val="black"/>
              </w:rPr>
              <w:t>''''''''''''''''''''''''''''</w:t>
            </w:r>
            <w:r w:rsidR="00A97395" w:rsidRPr="00950C8B">
              <w:rPr>
                <w:rFonts w:cs="Arial"/>
                <w:iCs/>
                <w:color w:val="000000"/>
                <w:szCs w:val="20"/>
                <w:highlight w:val="black"/>
              </w:rPr>
              <w:t xml:space="preserve"> </w:t>
            </w:r>
          </w:p>
        </w:tc>
        <w:tc>
          <w:tcPr>
            <w:tcW w:w="647" w:type="pct"/>
            <w:shd w:val="clear" w:color="auto" w:fill="auto"/>
          </w:tcPr>
          <w:p w:rsidR="002B6CEA" w:rsidRPr="00950C8B" w:rsidRDefault="00950C8B">
            <w:pPr>
              <w:pStyle w:val="Tabletext"/>
              <w:jc w:val="center"/>
              <w:rPr>
                <w:bCs/>
                <w:color w:val="000000"/>
                <w:highlight w:val="black"/>
              </w:rPr>
            </w:pPr>
            <w:r>
              <w:rPr>
                <w:rFonts w:cs="Arial"/>
                <w:iCs/>
                <w:noProof/>
                <w:color w:val="000000"/>
                <w:szCs w:val="20"/>
                <w:highlight w:val="black"/>
              </w:rPr>
              <w:t>''''''''''''''''''''''''''''</w:t>
            </w:r>
            <w:r w:rsidR="00A97395" w:rsidRPr="00950C8B">
              <w:rPr>
                <w:rFonts w:cs="Arial"/>
                <w:iCs/>
                <w:color w:val="000000"/>
                <w:szCs w:val="20"/>
                <w:highlight w:val="black"/>
              </w:rPr>
              <w:t xml:space="preserve"> </w:t>
            </w:r>
          </w:p>
        </w:tc>
        <w:tc>
          <w:tcPr>
            <w:tcW w:w="647" w:type="pct"/>
            <w:shd w:val="clear" w:color="auto" w:fill="auto"/>
          </w:tcPr>
          <w:p w:rsidR="002B6CEA" w:rsidRPr="00950C8B" w:rsidRDefault="00950C8B">
            <w:pPr>
              <w:pStyle w:val="Tabletext"/>
              <w:jc w:val="center"/>
              <w:rPr>
                <w:bCs/>
                <w:color w:val="000000"/>
                <w:highlight w:val="black"/>
              </w:rPr>
            </w:pPr>
            <w:r>
              <w:rPr>
                <w:rFonts w:cs="Arial"/>
                <w:iCs/>
                <w:noProof/>
                <w:color w:val="000000"/>
                <w:szCs w:val="20"/>
                <w:highlight w:val="black"/>
              </w:rPr>
              <w:t>''''''''''''''''''''''''''''''''</w:t>
            </w:r>
            <w:r w:rsidR="00A97395" w:rsidRPr="00950C8B">
              <w:rPr>
                <w:rFonts w:cs="Arial"/>
                <w:iCs/>
                <w:color w:val="000000"/>
                <w:szCs w:val="20"/>
                <w:highlight w:val="black"/>
              </w:rPr>
              <w:t xml:space="preserve"> </w:t>
            </w:r>
          </w:p>
        </w:tc>
        <w:tc>
          <w:tcPr>
            <w:tcW w:w="647" w:type="pct"/>
            <w:shd w:val="clear" w:color="auto" w:fill="auto"/>
          </w:tcPr>
          <w:p w:rsidR="002B6CEA" w:rsidRPr="00950C8B" w:rsidRDefault="00950C8B">
            <w:pPr>
              <w:pStyle w:val="Tabletext"/>
              <w:jc w:val="center"/>
              <w:rPr>
                <w:bCs/>
                <w:color w:val="000000"/>
                <w:highlight w:val="black"/>
              </w:rPr>
            </w:pPr>
            <w:r>
              <w:rPr>
                <w:rFonts w:cs="Arial"/>
                <w:iCs/>
                <w:noProof/>
                <w:color w:val="000000"/>
                <w:szCs w:val="20"/>
                <w:highlight w:val="black"/>
              </w:rPr>
              <w:t>'''''''''''''''''''''''''''''''</w:t>
            </w:r>
            <w:r w:rsidR="00A97395" w:rsidRPr="00950C8B">
              <w:rPr>
                <w:rFonts w:cs="Arial"/>
                <w:iCs/>
                <w:color w:val="000000"/>
                <w:szCs w:val="20"/>
                <w:highlight w:val="black"/>
              </w:rPr>
              <w:t xml:space="preserve"> </w:t>
            </w:r>
          </w:p>
        </w:tc>
        <w:tc>
          <w:tcPr>
            <w:tcW w:w="646" w:type="pct"/>
          </w:tcPr>
          <w:p w:rsidR="002B6CEA" w:rsidRPr="00950C8B" w:rsidRDefault="00950C8B">
            <w:pPr>
              <w:pStyle w:val="Tabletext"/>
              <w:jc w:val="center"/>
              <w:rPr>
                <w:bCs/>
                <w:color w:val="000000"/>
                <w:highlight w:val="black"/>
              </w:rPr>
            </w:pPr>
            <w:r>
              <w:rPr>
                <w:rFonts w:cs="Arial"/>
                <w:iCs/>
                <w:noProof/>
                <w:color w:val="000000"/>
                <w:szCs w:val="20"/>
                <w:highlight w:val="black"/>
              </w:rPr>
              <w:t>''''''''''''''''''''''''''''</w:t>
            </w:r>
            <w:r w:rsidR="00A97395" w:rsidRPr="00950C8B">
              <w:rPr>
                <w:rFonts w:cs="Arial"/>
                <w:iCs/>
                <w:color w:val="000000"/>
                <w:szCs w:val="20"/>
                <w:highlight w:val="black"/>
              </w:rPr>
              <w:t xml:space="preserve"> </w:t>
            </w:r>
          </w:p>
        </w:tc>
      </w:tr>
      <w:tr w:rsidR="002B6CEA">
        <w:tc>
          <w:tcPr>
            <w:tcW w:w="1119" w:type="pct"/>
            <w:shd w:val="clear" w:color="auto" w:fill="auto"/>
            <w:vAlign w:val="center"/>
          </w:tcPr>
          <w:p w:rsidR="002B6CEA" w:rsidRDefault="00A97395">
            <w:pPr>
              <w:pStyle w:val="Tabletext"/>
              <w:rPr>
                <w:rFonts w:ascii="Times" w:hAnsi="Times"/>
                <w:szCs w:val="20"/>
              </w:rPr>
            </w:pPr>
            <w:r>
              <w:rPr>
                <w:szCs w:val="20"/>
              </w:rPr>
              <w:t>Net cost to MBS</w:t>
            </w:r>
          </w:p>
        </w:tc>
        <w:tc>
          <w:tcPr>
            <w:tcW w:w="647" w:type="pct"/>
            <w:shd w:val="clear" w:color="auto" w:fill="auto"/>
          </w:tcPr>
          <w:p w:rsidR="002B6CEA" w:rsidRPr="00950C8B" w:rsidRDefault="00950C8B">
            <w:pPr>
              <w:pStyle w:val="Tabletext"/>
              <w:jc w:val="center"/>
              <w:rPr>
                <w:bCs/>
                <w:color w:val="000000"/>
                <w:highlight w:val="black"/>
              </w:rPr>
            </w:pPr>
            <w:r>
              <w:rPr>
                <w:rFonts w:cs="Calibri"/>
                <w:iCs/>
                <w:noProof/>
                <w:color w:val="000000"/>
                <w:szCs w:val="20"/>
                <w:highlight w:val="black"/>
              </w:rPr>
              <w:t>''''''''''''''''''''''</w:t>
            </w:r>
          </w:p>
        </w:tc>
        <w:tc>
          <w:tcPr>
            <w:tcW w:w="647" w:type="pct"/>
            <w:shd w:val="clear" w:color="auto" w:fill="auto"/>
          </w:tcPr>
          <w:p w:rsidR="002B6CEA" w:rsidRPr="00950C8B" w:rsidRDefault="00950C8B">
            <w:pPr>
              <w:pStyle w:val="Tabletext"/>
              <w:jc w:val="center"/>
              <w:rPr>
                <w:bCs/>
                <w:color w:val="000000"/>
                <w:highlight w:val="black"/>
              </w:rPr>
            </w:pPr>
            <w:r>
              <w:rPr>
                <w:rFonts w:cs="Calibri"/>
                <w:iCs/>
                <w:noProof/>
                <w:color w:val="000000"/>
                <w:szCs w:val="20"/>
                <w:highlight w:val="black"/>
              </w:rPr>
              <w:t>''''''''''''''''''</w:t>
            </w:r>
          </w:p>
        </w:tc>
        <w:tc>
          <w:tcPr>
            <w:tcW w:w="647" w:type="pct"/>
            <w:shd w:val="clear" w:color="auto" w:fill="auto"/>
          </w:tcPr>
          <w:p w:rsidR="002B6CEA" w:rsidRPr="00950C8B" w:rsidRDefault="00950C8B">
            <w:pPr>
              <w:pStyle w:val="Tabletext"/>
              <w:jc w:val="center"/>
              <w:rPr>
                <w:bCs/>
                <w:color w:val="000000"/>
                <w:highlight w:val="black"/>
              </w:rPr>
            </w:pPr>
            <w:r>
              <w:rPr>
                <w:rFonts w:cs="Calibri"/>
                <w:iCs/>
                <w:noProof/>
                <w:color w:val="000000"/>
                <w:szCs w:val="20"/>
                <w:highlight w:val="black"/>
              </w:rPr>
              <w:t>''''''''''''''''''''''</w:t>
            </w:r>
          </w:p>
        </w:tc>
        <w:tc>
          <w:tcPr>
            <w:tcW w:w="647" w:type="pct"/>
            <w:shd w:val="clear" w:color="auto" w:fill="auto"/>
          </w:tcPr>
          <w:p w:rsidR="002B6CEA" w:rsidRPr="00950C8B" w:rsidRDefault="00950C8B">
            <w:pPr>
              <w:pStyle w:val="Tabletext"/>
              <w:jc w:val="center"/>
              <w:rPr>
                <w:bCs/>
                <w:color w:val="000000"/>
                <w:highlight w:val="black"/>
              </w:rPr>
            </w:pPr>
            <w:r>
              <w:rPr>
                <w:rFonts w:cs="Calibri"/>
                <w:iCs/>
                <w:noProof/>
                <w:color w:val="000000"/>
                <w:szCs w:val="20"/>
                <w:highlight w:val="black"/>
              </w:rPr>
              <w:t>''''''''''''''''''''''</w:t>
            </w:r>
          </w:p>
        </w:tc>
        <w:tc>
          <w:tcPr>
            <w:tcW w:w="647" w:type="pct"/>
            <w:shd w:val="clear" w:color="auto" w:fill="auto"/>
          </w:tcPr>
          <w:p w:rsidR="002B6CEA" w:rsidRPr="00950C8B" w:rsidRDefault="00950C8B">
            <w:pPr>
              <w:pStyle w:val="Tabletext"/>
              <w:jc w:val="center"/>
              <w:rPr>
                <w:bCs/>
                <w:color w:val="000000"/>
                <w:highlight w:val="black"/>
              </w:rPr>
            </w:pPr>
            <w:r>
              <w:rPr>
                <w:rFonts w:cs="Calibri"/>
                <w:iCs/>
                <w:noProof/>
                <w:color w:val="000000"/>
                <w:szCs w:val="20"/>
                <w:highlight w:val="black"/>
              </w:rPr>
              <w:t>'''''''''''''''''''''</w:t>
            </w:r>
          </w:p>
        </w:tc>
        <w:tc>
          <w:tcPr>
            <w:tcW w:w="646" w:type="pct"/>
          </w:tcPr>
          <w:p w:rsidR="002B6CEA" w:rsidRPr="00950C8B" w:rsidRDefault="00950C8B">
            <w:pPr>
              <w:pStyle w:val="Tabletext"/>
              <w:jc w:val="center"/>
              <w:rPr>
                <w:bCs/>
                <w:color w:val="000000"/>
                <w:highlight w:val="black"/>
              </w:rPr>
            </w:pPr>
            <w:r>
              <w:rPr>
                <w:rFonts w:cs="Calibri"/>
                <w:iCs/>
                <w:noProof/>
                <w:color w:val="000000"/>
                <w:szCs w:val="20"/>
                <w:highlight w:val="black"/>
              </w:rPr>
              <w:t>'''''''''''''''''''''</w:t>
            </w:r>
          </w:p>
        </w:tc>
      </w:tr>
      <w:tr w:rsidR="002B6CEA">
        <w:tc>
          <w:tcPr>
            <w:tcW w:w="1119" w:type="pct"/>
            <w:shd w:val="clear" w:color="auto" w:fill="auto"/>
            <w:vAlign w:val="center"/>
          </w:tcPr>
          <w:p w:rsidR="002B6CEA" w:rsidRDefault="00A97395">
            <w:pPr>
              <w:pStyle w:val="Tabletext"/>
              <w:rPr>
                <w:szCs w:val="20"/>
              </w:rPr>
            </w:pPr>
            <w:r>
              <w:rPr>
                <w:szCs w:val="20"/>
              </w:rPr>
              <w:t>Net cost to PBS/RPBS/MBS/</w:t>
            </w:r>
          </w:p>
        </w:tc>
        <w:tc>
          <w:tcPr>
            <w:tcW w:w="647" w:type="pct"/>
            <w:shd w:val="clear" w:color="auto" w:fill="auto"/>
          </w:tcPr>
          <w:p w:rsidR="002B6CEA" w:rsidRPr="00950C8B" w:rsidRDefault="00950C8B">
            <w:pPr>
              <w:pStyle w:val="Tabletext"/>
              <w:jc w:val="center"/>
              <w:rPr>
                <w:bCs/>
                <w:iCs/>
                <w:color w:val="000000"/>
                <w:szCs w:val="20"/>
                <w:highlight w:val="black"/>
              </w:rPr>
            </w:pPr>
            <w:r>
              <w:rPr>
                <w:rFonts w:cs="Arial"/>
                <w:iCs/>
                <w:noProof/>
                <w:color w:val="000000"/>
                <w:szCs w:val="20"/>
                <w:highlight w:val="black"/>
              </w:rPr>
              <w:t>''''''''''''''''''''''''''''</w:t>
            </w:r>
          </w:p>
        </w:tc>
        <w:tc>
          <w:tcPr>
            <w:tcW w:w="647" w:type="pct"/>
            <w:shd w:val="clear" w:color="auto" w:fill="auto"/>
          </w:tcPr>
          <w:p w:rsidR="002B6CEA" w:rsidRPr="00950C8B" w:rsidRDefault="00950C8B">
            <w:pPr>
              <w:pStyle w:val="Tabletext"/>
              <w:jc w:val="center"/>
              <w:rPr>
                <w:bCs/>
                <w:iCs/>
                <w:color w:val="000000"/>
                <w:szCs w:val="20"/>
                <w:highlight w:val="black"/>
              </w:rPr>
            </w:pPr>
            <w:r>
              <w:rPr>
                <w:rFonts w:cs="Arial"/>
                <w:iCs/>
                <w:noProof/>
                <w:color w:val="000000"/>
                <w:szCs w:val="20"/>
                <w:highlight w:val="black"/>
              </w:rPr>
              <w:t>'''''''''''''''''''''''''''''''</w:t>
            </w:r>
          </w:p>
        </w:tc>
        <w:tc>
          <w:tcPr>
            <w:tcW w:w="647" w:type="pct"/>
            <w:shd w:val="clear" w:color="auto" w:fill="auto"/>
          </w:tcPr>
          <w:p w:rsidR="002B6CEA" w:rsidRPr="00950C8B" w:rsidRDefault="00950C8B">
            <w:pPr>
              <w:pStyle w:val="Tabletext"/>
              <w:jc w:val="center"/>
              <w:rPr>
                <w:bCs/>
                <w:iCs/>
                <w:color w:val="000000"/>
                <w:szCs w:val="20"/>
                <w:highlight w:val="black"/>
              </w:rPr>
            </w:pPr>
            <w:r>
              <w:rPr>
                <w:rFonts w:cs="Arial"/>
                <w:iCs/>
                <w:noProof/>
                <w:color w:val="000000"/>
                <w:szCs w:val="20"/>
                <w:highlight w:val="black"/>
              </w:rPr>
              <w:t>''''''''''''''''''''''''''''''''</w:t>
            </w:r>
          </w:p>
        </w:tc>
        <w:tc>
          <w:tcPr>
            <w:tcW w:w="647" w:type="pct"/>
            <w:shd w:val="clear" w:color="auto" w:fill="auto"/>
          </w:tcPr>
          <w:p w:rsidR="002B6CEA" w:rsidRPr="00950C8B" w:rsidRDefault="00950C8B">
            <w:pPr>
              <w:pStyle w:val="Tabletext"/>
              <w:jc w:val="center"/>
              <w:rPr>
                <w:bCs/>
                <w:iCs/>
                <w:color w:val="000000"/>
                <w:szCs w:val="20"/>
                <w:highlight w:val="black"/>
              </w:rPr>
            </w:pPr>
            <w:r>
              <w:rPr>
                <w:rFonts w:cs="Arial"/>
                <w:iCs/>
                <w:noProof/>
                <w:color w:val="000000"/>
                <w:szCs w:val="20"/>
                <w:highlight w:val="black"/>
              </w:rPr>
              <w:t>'''''''''''''''''''''''''''''</w:t>
            </w:r>
          </w:p>
        </w:tc>
        <w:tc>
          <w:tcPr>
            <w:tcW w:w="647" w:type="pct"/>
            <w:shd w:val="clear" w:color="auto" w:fill="auto"/>
          </w:tcPr>
          <w:p w:rsidR="002B6CEA" w:rsidRPr="00950C8B" w:rsidRDefault="00950C8B">
            <w:pPr>
              <w:pStyle w:val="Tabletext"/>
              <w:jc w:val="center"/>
              <w:rPr>
                <w:bCs/>
                <w:iCs/>
                <w:color w:val="000000"/>
                <w:szCs w:val="20"/>
                <w:highlight w:val="black"/>
              </w:rPr>
            </w:pPr>
            <w:r>
              <w:rPr>
                <w:rFonts w:cs="Arial"/>
                <w:iCs/>
                <w:noProof/>
                <w:color w:val="000000"/>
                <w:szCs w:val="20"/>
                <w:highlight w:val="black"/>
              </w:rPr>
              <w:t>''''''''''''''''''''''''''''''''</w:t>
            </w:r>
          </w:p>
        </w:tc>
        <w:tc>
          <w:tcPr>
            <w:tcW w:w="646" w:type="pct"/>
          </w:tcPr>
          <w:p w:rsidR="002B6CEA" w:rsidRPr="00950C8B" w:rsidRDefault="00950C8B">
            <w:pPr>
              <w:pStyle w:val="Tabletext"/>
              <w:jc w:val="center"/>
              <w:rPr>
                <w:bCs/>
                <w:iCs/>
                <w:color w:val="000000"/>
                <w:szCs w:val="20"/>
                <w:highlight w:val="black"/>
              </w:rPr>
            </w:pPr>
            <w:r>
              <w:rPr>
                <w:rFonts w:cs="Arial"/>
                <w:iCs/>
                <w:noProof/>
                <w:color w:val="000000"/>
                <w:szCs w:val="20"/>
                <w:highlight w:val="black"/>
              </w:rPr>
              <w:t>''''''''''''''''''''''''''''''''</w:t>
            </w:r>
          </w:p>
        </w:tc>
      </w:tr>
    </w:tbl>
    <w:p w:rsidR="002B6CEA" w:rsidRDefault="00A97395">
      <w:pPr>
        <w:pStyle w:val="TableFooter"/>
        <w:rPr>
          <w:szCs w:val="18"/>
        </w:rPr>
      </w:pPr>
      <w:r>
        <w:rPr>
          <w:szCs w:val="18"/>
        </w:rPr>
        <w:t xml:space="preserve">Abbreviations: </w:t>
      </w:r>
      <w:r>
        <w:t>MBS= Medicare Benefits Schedule; PBS= Pharmaceutical Benefit Scheme; RPBS= Repatriation Schedule of Pharmaceutical Benefits.</w:t>
      </w:r>
    </w:p>
    <w:p w:rsidR="002B6CEA" w:rsidRDefault="00A97395">
      <w:pPr>
        <w:pStyle w:val="TableFooter"/>
        <w:rPr>
          <w:szCs w:val="18"/>
        </w:rPr>
      </w:pPr>
      <w:r>
        <w:rPr>
          <w:szCs w:val="18"/>
        </w:rPr>
        <w:t xml:space="preserve">Source: Table 4-8, p. 236; </w:t>
      </w:r>
      <w:r>
        <w:t xml:space="preserve">Table 4-8, p. 236; </w:t>
      </w:r>
      <w:r>
        <w:rPr>
          <w:szCs w:val="18"/>
        </w:rPr>
        <w:t>Table 4-9 of the submission; developed during the evaluation</w:t>
      </w:r>
    </w:p>
    <w:p w:rsidR="002B6CEA" w:rsidRDefault="00A97395">
      <w:pPr>
        <w:pStyle w:val="TableFooter"/>
        <w:tabs>
          <w:tab w:val="left" w:pos="142"/>
        </w:tabs>
        <w:rPr>
          <w:szCs w:val="18"/>
        </w:rPr>
      </w:pPr>
      <w:r>
        <w:rPr>
          <w:rStyle w:val="CommentReference"/>
          <w:b w:val="0"/>
          <w:sz w:val="18"/>
          <w:szCs w:val="18"/>
        </w:rPr>
        <w:t xml:space="preserve">Note: </w:t>
      </w:r>
      <w:r>
        <w:rPr>
          <w:szCs w:val="18"/>
          <w:vertAlign w:val="superscript"/>
        </w:rPr>
        <w:t>a</w:t>
      </w:r>
      <w:r>
        <w:rPr>
          <w:szCs w:val="18"/>
        </w:rPr>
        <w:t xml:space="preserve"> Assuming 4 per year as estimated by the submission.</w:t>
      </w:r>
    </w:p>
    <w:p w:rsidR="00D32548" w:rsidRDefault="00D32548">
      <w:pPr>
        <w:widowControl/>
      </w:pPr>
    </w:p>
    <w:p w:rsidR="002B6CEA" w:rsidRDefault="00A97395">
      <w:pPr>
        <w:widowControl/>
      </w:pPr>
      <w:r>
        <w:t>The redacted table shows that the estimated number of patients treated at year 6 would be less than 10,000, and the net cost to PBS/RPBS would be</w:t>
      </w:r>
      <w:r w:rsidR="00167E14">
        <w:t xml:space="preserve"> </w:t>
      </w:r>
      <w:r>
        <w:t>$30</w:t>
      </w:r>
      <w:r w:rsidR="00167E14">
        <w:t xml:space="preserve"> </w:t>
      </w:r>
      <w:r>
        <w:t>-</w:t>
      </w:r>
      <w:r w:rsidR="00167E14">
        <w:t xml:space="preserve"> </w:t>
      </w:r>
      <w:r>
        <w:t>$60 million.</w:t>
      </w:r>
    </w:p>
    <w:p w:rsidR="002B6CEA" w:rsidRDefault="002B6CEA">
      <w:pPr>
        <w:widowControl/>
      </w:pPr>
    </w:p>
    <w:p w:rsidR="002B6CEA" w:rsidRDefault="00A97395">
      <w:pPr>
        <w:pStyle w:val="ListParagraph"/>
        <w:widowControl/>
        <w:numPr>
          <w:ilvl w:val="1"/>
          <w:numId w:val="2"/>
        </w:numPr>
      </w:pPr>
      <w:r>
        <w:t>The financial estimates for the use of cabozantinib using the effective price are presented in Table 14.</w:t>
      </w:r>
    </w:p>
    <w:p w:rsidR="00E50BF2" w:rsidRPr="00E50BF2" w:rsidRDefault="00E50BF2" w:rsidP="00E50BF2">
      <w:pPr>
        <w:keepNext/>
        <w:keepLines/>
        <w:widowControl/>
        <w:rPr>
          <w:rStyle w:val="CommentReference"/>
        </w:rPr>
      </w:pPr>
      <w:r w:rsidRPr="00E50BF2">
        <w:rPr>
          <w:rStyle w:val="CommentReference"/>
        </w:rPr>
        <w:lastRenderedPageBreak/>
        <w:t xml:space="preserve">Table </w:t>
      </w:r>
      <w:r w:rsidRPr="00E50BF2">
        <w:rPr>
          <w:rStyle w:val="CommentReference"/>
        </w:rPr>
        <w:fldChar w:fldCharType="begin"/>
      </w:r>
      <w:r w:rsidRPr="00E50BF2">
        <w:rPr>
          <w:rStyle w:val="CommentReference"/>
        </w:rPr>
        <w:instrText xml:space="preserve"> SEQ Table \* ARABIC </w:instrText>
      </w:r>
      <w:r w:rsidRPr="00E50BF2">
        <w:rPr>
          <w:rStyle w:val="CommentReference"/>
        </w:rPr>
        <w:fldChar w:fldCharType="separate"/>
      </w:r>
      <w:r w:rsidR="00310C38">
        <w:rPr>
          <w:rStyle w:val="CommentReference"/>
          <w:noProof/>
        </w:rPr>
        <w:t>14</w:t>
      </w:r>
      <w:r w:rsidRPr="00E50BF2">
        <w:rPr>
          <w:rStyle w:val="CommentReference"/>
        </w:rPr>
        <w:fldChar w:fldCharType="end"/>
      </w:r>
      <w:r w:rsidRPr="00E50BF2">
        <w:rPr>
          <w:rStyle w:val="CommentReference"/>
        </w:rPr>
        <w:t>: Estimated use and financial implications (effective price)</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Estimated use and financial implications (effective price)"/>
      </w:tblPr>
      <w:tblGrid>
        <w:gridCol w:w="2000"/>
        <w:gridCol w:w="1156"/>
        <w:gridCol w:w="1157"/>
        <w:gridCol w:w="1157"/>
        <w:gridCol w:w="1157"/>
        <w:gridCol w:w="1157"/>
        <w:gridCol w:w="1155"/>
      </w:tblGrid>
      <w:tr w:rsidR="002B6CEA">
        <w:trPr>
          <w:tblHeader/>
        </w:trPr>
        <w:tc>
          <w:tcPr>
            <w:tcW w:w="1119" w:type="pct"/>
            <w:shd w:val="clear" w:color="auto" w:fill="auto"/>
            <w:vAlign w:val="center"/>
          </w:tcPr>
          <w:p w:rsidR="002B6CEA" w:rsidRDefault="002B6CEA">
            <w:pPr>
              <w:pStyle w:val="Tabletext"/>
              <w:keepNext/>
              <w:keepLines/>
              <w:rPr>
                <w:szCs w:val="20"/>
              </w:rPr>
            </w:pPr>
          </w:p>
        </w:tc>
        <w:tc>
          <w:tcPr>
            <w:tcW w:w="647" w:type="pct"/>
            <w:shd w:val="clear" w:color="auto" w:fill="auto"/>
            <w:vAlign w:val="center"/>
          </w:tcPr>
          <w:p w:rsidR="002B6CEA" w:rsidRDefault="00A97395">
            <w:pPr>
              <w:pStyle w:val="Tabletext"/>
              <w:keepNext/>
              <w:keepLines/>
              <w:jc w:val="center"/>
              <w:rPr>
                <w:b/>
                <w:szCs w:val="20"/>
              </w:rPr>
            </w:pPr>
            <w:r>
              <w:rPr>
                <w:b/>
                <w:szCs w:val="20"/>
              </w:rPr>
              <w:t>2019</w:t>
            </w:r>
          </w:p>
        </w:tc>
        <w:tc>
          <w:tcPr>
            <w:tcW w:w="647" w:type="pct"/>
            <w:shd w:val="clear" w:color="auto" w:fill="auto"/>
            <w:vAlign w:val="center"/>
          </w:tcPr>
          <w:p w:rsidR="002B6CEA" w:rsidRDefault="00A97395">
            <w:pPr>
              <w:pStyle w:val="Tabletext"/>
              <w:keepNext/>
              <w:keepLines/>
              <w:jc w:val="center"/>
              <w:rPr>
                <w:b/>
                <w:szCs w:val="20"/>
              </w:rPr>
            </w:pPr>
            <w:r>
              <w:rPr>
                <w:b/>
                <w:szCs w:val="20"/>
              </w:rPr>
              <w:t>2020</w:t>
            </w:r>
          </w:p>
        </w:tc>
        <w:tc>
          <w:tcPr>
            <w:tcW w:w="647" w:type="pct"/>
            <w:shd w:val="clear" w:color="auto" w:fill="auto"/>
            <w:vAlign w:val="center"/>
          </w:tcPr>
          <w:p w:rsidR="002B6CEA" w:rsidRDefault="00A97395">
            <w:pPr>
              <w:pStyle w:val="Tabletext"/>
              <w:keepNext/>
              <w:keepLines/>
              <w:jc w:val="center"/>
              <w:rPr>
                <w:b/>
                <w:szCs w:val="20"/>
              </w:rPr>
            </w:pPr>
            <w:r>
              <w:rPr>
                <w:b/>
                <w:szCs w:val="20"/>
              </w:rPr>
              <w:t>2021</w:t>
            </w:r>
          </w:p>
        </w:tc>
        <w:tc>
          <w:tcPr>
            <w:tcW w:w="647" w:type="pct"/>
            <w:shd w:val="clear" w:color="auto" w:fill="auto"/>
            <w:vAlign w:val="center"/>
          </w:tcPr>
          <w:p w:rsidR="002B6CEA" w:rsidRDefault="00A97395">
            <w:pPr>
              <w:pStyle w:val="Tabletext"/>
              <w:keepNext/>
              <w:keepLines/>
              <w:jc w:val="center"/>
              <w:rPr>
                <w:b/>
                <w:szCs w:val="20"/>
              </w:rPr>
            </w:pPr>
            <w:r>
              <w:rPr>
                <w:b/>
                <w:szCs w:val="20"/>
              </w:rPr>
              <w:t>2022</w:t>
            </w:r>
          </w:p>
        </w:tc>
        <w:tc>
          <w:tcPr>
            <w:tcW w:w="647" w:type="pct"/>
            <w:shd w:val="clear" w:color="auto" w:fill="auto"/>
            <w:vAlign w:val="center"/>
          </w:tcPr>
          <w:p w:rsidR="002B6CEA" w:rsidRDefault="00A97395">
            <w:pPr>
              <w:pStyle w:val="Tabletext"/>
              <w:keepNext/>
              <w:keepLines/>
              <w:jc w:val="center"/>
              <w:rPr>
                <w:b/>
                <w:szCs w:val="20"/>
              </w:rPr>
            </w:pPr>
            <w:r>
              <w:rPr>
                <w:b/>
                <w:szCs w:val="20"/>
              </w:rPr>
              <w:t>2023</w:t>
            </w:r>
          </w:p>
        </w:tc>
        <w:tc>
          <w:tcPr>
            <w:tcW w:w="646" w:type="pct"/>
          </w:tcPr>
          <w:p w:rsidR="002B6CEA" w:rsidRDefault="00A97395">
            <w:pPr>
              <w:pStyle w:val="Tabletext"/>
              <w:keepNext/>
              <w:keepLines/>
              <w:jc w:val="center"/>
              <w:rPr>
                <w:b/>
                <w:szCs w:val="20"/>
              </w:rPr>
            </w:pPr>
            <w:r>
              <w:rPr>
                <w:b/>
                <w:szCs w:val="20"/>
              </w:rPr>
              <w:t>2024</w:t>
            </w:r>
          </w:p>
        </w:tc>
      </w:tr>
      <w:tr w:rsidR="002B6CEA">
        <w:tc>
          <w:tcPr>
            <w:tcW w:w="5000" w:type="pct"/>
            <w:gridSpan w:val="7"/>
            <w:shd w:val="clear" w:color="auto" w:fill="auto"/>
            <w:vAlign w:val="center"/>
          </w:tcPr>
          <w:p w:rsidR="002B6CEA" w:rsidRDefault="00A97395">
            <w:pPr>
              <w:pStyle w:val="Tabletext"/>
              <w:keepNext/>
              <w:keepLines/>
              <w:rPr>
                <w:b/>
                <w:bCs/>
                <w:color w:val="000000"/>
                <w:szCs w:val="20"/>
              </w:rPr>
            </w:pPr>
            <w:r>
              <w:rPr>
                <w:b/>
                <w:bCs/>
                <w:color w:val="000000"/>
                <w:szCs w:val="20"/>
              </w:rPr>
              <w:t>Estimated extent of use</w:t>
            </w:r>
          </w:p>
        </w:tc>
      </w:tr>
      <w:tr w:rsidR="002B6CEA">
        <w:tc>
          <w:tcPr>
            <w:tcW w:w="1119" w:type="pct"/>
            <w:shd w:val="clear" w:color="auto" w:fill="auto"/>
            <w:vAlign w:val="center"/>
          </w:tcPr>
          <w:p w:rsidR="002B6CEA" w:rsidRDefault="00A97395">
            <w:pPr>
              <w:pStyle w:val="Tabletext"/>
              <w:keepNext/>
              <w:keepLines/>
              <w:rPr>
                <w:rFonts w:ascii="Times" w:hAnsi="Times"/>
                <w:szCs w:val="20"/>
              </w:rPr>
            </w:pPr>
            <w:r>
              <w:rPr>
                <w:szCs w:val="20"/>
              </w:rPr>
              <w:t>Number of patients treated</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noProof/>
                <w:color w:val="000000"/>
                <w:szCs w:val="20"/>
                <w:highlight w:val="black"/>
              </w:rPr>
              <w:t>'''''''''</w:t>
            </w:r>
          </w:p>
        </w:tc>
        <w:tc>
          <w:tcPr>
            <w:tcW w:w="646" w:type="pct"/>
          </w:tcPr>
          <w:p w:rsidR="002B6CEA" w:rsidRPr="00950C8B" w:rsidRDefault="00950C8B">
            <w:pPr>
              <w:pStyle w:val="Tabletext"/>
              <w:keepNext/>
              <w:keepLines/>
              <w:jc w:val="center"/>
              <w:rPr>
                <w:bCs/>
                <w:color w:val="000000"/>
                <w:szCs w:val="20"/>
                <w:highlight w:val="black"/>
              </w:rPr>
            </w:pPr>
            <w:r>
              <w:rPr>
                <w:noProof/>
                <w:color w:val="000000"/>
                <w:szCs w:val="20"/>
                <w:highlight w:val="black"/>
              </w:rPr>
              <w:t>'''''''''</w:t>
            </w:r>
          </w:p>
        </w:tc>
      </w:tr>
      <w:tr w:rsidR="002B6CEA">
        <w:tc>
          <w:tcPr>
            <w:tcW w:w="1119" w:type="pct"/>
            <w:shd w:val="clear" w:color="auto" w:fill="auto"/>
            <w:vAlign w:val="center"/>
          </w:tcPr>
          <w:p w:rsidR="002B6CEA" w:rsidRDefault="00A97395">
            <w:pPr>
              <w:pStyle w:val="Tabletext"/>
              <w:keepNext/>
              <w:keepLines/>
              <w:rPr>
                <w:rFonts w:ascii="Times" w:hAnsi="Times"/>
                <w:szCs w:val="20"/>
              </w:rPr>
            </w:pPr>
            <w:r>
              <w:rPr>
                <w:szCs w:val="20"/>
              </w:rPr>
              <w:t>Number of scripts dispensed</w:t>
            </w:r>
            <w:r>
              <w:rPr>
                <w:szCs w:val="20"/>
                <w:vertAlign w:val="superscript"/>
              </w:rPr>
              <w:t>a</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noProof/>
                <w:color w:val="000000"/>
                <w:szCs w:val="20"/>
                <w:highlight w:val="black"/>
              </w:rPr>
              <w:t>''''''''''''</w:t>
            </w:r>
          </w:p>
        </w:tc>
        <w:tc>
          <w:tcPr>
            <w:tcW w:w="646" w:type="pct"/>
          </w:tcPr>
          <w:p w:rsidR="002B6CEA" w:rsidRPr="00950C8B" w:rsidRDefault="00950C8B">
            <w:pPr>
              <w:pStyle w:val="Tabletext"/>
              <w:keepNext/>
              <w:keepLines/>
              <w:jc w:val="center"/>
              <w:rPr>
                <w:bCs/>
                <w:color w:val="000000"/>
                <w:szCs w:val="20"/>
                <w:highlight w:val="black"/>
              </w:rPr>
            </w:pPr>
            <w:r>
              <w:rPr>
                <w:noProof/>
                <w:color w:val="000000"/>
                <w:szCs w:val="20"/>
                <w:highlight w:val="black"/>
              </w:rPr>
              <w:t>''''''''''''</w:t>
            </w:r>
          </w:p>
        </w:tc>
      </w:tr>
      <w:tr w:rsidR="002B6CEA">
        <w:tc>
          <w:tcPr>
            <w:tcW w:w="5000" w:type="pct"/>
            <w:gridSpan w:val="7"/>
            <w:shd w:val="clear" w:color="auto" w:fill="auto"/>
            <w:vAlign w:val="center"/>
          </w:tcPr>
          <w:p w:rsidR="002B6CEA" w:rsidRDefault="00A97395">
            <w:pPr>
              <w:pStyle w:val="Tabletext"/>
              <w:keepNext/>
              <w:keepLines/>
              <w:rPr>
                <w:b/>
                <w:bCs/>
                <w:color w:val="000000"/>
                <w:szCs w:val="20"/>
              </w:rPr>
            </w:pPr>
            <w:r>
              <w:rPr>
                <w:b/>
                <w:bCs/>
                <w:color w:val="000000"/>
                <w:szCs w:val="20"/>
              </w:rPr>
              <w:t>Estimated financial implications of cabozantinib</w:t>
            </w:r>
          </w:p>
        </w:tc>
      </w:tr>
      <w:tr w:rsidR="002B6CEA">
        <w:tc>
          <w:tcPr>
            <w:tcW w:w="1119" w:type="pct"/>
            <w:shd w:val="clear" w:color="auto" w:fill="auto"/>
            <w:vAlign w:val="center"/>
          </w:tcPr>
          <w:p w:rsidR="002B6CEA" w:rsidRDefault="00A97395">
            <w:pPr>
              <w:pStyle w:val="Tabletext"/>
              <w:keepNext/>
              <w:keepLines/>
              <w:rPr>
                <w:rFonts w:ascii="Times" w:hAnsi="Times"/>
                <w:szCs w:val="20"/>
              </w:rPr>
            </w:pPr>
            <w:r>
              <w:rPr>
                <w:szCs w:val="20"/>
              </w:rPr>
              <w:t>Cost to PBS/RPBS</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rFonts w:cs="Arial"/>
                <w:iCs/>
                <w:noProof/>
                <w:color w:val="000000"/>
                <w:szCs w:val="20"/>
                <w:highlight w:val="black"/>
              </w:rPr>
              <w:t>'''''''''''''''''''''''''''''''</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rFonts w:cs="Arial"/>
                <w:iCs/>
                <w:noProof/>
                <w:color w:val="000000"/>
                <w:szCs w:val="20"/>
                <w:highlight w:val="black"/>
              </w:rPr>
              <w:t>''''''''''''''''''''''''''''</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rFonts w:cs="Arial"/>
                <w:iCs/>
                <w:noProof/>
                <w:color w:val="000000"/>
                <w:szCs w:val="20"/>
                <w:highlight w:val="black"/>
              </w:rPr>
              <w:t>'''''''''''''''''''''''''''</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rFonts w:cs="Arial"/>
                <w:iCs/>
                <w:noProof/>
                <w:color w:val="000000"/>
                <w:szCs w:val="20"/>
                <w:highlight w:val="black"/>
              </w:rPr>
              <w:t>'''''''''''''''''''''''''''</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rFonts w:cs="Arial"/>
                <w:iCs/>
                <w:noProof/>
                <w:color w:val="000000"/>
                <w:szCs w:val="20"/>
                <w:highlight w:val="black"/>
              </w:rPr>
              <w:t>''''''''''''''''''''''''''''''</w:t>
            </w:r>
          </w:p>
        </w:tc>
        <w:tc>
          <w:tcPr>
            <w:tcW w:w="646" w:type="pct"/>
          </w:tcPr>
          <w:p w:rsidR="002B6CEA" w:rsidRPr="00950C8B" w:rsidRDefault="00950C8B">
            <w:pPr>
              <w:pStyle w:val="Tabletext"/>
              <w:keepNext/>
              <w:keepLines/>
              <w:jc w:val="center"/>
              <w:rPr>
                <w:bCs/>
                <w:color w:val="000000"/>
                <w:szCs w:val="20"/>
                <w:highlight w:val="black"/>
              </w:rPr>
            </w:pPr>
            <w:r>
              <w:rPr>
                <w:rFonts w:cs="Arial"/>
                <w:iCs/>
                <w:noProof/>
                <w:color w:val="000000"/>
                <w:szCs w:val="20"/>
                <w:highlight w:val="black"/>
              </w:rPr>
              <w:t>'''''''''''''''''''''''''''</w:t>
            </w:r>
          </w:p>
        </w:tc>
      </w:tr>
      <w:tr w:rsidR="002B6CEA">
        <w:tc>
          <w:tcPr>
            <w:tcW w:w="1119" w:type="pct"/>
            <w:shd w:val="clear" w:color="auto" w:fill="auto"/>
            <w:vAlign w:val="center"/>
          </w:tcPr>
          <w:p w:rsidR="002B6CEA" w:rsidRDefault="00A97395">
            <w:pPr>
              <w:pStyle w:val="Tabletext"/>
              <w:keepNext/>
              <w:keepLines/>
              <w:rPr>
                <w:szCs w:val="20"/>
              </w:rPr>
            </w:pPr>
            <w:r>
              <w:rPr>
                <w:szCs w:val="20"/>
              </w:rPr>
              <w:t>Copayments</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rFonts w:cs="Arial"/>
                <w:iCs/>
                <w:noProof/>
                <w:color w:val="000000"/>
                <w:szCs w:val="20"/>
                <w:highlight w:val="black"/>
              </w:rPr>
              <w:t>''''''''''''''''''''</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rFonts w:cs="Arial"/>
                <w:iCs/>
                <w:noProof/>
                <w:color w:val="000000"/>
                <w:szCs w:val="20"/>
                <w:highlight w:val="black"/>
              </w:rPr>
              <w:t>''''''''''''''''''''''</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rFonts w:cs="Arial"/>
                <w:iCs/>
                <w:noProof/>
                <w:color w:val="000000"/>
                <w:szCs w:val="20"/>
                <w:highlight w:val="black"/>
              </w:rPr>
              <w:t>''''''''''''''''''''''</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rFonts w:cs="Arial"/>
                <w:iCs/>
                <w:noProof/>
                <w:color w:val="000000"/>
                <w:szCs w:val="20"/>
                <w:highlight w:val="black"/>
              </w:rPr>
              <w:t>'''''''''''''''''''''</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rFonts w:cs="Arial"/>
                <w:iCs/>
                <w:noProof/>
                <w:color w:val="000000"/>
                <w:szCs w:val="20"/>
                <w:highlight w:val="black"/>
              </w:rPr>
              <w:t>'''''''''''''''''''</w:t>
            </w:r>
          </w:p>
        </w:tc>
        <w:tc>
          <w:tcPr>
            <w:tcW w:w="646" w:type="pct"/>
          </w:tcPr>
          <w:p w:rsidR="002B6CEA" w:rsidRPr="00950C8B" w:rsidRDefault="00950C8B">
            <w:pPr>
              <w:pStyle w:val="Tabletext"/>
              <w:keepNext/>
              <w:keepLines/>
              <w:jc w:val="center"/>
              <w:rPr>
                <w:bCs/>
                <w:color w:val="000000"/>
                <w:szCs w:val="20"/>
                <w:highlight w:val="black"/>
              </w:rPr>
            </w:pPr>
            <w:r>
              <w:rPr>
                <w:rFonts w:cs="Arial"/>
                <w:iCs/>
                <w:noProof/>
                <w:color w:val="000000"/>
                <w:szCs w:val="20"/>
                <w:highlight w:val="black"/>
              </w:rPr>
              <w:t>''''''''''''''''''''</w:t>
            </w:r>
          </w:p>
        </w:tc>
      </w:tr>
      <w:tr w:rsidR="002B6CEA">
        <w:tc>
          <w:tcPr>
            <w:tcW w:w="1119" w:type="pct"/>
            <w:shd w:val="clear" w:color="auto" w:fill="auto"/>
            <w:vAlign w:val="center"/>
          </w:tcPr>
          <w:p w:rsidR="002B6CEA" w:rsidRDefault="00A97395">
            <w:pPr>
              <w:pStyle w:val="Tabletext"/>
              <w:keepNext/>
              <w:keepLines/>
              <w:rPr>
                <w:szCs w:val="20"/>
              </w:rPr>
            </w:pPr>
            <w:r>
              <w:rPr>
                <w:szCs w:val="20"/>
              </w:rPr>
              <w:t>Cost to PBS/RPBS less copayments</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rFonts w:cs="Arial"/>
                <w:iCs/>
                <w:noProof/>
                <w:color w:val="000000"/>
                <w:szCs w:val="20"/>
                <w:highlight w:val="black"/>
              </w:rPr>
              <w:t>''''''''''''''''''''''''''''''</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rFonts w:cs="Arial"/>
                <w:iCs/>
                <w:noProof/>
                <w:color w:val="000000"/>
                <w:szCs w:val="20"/>
                <w:highlight w:val="black"/>
              </w:rPr>
              <w:t>''''''''''''''''''''''''''''''''</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rFonts w:cs="Arial"/>
                <w:iCs/>
                <w:noProof/>
                <w:color w:val="000000"/>
                <w:szCs w:val="20"/>
                <w:highlight w:val="black"/>
              </w:rPr>
              <w:t>'''''''''''''''''''''''''''''''''</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rFonts w:cs="Arial"/>
                <w:iCs/>
                <w:noProof/>
                <w:color w:val="000000"/>
                <w:szCs w:val="20"/>
                <w:highlight w:val="black"/>
              </w:rPr>
              <w:t>''''''''''''''''''''''''''''</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rFonts w:cs="Arial"/>
                <w:iCs/>
                <w:noProof/>
                <w:color w:val="000000"/>
                <w:szCs w:val="20"/>
                <w:highlight w:val="black"/>
              </w:rPr>
              <w:t>'''''''''''''''''''''''''''''''''</w:t>
            </w:r>
          </w:p>
        </w:tc>
        <w:tc>
          <w:tcPr>
            <w:tcW w:w="646" w:type="pct"/>
          </w:tcPr>
          <w:p w:rsidR="002B6CEA" w:rsidRPr="00950C8B" w:rsidRDefault="00950C8B">
            <w:pPr>
              <w:pStyle w:val="Tabletext"/>
              <w:keepNext/>
              <w:keepLines/>
              <w:jc w:val="center"/>
              <w:rPr>
                <w:bCs/>
                <w:color w:val="000000"/>
                <w:szCs w:val="20"/>
                <w:highlight w:val="black"/>
              </w:rPr>
            </w:pPr>
            <w:r>
              <w:rPr>
                <w:rFonts w:cs="Arial"/>
                <w:iCs/>
                <w:noProof/>
                <w:color w:val="000000"/>
                <w:szCs w:val="20"/>
                <w:highlight w:val="black"/>
              </w:rPr>
              <w:t>''''''''''''''''''''''''''''''</w:t>
            </w:r>
          </w:p>
        </w:tc>
      </w:tr>
      <w:tr w:rsidR="002B6CEA">
        <w:tc>
          <w:tcPr>
            <w:tcW w:w="5000" w:type="pct"/>
            <w:gridSpan w:val="7"/>
            <w:shd w:val="clear" w:color="auto" w:fill="auto"/>
            <w:vAlign w:val="center"/>
          </w:tcPr>
          <w:p w:rsidR="002B6CEA" w:rsidRDefault="00A97395">
            <w:pPr>
              <w:pStyle w:val="Tabletext"/>
              <w:keepNext/>
              <w:keepLines/>
              <w:rPr>
                <w:bCs/>
                <w:color w:val="000000"/>
                <w:szCs w:val="20"/>
              </w:rPr>
            </w:pPr>
            <w:r>
              <w:rPr>
                <w:b/>
                <w:bCs/>
                <w:color w:val="000000"/>
                <w:szCs w:val="20"/>
              </w:rPr>
              <w:t>Estimated financial implications for BSC</w:t>
            </w:r>
          </w:p>
        </w:tc>
      </w:tr>
      <w:tr w:rsidR="002B6CEA">
        <w:tc>
          <w:tcPr>
            <w:tcW w:w="1119" w:type="pct"/>
            <w:shd w:val="clear" w:color="auto" w:fill="auto"/>
            <w:vAlign w:val="center"/>
          </w:tcPr>
          <w:p w:rsidR="002B6CEA" w:rsidRDefault="00A97395">
            <w:pPr>
              <w:pStyle w:val="Tabletext"/>
              <w:keepNext/>
              <w:keepLines/>
              <w:rPr>
                <w:szCs w:val="20"/>
              </w:rPr>
            </w:pPr>
            <w:r>
              <w:rPr>
                <w:szCs w:val="20"/>
              </w:rPr>
              <w:t>Cost to PBS/RPBS less copayments</w:t>
            </w:r>
          </w:p>
        </w:tc>
        <w:tc>
          <w:tcPr>
            <w:tcW w:w="647" w:type="pct"/>
            <w:shd w:val="clear" w:color="auto" w:fill="auto"/>
          </w:tcPr>
          <w:p w:rsidR="002B6CEA" w:rsidRDefault="00A97395">
            <w:pPr>
              <w:pStyle w:val="Tabletext"/>
              <w:keepNext/>
              <w:keepLines/>
              <w:jc w:val="center"/>
              <w:rPr>
                <w:bCs/>
                <w:color w:val="000000"/>
                <w:szCs w:val="20"/>
              </w:rPr>
            </w:pPr>
            <w:r>
              <w:rPr>
                <w:bCs/>
                <w:color w:val="000000"/>
                <w:szCs w:val="20"/>
              </w:rPr>
              <w:t>0</w:t>
            </w:r>
          </w:p>
        </w:tc>
        <w:tc>
          <w:tcPr>
            <w:tcW w:w="647" w:type="pct"/>
            <w:shd w:val="clear" w:color="auto" w:fill="auto"/>
          </w:tcPr>
          <w:p w:rsidR="002B6CEA" w:rsidRDefault="00A97395">
            <w:pPr>
              <w:pStyle w:val="Tabletext"/>
              <w:keepNext/>
              <w:keepLines/>
              <w:jc w:val="center"/>
              <w:rPr>
                <w:bCs/>
                <w:color w:val="000000"/>
                <w:szCs w:val="20"/>
              </w:rPr>
            </w:pPr>
            <w:r>
              <w:rPr>
                <w:bCs/>
                <w:color w:val="000000"/>
                <w:szCs w:val="20"/>
              </w:rPr>
              <w:t>0</w:t>
            </w:r>
          </w:p>
        </w:tc>
        <w:tc>
          <w:tcPr>
            <w:tcW w:w="647" w:type="pct"/>
            <w:shd w:val="clear" w:color="auto" w:fill="auto"/>
          </w:tcPr>
          <w:p w:rsidR="002B6CEA" w:rsidRDefault="00A97395">
            <w:pPr>
              <w:pStyle w:val="Tabletext"/>
              <w:keepNext/>
              <w:keepLines/>
              <w:jc w:val="center"/>
              <w:rPr>
                <w:bCs/>
                <w:color w:val="000000"/>
                <w:szCs w:val="20"/>
              </w:rPr>
            </w:pPr>
            <w:r>
              <w:rPr>
                <w:bCs/>
                <w:color w:val="000000"/>
                <w:szCs w:val="20"/>
              </w:rPr>
              <w:t>0</w:t>
            </w:r>
          </w:p>
        </w:tc>
        <w:tc>
          <w:tcPr>
            <w:tcW w:w="647" w:type="pct"/>
            <w:shd w:val="clear" w:color="auto" w:fill="auto"/>
          </w:tcPr>
          <w:p w:rsidR="002B6CEA" w:rsidRDefault="00A97395">
            <w:pPr>
              <w:pStyle w:val="Tabletext"/>
              <w:keepNext/>
              <w:keepLines/>
              <w:jc w:val="center"/>
              <w:rPr>
                <w:bCs/>
                <w:color w:val="000000"/>
                <w:szCs w:val="20"/>
              </w:rPr>
            </w:pPr>
            <w:r>
              <w:rPr>
                <w:bCs/>
                <w:color w:val="000000"/>
                <w:szCs w:val="20"/>
              </w:rPr>
              <w:t>0</w:t>
            </w:r>
          </w:p>
        </w:tc>
        <w:tc>
          <w:tcPr>
            <w:tcW w:w="647" w:type="pct"/>
            <w:shd w:val="clear" w:color="auto" w:fill="auto"/>
          </w:tcPr>
          <w:p w:rsidR="002B6CEA" w:rsidRDefault="00A97395">
            <w:pPr>
              <w:pStyle w:val="Tabletext"/>
              <w:keepNext/>
              <w:keepLines/>
              <w:jc w:val="center"/>
              <w:rPr>
                <w:bCs/>
                <w:color w:val="000000"/>
                <w:szCs w:val="20"/>
              </w:rPr>
            </w:pPr>
            <w:r>
              <w:rPr>
                <w:bCs/>
                <w:color w:val="000000"/>
                <w:szCs w:val="20"/>
              </w:rPr>
              <w:t>0</w:t>
            </w:r>
          </w:p>
        </w:tc>
        <w:tc>
          <w:tcPr>
            <w:tcW w:w="646" w:type="pct"/>
          </w:tcPr>
          <w:p w:rsidR="002B6CEA" w:rsidRDefault="00A97395">
            <w:pPr>
              <w:pStyle w:val="Tabletext"/>
              <w:keepNext/>
              <w:keepLines/>
              <w:jc w:val="center"/>
              <w:rPr>
                <w:bCs/>
                <w:color w:val="000000"/>
                <w:szCs w:val="20"/>
              </w:rPr>
            </w:pPr>
            <w:r>
              <w:rPr>
                <w:bCs/>
                <w:color w:val="000000"/>
                <w:szCs w:val="20"/>
              </w:rPr>
              <w:t>0</w:t>
            </w:r>
          </w:p>
        </w:tc>
      </w:tr>
      <w:tr w:rsidR="002B6CEA">
        <w:tc>
          <w:tcPr>
            <w:tcW w:w="5000" w:type="pct"/>
            <w:gridSpan w:val="7"/>
            <w:shd w:val="clear" w:color="auto" w:fill="auto"/>
            <w:vAlign w:val="center"/>
          </w:tcPr>
          <w:p w:rsidR="002B6CEA" w:rsidRDefault="00A97395">
            <w:pPr>
              <w:pStyle w:val="Tabletext"/>
              <w:keepNext/>
              <w:keepLines/>
              <w:rPr>
                <w:b/>
                <w:bCs/>
                <w:color w:val="000000"/>
                <w:szCs w:val="20"/>
              </w:rPr>
            </w:pPr>
            <w:r>
              <w:rPr>
                <w:b/>
                <w:bCs/>
                <w:color w:val="000000"/>
                <w:szCs w:val="20"/>
              </w:rPr>
              <w:t>Net financial implications</w:t>
            </w:r>
            <w:r>
              <w:rPr>
                <w:b/>
                <w:bCs/>
                <w:color w:val="4BACC6" w:themeColor="accent5"/>
                <w:szCs w:val="20"/>
              </w:rPr>
              <w:t xml:space="preserve"> </w:t>
            </w:r>
          </w:p>
        </w:tc>
      </w:tr>
      <w:tr w:rsidR="002B6CEA">
        <w:tc>
          <w:tcPr>
            <w:tcW w:w="1119" w:type="pct"/>
            <w:shd w:val="clear" w:color="auto" w:fill="auto"/>
            <w:vAlign w:val="center"/>
          </w:tcPr>
          <w:p w:rsidR="002B6CEA" w:rsidRDefault="00A97395">
            <w:pPr>
              <w:pStyle w:val="Tabletext"/>
              <w:keepNext/>
              <w:keepLines/>
              <w:rPr>
                <w:szCs w:val="20"/>
              </w:rPr>
            </w:pPr>
            <w:r>
              <w:rPr>
                <w:szCs w:val="20"/>
              </w:rPr>
              <w:t>Net cost to PBS/RPBS</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rFonts w:cs="Arial"/>
                <w:iCs/>
                <w:noProof/>
                <w:color w:val="000000"/>
                <w:szCs w:val="20"/>
                <w:highlight w:val="black"/>
              </w:rPr>
              <w:t>'''''''''''''''''''''''''''''''''</w:t>
            </w:r>
            <w:r w:rsidR="00A97395" w:rsidRPr="00950C8B">
              <w:rPr>
                <w:rFonts w:cs="Arial"/>
                <w:iCs/>
                <w:szCs w:val="20"/>
                <w:highlight w:val="black"/>
              </w:rPr>
              <w:t xml:space="preserve"> </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rFonts w:cs="Arial"/>
                <w:iCs/>
                <w:noProof/>
                <w:color w:val="000000"/>
                <w:szCs w:val="20"/>
                <w:highlight w:val="black"/>
              </w:rPr>
              <w:t>'''''''''''''''''''''''''''''''</w:t>
            </w:r>
            <w:r w:rsidR="00A97395" w:rsidRPr="00950C8B">
              <w:rPr>
                <w:rFonts w:cs="Arial"/>
                <w:iCs/>
                <w:szCs w:val="20"/>
                <w:highlight w:val="black"/>
              </w:rPr>
              <w:t xml:space="preserve"> </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rFonts w:cs="Arial"/>
                <w:iCs/>
                <w:noProof/>
                <w:color w:val="000000"/>
                <w:szCs w:val="20"/>
                <w:highlight w:val="black"/>
              </w:rPr>
              <w:t>''''''''''''''''''''''''''''''''</w:t>
            </w:r>
            <w:r w:rsidR="00A97395" w:rsidRPr="00950C8B">
              <w:rPr>
                <w:rFonts w:cs="Arial"/>
                <w:iCs/>
                <w:szCs w:val="20"/>
                <w:highlight w:val="black"/>
              </w:rPr>
              <w:t xml:space="preserve"> </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rFonts w:cs="Arial"/>
                <w:iCs/>
                <w:noProof/>
                <w:color w:val="000000"/>
                <w:szCs w:val="20"/>
                <w:highlight w:val="black"/>
              </w:rPr>
              <w:t>'''''''''''''''''''''''''''</w:t>
            </w:r>
            <w:r w:rsidR="00A97395" w:rsidRPr="00950C8B">
              <w:rPr>
                <w:rFonts w:cs="Arial"/>
                <w:iCs/>
                <w:szCs w:val="20"/>
                <w:highlight w:val="black"/>
              </w:rPr>
              <w:t xml:space="preserve"> </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rFonts w:cs="Arial"/>
                <w:iCs/>
                <w:noProof/>
                <w:color w:val="000000"/>
                <w:szCs w:val="20"/>
                <w:highlight w:val="black"/>
              </w:rPr>
              <w:t>'''''''''''''''''''''''''''''</w:t>
            </w:r>
            <w:r w:rsidR="00A97395" w:rsidRPr="00950C8B">
              <w:rPr>
                <w:rFonts w:cs="Arial"/>
                <w:iCs/>
                <w:szCs w:val="20"/>
                <w:highlight w:val="black"/>
              </w:rPr>
              <w:t xml:space="preserve"> </w:t>
            </w:r>
          </w:p>
        </w:tc>
        <w:tc>
          <w:tcPr>
            <w:tcW w:w="646" w:type="pct"/>
          </w:tcPr>
          <w:p w:rsidR="002B6CEA" w:rsidRPr="00950C8B" w:rsidRDefault="00950C8B">
            <w:pPr>
              <w:pStyle w:val="Tabletext"/>
              <w:keepNext/>
              <w:keepLines/>
              <w:jc w:val="center"/>
              <w:rPr>
                <w:bCs/>
                <w:color w:val="000000"/>
                <w:szCs w:val="20"/>
                <w:highlight w:val="black"/>
              </w:rPr>
            </w:pPr>
            <w:r>
              <w:rPr>
                <w:rFonts w:cs="Arial"/>
                <w:iCs/>
                <w:noProof/>
                <w:color w:val="000000"/>
                <w:szCs w:val="20"/>
                <w:highlight w:val="black"/>
              </w:rPr>
              <w:t>'''''''''''''''''''''''''''''</w:t>
            </w:r>
            <w:r w:rsidR="00A97395" w:rsidRPr="00950C8B">
              <w:rPr>
                <w:rFonts w:cs="Arial"/>
                <w:iCs/>
                <w:szCs w:val="20"/>
                <w:highlight w:val="black"/>
              </w:rPr>
              <w:t xml:space="preserve"> </w:t>
            </w:r>
          </w:p>
        </w:tc>
      </w:tr>
      <w:tr w:rsidR="002B6CEA">
        <w:tc>
          <w:tcPr>
            <w:tcW w:w="1119" w:type="pct"/>
            <w:shd w:val="clear" w:color="auto" w:fill="auto"/>
            <w:vAlign w:val="center"/>
          </w:tcPr>
          <w:p w:rsidR="002B6CEA" w:rsidRDefault="00A97395">
            <w:pPr>
              <w:pStyle w:val="Tabletext"/>
              <w:keepNext/>
              <w:keepLines/>
              <w:rPr>
                <w:rFonts w:ascii="Times" w:hAnsi="Times"/>
                <w:szCs w:val="20"/>
              </w:rPr>
            </w:pPr>
            <w:r>
              <w:rPr>
                <w:szCs w:val="20"/>
              </w:rPr>
              <w:t>Net cost to MBS</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rFonts w:cs="Calibri"/>
                <w:iCs/>
                <w:noProof/>
                <w:color w:val="000000"/>
                <w:szCs w:val="20"/>
                <w:highlight w:val="black"/>
              </w:rPr>
              <w:t>''''''''''''''''''''</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rFonts w:cs="Calibri"/>
                <w:iCs/>
                <w:noProof/>
                <w:color w:val="000000"/>
                <w:szCs w:val="20"/>
                <w:highlight w:val="black"/>
              </w:rPr>
              <w:t>''''''''''''''''''</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rFonts w:cs="Calibri"/>
                <w:iCs/>
                <w:noProof/>
                <w:color w:val="000000"/>
                <w:szCs w:val="20"/>
                <w:highlight w:val="black"/>
              </w:rPr>
              <w:t>''''''''''''''''''''''''</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rFonts w:cs="Calibri"/>
                <w:iCs/>
                <w:noProof/>
                <w:color w:val="000000"/>
                <w:szCs w:val="20"/>
                <w:highlight w:val="black"/>
              </w:rPr>
              <w:t>''''''''''''''''''''''</w:t>
            </w:r>
          </w:p>
        </w:tc>
        <w:tc>
          <w:tcPr>
            <w:tcW w:w="647" w:type="pct"/>
            <w:shd w:val="clear" w:color="auto" w:fill="auto"/>
          </w:tcPr>
          <w:p w:rsidR="002B6CEA" w:rsidRPr="00950C8B" w:rsidRDefault="00950C8B">
            <w:pPr>
              <w:pStyle w:val="Tabletext"/>
              <w:keepNext/>
              <w:keepLines/>
              <w:jc w:val="center"/>
              <w:rPr>
                <w:bCs/>
                <w:color w:val="000000"/>
                <w:szCs w:val="20"/>
                <w:highlight w:val="black"/>
              </w:rPr>
            </w:pPr>
            <w:r>
              <w:rPr>
                <w:rFonts w:cs="Calibri"/>
                <w:iCs/>
                <w:noProof/>
                <w:color w:val="000000"/>
                <w:szCs w:val="20"/>
                <w:highlight w:val="black"/>
              </w:rPr>
              <w:t>''''''''''''''''''''''''</w:t>
            </w:r>
          </w:p>
        </w:tc>
        <w:tc>
          <w:tcPr>
            <w:tcW w:w="646" w:type="pct"/>
          </w:tcPr>
          <w:p w:rsidR="002B6CEA" w:rsidRPr="00950C8B" w:rsidRDefault="00950C8B">
            <w:pPr>
              <w:pStyle w:val="Tabletext"/>
              <w:keepNext/>
              <w:keepLines/>
              <w:jc w:val="center"/>
              <w:rPr>
                <w:bCs/>
                <w:color w:val="000000"/>
                <w:szCs w:val="20"/>
                <w:highlight w:val="black"/>
              </w:rPr>
            </w:pPr>
            <w:r>
              <w:rPr>
                <w:rFonts w:cs="Calibri"/>
                <w:iCs/>
                <w:noProof/>
                <w:color w:val="000000"/>
                <w:szCs w:val="20"/>
                <w:highlight w:val="black"/>
              </w:rPr>
              <w:t>'''''''''''''''''''''''</w:t>
            </w:r>
          </w:p>
        </w:tc>
      </w:tr>
      <w:tr w:rsidR="002B6CEA">
        <w:tc>
          <w:tcPr>
            <w:tcW w:w="1119" w:type="pct"/>
            <w:shd w:val="clear" w:color="auto" w:fill="auto"/>
            <w:vAlign w:val="center"/>
          </w:tcPr>
          <w:p w:rsidR="002B6CEA" w:rsidRDefault="00A97395">
            <w:pPr>
              <w:pStyle w:val="Tabletext"/>
              <w:keepNext/>
              <w:keepLines/>
              <w:rPr>
                <w:szCs w:val="20"/>
              </w:rPr>
            </w:pPr>
            <w:r>
              <w:rPr>
                <w:szCs w:val="20"/>
              </w:rPr>
              <w:t>Net cost to PBS/RPBS/MBS/</w:t>
            </w:r>
          </w:p>
        </w:tc>
        <w:tc>
          <w:tcPr>
            <w:tcW w:w="647" w:type="pct"/>
            <w:shd w:val="clear" w:color="auto" w:fill="auto"/>
          </w:tcPr>
          <w:p w:rsidR="002B6CEA" w:rsidRPr="00950C8B" w:rsidRDefault="00950C8B">
            <w:pPr>
              <w:pStyle w:val="Tabletext"/>
              <w:keepNext/>
              <w:keepLines/>
              <w:jc w:val="center"/>
              <w:rPr>
                <w:bCs/>
                <w:iCs/>
                <w:color w:val="000000"/>
                <w:szCs w:val="20"/>
                <w:highlight w:val="black"/>
              </w:rPr>
            </w:pPr>
            <w:r>
              <w:rPr>
                <w:rFonts w:cs="Arial"/>
                <w:iCs/>
                <w:noProof/>
                <w:color w:val="000000"/>
                <w:szCs w:val="20"/>
                <w:highlight w:val="black"/>
              </w:rPr>
              <w:t>'''''''''''''''''''''''''''</w:t>
            </w:r>
          </w:p>
        </w:tc>
        <w:tc>
          <w:tcPr>
            <w:tcW w:w="647" w:type="pct"/>
            <w:shd w:val="clear" w:color="auto" w:fill="auto"/>
          </w:tcPr>
          <w:p w:rsidR="002B6CEA" w:rsidRPr="00950C8B" w:rsidRDefault="00950C8B">
            <w:pPr>
              <w:pStyle w:val="Tabletext"/>
              <w:keepNext/>
              <w:keepLines/>
              <w:jc w:val="center"/>
              <w:rPr>
                <w:bCs/>
                <w:iCs/>
                <w:color w:val="000000"/>
                <w:szCs w:val="20"/>
                <w:highlight w:val="black"/>
              </w:rPr>
            </w:pPr>
            <w:r>
              <w:rPr>
                <w:rFonts w:cs="Arial"/>
                <w:iCs/>
                <w:noProof/>
                <w:color w:val="000000"/>
                <w:szCs w:val="20"/>
                <w:highlight w:val="black"/>
              </w:rPr>
              <w:t>'''''''''''''''''''''''''''''</w:t>
            </w:r>
          </w:p>
        </w:tc>
        <w:tc>
          <w:tcPr>
            <w:tcW w:w="647" w:type="pct"/>
            <w:shd w:val="clear" w:color="auto" w:fill="auto"/>
          </w:tcPr>
          <w:p w:rsidR="002B6CEA" w:rsidRPr="00950C8B" w:rsidRDefault="00950C8B">
            <w:pPr>
              <w:pStyle w:val="Tabletext"/>
              <w:keepNext/>
              <w:keepLines/>
              <w:jc w:val="center"/>
              <w:rPr>
                <w:bCs/>
                <w:iCs/>
                <w:color w:val="000000"/>
                <w:szCs w:val="20"/>
                <w:highlight w:val="black"/>
              </w:rPr>
            </w:pPr>
            <w:r>
              <w:rPr>
                <w:rFonts w:cs="Arial"/>
                <w:iCs/>
                <w:noProof/>
                <w:color w:val="000000"/>
                <w:szCs w:val="20"/>
                <w:highlight w:val="black"/>
              </w:rPr>
              <w:t>''''''''''''''''''''''''''''''''</w:t>
            </w:r>
          </w:p>
        </w:tc>
        <w:tc>
          <w:tcPr>
            <w:tcW w:w="647" w:type="pct"/>
            <w:shd w:val="clear" w:color="auto" w:fill="auto"/>
          </w:tcPr>
          <w:p w:rsidR="002B6CEA" w:rsidRPr="00950C8B" w:rsidRDefault="00950C8B">
            <w:pPr>
              <w:pStyle w:val="Tabletext"/>
              <w:keepNext/>
              <w:keepLines/>
              <w:jc w:val="center"/>
              <w:rPr>
                <w:bCs/>
                <w:iCs/>
                <w:color w:val="000000"/>
                <w:szCs w:val="20"/>
                <w:highlight w:val="black"/>
              </w:rPr>
            </w:pPr>
            <w:r>
              <w:rPr>
                <w:rFonts w:cs="Arial"/>
                <w:iCs/>
                <w:noProof/>
                <w:color w:val="000000"/>
                <w:szCs w:val="20"/>
                <w:highlight w:val="black"/>
              </w:rPr>
              <w:t>''''''''''''''''''''''''''''''</w:t>
            </w:r>
          </w:p>
        </w:tc>
        <w:tc>
          <w:tcPr>
            <w:tcW w:w="647" w:type="pct"/>
            <w:shd w:val="clear" w:color="auto" w:fill="auto"/>
          </w:tcPr>
          <w:p w:rsidR="002B6CEA" w:rsidRPr="00950C8B" w:rsidRDefault="00950C8B">
            <w:pPr>
              <w:pStyle w:val="Tabletext"/>
              <w:keepNext/>
              <w:keepLines/>
              <w:jc w:val="center"/>
              <w:rPr>
                <w:bCs/>
                <w:iCs/>
                <w:color w:val="000000"/>
                <w:szCs w:val="20"/>
                <w:highlight w:val="black"/>
              </w:rPr>
            </w:pPr>
            <w:r>
              <w:rPr>
                <w:rFonts w:cs="Arial"/>
                <w:iCs/>
                <w:noProof/>
                <w:color w:val="000000"/>
                <w:szCs w:val="20"/>
                <w:highlight w:val="black"/>
              </w:rPr>
              <w:t>'''''''''''''''''''''''''''</w:t>
            </w:r>
          </w:p>
        </w:tc>
        <w:tc>
          <w:tcPr>
            <w:tcW w:w="646" w:type="pct"/>
          </w:tcPr>
          <w:p w:rsidR="002B6CEA" w:rsidRPr="00950C8B" w:rsidRDefault="00950C8B">
            <w:pPr>
              <w:pStyle w:val="Tabletext"/>
              <w:keepNext/>
              <w:keepLines/>
              <w:jc w:val="center"/>
              <w:rPr>
                <w:bCs/>
                <w:iCs/>
                <w:color w:val="000000"/>
                <w:szCs w:val="20"/>
                <w:highlight w:val="black"/>
              </w:rPr>
            </w:pPr>
            <w:r>
              <w:rPr>
                <w:rFonts w:cs="Arial"/>
                <w:iCs/>
                <w:noProof/>
                <w:color w:val="000000"/>
                <w:szCs w:val="20"/>
                <w:highlight w:val="black"/>
              </w:rPr>
              <w:t>''''''''''''''''''''''''''''</w:t>
            </w:r>
          </w:p>
        </w:tc>
      </w:tr>
    </w:tbl>
    <w:p w:rsidR="002B6CEA" w:rsidRDefault="00A97395">
      <w:pPr>
        <w:pStyle w:val="TableFooter"/>
        <w:keepNext/>
        <w:keepLines/>
        <w:widowControl/>
        <w:rPr>
          <w:szCs w:val="18"/>
        </w:rPr>
      </w:pPr>
      <w:r>
        <w:rPr>
          <w:szCs w:val="18"/>
        </w:rPr>
        <w:t xml:space="preserve">Abbreviations: </w:t>
      </w:r>
      <w:r>
        <w:t>MBS= Medicare Benefits Schedule; PBS= Pharmaceutical Benefit Scheme; RPBS= Repatriation Schedule of Pharmaceutical Benefits.</w:t>
      </w:r>
    </w:p>
    <w:p w:rsidR="002B6CEA" w:rsidRDefault="00A97395">
      <w:pPr>
        <w:pStyle w:val="TableFooter"/>
        <w:keepNext/>
        <w:keepLines/>
        <w:widowControl/>
        <w:rPr>
          <w:szCs w:val="18"/>
        </w:rPr>
      </w:pPr>
      <w:r>
        <w:rPr>
          <w:szCs w:val="18"/>
        </w:rPr>
        <w:t>Source: developed during the evaluation</w:t>
      </w:r>
    </w:p>
    <w:p w:rsidR="002B6CEA" w:rsidRDefault="00A97395">
      <w:pPr>
        <w:pStyle w:val="TableFooter"/>
        <w:keepNext/>
        <w:keepLines/>
        <w:widowControl/>
        <w:rPr>
          <w:szCs w:val="18"/>
        </w:rPr>
      </w:pPr>
      <w:r>
        <w:rPr>
          <w:rStyle w:val="CommentReference"/>
          <w:b w:val="0"/>
          <w:sz w:val="18"/>
          <w:szCs w:val="18"/>
        </w:rPr>
        <w:t xml:space="preserve">Note: </w:t>
      </w:r>
      <w:r>
        <w:rPr>
          <w:szCs w:val="18"/>
          <w:vertAlign w:val="superscript"/>
        </w:rPr>
        <w:t>a</w:t>
      </w:r>
      <w:r>
        <w:rPr>
          <w:szCs w:val="18"/>
        </w:rPr>
        <w:t xml:space="preserve"> Assuming 4 per year as estimated by the submission.</w:t>
      </w:r>
    </w:p>
    <w:p w:rsidR="002B6CEA" w:rsidRDefault="002B6CEA">
      <w:pPr>
        <w:widowControl/>
      </w:pPr>
    </w:p>
    <w:p w:rsidR="002B6CEA" w:rsidRDefault="00A97395">
      <w:pPr>
        <w:widowControl/>
      </w:pPr>
      <w:r>
        <w:t>The redacted table shows that at year 6 the total number of patients treated would be less than 10,000 and the net cost to PBS/RPBS from $10 - $20 million.</w:t>
      </w:r>
    </w:p>
    <w:p w:rsidR="002B6CEA" w:rsidRDefault="002B6CEA">
      <w:pPr>
        <w:widowControl/>
      </w:pPr>
    </w:p>
    <w:p w:rsidR="002B6CEA" w:rsidRDefault="00A97395">
      <w:pPr>
        <w:pStyle w:val="ListParagraph"/>
        <w:widowControl/>
        <w:numPr>
          <w:ilvl w:val="1"/>
          <w:numId w:val="2"/>
        </w:numPr>
      </w:pPr>
      <w:r>
        <w:t>The submission overestimated the number of HCC patients treated with sorafenib, and thus the number eligible to receive cabozantinib</w:t>
      </w:r>
      <w:r>
        <w:rPr>
          <w:iCs/>
        </w:rPr>
        <w:t xml:space="preserve">. This arose because the submission based its assumption regarding the proportion of sorafenib patients that would meet the PBS criteria (Child-Pugh A) on Doyle et al (2016) that only recruited patients who had already received sorafenib, and thus were likely to have met the PBS criteria. Thus, the data from that study did not reflect the incidence of patients meeting those criteria among the overall HCC population. A recent review of general HCC patients in Australia (Hong et al (2018)), indicated that 56% had Child-Pugh A. While it was unknown what combination of patients would meet both BCLC B or C and Child-Pugh A, it was reasonable to expect that the proportion of patients that could meet both criteria would not exceed 56% (optimistically assuming that all Child-Pugh A had BCLC B or C). The submission assumed that 75% of HCC patients met the PBS eligibility criteria for sorafenib. Based on the Hong et al (2018) data, this would appear to be an overestimate. </w:t>
      </w:r>
      <w:r>
        <w:t xml:space="preserve">The comparison of the epidemiological approach with current use of sorafenib on the PBS supports the assertion that cabozantinib use was overestimated in the submission. </w:t>
      </w:r>
      <w:r>
        <w:rPr>
          <w:iCs/>
        </w:rPr>
        <w:t>Using the number of sorafenib treated patients from the market share approach would reduce the number of patients that would be eligible for cabozantinib to around half that estimated by the submission. This would reduce the net financial impact implications to the PBS/RPBS by 50% each year.</w:t>
      </w:r>
    </w:p>
    <w:p w:rsidR="002B6CEA" w:rsidRDefault="00A97395">
      <w:pPr>
        <w:pStyle w:val="ListParagraph"/>
        <w:widowControl/>
        <w:numPr>
          <w:ilvl w:val="1"/>
          <w:numId w:val="2"/>
        </w:numPr>
      </w:pPr>
      <w:r>
        <w:lastRenderedPageBreak/>
        <w:t xml:space="preserve">The submission used median duration of treatment (3.8 months) from CELESTIAL to estimate the number of packs required by patient per year (rounded up to 4 months). </w:t>
      </w:r>
      <w:r>
        <w:rPr>
          <w:iCs/>
        </w:rPr>
        <w:t xml:space="preserve">The use of median duration of treatment (instead of mean) was inappropriate. Based on the economic model, the mean duration of treatment was 6.43 months (rounded to 7 months). As such, the submission underestimated the number of packs required per year by 3 months. Adjusting for this underestimate would increase the net financial impact to the PBS/RPBS by 75% each year. </w:t>
      </w:r>
    </w:p>
    <w:p w:rsidR="002B6CEA" w:rsidRDefault="00A97395">
      <w:pPr>
        <w:pStyle w:val="ListParagraph"/>
        <w:widowControl/>
        <w:numPr>
          <w:ilvl w:val="1"/>
          <w:numId w:val="2"/>
        </w:numPr>
      </w:pPr>
      <w:r>
        <w:rPr>
          <w:iCs/>
        </w:rPr>
        <w:t xml:space="preserve">The sponsor recalculated the financial estimates in the pre-PBAC response , using the alternative inputs suggested in the ESC advice, decreasing the eligible population from 75% to 56% and </w:t>
      </w:r>
      <w:r>
        <w:t>increasing the duration of treatment from 3.8 (rounded up to 4) months to 6.43 (rounded up to 7) months. This increased the financial net cost to the PBS/RPBS from $20 -</w:t>
      </w:r>
      <w:r w:rsidR="00167E14">
        <w:t xml:space="preserve"> </w:t>
      </w:r>
      <w:r>
        <w:t>$30 million in year 6, based on the proposed effective price. The PBAC considered that both the model and financial estimates should have used a mean duration consistent with the trial duration.</w:t>
      </w:r>
    </w:p>
    <w:p w:rsidR="002B6CEA" w:rsidRDefault="00A97395">
      <w:pPr>
        <w:pStyle w:val="Heading2"/>
        <w:spacing w:after="120"/>
      </w:pPr>
      <w:bookmarkStart w:id="20" w:name="_Toc9419760"/>
      <w:r>
        <w:t>Financial Management – Risk Sharing Arrangements</w:t>
      </w:r>
      <w:bookmarkEnd w:id="20"/>
    </w:p>
    <w:p w:rsidR="002B6CEA" w:rsidRDefault="00A97395">
      <w:pPr>
        <w:pStyle w:val="ListParagraph"/>
        <w:widowControl/>
        <w:numPr>
          <w:ilvl w:val="1"/>
          <w:numId w:val="2"/>
        </w:numPr>
      </w:pPr>
      <w:r>
        <w:t>No risk-sharing arrangement (RSA) was proposed in the submission. The submission stated that the sponsor intends to enter into a special price arrangement (SPA) for cabozantinib for patients with HCC who progress on previous treatment with a prior-TKI (sorafenib).</w:t>
      </w:r>
    </w:p>
    <w:p w:rsidR="002B6CEA" w:rsidRDefault="00A97395">
      <w:pPr>
        <w:widowControl/>
      </w:pPr>
      <w:r>
        <w:rPr>
          <w:i/>
        </w:rPr>
        <w:t>For more detail on PBAC’s view, see section 7 PBAC outcome.</w:t>
      </w:r>
    </w:p>
    <w:p w:rsidR="002B6CEA" w:rsidRDefault="002B6CEA">
      <w:pPr>
        <w:widowControl/>
      </w:pPr>
    </w:p>
    <w:p w:rsidR="002B6CEA" w:rsidRDefault="00A97395">
      <w:pPr>
        <w:pStyle w:val="PBACHeading1"/>
        <w:spacing w:after="120"/>
      </w:pPr>
      <w:r>
        <w:t>PBAC Outcome</w:t>
      </w:r>
    </w:p>
    <w:p w:rsidR="002B6CEA" w:rsidRDefault="00A97395">
      <w:pPr>
        <w:numPr>
          <w:ilvl w:val="1"/>
          <w:numId w:val="2"/>
        </w:numPr>
        <w:spacing w:after="120"/>
        <w:rPr>
          <w:rFonts w:asciiTheme="minorHAnsi" w:hAnsiTheme="minorHAnsi"/>
          <w:bCs/>
        </w:rPr>
      </w:pPr>
      <w:r>
        <w:t>The PBAC did not recommend cabozantinib for the treatment of BCLC B or C advanced HCC who have been previously treated with sorafenib. The PBAC considered the clinical benefits of cabozantinib were modest with considerable toxicity. The PBAC considered at the proposed price the ICER was unacceptably high for the minor benefit in this setting and substantial cost reductions would be required to bring the ICER into an acceptable range. The PBAC was also concerned that the financial impact of listing cabozantinib is uncertain.</w:t>
      </w:r>
    </w:p>
    <w:p w:rsidR="002B6CEA" w:rsidRDefault="00A97395">
      <w:pPr>
        <w:pStyle w:val="ListParagraph"/>
        <w:widowControl/>
        <w:numPr>
          <w:ilvl w:val="1"/>
          <w:numId w:val="46"/>
        </w:numPr>
        <w:snapToGrid w:val="0"/>
        <w:rPr>
          <w:snapToGrid/>
        </w:rPr>
      </w:pPr>
      <w:r>
        <w:t>The PBAC considered that use beyond progression would not be appropriate and this should be included in the restrictions as proposed. The PBAC considered the restriction wording should also specify that patients treated with cabozantinib are required to have progressed on a first line TKI. The PBAC agreed with the ESC that despite the lack of evidence post lenvatinib, it would be appropriate to allow clinicians to determine the most appropriate first line TKI for patients prior to cabozantinib.</w:t>
      </w:r>
    </w:p>
    <w:p w:rsidR="002B6CEA" w:rsidRDefault="00A97395">
      <w:pPr>
        <w:numPr>
          <w:ilvl w:val="1"/>
          <w:numId w:val="2"/>
        </w:numPr>
        <w:spacing w:after="120"/>
        <w:rPr>
          <w:rFonts w:asciiTheme="minorHAnsi" w:hAnsiTheme="minorHAnsi"/>
          <w:bCs/>
        </w:rPr>
      </w:pPr>
      <w:r>
        <w:rPr>
          <w:rFonts w:asciiTheme="minorHAnsi" w:hAnsiTheme="minorHAnsi"/>
          <w:bCs/>
        </w:rPr>
        <w:t xml:space="preserve">The PBAC noted that there are currently no PBS-listed second-line options for HCC. The PBAC noted that there is a clinical need for second-line treatment in this patient group, although the listing of lenvatinib assists somewhat in addressing the need where patients are intolerant to sorafenib. The PBAC considered that, against a </w:t>
      </w:r>
      <w:r>
        <w:rPr>
          <w:rFonts w:asciiTheme="minorHAnsi" w:hAnsiTheme="minorHAnsi"/>
          <w:bCs/>
        </w:rPr>
        <w:lastRenderedPageBreak/>
        <w:t xml:space="preserve">background of poor OS in advanced HCC, the results for cabozantinib were both statistically significant and clinically meaningful. However, the PBAC considered that cabozantinib would not fully meet the substantial </w:t>
      </w:r>
      <w:r>
        <w:t>clinical need, as it has significant toxicity and only a minor benefit</w:t>
      </w:r>
      <w:r>
        <w:rPr>
          <w:rFonts w:asciiTheme="minorHAnsi" w:hAnsiTheme="minorHAnsi"/>
          <w:bCs/>
        </w:rPr>
        <w:t xml:space="preserve">. </w:t>
      </w:r>
    </w:p>
    <w:p w:rsidR="002B6CEA" w:rsidRDefault="00A97395">
      <w:pPr>
        <w:numPr>
          <w:ilvl w:val="1"/>
          <w:numId w:val="2"/>
        </w:numPr>
        <w:spacing w:after="120"/>
        <w:rPr>
          <w:rFonts w:asciiTheme="minorHAnsi" w:hAnsiTheme="minorHAnsi"/>
          <w:bCs/>
        </w:rPr>
      </w:pPr>
      <w:r>
        <w:rPr>
          <w:rFonts w:asciiTheme="minorHAnsi" w:hAnsiTheme="minorHAnsi"/>
          <w:bCs/>
        </w:rPr>
        <w:t xml:space="preserve">The submission nominated BSC as the main comparator for the primary clinical claim of superiority. The submission included a secondary indirect comparison to regorafenib. </w:t>
      </w:r>
      <w:r>
        <w:rPr>
          <w:szCs w:val="24"/>
        </w:rPr>
        <w:t>The PBAC considered that given no other therapy is listed for second-line treatment, the submission appropriately uses BSC as the main comparator, with regorafenib as a secondary “near-market” comparator.</w:t>
      </w:r>
    </w:p>
    <w:p w:rsidR="002B6CEA" w:rsidRDefault="00A97395">
      <w:pPr>
        <w:numPr>
          <w:ilvl w:val="1"/>
          <w:numId w:val="2"/>
        </w:numPr>
        <w:spacing w:after="120"/>
        <w:rPr>
          <w:rFonts w:asciiTheme="minorHAnsi" w:hAnsiTheme="minorHAnsi"/>
          <w:bCs/>
        </w:rPr>
      </w:pPr>
      <w:r>
        <w:rPr>
          <w:rFonts w:asciiTheme="minorHAnsi" w:hAnsiTheme="minorHAnsi"/>
          <w:bCs/>
        </w:rPr>
        <w:t xml:space="preserve">The PBAC noted that the evidence for cabozantinib compared to BSC was </w:t>
      </w:r>
      <w:r>
        <w:t xml:space="preserve">informed by the CELESTIAL trial (n=707), which is a Phase 3, randomised, double blind, placebo-controlled study of cabozantinib in patients with HCC who have received prior sorafenib. </w:t>
      </w:r>
    </w:p>
    <w:p w:rsidR="002B6CEA" w:rsidRDefault="00A97395">
      <w:pPr>
        <w:numPr>
          <w:ilvl w:val="1"/>
          <w:numId w:val="2"/>
        </w:numPr>
        <w:spacing w:after="120"/>
        <w:rPr>
          <w:rFonts w:asciiTheme="minorHAnsi" w:hAnsiTheme="minorHAnsi"/>
          <w:bCs/>
        </w:rPr>
      </w:pPr>
      <w:r>
        <w:t xml:space="preserve">The PBAC noted that the CELESTIAL trial showed a statistically significant improvement in PFS for cabozantinib; however, </w:t>
      </w:r>
      <w:r>
        <w:rPr>
          <w:rFonts w:cs="Calibri"/>
          <w:snapToGrid/>
          <w:szCs w:val="24"/>
          <w:lang w:eastAsia="en-AU"/>
        </w:rPr>
        <w:t xml:space="preserve">patients treated with cabozantinib were more likely to die without progressing compared to BSC, although the difference was not statistically significant. The PBAC noted </w:t>
      </w:r>
      <w:r>
        <w:t>that the CELESTIAL trial showed a statistically significant improvement in</w:t>
      </w:r>
      <w:r>
        <w:rPr>
          <w:rFonts w:cs="Calibri"/>
          <w:snapToGrid/>
          <w:szCs w:val="24"/>
          <w:lang w:eastAsia="en-AU"/>
        </w:rPr>
        <w:t xml:space="preserve"> the estimated OS for cabozantinib; however, the Kaplan-Meier curves for OS curves converged at around 34 months and cross soon thereafter. At this time point the number of patients at risk was very low, complicating the interpretation of any OS difference after that point.</w:t>
      </w:r>
    </w:p>
    <w:p w:rsidR="002B6CEA" w:rsidRDefault="00A97395">
      <w:pPr>
        <w:pStyle w:val="ListParagraph"/>
        <w:keepNext/>
        <w:widowControl/>
        <w:numPr>
          <w:ilvl w:val="1"/>
          <w:numId w:val="2"/>
        </w:numPr>
      </w:pPr>
      <w:r>
        <w:rPr>
          <w:rFonts w:asciiTheme="minorHAnsi" w:hAnsiTheme="minorHAnsi"/>
          <w:szCs w:val="20"/>
        </w:rPr>
        <w:t>The PBAC considered that the claim of superior comparative effectiveness of cabozantinib compared with BSC was reasonable; however, the clinical benefits of cabozantinib were minor.</w:t>
      </w:r>
    </w:p>
    <w:p w:rsidR="002B6CEA" w:rsidRDefault="00A97395">
      <w:pPr>
        <w:numPr>
          <w:ilvl w:val="1"/>
          <w:numId w:val="2"/>
        </w:numPr>
        <w:spacing w:after="120"/>
        <w:rPr>
          <w:rFonts w:asciiTheme="minorHAnsi" w:hAnsiTheme="minorHAnsi"/>
          <w:bCs/>
        </w:rPr>
      </w:pPr>
      <w:r>
        <w:rPr>
          <w:rFonts w:asciiTheme="minorHAnsi" w:hAnsiTheme="minorHAnsi"/>
          <w:szCs w:val="20"/>
        </w:rPr>
        <w:t>The PBAC considered that the claim of inferior comparative safety of cabozantinib compared with BSC was reasonable. The PBAC noted that the adverse event profile of cabozantinib is not benign, leading to discontinuations, interruptions, and reductions, but considered the description of “manageable” is still reasonable for the majority of patients, aided by the flexibility in dose. The PBAC noted that safety profile of cabozantinib is not fully characterised in HCC.</w:t>
      </w:r>
    </w:p>
    <w:p w:rsidR="002B6CEA" w:rsidRDefault="00A97395">
      <w:pPr>
        <w:numPr>
          <w:ilvl w:val="1"/>
          <w:numId w:val="2"/>
        </w:numPr>
        <w:spacing w:after="120"/>
        <w:rPr>
          <w:rFonts w:asciiTheme="minorHAnsi" w:hAnsiTheme="minorHAnsi"/>
          <w:bCs/>
        </w:rPr>
      </w:pPr>
      <w:r>
        <w:rPr>
          <w:rFonts w:asciiTheme="minorHAnsi" w:hAnsiTheme="minorHAnsi"/>
          <w:bCs/>
        </w:rPr>
        <w:t xml:space="preserve">The PBAC noted that the evidence for cabozantinib compared to regorafenib was </w:t>
      </w:r>
      <w:r>
        <w:t>informed by the RESORCE trial (n=573), with BSC as the common reference, in an ITC. RESORCE is a Phase 3, randomised, double blind, placebo-controlled study of regorafenib in patients with HCC who have received prior sorafenib.</w:t>
      </w:r>
    </w:p>
    <w:p w:rsidR="002B6CEA" w:rsidRDefault="00A97395">
      <w:pPr>
        <w:numPr>
          <w:ilvl w:val="1"/>
          <w:numId w:val="2"/>
        </w:numPr>
        <w:spacing w:after="120"/>
        <w:rPr>
          <w:rFonts w:asciiTheme="minorHAnsi" w:hAnsiTheme="minorHAnsi"/>
          <w:bCs/>
        </w:rPr>
      </w:pPr>
      <w:r>
        <w:rPr>
          <w:rFonts w:asciiTheme="minorHAnsi" w:hAnsiTheme="minorHAnsi"/>
          <w:bCs/>
        </w:rPr>
        <w:t xml:space="preserve">The PBAC noted that </w:t>
      </w:r>
      <w:r>
        <w:t>the HRs reported for the ITC in the submission were not consistent with the ORs provided in the ITC workbook. The ITC results indicated that there was no difference in clinical effect between cabozantinib and regorafenib in terms of OS; however, there was some difference in PFS in favour of regorafenib.</w:t>
      </w:r>
      <w:r>
        <w:rPr>
          <w:rFonts w:asciiTheme="minorHAnsi" w:hAnsiTheme="minorHAnsi"/>
          <w:bCs/>
        </w:rPr>
        <w:t xml:space="preserve"> T</w:t>
      </w:r>
      <w:r>
        <w:rPr>
          <w:rFonts w:asciiTheme="minorHAnsi" w:hAnsiTheme="minorHAnsi"/>
          <w:szCs w:val="20"/>
        </w:rPr>
        <w:t xml:space="preserve">he PBAC considered that the claim of non-inferior OS of cabozantinib compared with regorafenib, using BSC as the common reference, was reasonable. The PBAC </w:t>
      </w:r>
      <w:r>
        <w:rPr>
          <w:rFonts w:asciiTheme="minorHAnsi" w:hAnsiTheme="minorHAnsi"/>
          <w:szCs w:val="20"/>
        </w:rPr>
        <w:lastRenderedPageBreak/>
        <w:t>considered that the claim of non-inferior PFS and ORR compared with regorafenib was not supported by the evidence.</w:t>
      </w:r>
    </w:p>
    <w:p w:rsidR="002B6CEA" w:rsidRDefault="00A97395">
      <w:pPr>
        <w:numPr>
          <w:ilvl w:val="1"/>
          <w:numId w:val="2"/>
        </w:numPr>
        <w:spacing w:after="120"/>
        <w:rPr>
          <w:rFonts w:asciiTheme="minorHAnsi" w:hAnsiTheme="minorHAnsi"/>
          <w:bCs/>
        </w:rPr>
      </w:pPr>
      <w:r>
        <w:t>The PBAC noted that the PSCR provided a report for a MAIC of cabozantinib compared with regorafenib to address the transitivity issues identified between the CELESTIAL and RESORCE trials. The MAIC included comparative efficacy and safety considering the pure second-line patients from CELESTIAL (excluding patients who received cabozantinib as third line treatment in CELESTIAL), relative to those in RESORCE. Results were consistent with those in the submission in terms of OS (no statistical differences) but not for PFS where statistical differences were found favouring cabozantinib. However, the additional data have not been evaluated as they were provided with the PSCR.</w:t>
      </w:r>
    </w:p>
    <w:p w:rsidR="002B6CEA" w:rsidRDefault="00A97395">
      <w:pPr>
        <w:numPr>
          <w:ilvl w:val="1"/>
          <w:numId w:val="2"/>
        </w:numPr>
        <w:spacing w:after="120"/>
        <w:rPr>
          <w:rFonts w:asciiTheme="minorHAnsi" w:hAnsiTheme="minorHAnsi"/>
          <w:bCs/>
        </w:rPr>
      </w:pPr>
      <w:r>
        <w:rPr>
          <w:rFonts w:asciiTheme="minorHAnsi" w:hAnsiTheme="minorHAnsi"/>
          <w:szCs w:val="20"/>
        </w:rPr>
        <w:t>The PBAC considered that the claim of non-inferior comparative safety of cabozantinib compared with regorafenib in the ITC was not adequately supported by the data. The PBAC considered that the safety data were inconclusive, noting that apparent differences in safety events may be because the CELESTIAL trial recruited both second- and third-line patients while the RESORCE trial recruited second-line patients only. The PBAC noted that the rate of diarrhoea is significantly higher for cabozantinib compared with regorafenib in the MAIC, where second-line line cabozantinib patients are compared with second-line regorafenib patients. Overall, the PBAC considered it likely that in clinical practice, the safety profile of cabozantinib and regorafenib would be comparable.</w:t>
      </w:r>
    </w:p>
    <w:p w:rsidR="002B6CEA" w:rsidRDefault="00A97395">
      <w:pPr>
        <w:numPr>
          <w:ilvl w:val="1"/>
          <w:numId w:val="2"/>
        </w:numPr>
        <w:spacing w:after="120"/>
        <w:rPr>
          <w:rFonts w:asciiTheme="minorHAnsi" w:hAnsiTheme="minorHAnsi"/>
          <w:bCs/>
        </w:rPr>
      </w:pPr>
      <w:r>
        <w:rPr>
          <w:rFonts w:asciiTheme="minorHAnsi" w:hAnsiTheme="minorHAnsi"/>
          <w:bCs/>
        </w:rPr>
        <w:t xml:space="preserve">The PBAC noted that the evaluation and ESC had identified a number of issues regarding the CUA versus BSC, including: </w:t>
      </w:r>
    </w:p>
    <w:p w:rsidR="002B6CEA" w:rsidRDefault="00A97395">
      <w:pPr>
        <w:pStyle w:val="Bulletpoints"/>
        <w:ind w:left="993" w:hanging="284"/>
      </w:pPr>
      <w:r>
        <w:t xml:space="preserve">exclusion of Asian sites, which reduced the sample size; </w:t>
      </w:r>
    </w:p>
    <w:p w:rsidR="002B6CEA" w:rsidRDefault="00A97395">
      <w:pPr>
        <w:pStyle w:val="Bulletpoints"/>
        <w:ind w:left="993" w:hanging="284"/>
      </w:pPr>
      <w:r>
        <w:t xml:space="preserve">use of a 5 year time horizon, despite only 18% of cabozantinib patients alive at 24 months; </w:t>
      </w:r>
    </w:p>
    <w:p w:rsidR="002B6CEA" w:rsidRDefault="00A97395">
      <w:pPr>
        <w:pStyle w:val="Bulletpoints"/>
        <w:ind w:left="993" w:hanging="284"/>
      </w:pPr>
      <w:r>
        <w:t xml:space="preserve">lack of convergence of Kaplan-Meier curves in the model, despite the trial-based curves converging at 34 months; </w:t>
      </w:r>
    </w:p>
    <w:p w:rsidR="002B6CEA" w:rsidRDefault="00A97395">
      <w:pPr>
        <w:pStyle w:val="Bulletpoints"/>
        <w:ind w:left="993" w:hanging="284"/>
      </w:pPr>
      <w:r>
        <w:t xml:space="preserve">extrapolation methods were inadequately justified and extrapolation was applied to the whole time horizon rather than including Kaplan-Meier data up to the point of median follow-up; and </w:t>
      </w:r>
    </w:p>
    <w:p w:rsidR="002B6CEA" w:rsidRDefault="00A97395">
      <w:pPr>
        <w:pStyle w:val="Bulletpoints"/>
        <w:spacing w:after="120"/>
        <w:ind w:left="993" w:hanging="284"/>
      </w:pPr>
      <w:r>
        <w:t>HRQoL data obtained directly from CELESTIAL was not applied in the economic model, application of QoL data via the regression models chosen did not capture the inferior QoL experienced for patients treated with cabozantinib.</w:t>
      </w:r>
    </w:p>
    <w:p w:rsidR="002B6CEA" w:rsidRDefault="00A97395">
      <w:pPr>
        <w:numPr>
          <w:ilvl w:val="1"/>
          <w:numId w:val="2"/>
        </w:numPr>
        <w:spacing w:after="120"/>
        <w:rPr>
          <w:rFonts w:asciiTheme="minorHAnsi" w:hAnsiTheme="minorHAnsi"/>
          <w:bCs/>
        </w:rPr>
      </w:pPr>
      <w:r>
        <w:rPr>
          <w:rFonts w:asciiTheme="minorHAnsi" w:hAnsiTheme="minorHAnsi"/>
          <w:bCs/>
        </w:rPr>
        <w:t xml:space="preserve">The PBAC noted that the model was sensitive to the exclusion of the Asian sites and considered that exclusion of Asian sites was not justified. The PBAC noted that the model was sensitive to use of the sub-population in CELESTIAL who received sorafenib as their only prior treatment. The PBAC noted that use of this population increased the ICER despite superior OS and PFS results in this group of patients, suggesting that the extrapolation methods were problematic. The PBAC considered that the utilities should be applied in the model such that the inferior QoL for cabozantinib in </w:t>
      </w:r>
      <w:r>
        <w:rPr>
          <w:rFonts w:asciiTheme="minorHAnsi" w:hAnsiTheme="minorHAnsi"/>
          <w:bCs/>
        </w:rPr>
        <w:lastRenderedPageBreak/>
        <w:t>CELESTIAL is fully captured.</w:t>
      </w:r>
    </w:p>
    <w:p w:rsidR="002B6CEA" w:rsidRDefault="00A97395">
      <w:pPr>
        <w:numPr>
          <w:ilvl w:val="1"/>
          <w:numId w:val="2"/>
        </w:numPr>
        <w:spacing w:after="120"/>
        <w:rPr>
          <w:rFonts w:asciiTheme="minorHAnsi" w:hAnsiTheme="minorHAnsi"/>
          <w:bCs/>
        </w:rPr>
      </w:pPr>
      <w:r>
        <w:rPr>
          <w:rFonts w:asciiTheme="minorHAnsi" w:hAnsiTheme="minorHAnsi"/>
          <w:bCs/>
        </w:rPr>
        <w:t xml:space="preserve">The PBAC noted that the ESC had proposed a re-specified base case using (i) </w:t>
      </w:r>
      <w:r>
        <w:rPr>
          <w:iCs/>
        </w:rPr>
        <w:t xml:space="preserve">the full ITT population; (ii) application of Kaplan-Meier data up to the point of median follow-up; and (iii) convergence of treatment effect applied to the base case parametric functions from the point of median follow-up. The PBAC considered that this was more appropriate than the base case presented in the submission, and noted that this analysis increased the ICER from </w:t>
      </w:r>
      <w:r w:rsidR="00167E14">
        <w:rPr>
          <w:iCs/>
        </w:rPr>
        <w:t>$</w:t>
      </w:r>
      <w:r>
        <w:rPr>
          <w:iCs/>
        </w:rPr>
        <w:t>10,000</w:t>
      </w:r>
      <w:r w:rsidR="00167E14">
        <w:rPr>
          <w:iCs/>
        </w:rPr>
        <w:t xml:space="preserve"> </w:t>
      </w:r>
      <w:r>
        <w:rPr>
          <w:iCs/>
        </w:rPr>
        <w:t>-</w:t>
      </w:r>
      <w:r w:rsidR="00167E14">
        <w:rPr>
          <w:iCs/>
        </w:rPr>
        <w:t xml:space="preserve"> $</w:t>
      </w:r>
      <w:r>
        <w:rPr>
          <w:iCs/>
        </w:rPr>
        <w:t>200,000/QALY gained using the effective price proposed in the submission.</w:t>
      </w:r>
      <w:r>
        <w:t xml:space="preserve"> The PBAC considered that, even without adjusting for the model issues, the ICER was unacceptably high at the proposed price for the level of potential benefit in this setting. </w:t>
      </w:r>
      <w:r>
        <w:rPr>
          <w:rFonts w:asciiTheme="minorHAnsi" w:hAnsiTheme="minorHAnsi"/>
          <w:bCs/>
        </w:rPr>
        <w:t>The PBAC considered that the revised base case ICER was very high and the cost for cabozantinib would need to be reduced substantially to bring the ICER into an acceptable range. The PBAC considered that for the minor clinical benefit of cabozantinib and significant toxicity, an ICER of $40,000 or less would be appropriate.</w:t>
      </w:r>
    </w:p>
    <w:p w:rsidR="002B6CEA" w:rsidRDefault="00A97395">
      <w:pPr>
        <w:numPr>
          <w:ilvl w:val="1"/>
          <w:numId w:val="2"/>
        </w:numPr>
        <w:spacing w:after="120"/>
        <w:rPr>
          <w:rFonts w:asciiTheme="minorHAnsi" w:hAnsiTheme="minorHAnsi"/>
          <w:bCs/>
          <w:iCs/>
        </w:rPr>
      </w:pPr>
      <w:r>
        <w:rPr>
          <w:rFonts w:asciiTheme="minorHAnsi" w:hAnsiTheme="minorHAnsi"/>
          <w:bCs/>
        </w:rPr>
        <w:t>The submission proposed that the same price should apply across the 3 strengths of cabozantinib. The PBAC noted that</w:t>
      </w:r>
      <w:r>
        <w:rPr>
          <w:rFonts w:asciiTheme="minorHAnsi" w:hAnsiTheme="minorHAnsi"/>
          <w:bCs/>
          <w:iCs/>
        </w:rPr>
        <w:t xml:space="preserve"> the recommended cabozantinib daily dose was 60 mg; however, the median average daily dose in the CELESTIAL trial was 35.8 mg due to dose reductions, with</w:t>
      </w:r>
      <w:r w:rsidR="001F54A6">
        <w:rPr>
          <w:rFonts w:asciiTheme="minorHAnsi" w:hAnsiTheme="minorHAnsi"/>
          <w:bCs/>
          <w:iCs/>
        </w:rPr>
        <w:t xml:space="preserve"> 38%, 29%, 33% on 60 mg, 40 mg, </w:t>
      </w:r>
      <w:r>
        <w:rPr>
          <w:rFonts w:asciiTheme="minorHAnsi" w:hAnsiTheme="minorHAnsi"/>
          <w:bCs/>
          <w:iCs/>
        </w:rPr>
        <w:t xml:space="preserve">20 mg doses respectively. Thus, many </w:t>
      </w:r>
      <w:r>
        <w:t>patients will potentially not receive the maximum dose, but the cost for treatment would be the same. There was insufficient information on the dose response relationship to indicate the effectiveness impact if fewer or more patients required lower doses to accommodate toxicity than was seen in the trial. The PBAC considered that this pricing structure may therefore not be reasonable in this indication and suggested that reductions in the cost of the lower doses may enable a reduction in the overall cost of cabozantinib and therefore assist in bringing the ICER into an acceptable range.</w:t>
      </w:r>
    </w:p>
    <w:p w:rsidR="002B6CEA" w:rsidRDefault="00A97395">
      <w:pPr>
        <w:numPr>
          <w:ilvl w:val="1"/>
          <w:numId w:val="2"/>
        </w:numPr>
        <w:spacing w:after="120"/>
        <w:rPr>
          <w:rFonts w:asciiTheme="minorHAnsi" w:hAnsiTheme="minorHAnsi"/>
          <w:bCs/>
        </w:rPr>
      </w:pPr>
      <w:r>
        <w:t>The PBAC considered that the submission overestimated the proportion of advanced HCC patients and underestimated the mean duration of time on treatment for cabozantinib. The sponsor assumed that 75% of HCC patients would be eligible for sorafenib (</w:t>
      </w:r>
      <w:r>
        <w:rPr>
          <w:iCs/>
        </w:rPr>
        <w:t>Child-Pugh A)</w:t>
      </w:r>
      <w:r>
        <w:t xml:space="preserve">, but recent Australian data suggests this figure is 56%. The PBAC noted that </w:t>
      </w:r>
      <w:r>
        <w:rPr>
          <w:iCs/>
        </w:rPr>
        <w:t xml:space="preserve">the sponsor recalculated the financial estimates in the pre-PBAC response, using the alternative inputs suggested in the ESC advice, by decreasing the eligible population from 75% to 56% and </w:t>
      </w:r>
      <w:r>
        <w:t>increasing the duration of treatment from 3.8 months to 6.43 months. This resulted in an overall increase in the net cost to the PBS/RPBS, based on the effective price, from $20 - $30 million in year 6.</w:t>
      </w:r>
    </w:p>
    <w:p w:rsidR="002B6CEA" w:rsidRDefault="00A97395">
      <w:pPr>
        <w:numPr>
          <w:ilvl w:val="1"/>
          <w:numId w:val="2"/>
        </w:numPr>
        <w:spacing w:after="120"/>
        <w:rPr>
          <w:rFonts w:asciiTheme="minorHAnsi" w:hAnsiTheme="minorHAnsi"/>
          <w:bCs/>
        </w:rPr>
      </w:pPr>
      <w:r>
        <w:t>The PBAC considered that the overall cost was very high at the proposed price, and highly uncertain. The PBAC considered that a RSA would be required to manage this uncertainty.</w:t>
      </w:r>
    </w:p>
    <w:p w:rsidR="002B6CEA" w:rsidRDefault="00A97395">
      <w:pPr>
        <w:numPr>
          <w:ilvl w:val="1"/>
          <w:numId w:val="2"/>
        </w:numPr>
        <w:spacing w:after="120"/>
        <w:rPr>
          <w:rFonts w:asciiTheme="minorHAnsi" w:hAnsiTheme="minorHAnsi"/>
          <w:bCs/>
        </w:rPr>
      </w:pPr>
      <w:r>
        <w:rPr>
          <w:rFonts w:asciiTheme="minorHAnsi" w:hAnsiTheme="minorHAnsi"/>
          <w:bCs/>
        </w:rPr>
        <w:t xml:space="preserve">The PBAC considered that any future submission would need to be a major submission. The PBAC considered that a substantial price reduction and reduction in the ICER would be required to achieve cost-effectiveness of cabozantinib in advanced </w:t>
      </w:r>
      <w:r>
        <w:rPr>
          <w:rFonts w:asciiTheme="minorHAnsi" w:hAnsiTheme="minorHAnsi"/>
          <w:bCs/>
        </w:rPr>
        <w:lastRenderedPageBreak/>
        <w:t xml:space="preserve">HCC, and the issues associated with the proposed economic model would need to be addressed. </w:t>
      </w:r>
    </w:p>
    <w:p w:rsidR="002B6CEA" w:rsidRDefault="00A97395">
      <w:pPr>
        <w:numPr>
          <w:ilvl w:val="1"/>
          <w:numId w:val="2"/>
        </w:numPr>
        <w:spacing w:after="120"/>
        <w:rPr>
          <w:rFonts w:asciiTheme="minorHAnsi" w:hAnsiTheme="minorHAnsi"/>
          <w:bCs/>
          <w:i/>
        </w:rPr>
      </w:pPr>
      <w:r>
        <w:rPr>
          <w:rFonts w:asciiTheme="minorHAnsi" w:hAnsiTheme="minorHAnsi"/>
          <w:bCs/>
        </w:rPr>
        <w:t>The PBAC noted that this submission is eligible for an Independent Review.</w:t>
      </w:r>
    </w:p>
    <w:p w:rsidR="002B6CEA" w:rsidRDefault="00A97395">
      <w:pPr>
        <w:keepNext/>
        <w:keepLines/>
        <w:widowControl/>
        <w:spacing w:before="240"/>
        <w:rPr>
          <w:rFonts w:asciiTheme="minorHAnsi" w:hAnsiTheme="minorHAnsi"/>
          <w:b/>
          <w:bCs/>
        </w:rPr>
      </w:pPr>
      <w:r>
        <w:rPr>
          <w:rFonts w:asciiTheme="minorHAnsi" w:hAnsiTheme="minorHAnsi"/>
          <w:b/>
          <w:bCs/>
        </w:rPr>
        <w:t>Outcome:</w:t>
      </w:r>
    </w:p>
    <w:p w:rsidR="002B6CEA" w:rsidRDefault="00A97395">
      <w:pPr>
        <w:keepNext/>
        <w:keepLines/>
        <w:widowControl/>
        <w:rPr>
          <w:rFonts w:asciiTheme="minorHAnsi" w:hAnsiTheme="minorHAnsi"/>
          <w:bCs/>
        </w:rPr>
      </w:pPr>
      <w:r>
        <w:rPr>
          <w:rFonts w:asciiTheme="minorHAnsi" w:hAnsiTheme="minorHAnsi"/>
          <w:bCs/>
        </w:rPr>
        <w:t>Rejected</w:t>
      </w:r>
      <w:bookmarkEnd w:id="12"/>
      <w:bookmarkEnd w:id="13"/>
      <w:bookmarkEnd w:id="14"/>
      <w:bookmarkEnd w:id="15"/>
      <w:bookmarkEnd w:id="16"/>
      <w:bookmarkEnd w:id="17"/>
    </w:p>
    <w:p w:rsidR="002B6CEA" w:rsidRDefault="002B6CEA">
      <w:pPr>
        <w:keepNext/>
        <w:keepLines/>
        <w:widowControl/>
        <w:rPr>
          <w:rFonts w:asciiTheme="minorHAnsi" w:hAnsiTheme="minorHAnsi"/>
          <w:bCs/>
        </w:rPr>
      </w:pPr>
    </w:p>
    <w:p w:rsidR="002B6CEA" w:rsidRDefault="00A97395">
      <w:pPr>
        <w:pStyle w:val="PBACHeading1"/>
        <w:spacing w:after="120"/>
      </w:pPr>
      <w:r>
        <w:t>Context for Decision</w:t>
      </w:r>
    </w:p>
    <w:p w:rsidR="002B6CEA" w:rsidRPr="00E50BF2" w:rsidRDefault="00A97395" w:rsidP="00E50BF2">
      <w:pPr>
        <w:widowControl/>
        <w:spacing w:line="276" w:lineRule="auto"/>
        <w:rPr>
          <w:rFonts w:asciiTheme="minorHAnsi" w:eastAsiaTheme="minorHAnsi" w:hAnsiTheme="minorHAnsi"/>
          <w:snapToGrid/>
        </w:rPr>
      </w:pPr>
      <w:r>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bookmarkStart w:id="21" w:name="_GoBack"/>
      <w:bookmarkEnd w:id="21"/>
    </w:p>
    <w:p w:rsidR="002B6CEA" w:rsidRDefault="00A97395">
      <w:pPr>
        <w:pStyle w:val="PBACHeading1"/>
        <w:spacing w:after="120"/>
      </w:pPr>
      <w:r>
        <w:t>Sponsor’s Comment</w:t>
      </w:r>
    </w:p>
    <w:p w:rsidR="002B6CEA" w:rsidRPr="00167E14" w:rsidRDefault="00A97395" w:rsidP="00A97395">
      <w:pPr>
        <w:widowControl/>
        <w:spacing w:after="120" w:line="276" w:lineRule="auto"/>
        <w:rPr>
          <w:rFonts w:asciiTheme="minorHAnsi" w:eastAsiaTheme="minorHAnsi" w:hAnsiTheme="minorHAnsi"/>
          <w:bCs/>
          <w:snapToGrid/>
        </w:rPr>
      </w:pPr>
      <w:r w:rsidRPr="00167E14">
        <w:rPr>
          <w:lang w:val="en-US"/>
        </w:rPr>
        <w:t>Ipsen is disappointed with this outcome, as there presently is a clear unmet clinical need for patients with HCC in this setting. We are committed to continue working with clinicians, the Department of Health and the PBAC to determine whether there is a way forward for future submissions.</w:t>
      </w:r>
    </w:p>
    <w:sectPr w:rsidR="002B6CEA" w:rsidRPr="00167E14">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8A7349" w16cid:durableId="20F98669"/>
  <w16cid:commentId w16cid:paraId="4549A517" w16cid:durableId="20F988F1"/>
  <w16cid:commentId w16cid:paraId="6CF3DB13" w16cid:durableId="20F98A67"/>
  <w16cid:commentId w16cid:paraId="3C3310F6" w16cid:durableId="20F7EBD3"/>
  <w16cid:commentId w16cid:paraId="670E7836" w16cid:durableId="20F98B29"/>
  <w16cid:commentId w16cid:paraId="54BA4530" w16cid:durableId="20F98BA4"/>
  <w16cid:commentId w16cid:paraId="5224DC03" w16cid:durableId="20F98CB8"/>
  <w16cid:commentId w16cid:paraId="4D7A75A3" w16cid:durableId="20F7ECC7"/>
  <w16cid:commentId w16cid:paraId="0BB0001E" w16cid:durableId="20F98CEB"/>
  <w16cid:commentId w16cid:paraId="3D6B0978" w16cid:durableId="20F98E07"/>
  <w16cid:commentId w16cid:paraId="0F6B968C" w16cid:durableId="20F990E1"/>
  <w16cid:commentId w16cid:paraId="391B8FAF" w16cid:durableId="20F991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629" w:rsidRDefault="00A52629">
      <w:r>
        <w:separator/>
      </w:r>
    </w:p>
    <w:p w:rsidR="00A52629" w:rsidRDefault="00A52629"/>
  </w:endnote>
  <w:endnote w:type="continuationSeparator" w:id="0">
    <w:p w:rsidR="00A52629" w:rsidRDefault="00A52629">
      <w:r>
        <w:continuationSeparator/>
      </w:r>
    </w:p>
    <w:p w:rsidR="00A52629" w:rsidRDefault="00A526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ahoma"/>
    <w:panose1 w:val="00000000000000000000"/>
    <w:charset w:val="00"/>
    <w:family w:val="roman"/>
    <w:notTrueType/>
    <w:pitch w:val="default"/>
    <w:sig w:usb0="00000003" w:usb1="00000000" w:usb2="00000000" w:usb3="00000000" w:csb0="0061004D" w:csb1="006C0072"/>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629" w:rsidRDefault="00A52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007472"/>
      <w:docPartObj>
        <w:docPartGallery w:val="Page Numbers (Bottom of Page)"/>
        <w:docPartUnique/>
      </w:docPartObj>
    </w:sdtPr>
    <w:sdtEndPr>
      <w:rPr>
        <w:noProof/>
      </w:rPr>
    </w:sdtEndPr>
    <w:sdtContent>
      <w:p w:rsidR="00A52629" w:rsidRDefault="00A52629">
        <w:pPr>
          <w:pStyle w:val="Footer"/>
          <w:jc w:val="center"/>
        </w:pPr>
      </w:p>
      <w:p w:rsidR="00A52629" w:rsidRDefault="00A52629">
        <w:pPr>
          <w:pStyle w:val="Footer"/>
          <w:jc w:val="center"/>
        </w:pPr>
        <w:r>
          <w:rPr>
            <w:b/>
          </w:rPr>
          <w:fldChar w:fldCharType="begin"/>
        </w:r>
        <w:r>
          <w:rPr>
            <w:b/>
          </w:rPr>
          <w:instrText xml:space="preserve"> PAGE   \* MERGEFORMAT </w:instrText>
        </w:r>
        <w:r>
          <w:rPr>
            <w:b/>
          </w:rPr>
          <w:fldChar w:fldCharType="separate"/>
        </w:r>
        <w:r w:rsidR="00310C38">
          <w:rPr>
            <w:b/>
            <w:noProof/>
          </w:rPr>
          <w:t>26</w:t>
        </w:r>
        <w:r>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629" w:rsidRDefault="00A52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629" w:rsidRDefault="00A52629">
      <w:r>
        <w:separator/>
      </w:r>
    </w:p>
    <w:p w:rsidR="00A52629" w:rsidRDefault="00A52629"/>
  </w:footnote>
  <w:footnote w:type="continuationSeparator" w:id="0">
    <w:p w:rsidR="00A52629" w:rsidRDefault="00A52629">
      <w:r>
        <w:continuationSeparator/>
      </w:r>
    </w:p>
    <w:p w:rsidR="00A52629" w:rsidRDefault="00A52629"/>
  </w:footnote>
  <w:footnote w:id="1">
    <w:p w:rsidR="00A52629" w:rsidRDefault="00A52629">
      <w:pPr>
        <w:pStyle w:val="FootnoteText"/>
      </w:pPr>
      <w:r>
        <w:rPr>
          <w:rStyle w:val="FootnoteReference"/>
        </w:rPr>
        <w:footnoteRef/>
      </w:r>
      <w:r>
        <w:t xml:space="preserve"> </w:t>
      </w:r>
      <w:r>
        <w:rPr>
          <w:rFonts w:asciiTheme="minorHAnsi" w:hAnsiTheme="minorHAnsi"/>
          <w:bCs/>
          <w:sz w:val="16"/>
        </w:rPr>
        <w:t>Cherny NI, Dafni U, Bogaerts J, et al: ESMO-Magnitude of Clinical Benefit Scale version 1.1. Annals of Oncology 28:2340-2366,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629" w:rsidRDefault="00A52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629" w:rsidRDefault="00A52629">
    <w:pPr>
      <w:tabs>
        <w:tab w:val="left" w:pos="142"/>
        <w:tab w:val="right" w:pos="9027"/>
      </w:tabs>
      <w:jc w:val="center"/>
      <w:rPr>
        <w:rFonts w:eastAsia="Calibri"/>
        <w:i/>
      </w:rPr>
    </w:pPr>
    <w:r>
      <w:rPr>
        <w:rFonts w:eastAsia="Calibri"/>
        <w:i/>
      </w:rPr>
      <w:t>Public Summary Document – July 2019 PBAC meeting</w:t>
    </w:r>
  </w:p>
  <w:p w:rsidR="00A52629" w:rsidRDefault="00A526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629" w:rsidRDefault="00A52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4273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F5C70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01406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4A5E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2B8050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66D2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62DDB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A88F3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4851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D72F5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DB6EC1"/>
    <w:multiLevelType w:val="hybridMultilevel"/>
    <w:tmpl w:val="C87A74C4"/>
    <w:lvl w:ilvl="0" w:tplc="04090001">
      <w:start w:val="1"/>
      <w:numFmt w:val="bullet"/>
      <w:lvlText w:val=""/>
      <w:lvlJc w:val="left"/>
      <w:pPr>
        <w:ind w:left="720" w:hanging="360"/>
      </w:pPr>
      <w:rPr>
        <w:rFonts w:ascii="Symbol" w:hAnsi="Symbol" w:hint="default"/>
      </w:rPr>
    </w:lvl>
    <w:lvl w:ilvl="1" w:tplc="068459B0">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9F348E"/>
    <w:multiLevelType w:val="hybridMultilevel"/>
    <w:tmpl w:val="DFF2D580"/>
    <w:lvl w:ilvl="0" w:tplc="4CFE17A8">
      <w:start w:val="1"/>
      <w:numFmt w:val="bullet"/>
      <w:lvlText w:val="•"/>
      <w:lvlJc w:val="left"/>
      <w:pPr>
        <w:tabs>
          <w:tab w:val="num" w:pos="720"/>
        </w:tabs>
        <w:ind w:left="720" w:hanging="360"/>
      </w:pPr>
      <w:rPr>
        <w:rFonts w:ascii="Arial" w:hAnsi="Arial" w:hint="default"/>
      </w:rPr>
    </w:lvl>
    <w:lvl w:ilvl="1" w:tplc="CAD25688" w:tentative="1">
      <w:start w:val="1"/>
      <w:numFmt w:val="bullet"/>
      <w:lvlText w:val="•"/>
      <w:lvlJc w:val="left"/>
      <w:pPr>
        <w:tabs>
          <w:tab w:val="num" w:pos="1440"/>
        </w:tabs>
        <w:ind w:left="1440" w:hanging="360"/>
      </w:pPr>
      <w:rPr>
        <w:rFonts w:ascii="Arial" w:hAnsi="Arial" w:hint="default"/>
      </w:rPr>
    </w:lvl>
    <w:lvl w:ilvl="2" w:tplc="23A6F34E" w:tentative="1">
      <w:start w:val="1"/>
      <w:numFmt w:val="bullet"/>
      <w:lvlText w:val="•"/>
      <w:lvlJc w:val="left"/>
      <w:pPr>
        <w:tabs>
          <w:tab w:val="num" w:pos="2160"/>
        </w:tabs>
        <w:ind w:left="2160" w:hanging="360"/>
      </w:pPr>
      <w:rPr>
        <w:rFonts w:ascii="Arial" w:hAnsi="Arial" w:hint="default"/>
      </w:rPr>
    </w:lvl>
    <w:lvl w:ilvl="3" w:tplc="8236E9B8" w:tentative="1">
      <w:start w:val="1"/>
      <w:numFmt w:val="bullet"/>
      <w:lvlText w:val="•"/>
      <w:lvlJc w:val="left"/>
      <w:pPr>
        <w:tabs>
          <w:tab w:val="num" w:pos="2880"/>
        </w:tabs>
        <w:ind w:left="2880" w:hanging="360"/>
      </w:pPr>
      <w:rPr>
        <w:rFonts w:ascii="Arial" w:hAnsi="Arial" w:hint="default"/>
      </w:rPr>
    </w:lvl>
    <w:lvl w:ilvl="4" w:tplc="C4E4D020" w:tentative="1">
      <w:start w:val="1"/>
      <w:numFmt w:val="bullet"/>
      <w:lvlText w:val="•"/>
      <w:lvlJc w:val="left"/>
      <w:pPr>
        <w:tabs>
          <w:tab w:val="num" w:pos="3600"/>
        </w:tabs>
        <w:ind w:left="3600" w:hanging="360"/>
      </w:pPr>
      <w:rPr>
        <w:rFonts w:ascii="Arial" w:hAnsi="Arial" w:hint="default"/>
      </w:rPr>
    </w:lvl>
    <w:lvl w:ilvl="5" w:tplc="F5D44868" w:tentative="1">
      <w:start w:val="1"/>
      <w:numFmt w:val="bullet"/>
      <w:lvlText w:val="•"/>
      <w:lvlJc w:val="left"/>
      <w:pPr>
        <w:tabs>
          <w:tab w:val="num" w:pos="4320"/>
        </w:tabs>
        <w:ind w:left="4320" w:hanging="360"/>
      </w:pPr>
      <w:rPr>
        <w:rFonts w:ascii="Arial" w:hAnsi="Arial" w:hint="default"/>
      </w:rPr>
    </w:lvl>
    <w:lvl w:ilvl="6" w:tplc="349A7F96" w:tentative="1">
      <w:start w:val="1"/>
      <w:numFmt w:val="bullet"/>
      <w:lvlText w:val="•"/>
      <w:lvlJc w:val="left"/>
      <w:pPr>
        <w:tabs>
          <w:tab w:val="num" w:pos="5040"/>
        </w:tabs>
        <w:ind w:left="5040" w:hanging="360"/>
      </w:pPr>
      <w:rPr>
        <w:rFonts w:ascii="Arial" w:hAnsi="Arial" w:hint="default"/>
      </w:rPr>
    </w:lvl>
    <w:lvl w:ilvl="7" w:tplc="3DB80FAA" w:tentative="1">
      <w:start w:val="1"/>
      <w:numFmt w:val="bullet"/>
      <w:lvlText w:val="•"/>
      <w:lvlJc w:val="left"/>
      <w:pPr>
        <w:tabs>
          <w:tab w:val="num" w:pos="5760"/>
        </w:tabs>
        <w:ind w:left="5760" w:hanging="360"/>
      </w:pPr>
      <w:rPr>
        <w:rFonts w:ascii="Arial" w:hAnsi="Arial" w:hint="default"/>
      </w:rPr>
    </w:lvl>
    <w:lvl w:ilvl="8" w:tplc="4B0C997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1633E5"/>
    <w:multiLevelType w:val="hybridMultilevel"/>
    <w:tmpl w:val="2190F9E8"/>
    <w:lvl w:ilvl="0" w:tplc="CF4C50D8">
      <w:start w:val="1"/>
      <w:numFmt w:val="bullet"/>
      <w:lvlText w:val="•"/>
      <w:lvlJc w:val="left"/>
      <w:pPr>
        <w:tabs>
          <w:tab w:val="num" w:pos="720"/>
        </w:tabs>
        <w:ind w:left="720" w:hanging="360"/>
      </w:pPr>
      <w:rPr>
        <w:rFonts w:ascii="Arial" w:hAnsi="Arial" w:hint="default"/>
      </w:rPr>
    </w:lvl>
    <w:lvl w:ilvl="1" w:tplc="F8A811AE" w:tentative="1">
      <w:start w:val="1"/>
      <w:numFmt w:val="bullet"/>
      <w:lvlText w:val="•"/>
      <w:lvlJc w:val="left"/>
      <w:pPr>
        <w:tabs>
          <w:tab w:val="num" w:pos="1440"/>
        </w:tabs>
        <w:ind w:left="1440" w:hanging="360"/>
      </w:pPr>
      <w:rPr>
        <w:rFonts w:ascii="Arial" w:hAnsi="Arial" w:hint="default"/>
      </w:rPr>
    </w:lvl>
    <w:lvl w:ilvl="2" w:tplc="C03C2F00" w:tentative="1">
      <w:start w:val="1"/>
      <w:numFmt w:val="bullet"/>
      <w:lvlText w:val="•"/>
      <w:lvlJc w:val="left"/>
      <w:pPr>
        <w:tabs>
          <w:tab w:val="num" w:pos="2160"/>
        </w:tabs>
        <w:ind w:left="2160" w:hanging="360"/>
      </w:pPr>
      <w:rPr>
        <w:rFonts w:ascii="Arial" w:hAnsi="Arial" w:hint="default"/>
      </w:rPr>
    </w:lvl>
    <w:lvl w:ilvl="3" w:tplc="A2843D76" w:tentative="1">
      <w:start w:val="1"/>
      <w:numFmt w:val="bullet"/>
      <w:lvlText w:val="•"/>
      <w:lvlJc w:val="left"/>
      <w:pPr>
        <w:tabs>
          <w:tab w:val="num" w:pos="2880"/>
        </w:tabs>
        <w:ind w:left="2880" w:hanging="360"/>
      </w:pPr>
      <w:rPr>
        <w:rFonts w:ascii="Arial" w:hAnsi="Arial" w:hint="default"/>
      </w:rPr>
    </w:lvl>
    <w:lvl w:ilvl="4" w:tplc="262817B2" w:tentative="1">
      <w:start w:val="1"/>
      <w:numFmt w:val="bullet"/>
      <w:lvlText w:val="•"/>
      <w:lvlJc w:val="left"/>
      <w:pPr>
        <w:tabs>
          <w:tab w:val="num" w:pos="3600"/>
        </w:tabs>
        <w:ind w:left="3600" w:hanging="360"/>
      </w:pPr>
      <w:rPr>
        <w:rFonts w:ascii="Arial" w:hAnsi="Arial" w:hint="default"/>
      </w:rPr>
    </w:lvl>
    <w:lvl w:ilvl="5" w:tplc="4DB0A99A" w:tentative="1">
      <w:start w:val="1"/>
      <w:numFmt w:val="bullet"/>
      <w:lvlText w:val="•"/>
      <w:lvlJc w:val="left"/>
      <w:pPr>
        <w:tabs>
          <w:tab w:val="num" w:pos="4320"/>
        </w:tabs>
        <w:ind w:left="4320" w:hanging="360"/>
      </w:pPr>
      <w:rPr>
        <w:rFonts w:ascii="Arial" w:hAnsi="Arial" w:hint="default"/>
      </w:rPr>
    </w:lvl>
    <w:lvl w:ilvl="6" w:tplc="F6E8DDA6" w:tentative="1">
      <w:start w:val="1"/>
      <w:numFmt w:val="bullet"/>
      <w:lvlText w:val="•"/>
      <w:lvlJc w:val="left"/>
      <w:pPr>
        <w:tabs>
          <w:tab w:val="num" w:pos="5040"/>
        </w:tabs>
        <w:ind w:left="5040" w:hanging="360"/>
      </w:pPr>
      <w:rPr>
        <w:rFonts w:ascii="Arial" w:hAnsi="Arial" w:hint="default"/>
      </w:rPr>
    </w:lvl>
    <w:lvl w:ilvl="7" w:tplc="B8647A46" w:tentative="1">
      <w:start w:val="1"/>
      <w:numFmt w:val="bullet"/>
      <w:lvlText w:val="•"/>
      <w:lvlJc w:val="left"/>
      <w:pPr>
        <w:tabs>
          <w:tab w:val="num" w:pos="5760"/>
        </w:tabs>
        <w:ind w:left="5760" w:hanging="360"/>
      </w:pPr>
      <w:rPr>
        <w:rFonts w:ascii="Arial" w:hAnsi="Arial" w:hint="default"/>
      </w:rPr>
    </w:lvl>
    <w:lvl w:ilvl="8" w:tplc="530C77B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DBD3D4B"/>
    <w:multiLevelType w:val="hybridMultilevel"/>
    <w:tmpl w:val="AAC004AE"/>
    <w:lvl w:ilvl="0" w:tplc="064002EA">
      <w:start w:val="1"/>
      <w:numFmt w:val="upperLetter"/>
      <w:pStyle w:val="C-Alphabet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97758C"/>
    <w:multiLevelType w:val="hybridMultilevel"/>
    <w:tmpl w:val="A33CB060"/>
    <w:lvl w:ilvl="0" w:tplc="2EB68678">
      <w:start w:val="1"/>
      <w:numFmt w:val="decimal"/>
      <w:pStyle w:val="C-AppendixNumbered"/>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866D1A"/>
    <w:multiLevelType w:val="multilevel"/>
    <w:tmpl w:val="178CB79A"/>
    <w:lvl w:ilvl="0">
      <w:start w:val="1"/>
      <w:numFmt w:val="decimal"/>
      <w:pStyle w:val="ListNumber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CE20A9"/>
    <w:multiLevelType w:val="multilevel"/>
    <w:tmpl w:val="16368E48"/>
    <w:lvl w:ilvl="0">
      <w:start w:val="1"/>
      <w:numFmt w:val="decimal"/>
      <w:pStyle w:val="SynopsisListNumb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3"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24" w15:restartNumberingAfterBreak="0">
    <w:nsid w:val="40A37A97"/>
    <w:multiLevelType w:val="hybridMultilevel"/>
    <w:tmpl w:val="77B6E4AE"/>
    <w:lvl w:ilvl="0" w:tplc="42784AB4">
      <w:start w:val="1"/>
      <w:numFmt w:val="bullet"/>
      <w:pStyle w:val="C-PLR-BulletIndente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0B6ECC"/>
    <w:multiLevelType w:val="hybridMultilevel"/>
    <w:tmpl w:val="0374C18E"/>
    <w:lvl w:ilvl="0" w:tplc="7B6E8760">
      <w:start w:val="1"/>
      <w:numFmt w:val="bullet"/>
      <w:pStyle w:val="NormalBulletList"/>
      <w:lvlText w:val=""/>
      <w:lvlJc w:val="left"/>
      <w:pPr>
        <w:ind w:left="720" w:hanging="360"/>
      </w:pPr>
      <w:rPr>
        <w:rFonts w:ascii="Symbol" w:hAnsi="Symbol" w:hint="default"/>
      </w:rPr>
    </w:lvl>
    <w:lvl w:ilvl="1" w:tplc="853CC43C">
      <w:start w:val="1"/>
      <w:numFmt w:val="bullet"/>
      <w:lvlText w:val="o"/>
      <w:lvlJc w:val="left"/>
      <w:pPr>
        <w:ind w:left="1440" w:hanging="360"/>
      </w:pPr>
      <w:rPr>
        <w:rFonts w:ascii="Courier New" w:hAnsi="Courier New" w:cs="Courier New" w:hint="default"/>
      </w:rPr>
    </w:lvl>
    <w:lvl w:ilvl="2" w:tplc="61E61A46">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2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B832EB"/>
    <w:multiLevelType w:val="hybridMultilevel"/>
    <w:tmpl w:val="3C700A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C40DB2"/>
    <w:multiLevelType w:val="multilevel"/>
    <w:tmpl w:val="A236651E"/>
    <w:lvl w:ilvl="0">
      <w:start w:val="3"/>
      <w:numFmt w:val="bullet"/>
      <w:pStyle w:val="SynopsisListBullet"/>
      <w:lvlText w:val=""/>
      <w:lvlJc w:val="left"/>
      <w:pPr>
        <w:tabs>
          <w:tab w:val="num" w:pos="1080"/>
        </w:tabs>
        <w:ind w:left="1080" w:hanging="360"/>
      </w:pPr>
      <w:rPr>
        <w:rFonts w:ascii="Symbol" w:hAnsi="Symbol" w:hint="default"/>
        <w:b w:val="0"/>
        <w:i w:val="0"/>
        <w:color w:val="auto"/>
        <w:sz w:val="20"/>
      </w:rPr>
    </w:lvl>
    <w:lvl w:ilvl="1">
      <w:start w:val="1"/>
      <w:numFmt w:val="bullet"/>
      <w:lvlRestart w:val="0"/>
      <w:lvlText w:val=""/>
      <w:lvlJc w:val="left"/>
      <w:pPr>
        <w:tabs>
          <w:tab w:val="num" w:pos="1440"/>
        </w:tabs>
        <w:ind w:left="1440" w:hanging="360"/>
      </w:pPr>
      <w:rPr>
        <w:rFonts w:ascii="Symbol" w:hAnsi="Symbol" w:hint="default"/>
        <w:b w:val="0"/>
        <w:i w:val="0"/>
        <w:sz w:val="20"/>
      </w:rPr>
    </w:lvl>
    <w:lvl w:ilvl="2">
      <w:start w:val="1"/>
      <w:numFmt w:val="bullet"/>
      <w:lvlRestart w:val="0"/>
      <w:lvlText w:val=""/>
      <w:lvlJc w:val="left"/>
      <w:pPr>
        <w:tabs>
          <w:tab w:val="num" w:pos="1800"/>
        </w:tabs>
        <w:ind w:left="1800" w:hanging="360"/>
      </w:pPr>
      <w:rPr>
        <w:rFonts w:ascii="Symbol" w:hAnsi="Symbol" w:hint="default"/>
        <w:b w:val="0"/>
        <w:i w:val="0"/>
        <w:sz w:val="20"/>
      </w:rPr>
    </w:lvl>
    <w:lvl w:ilvl="3">
      <w:start w:val="1"/>
      <w:numFmt w:val="decimal"/>
      <w:lvlText w:val="%1.%2.%3.%4"/>
      <w:lvlJc w:val="left"/>
      <w:pPr>
        <w:tabs>
          <w:tab w:val="num" w:pos="4680"/>
        </w:tabs>
        <w:ind w:left="4680" w:hanging="1080"/>
      </w:pPr>
      <w:rPr>
        <w:rFonts w:ascii="Times New Roman" w:hAnsi="Times New Roman" w:hint="default"/>
        <w:b/>
        <w:i w:val="0"/>
        <w:color w:val="000000"/>
        <w:sz w:val="24"/>
      </w:rPr>
    </w:lvl>
    <w:lvl w:ilvl="4">
      <w:start w:val="1"/>
      <w:numFmt w:val="decimal"/>
      <w:lvlText w:val="%1.%2.%3.%4.%5"/>
      <w:lvlJc w:val="left"/>
      <w:pPr>
        <w:tabs>
          <w:tab w:val="num" w:pos="5040"/>
        </w:tabs>
        <w:ind w:left="5040" w:hanging="1440"/>
      </w:pPr>
      <w:rPr>
        <w:rFonts w:ascii="Times New Roman" w:hAnsi="Times New Roman" w:hint="default"/>
        <w:b/>
        <w:i w:val="0"/>
        <w:sz w:val="24"/>
      </w:rPr>
    </w:lvl>
    <w:lvl w:ilvl="5">
      <w:start w:val="1"/>
      <w:numFmt w:val="decimal"/>
      <w:lvlText w:val="%1.%2.%3.%4.%5.%6"/>
      <w:lvlJc w:val="left"/>
      <w:pPr>
        <w:tabs>
          <w:tab w:val="num" w:pos="5040"/>
        </w:tabs>
        <w:ind w:left="5040" w:hanging="1440"/>
      </w:pPr>
      <w:rPr>
        <w:rFonts w:ascii="Times New Roman" w:hAnsi="Times New Roman" w:hint="default"/>
        <w:b/>
        <w:i w:val="0"/>
        <w:color w:val="000000"/>
        <w:sz w:val="24"/>
      </w:rPr>
    </w:lvl>
    <w:lvl w:ilvl="6">
      <w:start w:val="1"/>
      <w:numFmt w:val="decimal"/>
      <w:lvlText w:val="%1.%2.%3.%4.%5.%6.%7"/>
      <w:lvlJc w:val="left"/>
      <w:pPr>
        <w:tabs>
          <w:tab w:val="num" w:pos="5400"/>
        </w:tabs>
        <w:ind w:left="5400" w:hanging="1800"/>
      </w:pPr>
      <w:rPr>
        <w:rFonts w:ascii="Times New Roman" w:hAnsi="Times New Roman" w:hint="default"/>
        <w:b/>
        <w:i w:val="0"/>
        <w:color w:val="000000"/>
        <w:sz w:val="24"/>
      </w:rPr>
    </w:lvl>
    <w:lvl w:ilvl="7">
      <w:start w:val="1"/>
      <w:numFmt w:val="decimal"/>
      <w:lvlText w:val="%1.%2.%3.%4.%5.%6.%7.%8"/>
      <w:lvlJc w:val="left"/>
      <w:pPr>
        <w:tabs>
          <w:tab w:val="num" w:pos="5400"/>
        </w:tabs>
        <w:ind w:left="5400" w:hanging="1800"/>
      </w:pPr>
      <w:rPr>
        <w:rFonts w:ascii="Times New Roman" w:hAnsi="Times New Roman" w:hint="default"/>
        <w:b/>
        <w:i w:val="0"/>
        <w:color w:val="000000"/>
        <w:sz w:val="24"/>
      </w:rPr>
    </w:lvl>
    <w:lvl w:ilvl="8">
      <w:start w:val="1"/>
      <w:numFmt w:val="decimal"/>
      <w:lvlText w:val="%1.%2.%3.%4.%5.%6.%7.%8.%9"/>
      <w:lvlJc w:val="left"/>
      <w:pPr>
        <w:tabs>
          <w:tab w:val="num" w:pos="5760"/>
        </w:tabs>
        <w:ind w:left="5760" w:hanging="2160"/>
      </w:pPr>
      <w:rPr>
        <w:rFonts w:ascii="Times New Roman" w:hAnsi="Times New Roman" w:hint="default"/>
        <w:b/>
        <w:i w:val="0"/>
        <w:color w:val="000000"/>
        <w:sz w:val="24"/>
      </w:rPr>
    </w:lvl>
  </w:abstractNum>
  <w:abstractNum w:abstractNumId="29"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30" w15:restartNumberingAfterBreak="0">
    <w:nsid w:val="50D0080E"/>
    <w:multiLevelType w:val="multilevel"/>
    <w:tmpl w:val="F2F66A26"/>
    <w:styleLink w:val="SPNumberedTabs"/>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31" w15:restartNumberingAfterBreak="0">
    <w:nsid w:val="51CD67E6"/>
    <w:multiLevelType w:val="multilevel"/>
    <w:tmpl w:val="0FC8E5A8"/>
    <w:lvl w:ilvl="0">
      <w:start w:val="1"/>
      <w:numFmt w:val="decimal"/>
      <w:pStyle w:val="C-PLR-Heading1"/>
      <w:lvlText w:val="%1."/>
      <w:lvlJc w:val="left"/>
      <w:pPr>
        <w:tabs>
          <w:tab w:val="num" w:pos="1080"/>
        </w:tabs>
        <w:ind w:left="1080" w:hanging="1080"/>
      </w:pPr>
      <w:rPr>
        <w:rFonts w:hint="default"/>
      </w:rPr>
    </w:lvl>
    <w:lvl w:ilvl="1">
      <w:start w:val="1"/>
      <w:numFmt w:val="decimal"/>
      <w:pStyle w:val="C-PLR-Heading2"/>
      <w:lvlText w:val="%1.%2."/>
      <w:lvlJc w:val="left"/>
      <w:pPr>
        <w:tabs>
          <w:tab w:val="num" w:pos="1080"/>
        </w:tabs>
        <w:ind w:left="1080" w:hanging="1080"/>
      </w:pPr>
      <w:rPr>
        <w:rFonts w:hint="default"/>
      </w:rPr>
    </w:lvl>
    <w:lvl w:ilvl="2">
      <w:start w:val="1"/>
      <w:numFmt w:val="decimal"/>
      <w:pStyle w:val="C-PLR-Heading3"/>
      <w:lvlText w:val="%1.%2.%3."/>
      <w:lvlJc w:val="left"/>
      <w:pPr>
        <w:tabs>
          <w:tab w:val="num" w:pos="1080"/>
        </w:tabs>
        <w:ind w:left="1080" w:hanging="1080"/>
      </w:pPr>
      <w:rPr>
        <w:rFonts w:hint="default"/>
      </w:rPr>
    </w:lvl>
    <w:lvl w:ilvl="3">
      <w:start w:val="1"/>
      <w:numFmt w:val="decimal"/>
      <w:pStyle w:val="C-PLR-Heading4"/>
      <w:lvlText w:val="%1.%2.%3.%4."/>
      <w:lvlJc w:val="left"/>
      <w:pPr>
        <w:tabs>
          <w:tab w:val="num" w:pos="1080"/>
        </w:tabs>
        <w:ind w:left="1080" w:hanging="1080"/>
      </w:pPr>
      <w:rPr>
        <w:rFonts w:hint="default"/>
      </w:rPr>
    </w:lvl>
    <w:lvl w:ilvl="4">
      <w:start w:val="1"/>
      <w:numFmt w:val="decimal"/>
      <w:pStyle w:val="C-PLR-Heading5"/>
      <w:lvlText w:val="%1.%2.%3.%4.%5."/>
      <w:lvlJc w:val="left"/>
      <w:pPr>
        <w:tabs>
          <w:tab w:val="num" w:pos="1080"/>
        </w:tabs>
        <w:ind w:left="1080" w:hanging="1080"/>
      </w:pPr>
      <w:rPr>
        <w:rFonts w:hint="default"/>
      </w:rPr>
    </w:lvl>
    <w:lvl w:ilvl="5">
      <w:start w:val="1"/>
      <w:numFmt w:val="decimal"/>
      <w:pStyle w:val="C-PLR-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32" w15:restartNumberingAfterBreak="0">
    <w:nsid w:val="539D6478"/>
    <w:multiLevelType w:val="multilevel"/>
    <w:tmpl w:val="88DCF0C0"/>
    <w:styleLink w:val="SPBulletTabs"/>
    <w:lvl w:ilvl="0">
      <w:start w:val="1"/>
      <w:numFmt w:val="bullet"/>
      <w:lvlText w:val=""/>
      <w:lvlJc w:val="left"/>
      <w:pPr>
        <w:tabs>
          <w:tab w:val="num" w:pos="1080"/>
        </w:tabs>
        <w:ind w:left="720" w:firstLine="0"/>
      </w:pPr>
      <w:rPr>
        <w:rFonts w:ascii="Symbol" w:hAnsi="Symbol" w:hint="default"/>
        <w:sz w:val="24"/>
      </w:rPr>
    </w:lvl>
    <w:lvl w:ilvl="1">
      <w:start w:val="1"/>
      <w:numFmt w:val="bullet"/>
      <w:lvlText w:val=""/>
      <w:lvlJc w:val="left"/>
      <w:pPr>
        <w:tabs>
          <w:tab w:val="num" w:pos="1440"/>
        </w:tabs>
        <w:ind w:left="1080" w:firstLine="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33"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657A9F"/>
    <w:multiLevelType w:val="singleLevel"/>
    <w:tmpl w:val="9766A342"/>
    <w:name w:val="TableNoteAlpha"/>
    <w:lvl w:ilvl="0">
      <w:start w:val="1"/>
      <w:numFmt w:val="lowerLetter"/>
      <w:suff w:val="nothing"/>
      <w:lvlText w:val="%1"/>
      <w:lvlJc w:val="left"/>
      <w:pPr>
        <w:ind w:left="720" w:hanging="360"/>
      </w:pPr>
    </w:lvl>
  </w:abstractNum>
  <w:abstractNum w:abstractNumId="36" w15:restartNumberingAfterBreak="0">
    <w:nsid w:val="60084FBF"/>
    <w:multiLevelType w:val="hybridMultilevel"/>
    <w:tmpl w:val="47C2347C"/>
    <w:lvl w:ilvl="0" w:tplc="6542353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C17F89"/>
    <w:multiLevelType w:val="multilevel"/>
    <w:tmpl w:val="EAFEB146"/>
    <w:lvl w:ilvl="0">
      <w:start w:val="3"/>
      <w:numFmt w:val="bullet"/>
      <w:pStyle w:val="ListBullet0"/>
      <w:lvlText w:val=""/>
      <w:lvlJc w:val="left"/>
      <w:pPr>
        <w:tabs>
          <w:tab w:val="num" w:pos="360"/>
        </w:tabs>
        <w:ind w:left="360" w:hanging="360"/>
      </w:pPr>
      <w:rPr>
        <w:rFonts w:ascii="Symbol" w:hAnsi="Symbol" w:hint="default"/>
        <w:b w:val="0"/>
        <w:i w:val="0"/>
        <w:color w:val="auto"/>
        <w:sz w:val="24"/>
      </w:rPr>
    </w:lvl>
    <w:lvl w:ilvl="1">
      <w:start w:val="1"/>
      <w:numFmt w:val="bullet"/>
      <w:lvlRestart w:val="0"/>
      <w:lvlText w:val=""/>
      <w:lvlJc w:val="left"/>
      <w:pPr>
        <w:tabs>
          <w:tab w:val="num" w:pos="720"/>
        </w:tabs>
        <w:ind w:left="720" w:hanging="360"/>
      </w:pPr>
      <w:rPr>
        <w:rFonts w:ascii="Symbol" w:hAnsi="Symbol" w:hint="default"/>
        <w:b w:val="0"/>
        <w:i w:val="0"/>
        <w:sz w:val="24"/>
      </w:rPr>
    </w:lvl>
    <w:lvl w:ilvl="2">
      <w:start w:val="1"/>
      <w:numFmt w:val="bullet"/>
      <w:lvlRestart w:val="0"/>
      <w:lvlText w:val=""/>
      <w:lvlJc w:val="left"/>
      <w:pPr>
        <w:tabs>
          <w:tab w:val="num" w:pos="1080"/>
        </w:tabs>
        <w:ind w:left="1080" w:hanging="360"/>
      </w:pPr>
      <w:rPr>
        <w:rFonts w:ascii="Symbol" w:hAnsi="Symbol" w:hint="default"/>
        <w:b w:val="0"/>
        <w:i w:val="0"/>
        <w:sz w:val="24"/>
      </w:rPr>
    </w:lvl>
    <w:lvl w:ilvl="3">
      <w:start w:val="1"/>
      <w:numFmt w:val="decimal"/>
      <w:lvlText w:val="%1.%2.%3.%4"/>
      <w:lvlJc w:val="left"/>
      <w:pPr>
        <w:tabs>
          <w:tab w:val="num" w:pos="3960"/>
        </w:tabs>
        <w:ind w:left="3960" w:hanging="1080"/>
      </w:pPr>
      <w:rPr>
        <w:rFonts w:ascii="Times New Roman" w:hAnsi="Times New Roman" w:hint="default"/>
        <w:b/>
        <w:i w:val="0"/>
        <w:color w:val="000000"/>
        <w:sz w:val="24"/>
      </w:rPr>
    </w:lvl>
    <w:lvl w:ilvl="4">
      <w:start w:val="1"/>
      <w:numFmt w:val="decimal"/>
      <w:lvlText w:val="%1.%2.%3.%4.%5"/>
      <w:lvlJc w:val="left"/>
      <w:pPr>
        <w:tabs>
          <w:tab w:val="num" w:pos="4320"/>
        </w:tabs>
        <w:ind w:left="4320" w:hanging="1440"/>
      </w:pPr>
      <w:rPr>
        <w:rFonts w:ascii="Times New Roman" w:hAnsi="Times New Roman" w:hint="default"/>
        <w:b/>
        <w:i w:val="0"/>
        <w:sz w:val="24"/>
      </w:rPr>
    </w:lvl>
    <w:lvl w:ilvl="5">
      <w:start w:val="1"/>
      <w:numFmt w:val="decimal"/>
      <w:lvlText w:val="%1.%2.%3.%4.%5.%6"/>
      <w:lvlJc w:val="left"/>
      <w:pPr>
        <w:tabs>
          <w:tab w:val="num" w:pos="4320"/>
        </w:tabs>
        <w:ind w:left="4320" w:hanging="1440"/>
      </w:pPr>
      <w:rPr>
        <w:rFonts w:ascii="Times New Roman" w:hAnsi="Times New Roman" w:hint="default"/>
        <w:b/>
        <w:i w:val="0"/>
        <w:color w:val="000000"/>
        <w:sz w:val="24"/>
      </w:rPr>
    </w:lvl>
    <w:lvl w:ilvl="6">
      <w:start w:val="1"/>
      <w:numFmt w:val="decimal"/>
      <w:lvlText w:val="%1.%2.%3.%4.%5.%6.%7"/>
      <w:lvlJc w:val="left"/>
      <w:pPr>
        <w:tabs>
          <w:tab w:val="num" w:pos="4680"/>
        </w:tabs>
        <w:ind w:left="4680" w:hanging="1800"/>
      </w:pPr>
      <w:rPr>
        <w:rFonts w:ascii="Times New Roman" w:hAnsi="Times New Roman" w:hint="default"/>
        <w:b/>
        <w:i w:val="0"/>
        <w:color w:val="000000"/>
        <w:sz w:val="24"/>
      </w:rPr>
    </w:lvl>
    <w:lvl w:ilvl="7">
      <w:start w:val="1"/>
      <w:numFmt w:val="decimal"/>
      <w:lvlText w:val="%1.%2.%3.%4.%5.%6.%7.%8"/>
      <w:lvlJc w:val="left"/>
      <w:pPr>
        <w:tabs>
          <w:tab w:val="num" w:pos="4680"/>
        </w:tabs>
        <w:ind w:left="4680" w:hanging="1800"/>
      </w:pPr>
      <w:rPr>
        <w:rFonts w:ascii="Times New Roman" w:hAnsi="Times New Roman" w:hint="default"/>
        <w:b/>
        <w:i w:val="0"/>
        <w:color w:val="000000"/>
        <w:sz w:val="24"/>
      </w:rPr>
    </w:lvl>
    <w:lvl w:ilvl="8">
      <w:start w:val="1"/>
      <w:numFmt w:val="decimal"/>
      <w:lvlText w:val="%1.%2.%3.%4.%5.%6.%7.%8.%9"/>
      <w:lvlJc w:val="left"/>
      <w:pPr>
        <w:tabs>
          <w:tab w:val="num" w:pos="5040"/>
        </w:tabs>
        <w:ind w:left="5040" w:hanging="2160"/>
      </w:pPr>
      <w:rPr>
        <w:rFonts w:ascii="Times New Roman" w:hAnsi="Times New Roman" w:hint="default"/>
        <w:b/>
        <w:i w:val="0"/>
        <w:color w:val="000000"/>
        <w:sz w:val="24"/>
      </w:rPr>
    </w:lvl>
  </w:abstractNum>
  <w:abstractNum w:abstractNumId="38"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39" w15:restartNumberingAfterBreak="0">
    <w:nsid w:val="69E42151"/>
    <w:multiLevelType w:val="hybridMultilevel"/>
    <w:tmpl w:val="935CB0C6"/>
    <w:lvl w:ilvl="0" w:tplc="62D29A18">
      <w:start w:val="1"/>
      <w:numFmt w:val="bullet"/>
      <w:pStyle w:val="C-PL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1035A3"/>
    <w:multiLevelType w:val="hybridMultilevel"/>
    <w:tmpl w:val="EB6E8B28"/>
    <w:lvl w:ilvl="0" w:tplc="464AF2B6">
      <w:start w:val="1"/>
      <w:numFmt w:val="upperLetter"/>
      <w:pStyle w:val="C-Appendix"/>
      <w:lvlText w:val="Appendix %1."/>
      <w:lvlJc w:val="left"/>
      <w:pPr>
        <w:tabs>
          <w:tab w:val="num" w:pos="1987"/>
        </w:tabs>
        <w:ind w:left="1987" w:hanging="19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5F75C57"/>
    <w:multiLevelType w:val="hybridMultilevel"/>
    <w:tmpl w:val="AC246424"/>
    <w:lvl w:ilvl="0" w:tplc="C5001C28">
      <w:start w:val="1"/>
      <w:numFmt w:val="lowerLetter"/>
      <w:pStyle w:val="C-PLR-AlphabeticList"/>
      <w:lvlText w:val="%1."/>
      <w:lvlJc w:val="left"/>
      <w:pPr>
        <w:tabs>
          <w:tab w:val="num" w:pos="1080"/>
        </w:tabs>
        <w:ind w:left="1080" w:hanging="360"/>
      </w:pPr>
      <w:rPr>
        <w:rFont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18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18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180"/>
      </w:pPr>
      <w:rPr>
        <w:rFonts w:ascii="Wingdings" w:hAnsi="Wingdings" w:hint="default"/>
      </w:rPr>
    </w:lvl>
  </w:abstractNum>
  <w:abstractNum w:abstractNumId="43" w15:restartNumberingAfterBreak="0">
    <w:nsid w:val="784D033C"/>
    <w:multiLevelType w:val="multilevel"/>
    <w:tmpl w:val="055C0BA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i w:val="0"/>
        <w:color w:val="auto"/>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E22706"/>
    <w:multiLevelType w:val="hybridMultilevel"/>
    <w:tmpl w:val="5B7882C8"/>
    <w:lvl w:ilvl="0" w:tplc="D43C97D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C907509"/>
    <w:multiLevelType w:val="hybridMultilevel"/>
    <w:tmpl w:val="61A220DE"/>
    <w:lvl w:ilvl="0" w:tplc="27486836">
      <w:start w:val="1"/>
      <w:numFmt w:val="bullet"/>
      <w:lvlText w:val="•"/>
      <w:lvlJc w:val="left"/>
      <w:pPr>
        <w:tabs>
          <w:tab w:val="num" w:pos="720"/>
        </w:tabs>
        <w:ind w:left="720" w:hanging="360"/>
      </w:pPr>
      <w:rPr>
        <w:rFonts w:ascii="Arial" w:hAnsi="Arial" w:hint="default"/>
      </w:rPr>
    </w:lvl>
    <w:lvl w:ilvl="1" w:tplc="7ED4FD2C" w:tentative="1">
      <w:start w:val="1"/>
      <w:numFmt w:val="bullet"/>
      <w:lvlText w:val="•"/>
      <w:lvlJc w:val="left"/>
      <w:pPr>
        <w:tabs>
          <w:tab w:val="num" w:pos="1440"/>
        </w:tabs>
        <w:ind w:left="1440" w:hanging="360"/>
      </w:pPr>
      <w:rPr>
        <w:rFonts w:ascii="Arial" w:hAnsi="Arial" w:hint="default"/>
      </w:rPr>
    </w:lvl>
    <w:lvl w:ilvl="2" w:tplc="0B2859A8" w:tentative="1">
      <w:start w:val="1"/>
      <w:numFmt w:val="bullet"/>
      <w:lvlText w:val="•"/>
      <w:lvlJc w:val="left"/>
      <w:pPr>
        <w:tabs>
          <w:tab w:val="num" w:pos="2160"/>
        </w:tabs>
        <w:ind w:left="2160" w:hanging="360"/>
      </w:pPr>
      <w:rPr>
        <w:rFonts w:ascii="Arial" w:hAnsi="Arial" w:hint="default"/>
      </w:rPr>
    </w:lvl>
    <w:lvl w:ilvl="3" w:tplc="DA74374C" w:tentative="1">
      <w:start w:val="1"/>
      <w:numFmt w:val="bullet"/>
      <w:lvlText w:val="•"/>
      <w:lvlJc w:val="left"/>
      <w:pPr>
        <w:tabs>
          <w:tab w:val="num" w:pos="2880"/>
        </w:tabs>
        <w:ind w:left="2880" w:hanging="360"/>
      </w:pPr>
      <w:rPr>
        <w:rFonts w:ascii="Arial" w:hAnsi="Arial" w:hint="default"/>
      </w:rPr>
    </w:lvl>
    <w:lvl w:ilvl="4" w:tplc="BA142F3A" w:tentative="1">
      <w:start w:val="1"/>
      <w:numFmt w:val="bullet"/>
      <w:lvlText w:val="•"/>
      <w:lvlJc w:val="left"/>
      <w:pPr>
        <w:tabs>
          <w:tab w:val="num" w:pos="3600"/>
        </w:tabs>
        <w:ind w:left="3600" w:hanging="360"/>
      </w:pPr>
      <w:rPr>
        <w:rFonts w:ascii="Arial" w:hAnsi="Arial" w:hint="default"/>
      </w:rPr>
    </w:lvl>
    <w:lvl w:ilvl="5" w:tplc="4DDA382C" w:tentative="1">
      <w:start w:val="1"/>
      <w:numFmt w:val="bullet"/>
      <w:lvlText w:val="•"/>
      <w:lvlJc w:val="left"/>
      <w:pPr>
        <w:tabs>
          <w:tab w:val="num" w:pos="4320"/>
        </w:tabs>
        <w:ind w:left="4320" w:hanging="360"/>
      </w:pPr>
      <w:rPr>
        <w:rFonts w:ascii="Arial" w:hAnsi="Arial" w:hint="default"/>
      </w:rPr>
    </w:lvl>
    <w:lvl w:ilvl="6" w:tplc="421A65EE" w:tentative="1">
      <w:start w:val="1"/>
      <w:numFmt w:val="bullet"/>
      <w:lvlText w:val="•"/>
      <w:lvlJc w:val="left"/>
      <w:pPr>
        <w:tabs>
          <w:tab w:val="num" w:pos="5040"/>
        </w:tabs>
        <w:ind w:left="5040" w:hanging="360"/>
      </w:pPr>
      <w:rPr>
        <w:rFonts w:ascii="Arial" w:hAnsi="Arial" w:hint="default"/>
      </w:rPr>
    </w:lvl>
    <w:lvl w:ilvl="7" w:tplc="E8A80C02" w:tentative="1">
      <w:start w:val="1"/>
      <w:numFmt w:val="bullet"/>
      <w:lvlText w:val="•"/>
      <w:lvlJc w:val="left"/>
      <w:pPr>
        <w:tabs>
          <w:tab w:val="num" w:pos="5760"/>
        </w:tabs>
        <w:ind w:left="5760" w:hanging="360"/>
      </w:pPr>
      <w:rPr>
        <w:rFonts w:ascii="Arial" w:hAnsi="Arial" w:hint="default"/>
      </w:rPr>
    </w:lvl>
    <w:lvl w:ilvl="8" w:tplc="08168E06"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43"/>
  </w:num>
  <w:num w:numId="3">
    <w:abstractNumId w:val="26"/>
  </w:num>
  <w:num w:numId="4">
    <w:abstractNumId w:val="36"/>
  </w:num>
  <w:num w:numId="5">
    <w:abstractNumId w:val="25"/>
  </w:num>
  <w:num w:numId="6">
    <w:abstractNumId w:val="22"/>
  </w:num>
  <w:num w:numId="7">
    <w:abstractNumId w:val="37"/>
  </w:num>
  <w:num w:numId="8">
    <w:abstractNumId w:val="28"/>
  </w:num>
  <w:num w:numId="9">
    <w:abstractNumId w:val="20"/>
  </w:num>
  <w:num w:numId="10">
    <w:abstractNumId w:val="9"/>
  </w:num>
  <w:num w:numId="11">
    <w:abstractNumId w:val="7"/>
  </w:num>
  <w:num w:numId="12">
    <w:abstractNumId w:val="6"/>
  </w:num>
  <w:num w:numId="13">
    <w:abstractNumId w:val="5"/>
  </w:num>
  <w:num w:numId="14">
    <w:abstractNumId w:val="4"/>
  </w:num>
  <w:num w:numId="15">
    <w:abstractNumId w:val="1"/>
  </w:num>
  <w:num w:numId="16">
    <w:abstractNumId w:val="0"/>
  </w:num>
  <w:num w:numId="17">
    <w:abstractNumId w:val="8"/>
  </w:num>
  <w:num w:numId="18">
    <w:abstractNumId w:val="3"/>
  </w:num>
  <w:num w:numId="19">
    <w:abstractNumId w:val="2"/>
  </w:num>
  <w:num w:numId="20">
    <w:abstractNumId w:val="16"/>
  </w:num>
  <w:num w:numId="21">
    <w:abstractNumId w:val="41"/>
  </w:num>
  <w:num w:numId="22">
    <w:abstractNumId w:val="19"/>
  </w:num>
  <w:num w:numId="23">
    <w:abstractNumId w:val="38"/>
  </w:num>
  <w:num w:numId="24">
    <w:abstractNumId w:val="23"/>
  </w:num>
  <w:num w:numId="25">
    <w:abstractNumId w:val="29"/>
  </w:num>
  <w:num w:numId="26">
    <w:abstractNumId w:val="42"/>
  </w:num>
  <w:num w:numId="27">
    <w:abstractNumId w:val="39"/>
  </w:num>
  <w:num w:numId="28">
    <w:abstractNumId w:val="24"/>
  </w:num>
  <w:num w:numId="29">
    <w:abstractNumId w:val="31"/>
  </w:num>
  <w:num w:numId="30">
    <w:abstractNumId w:val="40"/>
  </w:num>
  <w:num w:numId="31">
    <w:abstractNumId w:val="32"/>
  </w:num>
  <w:num w:numId="32">
    <w:abstractNumId w:val="30"/>
  </w:num>
  <w:num w:numId="33">
    <w:abstractNumId w:val="44"/>
  </w:num>
  <w:num w:numId="34">
    <w:abstractNumId w:val="27"/>
  </w:num>
  <w:num w:numId="35">
    <w:abstractNumId w:val="13"/>
  </w:num>
  <w:num w:numId="36">
    <w:abstractNumId w:val="34"/>
  </w:num>
  <w:num w:numId="37">
    <w:abstractNumId w:val="15"/>
  </w:num>
  <w:num w:numId="38">
    <w:abstractNumId w:val="10"/>
  </w:num>
  <w:num w:numId="39">
    <w:abstractNumId w:val="18"/>
  </w:num>
  <w:num w:numId="40">
    <w:abstractNumId w:val="21"/>
  </w:num>
  <w:num w:numId="41">
    <w:abstractNumId w:val="17"/>
  </w:num>
  <w:num w:numId="42">
    <w:abstractNumId w:val="33"/>
  </w:num>
  <w:num w:numId="43">
    <w:abstractNumId w:val="12"/>
  </w:num>
  <w:num w:numId="44">
    <w:abstractNumId w:val="14"/>
  </w:num>
  <w:num w:numId="45">
    <w:abstractNumId w:val="45"/>
  </w:num>
  <w:num w:numId="46">
    <w:abstractNumId w:val="43"/>
  </w:num>
  <w:num w:numId="47">
    <w:abstractNumId w:val="43"/>
  </w:num>
  <w:num w:numId="48">
    <w:abstractNumId w:val="4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activeWritingStyle w:appName="MSWord" w:lang="es-CL" w:vendorID="64" w:dllVersion="6" w:nlCheck="1" w:checkStyle="0"/>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CL" w:vendorID="64" w:dllVersion="4096" w:nlCheck="1" w:checkStyle="0"/>
  <w:activeWritingStyle w:appName="MSWord" w:lang="en-AU" w:vendorID="64" w:dllVersion="0" w:nlCheck="1" w:checkStyle="0"/>
  <w:activeWritingStyle w:appName="MSWord" w:lang="en-US" w:vendorID="64" w:dllVersion="0" w:nlCheck="1" w:checkStyle="0"/>
  <w:activeWritingStyle w:appName="MSWord" w:lang="es-CL" w:vendorID="64" w:dllVersion="0"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EA"/>
    <w:rsid w:val="00157F3C"/>
    <w:rsid w:val="00167E14"/>
    <w:rsid w:val="001F4686"/>
    <w:rsid w:val="001F54A6"/>
    <w:rsid w:val="002677C3"/>
    <w:rsid w:val="002B6CEA"/>
    <w:rsid w:val="00310C38"/>
    <w:rsid w:val="00313BFD"/>
    <w:rsid w:val="004A37EA"/>
    <w:rsid w:val="00564605"/>
    <w:rsid w:val="00837715"/>
    <w:rsid w:val="00846353"/>
    <w:rsid w:val="009156C2"/>
    <w:rsid w:val="00950C8B"/>
    <w:rsid w:val="00974C36"/>
    <w:rsid w:val="00974CCA"/>
    <w:rsid w:val="0097613F"/>
    <w:rsid w:val="00A52629"/>
    <w:rsid w:val="00A60E66"/>
    <w:rsid w:val="00A97395"/>
    <w:rsid w:val="00CE2B30"/>
    <w:rsid w:val="00D32548"/>
    <w:rsid w:val="00D8384E"/>
    <w:rsid w:val="00E43280"/>
    <w:rsid w:val="00E50BF2"/>
    <w:rsid w:val="00FB7435"/>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3F1EB6F"/>
  <w15:docId w15:val="{5321B775-7BA7-419E-9174-D1017C82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qFormat/>
    <w:pPr>
      <w:ind w:left="720" w:hanging="720"/>
      <w:outlineLvl w:val="0"/>
    </w:pPr>
    <w:rPr>
      <w:b/>
      <w:caps/>
      <w:sz w:val="32"/>
    </w:rPr>
  </w:style>
  <w:style w:type="paragraph" w:styleId="Heading2">
    <w:name w:val="heading 2"/>
    <w:basedOn w:val="Normal"/>
    <w:next w:val="Normal"/>
    <w:link w:val="Heading2Char"/>
    <w:qFormat/>
    <w:pPr>
      <w:outlineLvl w:val="1"/>
    </w:pPr>
    <w:rPr>
      <w:b/>
      <w:i/>
      <w:sz w:val="28"/>
    </w:rPr>
  </w:style>
  <w:style w:type="paragraph" w:styleId="Heading3">
    <w:name w:val="heading 3"/>
    <w:basedOn w:val="Normal"/>
    <w:next w:val="Normal"/>
    <w:qFormat/>
    <w:pPr>
      <w:outlineLvl w:val="2"/>
    </w:pPr>
    <w:rPr>
      <w:u w:val="single"/>
    </w:rPr>
  </w:style>
  <w:style w:type="paragraph" w:styleId="Heading4">
    <w:name w:val="heading 4"/>
    <w:basedOn w:val="Normal"/>
    <w:next w:val="Normal"/>
    <w:qFormat/>
    <w:pPr>
      <w:keepNext/>
      <w:spacing w:before="240" w:after="60"/>
      <w:outlineLvl w:val="3"/>
    </w:pPr>
    <w:rPr>
      <w:b/>
      <w:bCs/>
      <w:i/>
      <w:sz w:val="26"/>
      <w:szCs w:val="28"/>
    </w:rPr>
  </w:style>
  <w:style w:type="paragraph" w:styleId="Heading5">
    <w:name w:val="heading 5"/>
    <w:aliases w:val="DO NOT USE, DO NOT USE,DO NOT USE1, DO NOT USE1,DO NOT USE2, DO NOT USE2,DO NOT USE5, DO NOT USE3,DO NOT USE6, DO NOT USE4,DO NOT USE7, DO NOT USE5,DO NOT USE8, DO NOT USE6,DO NOT USE9, DO NOT USE7,DO NOT USE10, DO NOT USE8,DO NOT USE11"/>
    <w:basedOn w:val="Normal"/>
    <w:next w:val="Normal"/>
    <w:qFormat/>
    <w:pPr>
      <w:spacing w:before="240" w:after="60"/>
      <w:outlineLvl w:val="4"/>
    </w:pPr>
    <w:rPr>
      <w:b/>
      <w:bCs/>
      <w:iCs/>
      <w:sz w:val="26"/>
      <w:szCs w:val="26"/>
    </w:rPr>
  </w:style>
  <w:style w:type="paragraph" w:styleId="Heading6">
    <w:name w:val="heading 6"/>
    <w:basedOn w:val="Normal"/>
    <w:next w:val="Normal"/>
    <w:qFormat/>
    <w:pPr>
      <w:spacing w:before="240" w:after="60"/>
      <w:outlineLvl w:val="5"/>
    </w:pPr>
    <w:rPr>
      <w:b/>
      <w:bCs/>
      <w:i/>
    </w:rPr>
  </w:style>
  <w:style w:type="paragraph" w:styleId="Heading7">
    <w:name w:val="heading 7"/>
    <w:basedOn w:val="Normal"/>
    <w:next w:val="Normal"/>
    <w:link w:val="Heading7Char"/>
    <w:qFormat/>
    <w:pPr>
      <w:keepNext/>
      <w:jc w:val="center"/>
      <w:outlineLvl w:val="6"/>
    </w:pPr>
    <w:rPr>
      <w:b/>
      <w:sz w:val="20"/>
    </w:rPr>
  </w:style>
  <w:style w:type="paragraph" w:styleId="Heading8">
    <w:name w:val="heading 8"/>
    <w:basedOn w:val="Normal"/>
    <w:next w:val="Normal"/>
    <w:link w:val="Heading8Char"/>
    <w:qFormat/>
    <w:pPr>
      <w:keepNext/>
      <w:jc w:val="right"/>
      <w:outlineLvl w:val="7"/>
    </w:pPr>
    <w:rPr>
      <w:b/>
    </w:rPr>
  </w:style>
  <w:style w:type="paragraph" w:styleId="Heading9">
    <w:name w:val="heading 9"/>
    <w:basedOn w:val="Normal"/>
    <w:next w:val="Normal"/>
    <w:link w:val="Heading9Char"/>
    <w:qFormat/>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hAnsi="Calibri" w:cs="Arial"/>
      <w:b/>
      <w:i/>
      <w:snapToGrid w:val="0"/>
      <w:sz w:val="28"/>
      <w:szCs w:val="22"/>
      <w:lang w:eastAsia="en-US"/>
    </w:rPr>
  </w:style>
  <w:style w:type="character" w:customStyle="1" w:styleId="Heading7Char">
    <w:name w:val="Heading 7 Char"/>
    <w:basedOn w:val="DefaultParagraphFont"/>
    <w:link w:val="Heading7"/>
    <w:rPr>
      <w:rFonts w:ascii="Arial" w:hAnsi="Arial"/>
      <w:b/>
      <w:snapToGrid w:val="0"/>
      <w:lang w:eastAsia="en-US"/>
    </w:rPr>
  </w:style>
  <w:style w:type="character" w:customStyle="1" w:styleId="Heading8Char">
    <w:name w:val="Heading 8 Char"/>
    <w:basedOn w:val="DefaultParagraphFont"/>
    <w:link w:val="Heading8"/>
    <w:rPr>
      <w:b/>
      <w:snapToGrid w:val="0"/>
      <w:sz w:val="24"/>
      <w:lang w:eastAsia="en-US"/>
    </w:rPr>
  </w:style>
  <w:style w:type="character" w:customStyle="1" w:styleId="Heading9Char">
    <w:name w:val="Heading 9 Char"/>
    <w:basedOn w:val="DefaultParagraphFont"/>
    <w:link w:val="Heading9"/>
    <w:rPr>
      <w:rFonts w:ascii="Arial" w:hAnsi="Arial"/>
      <w:b/>
      <w:snapToGrid w:val="0"/>
      <w:color w:val="000000"/>
      <w:lang w:eastAsia="en-US"/>
    </w:rPr>
  </w:style>
  <w:style w:type="paragraph" w:customStyle="1" w:styleId="TableFooter">
    <w:name w:val="Table Footer"/>
    <w:basedOn w:val="Normal"/>
    <w:link w:val="TableFooterChar"/>
    <w:qFormat/>
    <w:rPr>
      <w:rFonts w:ascii="Arial Narrow" w:hAnsi="Arial Narrow"/>
      <w:sz w:val="18"/>
    </w:rPr>
  </w:style>
  <w:style w:type="character" w:customStyle="1" w:styleId="TableFooterChar">
    <w:name w:val="Table Footer Char"/>
    <w:link w:val="TableFooter"/>
    <w:rPr>
      <w:rFonts w:ascii="Arial Narrow" w:hAnsi="Arial Narrow" w:cs="Arial"/>
      <w:snapToGrid w:val="0"/>
      <w:sz w:val="18"/>
      <w:lang w:eastAsia="en-US"/>
    </w:rPr>
  </w:style>
  <w:style w:type="paragraph" w:customStyle="1" w:styleId="TableHeader">
    <w:name w:val="Table Header"/>
    <w:basedOn w:val="Normal"/>
    <w:uiPriority w:val="3"/>
    <w:rPr>
      <w:b/>
      <w:sz w:val="20"/>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uiPriority w:val="35"/>
    <w:unhideWhenUsed/>
    <w:qFormat/>
    <w:pPr>
      <w:spacing w:after="200"/>
    </w:pPr>
    <w:rPr>
      <w:b/>
      <w:bCs/>
      <w:color w:val="4F81BD" w:themeColor="accent1"/>
      <w:sz w:val="18"/>
      <w:szCs w:val="18"/>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link w:val="Caption"/>
    <w:uiPriority w:val="35"/>
    <w:rPr>
      <w:b/>
      <w:bCs/>
      <w:snapToGrid w:val="0"/>
      <w:color w:val="4F81BD" w:themeColor="accent1"/>
      <w:sz w:val="18"/>
      <w:szCs w:val="18"/>
      <w:lang w:eastAsia="en-US"/>
    </w:rPr>
  </w:style>
  <w:style w:type="paragraph" w:styleId="Title">
    <w:name w:val="Title"/>
    <w:basedOn w:val="Normal"/>
    <w:next w:val="Normal"/>
    <w:link w:val="TitleChar"/>
    <w:qFormat/>
    <w:pPr>
      <w:outlineLvl w:val="0"/>
    </w:pPr>
    <w:rPr>
      <w:b/>
      <w:sz w:val="36"/>
      <w:szCs w:val="36"/>
    </w:rPr>
  </w:style>
  <w:style w:type="character" w:customStyle="1" w:styleId="TitleChar">
    <w:name w:val="Title Char"/>
    <w:basedOn w:val="DefaultParagraphFont"/>
    <w:link w:val="Title"/>
    <w:rPr>
      <w:rFonts w:ascii="Calibri" w:hAnsi="Calibri" w:cs="Arial"/>
      <w:b/>
      <w:snapToGrid w:val="0"/>
      <w:sz w:val="36"/>
      <w:szCs w:val="36"/>
      <w:lang w:eastAsia="en-US"/>
    </w:rPr>
  </w:style>
  <w:style w:type="paragraph" w:styleId="BodyText">
    <w:name w:val="Body Text"/>
    <w:basedOn w:val="Normal"/>
    <w:link w:val="BodyTextChar"/>
    <w:qFormat/>
    <w:pPr>
      <w:jc w:val="left"/>
    </w:pPr>
  </w:style>
  <w:style w:type="character" w:customStyle="1" w:styleId="BodyTextChar">
    <w:name w:val="Body Text Char"/>
    <w:basedOn w:val="DefaultParagraphFont"/>
    <w:link w:val="BodyText"/>
    <w:rPr>
      <w:rFonts w:ascii="Arial" w:hAnsi="Arial" w:cs="Arial"/>
      <w:snapToGrid w:val="0"/>
      <w:sz w:val="22"/>
      <w:lang w:eastAsia="en-US"/>
    </w:rPr>
  </w:style>
  <w:style w:type="paragraph" w:styleId="ListParagraph">
    <w:name w:val="List Paragraph"/>
    <w:aliases w:val="Numbered para,BulletPoints,List Paragraph1,Footnote,Bullet point,List Paragraph11,Recommendation,ES Paragraph,PBAC ES Paragraph,PBAC normal points,Bullet List"/>
    <w:basedOn w:val="Normal"/>
    <w:link w:val="ListParagraphChar"/>
    <w:uiPriority w:val="34"/>
    <w:qFormat/>
    <w:pPr>
      <w:spacing w:after="160"/>
      <w:ind w:left="720"/>
    </w:pPr>
  </w:style>
  <w:style w:type="character" w:customStyle="1" w:styleId="ListParagraphChar">
    <w:name w:val="List Paragraph Char"/>
    <w:aliases w:val="Numbered para Char,BulletPoints Char,List Paragraph1 Char,Footnote Char,Bullet point Char,List Paragraph11 Char,Recommendation Char,ES Paragraph Char,PBAC ES Paragraph Char,PBAC normal points Char,Bullet List Char"/>
    <w:basedOn w:val="DefaultParagraphFont"/>
    <w:link w:val="ListParagraph"/>
    <w:uiPriority w:val="34"/>
    <w:qFormat/>
    <w:locked/>
    <w:rPr>
      <w:rFonts w:ascii="Arial" w:hAnsi="Arial" w:cs="Arial"/>
      <w:snapToGrid w:val="0"/>
      <w:sz w:val="22"/>
      <w:szCs w:val="22"/>
      <w:lang w:eastAsia="en-US"/>
    </w:rPr>
  </w:style>
  <w:style w:type="paragraph" w:customStyle="1" w:styleId="RegularText">
    <w:name w:val="Regular Text"/>
    <w:basedOn w:val="BodyText"/>
    <w:link w:val="RegularTextChar"/>
    <w:rPr>
      <w:b/>
    </w:rPr>
  </w:style>
  <w:style w:type="character" w:customStyle="1" w:styleId="RegularTextChar">
    <w:name w:val="Regular Text Char"/>
    <w:basedOn w:val="BodyTextChar"/>
    <w:link w:val="RegularText"/>
    <w:rPr>
      <w:rFonts w:ascii="Arial" w:hAnsi="Arial" w:cs="Arial"/>
      <w:b/>
      <w:snapToGrid w:val="0"/>
      <w:sz w:val="22"/>
      <w:lang w:eastAsia="en-US"/>
    </w:rPr>
  </w:style>
  <w:style w:type="paragraph" w:styleId="NoSpacing">
    <w:name w:val="No Spacing"/>
    <w:uiPriority w:val="1"/>
    <w:qFormat/>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Pr>
      <w:rFonts w:ascii="Arial" w:hAnsi="Arial" w:cs="Arial"/>
      <w:snapToGrid w:val="0"/>
      <w:sz w:val="22"/>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Arial" w:hAnsi="Arial" w:cs="Arial"/>
      <w:snapToGrid w:val="0"/>
      <w:sz w:val="22"/>
      <w:lang w:eastAsia="en-US"/>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Pr>
      <w:rFonts w:ascii="Arial Narrow" w:hAnsi="Arial Narrow"/>
      <w:b/>
      <w:sz w:val="20"/>
      <w:szCs w:val="16"/>
    </w:rPr>
  </w:style>
  <w:style w:type="paragraph" w:customStyle="1" w:styleId="Tabletext">
    <w:name w:val="Table text"/>
    <w:basedOn w:val="Normal"/>
    <w:link w:val="TabletextChar"/>
    <w:uiPriority w:val="2"/>
    <w:qFormat/>
    <w:pPr>
      <w:widowControl/>
      <w:jc w:val="left"/>
    </w:pPr>
    <w:rPr>
      <w:rFonts w:ascii="Arial Narrow" w:hAnsi="Arial Narrow" w:cs="Times New Roman"/>
      <w:snapToGrid/>
      <w:sz w:val="20"/>
    </w:rPr>
  </w:style>
  <w:style w:type="character" w:customStyle="1" w:styleId="TabletextChar">
    <w:name w:val="Table text Char"/>
    <w:link w:val="Tabletext"/>
    <w:uiPriority w:val="2"/>
    <w:rPr>
      <w:rFonts w:ascii="Arial Narrow" w:hAnsi="Arial Narrow"/>
      <w:lang w:eastAsia="en-US"/>
    </w:rPr>
  </w:style>
  <w:style w:type="paragraph" w:customStyle="1" w:styleId="TableHeading">
    <w:name w:val="TableHeading"/>
    <w:basedOn w:val="Normal"/>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pPr>
      <w:widowControl/>
      <w:jc w:val="both"/>
    </w:pPr>
    <w:rPr>
      <w:rFonts w:ascii="Times" w:hAnsi="Times" w:cs="Times New Roman"/>
      <w:snapToGrid/>
      <w:lang w:val="en-US"/>
    </w:rPr>
  </w:style>
  <w:style w:type="paragraph" w:styleId="NormalWeb">
    <w:name w:val="Normal (Web)"/>
    <w:basedOn w:val="Normal"/>
    <w:uiPriority w:val="99"/>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pPr>
      <w:spacing w:before="240" w:after="120"/>
      <w:jc w:val="left"/>
    </w:pPr>
    <w:rPr>
      <w:bCs/>
      <w:sz w:val="20"/>
    </w:r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pPr>
      <w:ind w:left="440"/>
      <w:jc w:val="left"/>
    </w:pPr>
    <w:rPr>
      <w:rFonts w:asciiTheme="minorHAnsi" w:hAnsiTheme="minorHAnsi"/>
      <w:sz w:val="20"/>
    </w:rPr>
  </w:style>
  <w:style w:type="paragraph" w:styleId="TOC4">
    <w:name w:val="toc 4"/>
    <w:basedOn w:val="Normal"/>
    <w:next w:val="Normal"/>
    <w:autoRedefine/>
    <w:pPr>
      <w:ind w:left="660"/>
      <w:jc w:val="left"/>
    </w:pPr>
    <w:rPr>
      <w:rFonts w:asciiTheme="minorHAnsi" w:hAnsiTheme="minorHAnsi"/>
      <w:sz w:val="20"/>
    </w:rPr>
  </w:style>
  <w:style w:type="paragraph" w:styleId="TOC5">
    <w:name w:val="toc 5"/>
    <w:basedOn w:val="Normal"/>
    <w:next w:val="Normal"/>
    <w:autoRedefine/>
    <w:pPr>
      <w:ind w:left="880"/>
      <w:jc w:val="left"/>
    </w:pPr>
    <w:rPr>
      <w:rFonts w:asciiTheme="minorHAnsi" w:hAnsiTheme="minorHAnsi"/>
      <w:sz w:val="20"/>
    </w:rPr>
  </w:style>
  <w:style w:type="paragraph" w:styleId="TOC6">
    <w:name w:val="toc 6"/>
    <w:basedOn w:val="Normal"/>
    <w:next w:val="Normal"/>
    <w:autoRedefine/>
    <w:pPr>
      <w:ind w:left="1100"/>
      <w:jc w:val="left"/>
    </w:pPr>
    <w:rPr>
      <w:rFonts w:asciiTheme="minorHAnsi" w:hAnsiTheme="minorHAnsi"/>
      <w:sz w:val="20"/>
    </w:rPr>
  </w:style>
  <w:style w:type="paragraph" w:styleId="TOC7">
    <w:name w:val="toc 7"/>
    <w:basedOn w:val="Normal"/>
    <w:next w:val="Normal"/>
    <w:autoRedefine/>
    <w:pPr>
      <w:ind w:left="1320"/>
      <w:jc w:val="left"/>
    </w:pPr>
    <w:rPr>
      <w:rFonts w:asciiTheme="minorHAnsi" w:hAnsiTheme="minorHAnsi"/>
      <w:sz w:val="20"/>
    </w:rPr>
  </w:style>
  <w:style w:type="paragraph" w:styleId="TOC8">
    <w:name w:val="toc 8"/>
    <w:basedOn w:val="Normal"/>
    <w:next w:val="Normal"/>
    <w:autoRedefine/>
    <w:pPr>
      <w:ind w:left="1540"/>
      <w:jc w:val="left"/>
    </w:pPr>
    <w:rPr>
      <w:rFonts w:asciiTheme="minorHAnsi" w:hAnsiTheme="minorHAnsi"/>
      <w:sz w:val="20"/>
    </w:rPr>
  </w:style>
  <w:style w:type="paragraph" w:styleId="TOC9">
    <w:name w:val="toc 9"/>
    <w:basedOn w:val="Normal"/>
    <w:next w:val="Normal"/>
    <w:autoRedefine/>
    <w:pPr>
      <w:ind w:left="1760"/>
      <w:jc w:val="left"/>
    </w:pPr>
    <w:rPr>
      <w:rFonts w:asciiTheme="minorHAnsi" w:hAnsiTheme="minorHAnsi"/>
      <w:sz w:val="20"/>
    </w:rPr>
  </w:style>
  <w:style w:type="paragraph" w:styleId="CommentText">
    <w:name w:val="annotation text"/>
    <w:basedOn w:val="Normal"/>
    <w:link w:val="CommentTextChar"/>
    <w:rPr>
      <w:rFonts w:ascii="Times New Roman" w:hAnsi="Times New Roman" w:cs="Times New Roman"/>
      <w:sz w:val="20"/>
    </w:rPr>
  </w:style>
  <w:style w:type="character" w:customStyle="1" w:styleId="CommentTextChar">
    <w:name w:val="Comment Text Char"/>
    <w:basedOn w:val="DefaultParagraphFont"/>
    <w:link w:val="CommentText"/>
    <w:rPr>
      <w:snapToGrid w:val="0"/>
      <w:lang w:eastAsia="en-US"/>
    </w:rPr>
  </w:style>
  <w:style w:type="paragraph" w:customStyle="1" w:styleId="Bulletpoints">
    <w:name w:val="Bullet points"/>
    <w:basedOn w:val="ListParagraph"/>
    <w:qFormat/>
    <w:pPr>
      <w:numPr>
        <w:numId w:val="3"/>
      </w:numPr>
      <w:spacing w:after="0"/>
      <w:ind w:left="425" w:hanging="425"/>
    </w:pPr>
    <w:rPr>
      <w:szCs w:val="24"/>
    </w:rPr>
  </w:style>
  <w:style w:type="paragraph" w:customStyle="1" w:styleId="TableName">
    <w:name w:val="TableName"/>
    <w:basedOn w:val="Normal"/>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pPr>
      <w:keepNext/>
      <w:spacing w:after="0"/>
    </w:pPr>
  </w:style>
  <w:style w:type="paragraph" w:styleId="CommentSubject">
    <w:name w:val="annotation subject"/>
    <w:basedOn w:val="CommentText"/>
    <w:next w:val="CommentText"/>
    <w:link w:val="CommentSubjectChar"/>
    <w:rPr>
      <w:rFonts w:ascii="Arial" w:hAnsi="Arial" w:cs="Arial"/>
      <w:b/>
      <w:bCs/>
    </w:rPr>
  </w:style>
  <w:style w:type="character" w:customStyle="1" w:styleId="CommentSubjectChar">
    <w:name w:val="Comment Subject Char"/>
    <w:basedOn w:val="CommentTextChar"/>
    <w:link w:val="CommentSubject"/>
    <w:rPr>
      <w:rFonts w:ascii="Arial" w:hAnsi="Arial" w:cs="Arial"/>
      <w:b/>
      <w:bCs/>
      <w:snapToGrid w:val="0"/>
      <w:lang w:eastAsia="en-US"/>
    </w:rPr>
  </w:style>
  <w:style w:type="paragraph" w:styleId="Revision">
    <w:name w:val="Revision"/>
    <w:hidden/>
    <w:uiPriority w:val="99"/>
    <w:semiHidden/>
    <w:rPr>
      <w:rFonts w:ascii="Arial" w:hAnsi="Arial" w:cs="Arial"/>
      <w:snapToGrid w:val="0"/>
      <w:sz w:val="22"/>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Arial" w:hAnsi="Arial" w:cs="Arial"/>
      <w:snapToGrid w:val="0"/>
      <w:sz w:val="22"/>
      <w:lang w:eastAsia="en-US"/>
    </w:rPr>
  </w:style>
  <w:style w:type="paragraph" w:customStyle="1" w:styleId="Char1CharCharChar">
    <w:name w:val="Char1 Char Char Char"/>
    <w:basedOn w:val="Normal"/>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Pr>
      <w:lang w:eastAsia="en-US"/>
    </w:rPr>
  </w:style>
  <w:style w:type="paragraph" w:styleId="Subtitle">
    <w:name w:val="Subtitle"/>
    <w:basedOn w:val="Normal"/>
    <w:link w:val="SubtitleChar"/>
    <w:qFormat/>
    <w:pPr>
      <w:widowControl/>
    </w:pPr>
    <w:rPr>
      <w:rFonts w:ascii="Times New Roman" w:hAnsi="Times New Roman" w:cs="Times New Roman"/>
      <w:snapToGrid/>
      <w:sz w:val="20"/>
    </w:rPr>
  </w:style>
  <w:style w:type="character" w:customStyle="1" w:styleId="SubtitleChar1">
    <w:name w:val="Subtitle Char1"/>
    <w:basedOn w:val="DefaultParagraphFont"/>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pPr>
      <w:numPr>
        <w:numId w:val="46"/>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nhideWhenUsed/>
    <w:rPr>
      <w:color w:val="800080" w:themeColor="followedHyperlink"/>
      <w:u w:val="single"/>
    </w:rPr>
  </w:style>
  <w:style w:type="character" w:styleId="PageNumber">
    <w:name w:val="page number"/>
    <w:basedOn w:val="DefaultParagraphFont"/>
    <w:semiHidden/>
    <w:unhideWhenUsed/>
  </w:style>
  <w:style w:type="paragraph" w:customStyle="1" w:styleId="Commentitalics">
    <w:name w:val="Comment (italics)"/>
    <w:basedOn w:val="Normal"/>
    <w:next w:val="Normal"/>
    <w:qFormat/>
    <w:rPr>
      <w:i/>
      <w:szCs w:val="24"/>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napToGrid w:val="0"/>
      <w:sz w:val="16"/>
      <w:szCs w:val="16"/>
      <w:lang w:eastAsia="en-US"/>
    </w:rPr>
  </w:style>
  <w:style w:type="character" w:customStyle="1" w:styleId="SmallBold">
    <w:name w:val="Small Bold"/>
    <w:basedOn w:val="DefaultParagraphFont"/>
    <w:uiPriority w:val="4"/>
    <w:qFormat/>
    <w:rPr>
      <w:rFonts w:ascii="Calibri" w:hAnsi="Calibri"/>
      <w:b/>
      <w:sz w:val="20"/>
      <w:lang w:val="en-AU"/>
    </w:rPr>
  </w:style>
  <w:style w:type="paragraph" w:customStyle="1" w:styleId="TableBullets">
    <w:name w:val="Table Bullets"/>
    <w:basedOn w:val="Normal"/>
    <w:uiPriority w:val="5"/>
    <w:qFormat/>
    <w:pPr>
      <w:widowControl/>
      <w:numPr>
        <w:numId w:val="4"/>
      </w:numPr>
      <w:ind w:left="357" w:hanging="357"/>
      <w:jc w:val="left"/>
    </w:pPr>
    <w:rPr>
      <w:rFonts w:eastAsiaTheme="majorEastAsia" w:cstheme="majorBidi"/>
      <w:snapToGrid/>
      <w:sz w:val="20"/>
      <w:lang w:bidi="en-US"/>
    </w:rPr>
  </w:style>
  <w:style w:type="character" w:customStyle="1" w:styleId="SmallUnderline">
    <w:name w:val="Small Underline"/>
    <w:basedOn w:val="DefaultParagraphFont"/>
    <w:uiPriority w:val="4"/>
    <w:qFormat/>
    <w:rPr>
      <w:rFonts w:ascii="Calibri" w:hAnsi="Calibri"/>
      <w:sz w:val="20"/>
      <w:u w:val="single"/>
    </w:rPr>
  </w:style>
  <w:style w:type="paragraph" w:customStyle="1" w:styleId="TableLeft">
    <w:name w:val="Table Left"/>
    <w:basedOn w:val="Normal"/>
    <w:link w:val="TableLeftChar"/>
    <w:uiPriority w:val="99"/>
    <w:qFormat/>
    <w:pPr>
      <w:widowControl/>
      <w:jc w:val="left"/>
    </w:pPr>
    <w:rPr>
      <w:rFonts w:cs="Times New Roman"/>
      <w:snapToGrid/>
      <w:sz w:val="20"/>
    </w:rPr>
  </w:style>
  <w:style w:type="character" w:customStyle="1" w:styleId="TableLeftChar">
    <w:name w:val="Table Left Char"/>
    <w:basedOn w:val="DefaultParagraphFont"/>
    <w:link w:val="TableLeft"/>
    <w:uiPriority w:val="99"/>
    <w:locked/>
    <w:rPr>
      <w:rFonts w:ascii="Calibri" w:hAnsi="Calibri"/>
      <w:szCs w:val="22"/>
      <w:lang w:eastAsia="en-US"/>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rFonts w:ascii="Calibri" w:hAnsi="Calibri" w:cs="Arial"/>
      <w:snapToGrid w:val="0"/>
      <w:lang w:eastAsia="en-US"/>
    </w:rPr>
  </w:style>
  <w:style w:type="character" w:styleId="FootnoteReference">
    <w:name w:val="footnote reference"/>
    <w:basedOn w:val="DefaultParagraphFont"/>
    <w:semiHidden/>
    <w:unhideWhenUsed/>
    <w:rPr>
      <w:vertAlign w:val="superscript"/>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TableCentre">
    <w:name w:val="Table Centre"/>
    <w:basedOn w:val="Normal"/>
    <w:qFormat/>
    <w:pPr>
      <w:widowControl/>
      <w:jc w:val="center"/>
    </w:pPr>
    <w:rPr>
      <w:rFonts w:eastAsiaTheme="majorEastAsia" w:cstheme="majorBidi"/>
      <w:snapToGrid/>
      <w:sz w:val="20"/>
      <w:lang w:bidi="en-US"/>
    </w:rPr>
  </w:style>
  <w:style w:type="character" w:customStyle="1" w:styleId="TableText0">
    <w:name w:val="Table Text"/>
    <w:basedOn w:val="TableLeftChar"/>
    <w:uiPriority w:val="99"/>
    <w:qFormat/>
    <w:rPr>
      <w:rFonts w:ascii="Calibri" w:eastAsia="Times New Roman" w:hAnsi="Calibri" w:cs="Times New Roman"/>
      <w:b w:val="0"/>
      <w:sz w:val="19"/>
      <w:szCs w:val="22"/>
      <w:lang w:val="en-AU" w:eastAsia="en-US" w:bidi="ar-SA"/>
    </w:rPr>
  </w:style>
  <w:style w:type="character" w:customStyle="1" w:styleId="SmallHighlight">
    <w:name w:val="Small Highlight"/>
    <w:basedOn w:val="DefaultParagraphFont"/>
    <w:uiPriority w:val="1"/>
    <w:qFormat/>
    <w:rPr>
      <w:rFonts w:ascii="Calibri" w:hAnsi="Calibri"/>
      <w:sz w:val="20"/>
      <w:bdr w:val="none" w:sz="0" w:space="0" w:color="auto"/>
      <w:shd w:val="clear" w:color="auto" w:fill="FFFF00"/>
    </w:rPr>
  </w:style>
  <w:style w:type="paragraph" w:customStyle="1" w:styleId="Table">
    <w:name w:val="Table"/>
    <w:aliases w:val="10 pt  Bold,9 pt"/>
    <w:basedOn w:val="Normal"/>
    <w:link w:val="TableChar"/>
    <w:qFormat/>
    <w:pPr>
      <w:widowControl/>
      <w:jc w:val="left"/>
    </w:pPr>
    <w:rPr>
      <w:rFonts w:eastAsiaTheme="majorEastAsia" w:cstheme="majorBidi"/>
      <w:b/>
      <w:snapToGrid/>
      <w:sz w:val="20"/>
      <w:lang w:bidi="en-US"/>
    </w:rPr>
  </w:style>
  <w:style w:type="character" w:customStyle="1" w:styleId="TableChar">
    <w:name w:val="Table Char"/>
    <w:basedOn w:val="DefaultParagraphFont"/>
    <w:link w:val="Table"/>
    <w:locked/>
    <w:rPr>
      <w:rFonts w:ascii="Calibri" w:eastAsiaTheme="majorEastAsia" w:hAnsi="Calibri" w:cstheme="majorBidi"/>
      <w:b/>
      <w:szCs w:val="22"/>
      <w:lang w:eastAsia="en-US" w:bidi="en-US"/>
    </w:rPr>
  </w:style>
  <w:style w:type="character" w:customStyle="1" w:styleId="FontBold">
    <w:name w:val="Font Bold"/>
    <w:basedOn w:val="DefaultParagraphFont"/>
    <w:uiPriority w:val="1"/>
    <w:qFormat/>
    <w:rPr>
      <w:rFonts w:ascii="Calibri" w:hAnsi="Calibri"/>
      <w:b/>
      <w:sz w:val="24"/>
    </w:rPr>
  </w:style>
  <w:style w:type="character" w:customStyle="1" w:styleId="CaptionFootnoteChar">
    <w:name w:val="Caption Footnote Char"/>
    <w:basedOn w:val="DefaultParagraphFont"/>
    <w:link w:val="CaptionFootnote"/>
    <w:rPr>
      <w:rFonts w:ascii="Calibri" w:hAnsi="Calibri"/>
      <w:bCs/>
      <w:sz w:val="16"/>
      <w:szCs w:val="18"/>
    </w:rPr>
  </w:style>
  <w:style w:type="paragraph" w:customStyle="1" w:styleId="CaptionFootnote">
    <w:name w:val="Caption Footnote"/>
    <w:basedOn w:val="Normal"/>
    <w:link w:val="CaptionFootnoteChar"/>
    <w:qFormat/>
    <w:pPr>
      <w:spacing w:line="276" w:lineRule="auto"/>
      <w:jc w:val="left"/>
    </w:pPr>
    <w:rPr>
      <w:rFonts w:cs="Times New Roman"/>
      <w:bCs/>
      <w:snapToGrid/>
      <w:sz w:val="16"/>
      <w:szCs w:val="18"/>
      <w:lang w:eastAsia="en-AU"/>
    </w:rPr>
  </w:style>
  <w:style w:type="paragraph" w:customStyle="1" w:styleId="TableText1">
    <w:name w:val="TableText"/>
    <w:basedOn w:val="Normal"/>
    <w:link w:val="TableTextChar0"/>
    <w:uiPriority w:val="3"/>
    <w:qFormat/>
    <w:pPr>
      <w:widowControl/>
      <w:spacing w:before="40" w:after="40"/>
      <w:jc w:val="left"/>
    </w:pPr>
    <w:rPr>
      <w:rFonts w:cs="Calibri"/>
      <w:bCs/>
      <w:snapToGrid/>
      <w:sz w:val="20"/>
      <w:szCs w:val="20"/>
    </w:rPr>
  </w:style>
  <w:style w:type="character" w:customStyle="1" w:styleId="TableTextChar0">
    <w:name w:val="TableText Char"/>
    <w:basedOn w:val="DefaultParagraphFont"/>
    <w:link w:val="TableText1"/>
    <w:uiPriority w:val="3"/>
    <w:rPr>
      <w:rFonts w:ascii="Calibri" w:hAnsi="Calibri" w:cs="Calibri"/>
      <w:bCs/>
      <w:lang w:eastAsia="en-US"/>
    </w:rPr>
  </w:style>
  <w:style w:type="paragraph" w:customStyle="1" w:styleId="NormalBulletList">
    <w:name w:val="Normal Bullet List"/>
    <w:basedOn w:val="Normal"/>
    <w:uiPriority w:val="3"/>
    <w:qFormat/>
    <w:pPr>
      <w:widowControl/>
      <w:numPr>
        <w:numId w:val="5"/>
      </w:numPr>
      <w:spacing w:after="240" w:line="276" w:lineRule="auto"/>
      <w:contextualSpacing/>
      <w:jc w:val="left"/>
    </w:pPr>
    <w:rPr>
      <w:rFonts w:eastAsiaTheme="majorEastAsia" w:cstheme="majorBidi"/>
      <w:snapToGrid/>
      <w:lang w:bidi="en-US"/>
    </w:rPr>
  </w:style>
  <w:style w:type="paragraph" w:customStyle="1" w:styleId="C-TableText">
    <w:name w:val="C-Table Text"/>
    <w:link w:val="C-TableTextChar"/>
    <w:pPr>
      <w:spacing w:before="60" w:after="60"/>
    </w:pPr>
    <w:rPr>
      <w:sz w:val="22"/>
      <w:lang w:val="en-US" w:eastAsia="en-US"/>
    </w:rPr>
  </w:style>
  <w:style w:type="paragraph" w:customStyle="1" w:styleId="C-TableHeader">
    <w:name w:val="C-Table Header"/>
    <w:next w:val="C-TableText"/>
    <w:pPr>
      <w:keepNext/>
      <w:spacing w:before="60" w:after="60"/>
    </w:pPr>
    <w:rPr>
      <w:b/>
      <w:sz w:val="22"/>
      <w:lang w:val="en-US" w:eastAsia="en-US"/>
    </w:rPr>
  </w:style>
  <w:style w:type="paragraph" w:customStyle="1" w:styleId="C-TableFootnote">
    <w:name w:val="C-Table Footnote"/>
    <w:next w:val="Normal"/>
    <w:link w:val="C-TableFootnoteChar"/>
    <w:pPr>
      <w:tabs>
        <w:tab w:val="left" w:pos="144"/>
      </w:tabs>
      <w:ind w:left="144" w:hanging="144"/>
    </w:pPr>
    <w:rPr>
      <w:rFonts w:cs="Arial"/>
      <w:lang w:val="en-US" w:eastAsia="en-US"/>
    </w:rPr>
  </w:style>
  <w:style w:type="character" w:customStyle="1" w:styleId="C-TableFootnoteChar">
    <w:name w:val="C-Table Footnote Char"/>
    <w:basedOn w:val="DefaultParagraphFont"/>
    <w:link w:val="C-TableFootnote"/>
    <w:rPr>
      <w:rFonts w:cs="Arial"/>
      <w:lang w:val="en-US" w:eastAsia="en-US"/>
    </w:rPr>
  </w:style>
  <w:style w:type="character" w:customStyle="1" w:styleId="C-TableTextChar">
    <w:name w:val="C-Table Text Char"/>
    <w:basedOn w:val="DefaultParagraphFont"/>
    <w:link w:val="C-TableText"/>
    <w:rPr>
      <w:sz w:val="22"/>
      <w:lang w:val="en-US" w:eastAsia="en-US"/>
    </w:rPr>
  </w:style>
  <w:style w:type="character" w:customStyle="1" w:styleId="Small">
    <w:name w:val="Small"/>
    <w:basedOn w:val="DefaultParagraphFont"/>
    <w:uiPriority w:val="4"/>
    <w:qFormat/>
    <w:rPr>
      <w:rFonts w:ascii="Candara" w:hAnsi="Candara"/>
      <w:b w:val="0"/>
      <w:sz w:val="20"/>
    </w:rPr>
  </w:style>
  <w:style w:type="paragraph" w:customStyle="1" w:styleId="HeadingY">
    <w:name w:val="Heading Y"/>
    <w:basedOn w:val="Heading2"/>
    <w:link w:val="HeadingYChar"/>
    <w:qFormat/>
    <w:pPr>
      <w:pageBreakBefore/>
      <w:widowControl/>
      <w:numPr>
        <w:ilvl w:val="1"/>
      </w:numPr>
      <w:spacing w:after="240" w:line="276" w:lineRule="auto"/>
      <w:contextualSpacing/>
      <w:jc w:val="left"/>
    </w:pPr>
    <w:rPr>
      <w:rFonts w:ascii="Candara" w:eastAsiaTheme="majorEastAsia" w:hAnsi="Candara" w:cstheme="majorBidi"/>
      <w:i w:val="0"/>
      <w:snapToGrid/>
      <w:spacing w:val="5"/>
      <w:sz w:val="30"/>
      <w:szCs w:val="28"/>
      <w:lang w:bidi="en-US"/>
    </w:rPr>
  </w:style>
  <w:style w:type="character" w:customStyle="1" w:styleId="HeadingYChar">
    <w:name w:val="Heading Y Char"/>
    <w:basedOn w:val="Heading2Char"/>
    <w:link w:val="HeadingY"/>
    <w:rPr>
      <w:rFonts w:ascii="Candara" w:eastAsiaTheme="majorEastAsia" w:hAnsi="Candara" w:cstheme="majorBidi"/>
      <w:b/>
      <w:i w:val="0"/>
      <w:snapToGrid/>
      <w:spacing w:val="5"/>
      <w:sz w:val="30"/>
      <w:szCs w:val="28"/>
      <w:lang w:eastAsia="en-US" w:bidi="en-US"/>
    </w:rPr>
  </w:style>
  <w:style w:type="table" w:customStyle="1" w:styleId="TableGrid1">
    <w:name w:val="Table Grid1"/>
    <w:basedOn w:val="TableNormal"/>
    <w:next w:val="TableGrid"/>
    <w:uiPriority w:val="59"/>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itationnospacefollowing">
    <w:name w:val="Citation (no space following)"/>
    <w:basedOn w:val="Normal"/>
    <w:uiPriority w:val="99"/>
    <w:qFormat/>
    <w:pPr>
      <w:widowControl/>
      <w:jc w:val="left"/>
    </w:pPr>
    <w:rPr>
      <w:rFonts w:eastAsiaTheme="majorEastAsia" w:cstheme="majorBidi"/>
      <w:snapToGrid/>
      <w:sz w:val="16"/>
      <w:lang w:bidi="en-US"/>
    </w:rPr>
  </w:style>
  <w:style w:type="paragraph" w:customStyle="1" w:styleId="Paragraph">
    <w:name w:val="Paragraph"/>
    <w:basedOn w:val="Normal"/>
    <w:link w:val="ParagraphChar"/>
    <w:pPr>
      <w:widowControl/>
      <w:spacing w:after="240" w:line="360" w:lineRule="exact"/>
      <w:jc w:val="left"/>
    </w:pPr>
    <w:rPr>
      <w:rFonts w:ascii="Times New Roman" w:hAnsi="Times New Roman"/>
      <w:snapToGrid/>
      <w:szCs w:val="20"/>
      <w:lang w:val="en-US"/>
    </w:rPr>
  </w:style>
  <w:style w:type="character" w:customStyle="1" w:styleId="ParagraphChar">
    <w:name w:val="Paragraph Char"/>
    <w:basedOn w:val="DefaultParagraphFont"/>
    <w:link w:val="Paragraph"/>
    <w:rPr>
      <w:rFonts w:cs="Arial"/>
      <w:sz w:val="24"/>
      <w:lang w:val="en-US" w:eastAsia="en-US"/>
    </w:rPr>
  </w:style>
  <w:style w:type="character" w:customStyle="1" w:styleId="Heading1Char">
    <w:name w:val="Heading 1 Char"/>
    <w:basedOn w:val="DefaultParagraphFont"/>
    <w:link w:val="Heading1"/>
    <w:uiPriority w:val="9"/>
    <w:locked/>
    <w:rPr>
      <w:rFonts w:ascii="Calibri" w:hAnsi="Calibri" w:cs="Arial"/>
      <w:b/>
      <w:caps/>
      <w:snapToGrid w:val="0"/>
      <w:sz w:val="32"/>
      <w:szCs w:val="22"/>
      <w:lang w:eastAsia="en-US"/>
    </w:rPr>
  </w:style>
  <w:style w:type="paragraph" w:customStyle="1" w:styleId="ReferenceList">
    <w:name w:val="ReferenceList"/>
    <w:basedOn w:val="Paragraph"/>
    <w:link w:val="ReferenceListChar"/>
    <w:pPr>
      <w:ind w:left="1080" w:hanging="1080"/>
    </w:pPr>
    <w:rPr>
      <w:color w:val="0000FF"/>
    </w:rPr>
  </w:style>
  <w:style w:type="paragraph" w:customStyle="1" w:styleId="AddSpace">
    <w:name w:val="AddSpace"/>
    <w:basedOn w:val="Paragraph"/>
    <w:next w:val="Paragraph"/>
    <w:link w:val="AddSpaceChar"/>
    <w:uiPriority w:val="99"/>
    <w:pPr>
      <w:spacing w:after="60" w:line="240" w:lineRule="auto"/>
    </w:pPr>
  </w:style>
  <w:style w:type="character" w:customStyle="1" w:styleId="AddSpaceChar">
    <w:name w:val="AddSpace Char"/>
    <w:basedOn w:val="ParagraphChar"/>
    <w:link w:val="AddSpace"/>
    <w:uiPriority w:val="99"/>
    <w:rPr>
      <w:rFonts w:cs="Arial"/>
      <w:sz w:val="24"/>
      <w:lang w:val="en-US" w:eastAsia="en-US"/>
    </w:rPr>
  </w:style>
  <w:style w:type="paragraph" w:customStyle="1" w:styleId="TableStyle">
    <w:name w:val="TableStyle"/>
    <w:basedOn w:val="Paragraph"/>
    <w:link w:val="TableStyleChar"/>
    <w:pPr>
      <w:keepNext/>
      <w:spacing w:before="20" w:after="20" w:line="280" w:lineRule="exact"/>
    </w:pPr>
    <w:rPr>
      <w:sz w:val="20"/>
    </w:rPr>
  </w:style>
  <w:style w:type="character" w:customStyle="1" w:styleId="TableStyleChar">
    <w:name w:val="TableStyle Char"/>
    <w:basedOn w:val="DefaultParagraphFont"/>
    <w:link w:val="TableStyle"/>
    <w:rPr>
      <w:rFonts w:cs="Arial"/>
      <w:lang w:val="en-US" w:eastAsia="en-US"/>
    </w:rPr>
  </w:style>
  <w:style w:type="paragraph" w:customStyle="1" w:styleId="ListStyle">
    <w:name w:val="ListStyle"/>
    <w:basedOn w:val="Paragraph"/>
    <w:link w:val="ListStyleChar"/>
    <w:pPr>
      <w:spacing w:before="20" w:after="60" w:line="280" w:lineRule="exact"/>
    </w:pPr>
  </w:style>
  <w:style w:type="character" w:customStyle="1" w:styleId="ListStyleChar">
    <w:name w:val="ListStyle Char"/>
    <w:basedOn w:val="DefaultParagraphFont"/>
    <w:link w:val="ListStyle"/>
    <w:rPr>
      <w:rFonts w:cs="Arial"/>
      <w:sz w:val="24"/>
      <w:lang w:val="en-US" w:eastAsia="en-US"/>
    </w:rPr>
  </w:style>
  <w:style w:type="paragraph" w:customStyle="1" w:styleId="ParagraphBeforeList">
    <w:name w:val="ParagraphBeforeList"/>
    <w:basedOn w:val="Paragraph"/>
    <w:next w:val="ListBullet0"/>
    <w:link w:val="ParagraphBeforeListChar"/>
    <w:pPr>
      <w:keepNext/>
      <w:spacing w:after="120"/>
    </w:pPr>
  </w:style>
  <w:style w:type="character" w:customStyle="1" w:styleId="ParagraphBeforeListChar">
    <w:name w:val="ParagraphBeforeList Char"/>
    <w:basedOn w:val="ParagraphChar"/>
    <w:link w:val="ParagraphBeforeList"/>
    <w:rPr>
      <w:rFonts w:cs="Arial"/>
      <w:sz w:val="24"/>
      <w:lang w:val="en-US" w:eastAsia="en-US"/>
    </w:rPr>
  </w:style>
  <w:style w:type="paragraph" w:customStyle="1" w:styleId="ListBullet0">
    <w:name w:val="ListBullet"/>
    <w:basedOn w:val="Paragraph"/>
    <w:link w:val="ListBulletChar"/>
    <w:pPr>
      <w:numPr>
        <w:numId w:val="7"/>
      </w:numPr>
      <w:spacing w:before="20" w:after="60" w:line="280" w:lineRule="exact"/>
    </w:pPr>
  </w:style>
  <w:style w:type="character" w:customStyle="1" w:styleId="ListBulletChar">
    <w:name w:val="ListBullet Char"/>
    <w:basedOn w:val="ParagraphChar"/>
    <w:link w:val="ListBullet0"/>
    <w:rPr>
      <w:rFonts w:cs="Arial"/>
      <w:sz w:val="24"/>
      <w:lang w:val="en-US" w:eastAsia="en-US"/>
    </w:rPr>
  </w:style>
  <w:style w:type="paragraph" w:customStyle="1" w:styleId="TableLegend">
    <w:name w:val="TableLegend"/>
    <w:basedOn w:val="Paragraph"/>
    <w:link w:val="TableLegendChar"/>
    <w:pPr>
      <w:tabs>
        <w:tab w:val="left" w:pos="180"/>
      </w:tabs>
      <w:spacing w:after="40" w:line="240" w:lineRule="exact"/>
      <w:ind w:left="187" w:hanging="187"/>
    </w:pPr>
    <w:rPr>
      <w:sz w:val="18"/>
    </w:rPr>
  </w:style>
  <w:style w:type="character" w:customStyle="1" w:styleId="TableLegendChar">
    <w:name w:val="TableLegend Char"/>
    <w:basedOn w:val="ParagraphChar"/>
    <w:link w:val="TableLegend"/>
    <w:rPr>
      <w:rFonts w:cs="Arial"/>
      <w:sz w:val="18"/>
      <w:lang w:val="en-US" w:eastAsia="en-US"/>
    </w:rPr>
  </w:style>
  <w:style w:type="paragraph" w:styleId="TableofFigures">
    <w:name w:val="table of figures"/>
    <w:next w:val="C-BodyText"/>
    <w:uiPriority w:val="99"/>
    <w:pPr>
      <w:tabs>
        <w:tab w:val="left" w:pos="1152"/>
        <w:tab w:val="right" w:leader="dot" w:pos="9360"/>
      </w:tabs>
      <w:spacing w:before="120" w:line="280" w:lineRule="atLeast"/>
      <w:ind w:left="1152" w:right="792" w:hanging="1152"/>
    </w:pPr>
    <w:rPr>
      <w:rFonts w:cs="Arial"/>
      <w:color w:val="0000FF"/>
      <w:sz w:val="24"/>
      <w:lang w:val="en-US" w:eastAsia="en-US"/>
    </w:rPr>
  </w:style>
  <w:style w:type="paragraph" w:customStyle="1" w:styleId="SynopsisParagraph">
    <w:name w:val="SynopsisParagraph"/>
    <w:link w:val="SynopsisParagraphChar"/>
    <w:pPr>
      <w:spacing w:after="120" w:line="280" w:lineRule="exact"/>
      <w:ind w:left="720"/>
    </w:pPr>
    <w:rPr>
      <w:lang w:val="en-US" w:eastAsia="en-US"/>
    </w:rPr>
  </w:style>
  <w:style w:type="paragraph" w:customStyle="1" w:styleId="SynopsisTitle">
    <w:name w:val="SynopsisTitle"/>
    <w:basedOn w:val="Normal"/>
    <w:pPr>
      <w:keepNext/>
      <w:widowControl/>
      <w:pBdr>
        <w:bottom w:val="single" w:sz="12" w:space="1" w:color="auto"/>
      </w:pBdr>
      <w:spacing w:after="120" w:line="360" w:lineRule="exact"/>
      <w:jc w:val="left"/>
    </w:pPr>
    <w:rPr>
      <w:rFonts w:ascii="Times New Roman" w:hAnsi="Times New Roman"/>
      <w:b/>
      <w:bCs/>
      <w:snapToGrid/>
      <w:sz w:val="20"/>
      <w:szCs w:val="20"/>
      <w:lang w:val="en-US"/>
    </w:rPr>
  </w:style>
  <w:style w:type="paragraph" w:customStyle="1" w:styleId="SynopsisListBullet">
    <w:name w:val="SynopsisListBullet"/>
    <w:pPr>
      <w:numPr>
        <w:numId w:val="8"/>
      </w:numPr>
      <w:spacing w:after="120" w:line="280" w:lineRule="exact"/>
    </w:pPr>
    <w:rPr>
      <w:lang w:val="en-US" w:eastAsia="en-US"/>
    </w:rPr>
  </w:style>
  <w:style w:type="paragraph" w:customStyle="1" w:styleId="SynopsisAddSpace">
    <w:name w:val="SynopsisAddSpace"/>
    <w:rPr>
      <w:lang w:val="en-US" w:eastAsia="en-US"/>
    </w:rPr>
  </w:style>
  <w:style w:type="paragraph" w:customStyle="1" w:styleId="SynopsisListNumber">
    <w:name w:val="SynopsisListNumber"/>
    <w:pPr>
      <w:numPr>
        <w:numId w:val="6"/>
      </w:numPr>
      <w:spacing w:after="120" w:line="280" w:lineRule="exact"/>
    </w:pPr>
    <w:rPr>
      <w:lang w:val="en-US" w:eastAsia="en-US"/>
    </w:rPr>
  </w:style>
  <w:style w:type="paragraph" w:customStyle="1" w:styleId="ListNumber0">
    <w:name w:val="ListNumber"/>
    <w:link w:val="ListNumberChar"/>
    <w:pPr>
      <w:numPr>
        <w:numId w:val="9"/>
      </w:numPr>
      <w:spacing w:before="20" w:after="60" w:line="280" w:lineRule="exact"/>
    </w:pPr>
    <w:rPr>
      <w:sz w:val="24"/>
      <w:szCs w:val="24"/>
      <w:lang w:val="en-US" w:eastAsia="en-US"/>
    </w:rPr>
  </w:style>
  <w:style w:type="paragraph" w:styleId="BlockText">
    <w:name w:val="Block Text"/>
    <w:basedOn w:val="Normal"/>
    <w:pPr>
      <w:widowControl/>
      <w:spacing w:after="120"/>
      <w:ind w:left="1440" w:right="1440"/>
      <w:jc w:val="left"/>
    </w:pPr>
    <w:rPr>
      <w:rFonts w:ascii="Times New Roman" w:hAnsi="Times New Roman"/>
      <w:snapToGrid/>
      <w:szCs w:val="20"/>
      <w:lang w:val="en-US"/>
    </w:rPr>
  </w:style>
  <w:style w:type="paragraph" w:styleId="BodyText2">
    <w:name w:val="Body Text 2"/>
    <w:basedOn w:val="Normal"/>
    <w:link w:val="BodyText2Char"/>
    <w:pPr>
      <w:widowControl/>
      <w:spacing w:after="120" w:line="480" w:lineRule="auto"/>
      <w:jc w:val="left"/>
    </w:pPr>
    <w:rPr>
      <w:rFonts w:ascii="Times New Roman" w:hAnsi="Times New Roman"/>
      <w:snapToGrid/>
      <w:szCs w:val="20"/>
      <w:lang w:val="en-US"/>
    </w:rPr>
  </w:style>
  <w:style w:type="character" w:customStyle="1" w:styleId="BodyText2Char">
    <w:name w:val="Body Text 2 Char"/>
    <w:basedOn w:val="DefaultParagraphFont"/>
    <w:link w:val="BodyText2"/>
    <w:rPr>
      <w:rFonts w:cs="Arial"/>
      <w:sz w:val="24"/>
      <w:lang w:val="en-US" w:eastAsia="en-US"/>
    </w:rPr>
  </w:style>
  <w:style w:type="paragraph" w:styleId="BodyText3">
    <w:name w:val="Body Text 3"/>
    <w:basedOn w:val="Normal"/>
    <w:link w:val="BodyText3Char"/>
    <w:pPr>
      <w:widowControl/>
      <w:spacing w:after="120"/>
      <w:jc w:val="left"/>
    </w:pPr>
    <w:rPr>
      <w:rFonts w:ascii="Times New Roman" w:hAnsi="Times New Roman"/>
      <w:snapToGrid/>
      <w:sz w:val="16"/>
      <w:szCs w:val="16"/>
      <w:lang w:val="en-US"/>
    </w:rPr>
  </w:style>
  <w:style w:type="character" w:customStyle="1" w:styleId="BodyText3Char">
    <w:name w:val="Body Text 3 Char"/>
    <w:basedOn w:val="DefaultParagraphFont"/>
    <w:link w:val="BodyText3"/>
    <w:rPr>
      <w:rFonts w:cs="Arial"/>
      <w:sz w:val="16"/>
      <w:szCs w:val="16"/>
      <w:lang w:val="en-US" w:eastAsia="en-US"/>
    </w:rPr>
  </w:style>
  <w:style w:type="paragraph" w:styleId="BodyTextFirstIndent">
    <w:name w:val="Body Text First Indent"/>
    <w:basedOn w:val="BodyText"/>
    <w:link w:val="BodyTextFirstIndentChar"/>
    <w:pPr>
      <w:widowControl/>
      <w:spacing w:after="120"/>
      <w:ind w:firstLine="210"/>
    </w:pPr>
    <w:rPr>
      <w:rFonts w:ascii="Times New Roman" w:hAnsi="Times New Roman"/>
      <w:snapToGrid/>
      <w:szCs w:val="20"/>
      <w:lang w:val="en-US"/>
    </w:rPr>
  </w:style>
  <w:style w:type="character" w:customStyle="1" w:styleId="BodyTextFirstIndentChar">
    <w:name w:val="Body Text First Indent Char"/>
    <w:basedOn w:val="BodyTextChar"/>
    <w:link w:val="BodyTextFirstIndent"/>
    <w:rPr>
      <w:rFonts w:ascii="Arial" w:hAnsi="Arial" w:cs="Arial"/>
      <w:snapToGrid/>
      <w:sz w:val="24"/>
      <w:lang w:val="en-US" w:eastAsia="en-US"/>
    </w:rPr>
  </w:style>
  <w:style w:type="paragraph" w:styleId="BodyTextFirstIndent2">
    <w:name w:val="Body Text First Indent 2"/>
    <w:basedOn w:val="BodyTextIndent"/>
    <w:link w:val="BodyTextFirstIndent2Char"/>
    <w:pPr>
      <w:widowControl/>
      <w:ind w:left="360" w:firstLine="210"/>
      <w:jc w:val="left"/>
    </w:pPr>
    <w:rPr>
      <w:rFonts w:ascii="Times New Roman" w:hAnsi="Times New Roman"/>
      <w:snapToGrid/>
      <w:szCs w:val="20"/>
      <w:lang w:val="en-US"/>
    </w:rPr>
  </w:style>
  <w:style w:type="character" w:customStyle="1" w:styleId="BodyTextFirstIndent2Char">
    <w:name w:val="Body Text First Indent 2 Char"/>
    <w:basedOn w:val="BodyTextIndentChar"/>
    <w:link w:val="BodyTextFirstIndent2"/>
    <w:rPr>
      <w:rFonts w:ascii="Arial" w:hAnsi="Arial" w:cs="Arial"/>
      <w:snapToGrid/>
      <w:sz w:val="24"/>
      <w:lang w:val="en-US" w:eastAsia="en-US"/>
    </w:rPr>
  </w:style>
  <w:style w:type="paragraph" w:styleId="BodyTextIndent2">
    <w:name w:val="Body Text Indent 2"/>
    <w:basedOn w:val="Normal"/>
    <w:link w:val="BodyTextIndent2Char"/>
    <w:pPr>
      <w:widowControl/>
      <w:spacing w:after="120" w:line="480" w:lineRule="auto"/>
      <w:ind w:left="360"/>
      <w:jc w:val="left"/>
    </w:pPr>
    <w:rPr>
      <w:rFonts w:ascii="Times New Roman" w:hAnsi="Times New Roman"/>
      <w:snapToGrid/>
      <w:szCs w:val="20"/>
      <w:lang w:val="en-US"/>
    </w:rPr>
  </w:style>
  <w:style w:type="character" w:customStyle="1" w:styleId="BodyTextIndent2Char">
    <w:name w:val="Body Text Indent 2 Char"/>
    <w:basedOn w:val="DefaultParagraphFont"/>
    <w:link w:val="BodyTextIndent2"/>
    <w:rPr>
      <w:rFonts w:cs="Arial"/>
      <w:sz w:val="24"/>
      <w:lang w:val="en-US" w:eastAsia="en-US"/>
    </w:rPr>
  </w:style>
  <w:style w:type="paragraph" w:styleId="BodyTextIndent3">
    <w:name w:val="Body Text Indent 3"/>
    <w:basedOn w:val="Normal"/>
    <w:link w:val="BodyTextIndent3Char"/>
    <w:pPr>
      <w:widowControl/>
      <w:spacing w:after="120"/>
      <w:ind w:left="360"/>
      <w:jc w:val="left"/>
    </w:pPr>
    <w:rPr>
      <w:rFonts w:ascii="Times New Roman" w:hAnsi="Times New Roman"/>
      <w:snapToGrid/>
      <w:sz w:val="16"/>
      <w:szCs w:val="16"/>
      <w:lang w:val="en-US"/>
    </w:rPr>
  </w:style>
  <w:style w:type="character" w:customStyle="1" w:styleId="BodyTextIndent3Char">
    <w:name w:val="Body Text Indent 3 Char"/>
    <w:basedOn w:val="DefaultParagraphFont"/>
    <w:link w:val="BodyTextIndent3"/>
    <w:rPr>
      <w:rFonts w:cs="Arial"/>
      <w:sz w:val="16"/>
      <w:szCs w:val="16"/>
      <w:lang w:val="en-US" w:eastAsia="en-US"/>
    </w:rPr>
  </w:style>
  <w:style w:type="paragraph" w:styleId="Closing">
    <w:name w:val="Closing"/>
    <w:basedOn w:val="Normal"/>
    <w:link w:val="ClosingChar"/>
    <w:pPr>
      <w:widowControl/>
      <w:ind w:left="4320"/>
      <w:jc w:val="left"/>
    </w:pPr>
    <w:rPr>
      <w:rFonts w:ascii="Times New Roman" w:hAnsi="Times New Roman"/>
      <w:snapToGrid/>
      <w:szCs w:val="20"/>
      <w:lang w:val="en-US"/>
    </w:rPr>
  </w:style>
  <w:style w:type="character" w:customStyle="1" w:styleId="ClosingChar">
    <w:name w:val="Closing Char"/>
    <w:basedOn w:val="DefaultParagraphFont"/>
    <w:link w:val="Closing"/>
    <w:rPr>
      <w:rFonts w:cs="Arial"/>
      <w:sz w:val="24"/>
      <w:lang w:val="en-US" w:eastAsia="en-US"/>
    </w:rPr>
  </w:style>
  <w:style w:type="paragraph" w:styleId="Date">
    <w:name w:val="Date"/>
    <w:basedOn w:val="Normal"/>
    <w:next w:val="Normal"/>
    <w:link w:val="DateChar"/>
    <w:pPr>
      <w:widowControl/>
      <w:jc w:val="left"/>
    </w:pPr>
    <w:rPr>
      <w:rFonts w:ascii="Times New Roman" w:hAnsi="Times New Roman"/>
      <w:snapToGrid/>
      <w:szCs w:val="20"/>
      <w:lang w:val="en-US"/>
    </w:rPr>
  </w:style>
  <w:style w:type="character" w:customStyle="1" w:styleId="DateChar">
    <w:name w:val="Date Char"/>
    <w:basedOn w:val="DefaultParagraphFont"/>
    <w:link w:val="Date"/>
    <w:rPr>
      <w:rFonts w:cs="Arial"/>
      <w:sz w:val="24"/>
      <w:lang w:val="en-US" w:eastAsia="en-US"/>
    </w:rPr>
  </w:style>
  <w:style w:type="paragraph" w:styleId="DocumentMap">
    <w:name w:val="Document Map"/>
    <w:basedOn w:val="Normal"/>
    <w:link w:val="DocumentMapChar"/>
    <w:semiHidden/>
    <w:pPr>
      <w:widowControl/>
      <w:shd w:val="clear" w:color="auto" w:fill="000080"/>
      <w:jc w:val="left"/>
    </w:pPr>
    <w:rPr>
      <w:rFonts w:ascii="Tahoma" w:hAnsi="Tahoma" w:cs="Tahoma"/>
      <w:snapToGrid/>
      <w:sz w:val="20"/>
      <w:szCs w:val="20"/>
      <w:lang w:val="en-US"/>
    </w:rPr>
  </w:style>
  <w:style w:type="character" w:customStyle="1" w:styleId="DocumentMapChar">
    <w:name w:val="Document Map Char"/>
    <w:basedOn w:val="DefaultParagraphFont"/>
    <w:link w:val="DocumentMap"/>
    <w:semiHidden/>
    <w:rPr>
      <w:rFonts w:ascii="Tahoma" w:hAnsi="Tahoma" w:cs="Tahoma"/>
      <w:shd w:val="clear" w:color="auto" w:fill="000080"/>
      <w:lang w:val="en-US" w:eastAsia="en-US"/>
    </w:rPr>
  </w:style>
  <w:style w:type="paragraph" w:styleId="E-mailSignature">
    <w:name w:val="E-mail Signature"/>
    <w:basedOn w:val="Normal"/>
    <w:link w:val="E-mailSignatureChar"/>
    <w:pPr>
      <w:widowControl/>
      <w:jc w:val="left"/>
    </w:pPr>
    <w:rPr>
      <w:rFonts w:ascii="Times New Roman" w:hAnsi="Times New Roman"/>
      <w:snapToGrid/>
      <w:szCs w:val="20"/>
      <w:lang w:val="en-US"/>
    </w:rPr>
  </w:style>
  <w:style w:type="character" w:customStyle="1" w:styleId="E-mailSignatureChar">
    <w:name w:val="E-mail Signature Char"/>
    <w:basedOn w:val="DefaultParagraphFont"/>
    <w:link w:val="E-mailSignature"/>
    <w:rPr>
      <w:rFonts w:cs="Arial"/>
      <w:sz w:val="24"/>
      <w:lang w:val="en-US" w:eastAsia="en-US"/>
    </w:rPr>
  </w:style>
  <w:style w:type="paragraph" w:styleId="EndnoteText">
    <w:name w:val="endnote text"/>
    <w:basedOn w:val="Normal"/>
    <w:link w:val="EndnoteTextChar"/>
    <w:semiHidden/>
    <w:pPr>
      <w:widowControl/>
      <w:jc w:val="left"/>
    </w:pPr>
    <w:rPr>
      <w:rFonts w:ascii="Times New Roman" w:hAnsi="Times New Roman"/>
      <w:snapToGrid/>
      <w:sz w:val="20"/>
      <w:szCs w:val="20"/>
      <w:lang w:val="en-US"/>
    </w:rPr>
  </w:style>
  <w:style w:type="character" w:customStyle="1" w:styleId="EndnoteTextChar">
    <w:name w:val="Endnote Text Char"/>
    <w:basedOn w:val="DefaultParagraphFont"/>
    <w:link w:val="EndnoteText"/>
    <w:semiHidden/>
    <w:rPr>
      <w:rFonts w:cs="Arial"/>
      <w:lang w:val="en-US" w:eastAsia="en-US"/>
    </w:rPr>
  </w:style>
  <w:style w:type="paragraph" w:styleId="EnvelopeAddress">
    <w:name w:val="envelope address"/>
    <w:basedOn w:val="Normal"/>
    <w:pPr>
      <w:framePr w:w="7920" w:h="1980" w:hRule="exact" w:hSpace="180" w:wrap="auto" w:hAnchor="page" w:xAlign="center" w:yAlign="bottom"/>
      <w:widowControl/>
      <w:ind w:left="2880"/>
      <w:jc w:val="left"/>
    </w:pPr>
    <w:rPr>
      <w:rFonts w:ascii="Arial" w:hAnsi="Arial"/>
      <w:snapToGrid/>
      <w:szCs w:val="20"/>
      <w:lang w:val="en-US"/>
    </w:rPr>
  </w:style>
  <w:style w:type="paragraph" w:styleId="EnvelopeReturn">
    <w:name w:val="envelope return"/>
    <w:basedOn w:val="Normal"/>
    <w:pPr>
      <w:widowControl/>
      <w:jc w:val="left"/>
    </w:pPr>
    <w:rPr>
      <w:rFonts w:ascii="Arial" w:hAnsi="Arial"/>
      <w:snapToGrid/>
      <w:sz w:val="20"/>
      <w:szCs w:val="20"/>
      <w:lang w:val="en-US"/>
    </w:rPr>
  </w:style>
  <w:style w:type="paragraph" w:styleId="HTMLAddress">
    <w:name w:val="HTML Address"/>
    <w:basedOn w:val="Normal"/>
    <w:link w:val="HTMLAddressChar"/>
    <w:pPr>
      <w:widowControl/>
      <w:jc w:val="left"/>
    </w:pPr>
    <w:rPr>
      <w:rFonts w:ascii="Times New Roman" w:hAnsi="Times New Roman"/>
      <w:i/>
      <w:iCs/>
      <w:snapToGrid/>
      <w:szCs w:val="20"/>
      <w:lang w:val="en-US"/>
    </w:rPr>
  </w:style>
  <w:style w:type="character" w:customStyle="1" w:styleId="HTMLAddressChar">
    <w:name w:val="HTML Address Char"/>
    <w:basedOn w:val="DefaultParagraphFont"/>
    <w:link w:val="HTMLAddress"/>
    <w:rPr>
      <w:rFonts w:cs="Arial"/>
      <w:i/>
      <w:iCs/>
      <w:sz w:val="24"/>
      <w:lang w:val="en-US" w:eastAsia="en-US"/>
    </w:rPr>
  </w:style>
  <w:style w:type="paragraph" w:styleId="HTMLPreformatted">
    <w:name w:val="HTML Preformatted"/>
    <w:basedOn w:val="Normal"/>
    <w:link w:val="HTMLPreformattedChar"/>
    <w:pPr>
      <w:widowControl/>
      <w:jc w:val="left"/>
    </w:pPr>
    <w:rPr>
      <w:rFonts w:ascii="Courier New" w:hAnsi="Courier New" w:cs="Courier New"/>
      <w:snapToGrid/>
      <w:sz w:val="20"/>
      <w:szCs w:val="20"/>
      <w:lang w:val="en-US"/>
    </w:rPr>
  </w:style>
  <w:style w:type="character" w:customStyle="1" w:styleId="HTMLPreformattedChar">
    <w:name w:val="HTML Preformatted Char"/>
    <w:basedOn w:val="DefaultParagraphFont"/>
    <w:link w:val="HTMLPreformatted"/>
    <w:rPr>
      <w:rFonts w:ascii="Courier New" w:hAnsi="Courier New" w:cs="Courier New"/>
      <w:lang w:val="en-US" w:eastAsia="en-US"/>
    </w:rPr>
  </w:style>
  <w:style w:type="paragraph" w:styleId="Index1">
    <w:name w:val="index 1"/>
    <w:basedOn w:val="Normal"/>
    <w:next w:val="Normal"/>
    <w:autoRedefine/>
    <w:semiHidden/>
    <w:pPr>
      <w:widowControl/>
      <w:ind w:left="240" w:hanging="240"/>
      <w:jc w:val="left"/>
    </w:pPr>
    <w:rPr>
      <w:rFonts w:ascii="Times New Roman" w:hAnsi="Times New Roman"/>
      <w:snapToGrid/>
      <w:szCs w:val="20"/>
      <w:lang w:val="en-US"/>
    </w:rPr>
  </w:style>
  <w:style w:type="paragraph" w:styleId="Index2">
    <w:name w:val="index 2"/>
    <w:basedOn w:val="Normal"/>
    <w:next w:val="Normal"/>
    <w:autoRedefine/>
    <w:semiHidden/>
    <w:pPr>
      <w:widowControl/>
      <w:ind w:left="480" w:hanging="240"/>
      <w:jc w:val="left"/>
    </w:pPr>
    <w:rPr>
      <w:rFonts w:ascii="Times New Roman" w:hAnsi="Times New Roman"/>
      <w:snapToGrid/>
      <w:szCs w:val="20"/>
      <w:lang w:val="en-US"/>
    </w:rPr>
  </w:style>
  <w:style w:type="paragraph" w:styleId="Index3">
    <w:name w:val="index 3"/>
    <w:basedOn w:val="Normal"/>
    <w:next w:val="Normal"/>
    <w:autoRedefine/>
    <w:semiHidden/>
    <w:pPr>
      <w:widowControl/>
      <w:ind w:left="720" w:hanging="240"/>
      <w:jc w:val="left"/>
    </w:pPr>
    <w:rPr>
      <w:rFonts w:ascii="Times New Roman" w:hAnsi="Times New Roman"/>
      <w:snapToGrid/>
      <w:szCs w:val="20"/>
      <w:lang w:val="en-US"/>
    </w:rPr>
  </w:style>
  <w:style w:type="paragraph" w:styleId="Index4">
    <w:name w:val="index 4"/>
    <w:basedOn w:val="Normal"/>
    <w:next w:val="Normal"/>
    <w:autoRedefine/>
    <w:semiHidden/>
    <w:pPr>
      <w:widowControl/>
      <w:ind w:left="960" w:hanging="240"/>
      <w:jc w:val="left"/>
    </w:pPr>
    <w:rPr>
      <w:rFonts w:ascii="Times New Roman" w:hAnsi="Times New Roman"/>
      <w:snapToGrid/>
      <w:szCs w:val="20"/>
      <w:lang w:val="en-US"/>
    </w:rPr>
  </w:style>
  <w:style w:type="paragraph" w:styleId="Index5">
    <w:name w:val="index 5"/>
    <w:basedOn w:val="Normal"/>
    <w:next w:val="Normal"/>
    <w:autoRedefine/>
    <w:semiHidden/>
    <w:pPr>
      <w:widowControl/>
      <w:ind w:left="1200" w:hanging="240"/>
      <w:jc w:val="left"/>
    </w:pPr>
    <w:rPr>
      <w:rFonts w:ascii="Times New Roman" w:hAnsi="Times New Roman"/>
      <w:snapToGrid/>
      <w:szCs w:val="20"/>
      <w:lang w:val="en-US"/>
    </w:rPr>
  </w:style>
  <w:style w:type="paragraph" w:styleId="Index6">
    <w:name w:val="index 6"/>
    <w:basedOn w:val="Normal"/>
    <w:next w:val="Normal"/>
    <w:autoRedefine/>
    <w:semiHidden/>
    <w:pPr>
      <w:widowControl/>
      <w:ind w:left="1440" w:hanging="240"/>
      <w:jc w:val="left"/>
    </w:pPr>
    <w:rPr>
      <w:rFonts w:ascii="Times New Roman" w:hAnsi="Times New Roman"/>
      <w:snapToGrid/>
      <w:szCs w:val="20"/>
      <w:lang w:val="en-US"/>
    </w:rPr>
  </w:style>
  <w:style w:type="paragraph" w:styleId="Index7">
    <w:name w:val="index 7"/>
    <w:basedOn w:val="Normal"/>
    <w:next w:val="Normal"/>
    <w:autoRedefine/>
    <w:semiHidden/>
    <w:pPr>
      <w:widowControl/>
      <w:ind w:left="1680" w:hanging="240"/>
      <w:jc w:val="left"/>
    </w:pPr>
    <w:rPr>
      <w:rFonts w:ascii="Times New Roman" w:hAnsi="Times New Roman"/>
      <w:snapToGrid/>
      <w:szCs w:val="20"/>
      <w:lang w:val="en-US"/>
    </w:rPr>
  </w:style>
  <w:style w:type="paragraph" w:styleId="Index8">
    <w:name w:val="index 8"/>
    <w:basedOn w:val="Normal"/>
    <w:next w:val="Normal"/>
    <w:autoRedefine/>
    <w:semiHidden/>
    <w:pPr>
      <w:widowControl/>
      <w:ind w:left="1920" w:hanging="240"/>
      <w:jc w:val="left"/>
    </w:pPr>
    <w:rPr>
      <w:rFonts w:ascii="Times New Roman" w:hAnsi="Times New Roman"/>
      <w:snapToGrid/>
      <w:szCs w:val="20"/>
      <w:lang w:val="en-US"/>
    </w:rPr>
  </w:style>
  <w:style w:type="paragraph" w:styleId="Index9">
    <w:name w:val="index 9"/>
    <w:basedOn w:val="Normal"/>
    <w:next w:val="Normal"/>
    <w:autoRedefine/>
    <w:semiHidden/>
    <w:pPr>
      <w:widowControl/>
      <w:ind w:left="2160" w:hanging="240"/>
      <w:jc w:val="left"/>
    </w:pPr>
    <w:rPr>
      <w:rFonts w:ascii="Times New Roman" w:hAnsi="Times New Roman"/>
      <w:snapToGrid/>
      <w:szCs w:val="20"/>
      <w:lang w:val="en-US"/>
    </w:rPr>
  </w:style>
  <w:style w:type="paragraph" w:styleId="IndexHeading">
    <w:name w:val="index heading"/>
    <w:basedOn w:val="Normal"/>
    <w:next w:val="Index1"/>
    <w:semiHidden/>
    <w:pPr>
      <w:widowControl/>
      <w:jc w:val="left"/>
    </w:pPr>
    <w:rPr>
      <w:rFonts w:ascii="Arial" w:hAnsi="Arial"/>
      <w:b/>
      <w:bCs/>
      <w:snapToGrid/>
      <w:szCs w:val="20"/>
      <w:lang w:val="en-US"/>
    </w:rPr>
  </w:style>
  <w:style w:type="paragraph" w:styleId="List">
    <w:name w:val="List"/>
    <w:basedOn w:val="Normal"/>
    <w:pPr>
      <w:widowControl/>
      <w:ind w:left="360" w:hanging="360"/>
      <w:jc w:val="left"/>
    </w:pPr>
    <w:rPr>
      <w:rFonts w:ascii="Times New Roman" w:hAnsi="Times New Roman"/>
      <w:snapToGrid/>
      <w:szCs w:val="20"/>
      <w:lang w:val="en-US"/>
    </w:rPr>
  </w:style>
  <w:style w:type="paragraph" w:styleId="List2">
    <w:name w:val="List 2"/>
    <w:basedOn w:val="Normal"/>
    <w:pPr>
      <w:widowControl/>
      <w:ind w:left="720" w:hanging="360"/>
      <w:jc w:val="left"/>
    </w:pPr>
    <w:rPr>
      <w:rFonts w:ascii="Times New Roman" w:hAnsi="Times New Roman"/>
      <w:snapToGrid/>
      <w:szCs w:val="20"/>
      <w:lang w:val="en-US"/>
    </w:rPr>
  </w:style>
  <w:style w:type="paragraph" w:styleId="List3">
    <w:name w:val="List 3"/>
    <w:basedOn w:val="Normal"/>
    <w:pPr>
      <w:widowControl/>
      <w:ind w:left="1080" w:hanging="360"/>
      <w:jc w:val="left"/>
    </w:pPr>
    <w:rPr>
      <w:rFonts w:ascii="Times New Roman" w:hAnsi="Times New Roman"/>
      <w:snapToGrid/>
      <w:szCs w:val="20"/>
      <w:lang w:val="en-US"/>
    </w:rPr>
  </w:style>
  <w:style w:type="paragraph" w:styleId="List4">
    <w:name w:val="List 4"/>
    <w:basedOn w:val="Normal"/>
    <w:pPr>
      <w:widowControl/>
      <w:ind w:left="1440" w:hanging="360"/>
      <w:jc w:val="left"/>
    </w:pPr>
    <w:rPr>
      <w:rFonts w:ascii="Times New Roman" w:hAnsi="Times New Roman"/>
      <w:snapToGrid/>
      <w:szCs w:val="20"/>
      <w:lang w:val="en-US"/>
    </w:rPr>
  </w:style>
  <w:style w:type="paragraph" w:styleId="List5">
    <w:name w:val="List 5"/>
    <w:basedOn w:val="Normal"/>
    <w:pPr>
      <w:widowControl/>
      <w:ind w:left="1800" w:hanging="360"/>
      <w:jc w:val="left"/>
    </w:pPr>
    <w:rPr>
      <w:rFonts w:ascii="Times New Roman" w:hAnsi="Times New Roman"/>
      <w:snapToGrid/>
      <w:szCs w:val="20"/>
      <w:lang w:val="en-US"/>
    </w:rPr>
  </w:style>
  <w:style w:type="paragraph" w:styleId="ListBullet">
    <w:name w:val="List Bullet"/>
    <w:basedOn w:val="Normal"/>
    <w:pPr>
      <w:widowControl/>
      <w:numPr>
        <w:numId w:val="10"/>
      </w:numPr>
      <w:jc w:val="left"/>
    </w:pPr>
    <w:rPr>
      <w:rFonts w:ascii="Times New Roman" w:hAnsi="Times New Roman"/>
      <w:snapToGrid/>
      <w:szCs w:val="20"/>
      <w:lang w:val="en-US"/>
    </w:rPr>
  </w:style>
  <w:style w:type="paragraph" w:styleId="ListBullet2">
    <w:name w:val="List Bullet 2"/>
    <w:basedOn w:val="Normal"/>
    <w:pPr>
      <w:widowControl/>
      <w:numPr>
        <w:numId w:val="11"/>
      </w:numPr>
      <w:jc w:val="left"/>
    </w:pPr>
    <w:rPr>
      <w:rFonts w:ascii="Times New Roman" w:hAnsi="Times New Roman"/>
      <w:snapToGrid/>
      <w:szCs w:val="20"/>
      <w:lang w:val="en-US"/>
    </w:rPr>
  </w:style>
  <w:style w:type="paragraph" w:styleId="ListBullet3">
    <w:name w:val="List Bullet 3"/>
    <w:basedOn w:val="Normal"/>
    <w:pPr>
      <w:widowControl/>
      <w:numPr>
        <w:numId w:val="12"/>
      </w:numPr>
      <w:jc w:val="left"/>
    </w:pPr>
    <w:rPr>
      <w:rFonts w:ascii="Times New Roman" w:hAnsi="Times New Roman"/>
      <w:snapToGrid/>
      <w:szCs w:val="20"/>
      <w:lang w:val="en-US"/>
    </w:rPr>
  </w:style>
  <w:style w:type="paragraph" w:styleId="ListBullet4">
    <w:name w:val="List Bullet 4"/>
    <w:basedOn w:val="Normal"/>
    <w:pPr>
      <w:widowControl/>
      <w:numPr>
        <w:numId w:val="13"/>
      </w:numPr>
      <w:jc w:val="left"/>
    </w:pPr>
    <w:rPr>
      <w:rFonts w:ascii="Times New Roman" w:hAnsi="Times New Roman"/>
      <w:snapToGrid/>
      <w:szCs w:val="20"/>
      <w:lang w:val="en-US"/>
    </w:rPr>
  </w:style>
  <w:style w:type="paragraph" w:styleId="ListBullet5">
    <w:name w:val="List Bullet 5"/>
    <w:basedOn w:val="Normal"/>
    <w:pPr>
      <w:widowControl/>
      <w:numPr>
        <w:numId w:val="14"/>
      </w:numPr>
      <w:jc w:val="left"/>
    </w:pPr>
    <w:rPr>
      <w:rFonts w:ascii="Times New Roman" w:hAnsi="Times New Roman"/>
      <w:snapToGrid/>
      <w:szCs w:val="20"/>
      <w:lang w:val="en-US"/>
    </w:rPr>
  </w:style>
  <w:style w:type="paragraph" w:styleId="ListContinue">
    <w:name w:val="List Continue"/>
    <w:basedOn w:val="Normal"/>
    <w:pPr>
      <w:widowControl/>
      <w:spacing w:after="120"/>
      <w:ind w:left="360"/>
      <w:jc w:val="left"/>
    </w:pPr>
    <w:rPr>
      <w:rFonts w:ascii="Times New Roman" w:hAnsi="Times New Roman"/>
      <w:snapToGrid/>
      <w:szCs w:val="20"/>
      <w:lang w:val="en-US"/>
    </w:rPr>
  </w:style>
  <w:style w:type="paragraph" w:styleId="ListContinue2">
    <w:name w:val="List Continue 2"/>
    <w:basedOn w:val="Normal"/>
    <w:pPr>
      <w:widowControl/>
      <w:spacing w:after="120"/>
      <w:ind w:left="720"/>
      <w:jc w:val="left"/>
    </w:pPr>
    <w:rPr>
      <w:rFonts w:ascii="Times New Roman" w:hAnsi="Times New Roman"/>
      <w:snapToGrid/>
      <w:szCs w:val="20"/>
      <w:lang w:val="en-US"/>
    </w:rPr>
  </w:style>
  <w:style w:type="paragraph" w:styleId="ListContinue3">
    <w:name w:val="List Continue 3"/>
    <w:basedOn w:val="Normal"/>
    <w:pPr>
      <w:widowControl/>
      <w:spacing w:after="120"/>
      <w:ind w:left="1080"/>
      <w:jc w:val="left"/>
    </w:pPr>
    <w:rPr>
      <w:rFonts w:ascii="Times New Roman" w:hAnsi="Times New Roman"/>
      <w:snapToGrid/>
      <w:szCs w:val="20"/>
      <w:lang w:val="en-US"/>
    </w:rPr>
  </w:style>
  <w:style w:type="paragraph" w:styleId="ListContinue4">
    <w:name w:val="List Continue 4"/>
    <w:basedOn w:val="Normal"/>
    <w:pPr>
      <w:widowControl/>
      <w:spacing w:after="120"/>
      <w:ind w:left="1440"/>
      <w:jc w:val="left"/>
    </w:pPr>
    <w:rPr>
      <w:rFonts w:ascii="Times New Roman" w:hAnsi="Times New Roman"/>
      <w:snapToGrid/>
      <w:szCs w:val="20"/>
      <w:lang w:val="en-US"/>
    </w:rPr>
  </w:style>
  <w:style w:type="paragraph" w:styleId="ListContinue5">
    <w:name w:val="List Continue 5"/>
    <w:basedOn w:val="Normal"/>
    <w:pPr>
      <w:widowControl/>
      <w:spacing w:after="120"/>
      <w:ind w:left="1800"/>
      <w:jc w:val="left"/>
    </w:pPr>
    <w:rPr>
      <w:rFonts w:ascii="Times New Roman" w:hAnsi="Times New Roman"/>
      <w:snapToGrid/>
      <w:szCs w:val="20"/>
      <w:lang w:val="en-US"/>
    </w:rPr>
  </w:style>
  <w:style w:type="paragraph" w:styleId="ListNumber">
    <w:name w:val="List Number"/>
    <w:basedOn w:val="Normal"/>
    <w:pPr>
      <w:widowControl/>
      <w:numPr>
        <w:numId w:val="17"/>
      </w:numPr>
      <w:jc w:val="left"/>
    </w:pPr>
    <w:rPr>
      <w:rFonts w:ascii="Times New Roman" w:hAnsi="Times New Roman"/>
      <w:snapToGrid/>
      <w:szCs w:val="20"/>
      <w:lang w:val="en-US"/>
    </w:rPr>
  </w:style>
  <w:style w:type="paragraph" w:styleId="ListNumber2">
    <w:name w:val="List Number 2"/>
    <w:basedOn w:val="Normal"/>
    <w:pPr>
      <w:widowControl/>
      <w:numPr>
        <w:numId w:val="18"/>
      </w:numPr>
      <w:jc w:val="left"/>
    </w:pPr>
    <w:rPr>
      <w:rFonts w:ascii="Times New Roman" w:hAnsi="Times New Roman"/>
      <w:snapToGrid/>
      <w:szCs w:val="20"/>
      <w:lang w:val="en-US"/>
    </w:rPr>
  </w:style>
  <w:style w:type="paragraph" w:styleId="ListNumber3">
    <w:name w:val="List Number 3"/>
    <w:basedOn w:val="Normal"/>
    <w:pPr>
      <w:widowControl/>
      <w:numPr>
        <w:numId w:val="19"/>
      </w:numPr>
      <w:jc w:val="left"/>
    </w:pPr>
    <w:rPr>
      <w:rFonts w:ascii="Times New Roman" w:hAnsi="Times New Roman"/>
      <w:snapToGrid/>
      <w:szCs w:val="20"/>
      <w:lang w:val="en-US"/>
    </w:rPr>
  </w:style>
  <w:style w:type="paragraph" w:styleId="ListNumber4">
    <w:name w:val="List Number 4"/>
    <w:basedOn w:val="Normal"/>
    <w:pPr>
      <w:widowControl/>
      <w:numPr>
        <w:numId w:val="15"/>
      </w:numPr>
      <w:jc w:val="left"/>
    </w:pPr>
    <w:rPr>
      <w:rFonts w:ascii="Times New Roman" w:hAnsi="Times New Roman"/>
      <w:snapToGrid/>
      <w:szCs w:val="20"/>
      <w:lang w:val="en-US"/>
    </w:rPr>
  </w:style>
  <w:style w:type="paragraph" w:styleId="ListNumber5">
    <w:name w:val="List Number 5"/>
    <w:basedOn w:val="Normal"/>
    <w:pPr>
      <w:widowControl/>
      <w:numPr>
        <w:numId w:val="16"/>
      </w:numPr>
      <w:jc w:val="left"/>
    </w:pPr>
    <w:rPr>
      <w:rFonts w:ascii="Times New Roman" w:hAnsi="Times New Roman"/>
      <w:snapToGrid/>
      <w:szCs w:val="20"/>
      <w:lang w:val="en-US"/>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MacroTextChar">
    <w:name w:val="Macro Text Char"/>
    <w:basedOn w:val="DefaultParagraphFont"/>
    <w:link w:val="MacroText"/>
    <w:semiHidden/>
    <w:rPr>
      <w:rFonts w:ascii="Courier New" w:hAnsi="Courier New" w:cs="Courier New"/>
      <w:lang w:val="en-US" w:eastAsia="en-US"/>
    </w:rPr>
  </w:style>
  <w:style w:type="paragraph" w:styleId="MessageHeader">
    <w:name w:val="Message Header"/>
    <w:basedOn w:val="Normal"/>
    <w:link w:val="MessageHeaderChar"/>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napToGrid/>
      <w:szCs w:val="20"/>
      <w:lang w:val="en-US"/>
    </w:rPr>
  </w:style>
  <w:style w:type="character" w:customStyle="1" w:styleId="MessageHeaderChar">
    <w:name w:val="Message Header Char"/>
    <w:basedOn w:val="DefaultParagraphFont"/>
    <w:link w:val="MessageHeader"/>
    <w:rPr>
      <w:rFonts w:ascii="Arial" w:hAnsi="Arial" w:cs="Arial"/>
      <w:sz w:val="24"/>
      <w:shd w:val="pct20" w:color="auto" w:fill="auto"/>
      <w:lang w:val="en-US" w:eastAsia="en-US"/>
    </w:rPr>
  </w:style>
  <w:style w:type="paragraph" w:styleId="NormalIndent">
    <w:name w:val="Normal Indent"/>
    <w:basedOn w:val="Normal"/>
    <w:pPr>
      <w:widowControl/>
      <w:ind w:left="720"/>
      <w:jc w:val="left"/>
    </w:pPr>
    <w:rPr>
      <w:rFonts w:ascii="Times New Roman" w:hAnsi="Times New Roman"/>
      <w:snapToGrid/>
      <w:szCs w:val="20"/>
      <w:lang w:val="en-US"/>
    </w:rPr>
  </w:style>
  <w:style w:type="paragraph" w:styleId="NoteHeading">
    <w:name w:val="Note Heading"/>
    <w:basedOn w:val="Normal"/>
    <w:next w:val="Normal"/>
    <w:link w:val="NoteHeadingChar"/>
    <w:pPr>
      <w:widowControl/>
      <w:jc w:val="left"/>
    </w:pPr>
    <w:rPr>
      <w:rFonts w:ascii="Times New Roman" w:hAnsi="Times New Roman"/>
      <w:snapToGrid/>
      <w:szCs w:val="20"/>
      <w:lang w:val="en-US"/>
    </w:rPr>
  </w:style>
  <w:style w:type="character" w:customStyle="1" w:styleId="NoteHeadingChar">
    <w:name w:val="Note Heading Char"/>
    <w:basedOn w:val="DefaultParagraphFont"/>
    <w:link w:val="NoteHeading"/>
    <w:rPr>
      <w:rFonts w:cs="Arial"/>
      <w:sz w:val="24"/>
      <w:lang w:val="en-US" w:eastAsia="en-US"/>
    </w:rPr>
  </w:style>
  <w:style w:type="paragraph" w:styleId="PlainText">
    <w:name w:val="Plain Text"/>
    <w:basedOn w:val="Normal"/>
    <w:link w:val="PlainTextChar"/>
    <w:uiPriority w:val="99"/>
    <w:pPr>
      <w:widowControl/>
      <w:jc w:val="left"/>
    </w:pPr>
    <w:rPr>
      <w:rFonts w:ascii="Courier New" w:hAnsi="Courier New" w:cs="Courier New"/>
      <w:snapToGrid/>
      <w:sz w:val="20"/>
      <w:szCs w:val="20"/>
      <w:lang w:val="en-US"/>
    </w:rPr>
  </w:style>
  <w:style w:type="character" w:customStyle="1" w:styleId="PlainTextChar">
    <w:name w:val="Plain Text Char"/>
    <w:basedOn w:val="DefaultParagraphFont"/>
    <w:link w:val="PlainText"/>
    <w:uiPriority w:val="99"/>
    <w:rPr>
      <w:rFonts w:ascii="Courier New" w:hAnsi="Courier New" w:cs="Courier New"/>
      <w:lang w:val="en-US" w:eastAsia="en-US"/>
    </w:rPr>
  </w:style>
  <w:style w:type="paragraph" w:styleId="Salutation">
    <w:name w:val="Salutation"/>
    <w:basedOn w:val="Normal"/>
    <w:next w:val="Normal"/>
    <w:link w:val="SalutationChar"/>
    <w:pPr>
      <w:widowControl/>
      <w:jc w:val="left"/>
    </w:pPr>
    <w:rPr>
      <w:rFonts w:ascii="Times New Roman" w:hAnsi="Times New Roman"/>
      <w:snapToGrid/>
      <w:szCs w:val="20"/>
      <w:lang w:val="en-US"/>
    </w:rPr>
  </w:style>
  <w:style w:type="character" w:customStyle="1" w:styleId="SalutationChar">
    <w:name w:val="Salutation Char"/>
    <w:basedOn w:val="DefaultParagraphFont"/>
    <w:link w:val="Salutation"/>
    <w:rPr>
      <w:rFonts w:cs="Arial"/>
      <w:sz w:val="24"/>
      <w:lang w:val="en-US" w:eastAsia="en-US"/>
    </w:rPr>
  </w:style>
  <w:style w:type="paragraph" w:styleId="Signature">
    <w:name w:val="Signature"/>
    <w:basedOn w:val="Normal"/>
    <w:link w:val="SignatureChar"/>
    <w:pPr>
      <w:widowControl/>
      <w:ind w:left="4320"/>
      <w:jc w:val="left"/>
    </w:pPr>
    <w:rPr>
      <w:rFonts w:ascii="Times New Roman" w:hAnsi="Times New Roman"/>
      <w:snapToGrid/>
      <w:szCs w:val="20"/>
      <w:lang w:val="en-US"/>
    </w:rPr>
  </w:style>
  <w:style w:type="character" w:customStyle="1" w:styleId="SignatureChar">
    <w:name w:val="Signature Char"/>
    <w:basedOn w:val="DefaultParagraphFont"/>
    <w:link w:val="Signature"/>
    <w:rPr>
      <w:rFonts w:cs="Arial"/>
      <w:sz w:val="24"/>
      <w:lang w:val="en-US" w:eastAsia="en-US"/>
    </w:rPr>
  </w:style>
  <w:style w:type="paragraph" w:styleId="TableofAuthorities">
    <w:name w:val="table of authorities"/>
    <w:basedOn w:val="Normal"/>
    <w:next w:val="Normal"/>
    <w:semiHidden/>
    <w:pPr>
      <w:widowControl/>
      <w:ind w:left="240" w:hanging="240"/>
      <w:jc w:val="left"/>
    </w:pPr>
    <w:rPr>
      <w:rFonts w:ascii="Times New Roman" w:hAnsi="Times New Roman"/>
      <w:snapToGrid/>
      <w:szCs w:val="20"/>
      <w:lang w:val="en-US"/>
    </w:rPr>
  </w:style>
  <w:style w:type="paragraph" w:styleId="TOAHeading">
    <w:name w:val="toa heading"/>
    <w:basedOn w:val="Normal"/>
    <w:next w:val="Normal"/>
    <w:pPr>
      <w:widowControl/>
      <w:spacing w:before="120"/>
      <w:jc w:val="left"/>
    </w:pPr>
    <w:rPr>
      <w:rFonts w:ascii="Arial" w:hAnsi="Arial"/>
      <w:b/>
      <w:bCs/>
      <w:snapToGrid/>
      <w:szCs w:val="24"/>
      <w:lang w:val="en-US"/>
    </w:rPr>
  </w:style>
  <w:style w:type="paragraph" w:customStyle="1" w:styleId="C-Heading1">
    <w:name w:val="C-Heading 1"/>
    <w:next w:val="C-BodyText"/>
    <w:link w:val="C-Heading1Char"/>
    <w:pPr>
      <w:keepNext/>
      <w:pageBreakBefore/>
      <w:numPr>
        <w:numId w:val="24"/>
      </w:numPr>
      <w:spacing w:before="480" w:after="120"/>
      <w:outlineLvl w:val="0"/>
    </w:pPr>
    <w:rPr>
      <w:b/>
      <w:caps/>
      <w:sz w:val="28"/>
      <w:lang w:val="en-US" w:eastAsia="en-US"/>
    </w:rPr>
  </w:style>
  <w:style w:type="paragraph" w:customStyle="1" w:styleId="C-Title">
    <w:name w:val="C-Title"/>
    <w:next w:val="C-BodyText"/>
    <w:pPr>
      <w:spacing w:after="120"/>
      <w:jc w:val="center"/>
    </w:pPr>
    <w:rPr>
      <w:b/>
      <w:caps/>
      <w:sz w:val="36"/>
      <w:lang w:val="en-US" w:eastAsia="en-US"/>
    </w:rPr>
  </w:style>
  <w:style w:type="character" w:customStyle="1" w:styleId="CharChar2">
    <w:name w:val="Char Char2"/>
    <w:locked/>
    <w:rPr>
      <w:b/>
      <w:bCs/>
      <w:sz w:val="24"/>
      <w:lang w:val="en-US" w:eastAsia="en-US" w:bidi="ar-SA"/>
    </w:rPr>
  </w:style>
  <w:style w:type="paragraph" w:customStyle="1" w:styleId="C-Heading2">
    <w:name w:val="C-Heading 2"/>
    <w:next w:val="C-BodyText"/>
    <w:link w:val="C-Heading2Char"/>
    <w:pPr>
      <w:keepNext/>
      <w:numPr>
        <w:ilvl w:val="1"/>
        <w:numId w:val="24"/>
      </w:numPr>
      <w:spacing w:before="240"/>
      <w:outlineLvl w:val="1"/>
    </w:pPr>
    <w:rPr>
      <w:b/>
      <w:sz w:val="28"/>
      <w:lang w:val="en-US" w:eastAsia="en-US"/>
    </w:rPr>
  </w:style>
  <w:style w:type="paragraph" w:customStyle="1" w:styleId="C-Heading3">
    <w:name w:val="C-Heading 3"/>
    <w:next w:val="C-BodyText"/>
    <w:link w:val="C-Heading3Char"/>
    <w:pPr>
      <w:keepNext/>
      <w:numPr>
        <w:ilvl w:val="2"/>
        <w:numId w:val="24"/>
      </w:numPr>
      <w:spacing w:before="240"/>
      <w:outlineLvl w:val="2"/>
    </w:pPr>
    <w:rPr>
      <w:b/>
      <w:sz w:val="24"/>
      <w:lang w:val="en-US" w:eastAsia="en-US"/>
    </w:rPr>
  </w:style>
  <w:style w:type="paragraph" w:customStyle="1" w:styleId="C-Heading4">
    <w:name w:val="C-Heading 4"/>
    <w:next w:val="C-BodyText"/>
    <w:link w:val="C-Heading4Char"/>
    <w:pPr>
      <w:keepNext/>
      <w:numPr>
        <w:ilvl w:val="3"/>
        <w:numId w:val="24"/>
      </w:numPr>
      <w:spacing w:before="240"/>
      <w:outlineLvl w:val="3"/>
    </w:pPr>
    <w:rPr>
      <w:b/>
      <w:sz w:val="24"/>
      <w:lang w:val="en-US" w:eastAsia="en-US"/>
    </w:rPr>
  </w:style>
  <w:style w:type="paragraph" w:customStyle="1" w:styleId="C-Heading5">
    <w:name w:val="C-Heading 5"/>
    <w:next w:val="C-BodyText"/>
    <w:link w:val="C-Heading5Char"/>
    <w:pPr>
      <w:keepNext/>
      <w:numPr>
        <w:ilvl w:val="4"/>
        <w:numId w:val="24"/>
      </w:numPr>
      <w:spacing w:before="240"/>
      <w:outlineLvl w:val="4"/>
    </w:pPr>
    <w:rPr>
      <w:b/>
      <w:sz w:val="24"/>
      <w:lang w:val="en-US" w:eastAsia="en-US"/>
    </w:rPr>
  </w:style>
  <w:style w:type="paragraph" w:customStyle="1" w:styleId="C-Heading6">
    <w:name w:val="C-Heading 6"/>
    <w:next w:val="C-BodyText"/>
    <w:link w:val="C-Heading6Char"/>
    <w:pPr>
      <w:keepNext/>
      <w:numPr>
        <w:ilvl w:val="5"/>
        <w:numId w:val="24"/>
      </w:numPr>
      <w:spacing w:before="240"/>
      <w:outlineLvl w:val="5"/>
    </w:pPr>
    <w:rPr>
      <w:b/>
      <w:sz w:val="24"/>
      <w:lang w:val="en-US" w:eastAsia="en-US"/>
    </w:rPr>
  </w:style>
  <w:style w:type="character" w:customStyle="1" w:styleId="C-Heading2Char">
    <w:name w:val="C-Heading 2 Char"/>
    <w:link w:val="C-Heading2"/>
    <w:rPr>
      <w:b/>
      <w:sz w:val="28"/>
      <w:lang w:val="en-US" w:eastAsia="en-US"/>
    </w:rPr>
  </w:style>
  <w:style w:type="paragraph" w:customStyle="1" w:styleId="C-BodyText">
    <w:name w:val="C-Body Text"/>
    <w:link w:val="C-BodyTextChar"/>
    <w:pPr>
      <w:spacing w:before="120" w:after="120" w:line="280" w:lineRule="atLeast"/>
    </w:pPr>
    <w:rPr>
      <w:sz w:val="24"/>
      <w:lang w:val="en-US" w:eastAsia="en-US"/>
    </w:rPr>
  </w:style>
  <w:style w:type="character" w:customStyle="1" w:styleId="C-BodyTextChar">
    <w:name w:val="C-Body Text Char"/>
    <w:link w:val="C-BodyText"/>
    <w:rPr>
      <w:sz w:val="24"/>
      <w:lang w:val="en-US" w:eastAsia="en-US"/>
    </w:rPr>
  </w:style>
  <w:style w:type="character" w:customStyle="1" w:styleId="C-Heading6Char">
    <w:name w:val="C-Heading 6 Char"/>
    <w:basedOn w:val="DefaultParagraphFont"/>
    <w:link w:val="C-Heading6"/>
    <w:rPr>
      <w:b/>
      <w:sz w:val="24"/>
      <w:lang w:val="en-US" w:eastAsia="en-US"/>
    </w:rPr>
  </w:style>
  <w:style w:type="character" w:customStyle="1" w:styleId="CharChar4">
    <w:name w:val="Char Char4"/>
    <w:locked/>
    <w:rPr>
      <w:b/>
      <w:bCs/>
      <w:color w:val="000000"/>
      <w:sz w:val="24"/>
      <w:szCs w:val="24"/>
      <w:lang w:val="en-US" w:eastAsia="en-US" w:bidi="ar-SA"/>
    </w:rPr>
  </w:style>
  <w:style w:type="character" w:customStyle="1" w:styleId="C-Heading4Char">
    <w:name w:val="C-Heading 4 Char"/>
    <w:link w:val="C-Heading4"/>
    <w:rPr>
      <w:b/>
      <w:sz w:val="24"/>
      <w:lang w:val="en-US" w:eastAsia="en-US"/>
    </w:rPr>
  </w:style>
  <w:style w:type="table" w:styleId="TableList1">
    <w:name w:val="Table List 1"/>
    <w:basedOn w:val="TableNormal"/>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style0">
    <w:name w:val="tablestyle"/>
    <w:basedOn w:val="Normal"/>
    <w:pPr>
      <w:keepNext/>
      <w:widowControl/>
      <w:spacing w:before="20" w:after="20" w:line="280" w:lineRule="atLeast"/>
      <w:jc w:val="left"/>
    </w:pPr>
    <w:rPr>
      <w:rFonts w:ascii="Times New Roman" w:hAnsi="Times New Roman"/>
      <w:snapToGrid/>
      <w:sz w:val="20"/>
      <w:szCs w:val="20"/>
      <w:lang w:val="en-US"/>
    </w:rPr>
  </w:style>
  <w:style w:type="paragraph" w:customStyle="1" w:styleId="C-BulletIndented">
    <w:name w:val="C-Bullet Indented"/>
    <w:pPr>
      <w:numPr>
        <w:ilvl w:val="1"/>
        <w:numId w:val="23"/>
      </w:numPr>
      <w:spacing w:before="120" w:after="120" w:line="280" w:lineRule="atLeast"/>
    </w:pPr>
    <w:rPr>
      <w:rFonts w:cs="Arial"/>
      <w:sz w:val="24"/>
      <w:lang w:val="en-US" w:eastAsia="en-US"/>
    </w:rPr>
  </w:style>
  <w:style w:type="character" w:customStyle="1" w:styleId="C-Hyperlink">
    <w:name w:val="C-Hyperlink"/>
    <w:rPr>
      <w:color w:val="0000FF"/>
    </w:rPr>
  </w:style>
  <w:style w:type="paragraph" w:customStyle="1" w:styleId="C-PLR-TOC1">
    <w:name w:val="C-PLR-TOC 1"/>
    <w:next w:val="C-PLR-BodyText"/>
    <w:pPr>
      <w:ind w:left="432" w:hanging="432"/>
    </w:pPr>
    <w:rPr>
      <w:rFonts w:ascii="Times New Roman Bold" w:hAnsi="Times New Roman Bold"/>
      <w:b/>
      <w:caps/>
      <w:color w:val="0000FF"/>
      <w:sz w:val="16"/>
      <w:lang w:val="en-US" w:eastAsia="en-US"/>
    </w:rPr>
  </w:style>
  <w:style w:type="character" w:customStyle="1" w:styleId="C-Heading5Char">
    <w:name w:val="C-Heading 5 Char"/>
    <w:link w:val="C-Heading5"/>
    <w:rPr>
      <w:b/>
      <w:sz w:val="24"/>
      <w:lang w:val="en-US" w:eastAsia="en-US"/>
    </w:rPr>
  </w:style>
  <w:style w:type="paragraph" w:customStyle="1" w:styleId="C-Bullet">
    <w:name w:val="C-Bullet"/>
    <w:link w:val="C-BulletChar"/>
    <w:pPr>
      <w:numPr>
        <w:numId w:val="23"/>
      </w:numPr>
      <w:spacing w:before="120" w:after="120" w:line="280" w:lineRule="atLeast"/>
    </w:pPr>
    <w:rPr>
      <w:sz w:val="24"/>
      <w:lang w:val="en-US" w:eastAsia="en-US"/>
    </w:rPr>
  </w:style>
  <w:style w:type="character" w:customStyle="1" w:styleId="C-BulletChar">
    <w:name w:val="C-Bullet Char"/>
    <w:link w:val="C-Bullet"/>
    <w:rPr>
      <w:sz w:val="24"/>
      <w:lang w:val="en-US" w:eastAsia="en-US"/>
    </w:rPr>
  </w:style>
  <w:style w:type="paragraph" w:customStyle="1" w:styleId="C-Heading5non-numbered">
    <w:name w:val="C-Heading 5 (non-numbered)"/>
    <w:basedOn w:val="C-Heading5"/>
    <w:next w:val="C-BodyText"/>
    <w:pPr>
      <w:numPr>
        <w:ilvl w:val="0"/>
        <w:numId w:val="0"/>
      </w:numPr>
      <w:tabs>
        <w:tab w:val="left" w:pos="1080"/>
      </w:tabs>
      <w:ind w:left="1080" w:hanging="1080"/>
    </w:pPr>
  </w:style>
  <w:style w:type="paragraph" w:customStyle="1" w:styleId="c-bodytext0">
    <w:name w:val="c-bodytext"/>
    <w:basedOn w:val="Normal"/>
    <w:pPr>
      <w:widowControl/>
      <w:spacing w:before="120" w:after="120" w:line="280" w:lineRule="atLeast"/>
      <w:jc w:val="left"/>
    </w:pPr>
    <w:rPr>
      <w:rFonts w:ascii="Times New Roman" w:hAnsi="Times New Roman"/>
      <w:snapToGrid/>
      <w:szCs w:val="20"/>
      <w:lang w:val="en-US"/>
    </w:rPr>
  </w:style>
  <w:style w:type="character" w:customStyle="1" w:styleId="C-TableCallout">
    <w:name w:val="C-Table Callout"/>
    <w:rPr>
      <w:rFonts w:ascii="Times New Roman" w:hAnsi="Times New Roman"/>
      <w:dstrike w:val="0"/>
      <w:color w:val="auto"/>
      <w:spacing w:val="0"/>
      <w:w w:val="100"/>
      <w:position w:val="0"/>
      <w:sz w:val="22"/>
      <w:szCs w:val="22"/>
      <w:u w:val="none"/>
      <w:effect w:val="none"/>
      <w:vertAlign w:val="superscript"/>
      <w:em w:val="none"/>
    </w:rPr>
  </w:style>
  <w:style w:type="table" w:customStyle="1" w:styleId="C-Table">
    <w:name w:val="C-Table"/>
    <w:basedOn w:val="TableNormal"/>
    <w:rPr>
      <w:lang w:val="en-US"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customStyle="1" w:styleId="C-AlphabeticList">
    <w:name w:val="C-Alphabetic List"/>
    <w:pPr>
      <w:numPr>
        <w:ilvl w:val="1"/>
        <w:numId w:val="25"/>
      </w:numPr>
    </w:pPr>
    <w:rPr>
      <w:sz w:val="24"/>
      <w:lang w:val="en-US" w:eastAsia="en-US"/>
    </w:rPr>
  </w:style>
  <w:style w:type="paragraph" w:customStyle="1" w:styleId="C-Appendix">
    <w:name w:val="C-Appendix"/>
    <w:next w:val="C-BodyText"/>
    <w:pPr>
      <w:keepNext/>
      <w:pageBreakBefore/>
      <w:numPr>
        <w:numId w:val="21"/>
      </w:numPr>
      <w:spacing w:before="480" w:after="120"/>
      <w:outlineLvl w:val="0"/>
    </w:pPr>
    <w:rPr>
      <w:b/>
      <w:caps/>
      <w:sz w:val="28"/>
      <w:lang w:val="en-US" w:eastAsia="en-US"/>
    </w:rPr>
  </w:style>
  <w:style w:type="paragraph" w:customStyle="1" w:styleId="C-BodyTextIndent">
    <w:name w:val="C-Body Text Indent"/>
    <w:link w:val="C-BodyTextIndentChar"/>
    <w:pPr>
      <w:spacing w:before="120" w:after="120" w:line="280" w:lineRule="atLeast"/>
      <w:ind w:left="360"/>
    </w:pPr>
    <w:rPr>
      <w:sz w:val="24"/>
      <w:lang w:val="en-US" w:eastAsia="en-US"/>
    </w:rPr>
  </w:style>
  <w:style w:type="paragraph" w:customStyle="1" w:styleId="C-CaptionContinued">
    <w:name w:val="C-Caption Continued"/>
    <w:next w:val="C-BodyText"/>
    <w:pPr>
      <w:keepNext/>
      <w:spacing w:before="120" w:after="120" w:line="280" w:lineRule="atLeast"/>
      <w:ind w:left="1440" w:hanging="1440"/>
    </w:pPr>
    <w:rPr>
      <w:rFonts w:cs="Arial"/>
      <w:b/>
      <w:sz w:val="24"/>
      <w:lang w:val="en-US" w:eastAsia="en-US"/>
    </w:rPr>
  </w:style>
  <w:style w:type="paragraph" w:customStyle="1" w:styleId="C-Footer">
    <w:name w:val="C-Footer"/>
    <w:rPr>
      <w:sz w:val="24"/>
      <w:lang w:val="en-US" w:eastAsia="en-US"/>
    </w:rPr>
  </w:style>
  <w:style w:type="paragraph" w:customStyle="1" w:styleId="C-Header">
    <w:name w:val="C-Header"/>
    <w:rPr>
      <w:sz w:val="24"/>
      <w:lang w:val="en-US" w:eastAsia="en-US"/>
    </w:rPr>
  </w:style>
  <w:style w:type="paragraph" w:customStyle="1" w:styleId="C-Heading1nopagebreak">
    <w:name w:val="C-Heading 1 (no page break)"/>
    <w:basedOn w:val="C-Heading1"/>
    <w:next w:val="C-BodyText"/>
    <w:pPr>
      <w:pageBreakBefore w:val="0"/>
      <w:numPr>
        <w:numId w:val="0"/>
      </w:numPr>
    </w:pPr>
  </w:style>
  <w:style w:type="paragraph" w:customStyle="1" w:styleId="C-Heading1non-numbered">
    <w:name w:val="C-Heading 1 (non-numbered)"/>
    <w:basedOn w:val="C-Heading1"/>
    <w:next w:val="C-BodyText"/>
    <w:pPr>
      <w:numPr>
        <w:numId w:val="0"/>
      </w:numPr>
      <w:tabs>
        <w:tab w:val="left" w:pos="1080"/>
      </w:tabs>
      <w:ind w:left="1080" w:hanging="1080"/>
    </w:pPr>
  </w:style>
  <w:style w:type="paragraph" w:customStyle="1" w:styleId="C-Heading1nopagebreak0">
    <w:name w:val="C-Heading 1 (no page break"/>
    <w:aliases w:val="non-numbered)"/>
    <w:basedOn w:val="C-Heading1non-numbered"/>
    <w:next w:val="C-BodyText"/>
    <w:pPr>
      <w:pageBreakBefore w:val="0"/>
    </w:pPr>
  </w:style>
  <w:style w:type="paragraph" w:customStyle="1" w:styleId="C-Heading2non-numbered">
    <w:name w:val="C-Heading 2 (non-numbered)"/>
    <w:basedOn w:val="C-Heading2"/>
    <w:next w:val="C-BodyText"/>
    <w:pPr>
      <w:numPr>
        <w:ilvl w:val="0"/>
        <w:numId w:val="0"/>
      </w:numPr>
      <w:tabs>
        <w:tab w:val="left" w:pos="1080"/>
      </w:tabs>
      <w:ind w:left="1080" w:hanging="1080"/>
    </w:pPr>
  </w:style>
  <w:style w:type="paragraph" w:customStyle="1" w:styleId="C-Heading3non-numbered">
    <w:name w:val="C-Heading 3 (non-numbered)"/>
    <w:basedOn w:val="C-Heading3"/>
    <w:next w:val="C-BodyText"/>
    <w:pPr>
      <w:numPr>
        <w:ilvl w:val="0"/>
        <w:numId w:val="0"/>
      </w:numPr>
      <w:tabs>
        <w:tab w:val="left" w:pos="1080"/>
      </w:tabs>
      <w:ind w:left="1080" w:hanging="1080"/>
    </w:pPr>
  </w:style>
  <w:style w:type="paragraph" w:customStyle="1" w:styleId="C-Heading4non-numbered">
    <w:name w:val="C-Heading 4 (non-numbered)"/>
    <w:basedOn w:val="C-Heading4"/>
    <w:next w:val="C-BodyText"/>
    <w:pPr>
      <w:numPr>
        <w:ilvl w:val="0"/>
        <w:numId w:val="0"/>
      </w:numPr>
      <w:tabs>
        <w:tab w:val="left" w:pos="1080"/>
      </w:tabs>
      <w:ind w:left="1080" w:hanging="1080"/>
    </w:pPr>
  </w:style>
  <w:style w:type="paragraph" w:customStyle="1" w:styleId="C-Heading6non-numbered">
    <w:name w:val="C-Heading 6 (non-numbered)"/>
    <w:basedOn w:val="C-Heading6"/>
    <w:next w:val="C-BodyText"/>
    <w:pPr>
      <w:numPr>
        <w:ilvl w:val="0"/>
        <w:numId w:val="0"/>
      </w:numPr>
      <w:tabs>
        <w:tab w:val="left" w:pos="1080"/>
      </w:tabs>
      <w:ind w:left="1080" w:hanging="1080"/>
    </w:pPr>
  </w:style>
  <w:style w:type="paragraph" w:customStyle="1" w:styleId="C-InstructionText">
    <w:name w:val="C-Instruction Text"/>
    <w:pPr>
      <w:spacing w:before="120" w:after="120" w:line="280" w:lineRule="atLeast"/>
    </w:pPr>
    <w:rPr>
      <w:vanish/>
      <w:color w:val="FF0000"/>
      <w:sz w:val="24"/>
      <w:szCs w:val="24"/>
      <w:lang w:val="en-US" w:eastAsia="en-US"/>
    </w:rPr>
  </w:style>
  <w:style w:type="paragraph" w:customStyle="1" w:styleId="C-NumberedList">
    <w:name w:val="C-Numbered List"/>
    <w:pPr>
      <w:numPr>
        <w:numId w:val="25"/>
      </w:numPr>
      <w:spacing w:before="120" w:after="120" w:line="280" w:lineRule="atLeast"/>
    </w:pPr>
    <w:rPr>
      <w:sz w:val="24"/>
      <w:lang w:val="en-US" w:eastAsia="en-US"/>
    </w:rPr>
  </w:style>
  <w:style w:type="paragraph" w:customStyle="1" w:styleId="C-PLR-AlphabeticList">
    <w:name w:val="C-PLR-Alphabetic List"/>
    <w:pPr>
      <w:numPr>
        <w:numId w:val="26"/>
      </w:numPr>
    </w:pPr>
    <w:rPr>
      <w:rFonts w:cs="Arial"/>
      <w:sz w:val="16"/>
      <w:lang w:val="en-US" w:eastAsia="en-US"/>
    </w:rPr>
  </w:style>
  <w:style w:type="paragraph" w:customStyle="1" w:styleId="C-PLR-BodyText">
    <w:name w:val="C-PLR-Body Text"/>
    <w:rPr>
      <w:sz w:val="16"/>
      <w:lang w:val="en-US" w:eastAsia="en-US"/>
    </w:rPr>
  </w:style>
  <w:style w:type="paragraph" w:customStyle="1" w:styleId="C-PLR-BodyTextIndent">
    <w:name w:val="C-PLR-Body Text Indent"/>
    <w:pPr>
      <w:ind w:left="360"/>
    </w:pPr>
    <w:rPr>
      <w:sz w:val="16"/>
      <w:lang w:val="en-US" w:eastAsia="en-US"/>
    </w:rPr>
  </w:style>
  <w:style w:type="paragraph" w:customStyle="1" w:styleId="C-PLR-Bullet">
    <w:name w:val="C-PLR-Bullet"/>
    <w:pPr>
      <w:numPr>
        <w:numId w:val="27"/>
      </w:numPr>
    </w:pPr>
    <w:rPr>
      <w:sz w:val="16"/>
      <w:lang w:val="en-US" w:eastAsia="en-US"/>
    </w:rPr>
  </w:style>
  <w:style w:type="paragraph" w:customStyle="1" w:styleId="C-PLR-BulletIndented">
    <w:name w:val="C-PLR-Bullet Indented"/>
    <w:pPr>
      <w:numPr>
        <w:numId w:val="28"/>
      </w:numPr>
    </w:pPr>
    <w:rPr>
      <w:sz w:val="16"/>
      <w:lang w:val="en-US" w:eastAsia="en-US"/>
    </w:rPr>
  </w:style>
  <w:style w:type="paragraph" w:customStyle="1" w:styleId="C-PLR-Caption">
    <w:name w:val="C-PLR-Caption"/>
    <w:next w:val="C-PLR-BodyText"/>
    <w:pPr>
      <w:keepNext/>
      <w:ind w:left="360" w:hanging="360"/>
    </w:pPr>
    <w:rPr>
      <w:b/>
      <w:sz w:val="16"/>
      <w:lang w:val="en-US" w:eastAsia="en-US"/>
    </w:rPr>
  </w:style>
  <w:style w:type="paragraph" w:customStyle="1" w:styleId="C-PLR-CaptionContinued">
    <w:name w:val="C-PLR-Caption Continued"/>
    <w:next w:val="C-PLR-BodyText"/>
    <w:pPr>
      <w:keepNext/>
      <w:ind w:left="360" w:hanging="360"/>
    </w:pPr>
    <w:rPr>
      <w:rFonts w:ascii="Times New Roman Bold" w:hAnsi="Times New Roman Bold" w:cs="Arial"/>
      <w:b/>
      <w:sz w:val="16"/>
      <w:lang w:val="en-US" w:eastAsia="en-US"/>
    </w:rPr>
  </w:style>
  <w:style w:type="paragraph" w:customStyle="1" w:styleId="C-PLR-Heading1">
    <w:name w:val="C-PLR-Heading 1"/>
    <w:next w:val="C-PLR-BodyText"/>
    <w:pPr>
      <w:keepNext/>
      <w:numPr>
        <w:numId w:val="29"/>
      </w:numPr>
      <w:tabs>
        <w:tab w:val="left" w:pos="720"/>
      </w:tabs>
      <w:outlineLvl w:val="0"/>
    </w:pPr>
    <w:rPr>
      <w:rFonts w:ascii="Times New Roman Bold" w:hAnsi="Times New Roman Bold"/>
      <w:caps/>
      <w:sz w:val="16"/>
      <w:lang w:val="en-US" w:eastAsia="en-US"/>
    </w:rPr>
  </w:style>
  <w:style w:type="paragraph" w:customStyle="1" w:styleId="C-PLR-Heading1nopagebreak">
    <w:name w:val="C-PLR-Heading 1 (no page break)"/>
    <w:basedOn w:val="C-PLR-Heading1"/>
    <w:next w:val="C-PLR-BodyText"/>
    <w:pPr>
      <w:numPr>
        <w:numId w:val="0"/>
      </w:numPr>
    </w:pPr>
  </w:style>
  <w:style w:type="paragraph" w:customStyle="1" w:styleId="C-PLR-Heading1non-numbered">
    <w:name w:val="C-PLR-Heading 1 (non-numbered)"/>
    <w:basedOn w:val="C-PLR-Heading1"/>
    <w:next w:val="C-PLR-BodyText"/>
    <w:pPr>
      <w:numPr>
        <w:numId w:val="0"/>
      </w:numPr>
      <w:ind w:left="720" w:hanging="720"/>
    </w:pPr>
  </w:style>
  <w:style w:type="paragraph" w:customStyle="1" w:styleId="C-PLR-Heading1nopagebreaknon-numbered">
    <w:name w:val="C-PLR-Heading 1 (no page break.non-numbered)"/>
    <w:basedOn w:val="C-PLR-Heading1non-numbered"/>
    <w:next w:val="C-PLR-BodyText"/>
  </w:style>
  <w:style w:type="paragraph" w:customStyle="1" w:styleId="C-PLR-Heading2">
    <w:name w:val="C-PLR-Heading 2"/>
    <w:next w:val="C-PLR-BodyText"/>
    <w:pPr>
      <w:numPr>
        <w:ilvl w:val="1"/>
        <w:numId w:val="29"/>
      </w:numPr>
      <w:tabs>
        <w:tab w:val="left" w:pos="720"/>
      </w:tabs>
      <w:outlineLvl w:val="1"/>
    </w:pPr>
    <w:rPr>
      <w:rFonts w:ascii="Times New Roman Bold" w:hAnsi="Times New Roman Bold" w:cs="Arial"/>
      <w:sz w:val="16"/>
      <w:lang w:val="en-US" w:eastAsia="en-US"/>
    </w:rPr>
  </w:style>
  <w:style w:type="paragraph" w:customStyle="1" w:styleId="C-PLR-Heading2non-numbered">
    <w:name w:val="C-PLR-Heading 2 (non-numbered)"/>
    <w:basedOn w:val="C-PLR-Heading2"/>
    <w:next w:val="C-PLR-BodyText"/>
    <w:pPr>
      <w:numPr>
        <w:ilvl w:val="0"/>
        <w:numId w:val="0"/>
      </w:numPr>
      <w:ind w:left="720" w:hanging="720"/>
    </w:pPr>
  </w:style>
  <w:style w:type="paragraph" w:customStyle="1" w:styleId="C-PLR-Heading3">
    <w:name w:val="C-PLR-Heading 3"/>
    <w:next w:val="C-PLR-BodyText"/>
    <w:pPr>
      <w:numPr>
        <w:ilvl w:val="2"/>
        <w:numId w:val="29"/>
      </w:numPr>
      <w:tabs>
        <w:tab w:val="left" w:pos="720"/>
      </w:tabs>
      <w:outlineLvl w:val="2"/>
    </w:pPr>
    <w:rPr>
      <w:rFonts w:ascii="Times New Roman Bold" w:hAnsi="Times New Roman Bold" w:cs="Arial"/>
      <w:sz w:val="16"/>
      <w:lang w:val="en-US" w:eastAsia="en-US"/>
    </w:rPr>
  </w:style>
  <w:style w:type="paragraph" w:customStyle="1" w:styleId="C-PLR-Heading3non-numbered">
    <w:name w:val="C-PLR-Heading 3 (non-numbered)"/>
    <w:basedOn w:val="C-PLR-Heading3"/>
    <w:next w:val="C-PLR-BodyText"/>
    <w:pPr>
      <w:numPr>
        <w:ilvl w:val="0"/>
        <w:numId w:val="0"/>
      </w:numPr>
      <w:ind w:left="720" w:hanging="720"/>
    </w:pPr>
  </w:style>
  <w:style w:type="paragraph" w:customStyle="1" w:styleId="C-PLR-Heading4">
    <w:name w:val="C-PLR-Heading 4"/>
    <w:next w:val="C-PLR-BodyText"/>
    <w:pPr>
      <w:numPr>
        <w:ilvl w:val="3"/>
        <w:numId w:val="29"/>
      </w:numPr>
      <w:tabs>
        <w:tab w:val="left" w:pos="720"/>
      </w:tabs>
      <w:outlineLvl w:val="3"/>
    </w:pPr>
    <w:rPr>
      <w:rFonts w:ascii="Times New Roman Bold" w:hAnsi="Times New Roman Bold" w:cs="Arial"/>
      <w:sz w:val="16"/>
      <w:lang w:val="en-US" w:eastAsia="en-US"/>
    </w:rPr>
  </w:style>
  <w:style w:type="paragraph" w:customStyle="1" w:styleId="C-PLR-Heading4non-numbered">
    <w:name w:val="C-PLR-Heading 4 (non-numbered)"/>
    <w:basedOn w:val="C-PLR-Heading4"/>
    <w:next w:val="C-PLR-BodyText"/>
    <w:pPr>
      <w:numPr>
        <w:ilvl w:val="0"/>
        <w:numId w:val="0"/>
      </w:numPr>
      <w:ind w:left="720" w:hanging="720"/>
    </w:pPr>
  </w:style>
  <w:style w:type="paragraph" w:customStyle="1" w:styleId="C-PLR-Heading5">
    <w:name w:val="C-PLR-Heading 5"/>
    <w:next w:val="C-PLR-BodyText"/>
    <w:pPr>
      <w:numPr>
        <w:ilvl w:val="4"/>
        <w:numId w:val="29"/>
      </w:numPr>
      <w:tabs>
        <w:tab w:val="left" w:pos="720"/>
      </w:tabs>
      <w:outlineLvl w:val="4"/>
    </w:pPr>
    <w:rPr>
      <w:rFonts w:ascii="Times New Roman Bold" w:hAnsi="Times New Roman Bold" w:cs="Arial"/>
      <w:sz w:val="16"/>
      <w:lang w:val="en-US" w:eastAsia="en-US"/>
    </w:rPr>
  </w:style>
  <w:style w:type="paragraph" w:customStyle="1" w:styleId="C-PLR-Heading5non-numbered">
    <w:name w:val="C-PLR-Heading 5 (non-numbered)"/>
    <w:basedOn w:val="C-PLR-Heading5"/>
    <w:next w:val="C-PLR-BodyText"/>
    <w:pPr>
      <w:numPr>
        <w:ilvl w:val="0"/>
        <w:numId w:val="0"/>
      </w:numPr>
      <w:ind w:left="720" w:hanging="720"/>
    </w:pPr>
  </w:style>
  <w:style w:type="paragraph" w:customStyle="1" w:styleId="C-PLR-Heading6">
    <w:name w:val="C-PLR-Heading 6"/>
    <w:next w:val="C-PLR-BodyText"/>
    <w:pPr>
      <w:numPr>
        <w:ilvl w:val="5"/>
        <w:numId w:val="29"/>
      </w:numPr>
      <w:tabs>
        <w:tab w:val="left" w:pos="864"/>
      </w:tabs>
      <w:outlineLvl w:val="5"/>
    </w:pPr>
    <w:rPr>
      <w:rFonts w:ascii="Times New Roman Bold" w:hAnsi="Times New Roman Bold" w:cs="Arial"/>
      <w:sz w:val="16"/>
      <w:lang w:val="en-US" w:eastAsia="en-US"/>
    </w:rPr>
  </w:style>
  <w:style w:type="paragraph" w:customStyle="1" w:styleId="C-PLR-Heading6non-numbered">
    <w:name w:val="C-PLR-Heading 6 (non-numbered)"/>
    <w:basedOn w:val="C-PLR-Heading6"/>
    <w:next w:val="C-PLR-BodyText"/>
    <w:pPr>
      <w:numPr>
        <w:ilvl w:val="0"/>
        <w:numId w:val="0"/>
      </w:numPr>
      <w:ind w:left="864" w:hanging="864"/>
    </w:pPr>
  </w:style>
  <w:style w:type="paragraph" w:customStyle="1" w:styleId="C-PLR-InstructionText">
    <w:name w:val="C-PLR-Instruction Text"/>
    <w:rPr>
      <w:rFonts w:ascii="Times New Roman Bold" w:hAnsi="Times New Roman Bold" w:cs="Arial"/>
      <w:vanish/>
      <w:color w:val="FF0000"/>
      <w:sz w:val="16"/>
      <w:lang w:val="en-US" w:eastAsia="en-US"/>
    </w:rPr>
  </w:style>
  <w:style w:type="paragraph" w:customStyle="1" w:styleId="C-PLR-NumberedList">
    <w:name w:val="C-PLR-Numbered List"/>
    <w:pPr>
      <w:numPr>
        <w:numId w:val="30"/>
      </w:numPr>
    </w:pPr>
    <w:rPr>
      <w:sz w:val="16"/>
      <w:lang w:val="en-US" w:eastAsia="en-US"/>
    </w:rPr>
  </w:style>
  <w:style w:type="paragraph" w:customStyle="1" w:styleId="C-PLR-TableFootnote">
    <w:name w:val="C-PLR-Table Footnote"/>
    <w:next w:val="C-PLR-BodyText"/>
    <w:pPr>
      <w:tabs>
        <w:tab w:val="left" w:pos="432"/>
      </w:tabs>
      <w:ind w:left="432" w:hanging="432"/>
    </w:pPr>
    <w:rPr>
      <w:sz w:val="16"/>
      <w:lang w:val="en-US" w:eastAsia="en-US"/>
    </w:rPr>
  </w:style>
  <w:style w:type="paragraph" w:customStyle="1" w:styleId="C-PLR-TableHeader">
    <w:name w:val="C-PLR-Table Header"/>
    <w:next w:val="C-PLR-TableText"/>
    <w:pPr>
      <w:keepNext/>
    </w:pPr>
    <w:rPr>
      <w:b/>
      <w:sz w:val="16"/>
      <w:lang w:val="en-US" w:eastAsia="en-US"/>
    </w:rPr>
  </w:style>
  <w:style w:type="paragraph" w:customStyle="1" w:styleId="C-PLR-TableText">
    <w:name w:val="C-PLR-Table Text"/>
    <w:rPr>
      <w:sz w:val="16"/>
      <w:lang w:val="en-US" w:eastAsia="en-US"/>
    </w:rPr>
  </w:style>
  <w:style w:type="paragraph" w:customStyle="1" w:styleId="C-PLR-Title">
    <w:name w:val="C-PLR-Title"/>
    <w:next w:val="C-PLR-BodyText"/>
    <w:pPr>
      <w:jc w:val="center"/>
    </w:pPr>
    <w:rPr>
      <w:b/>
      <w:caps/>
      <w:sz w:val="16"/>
      <w:lang w:val="en-US" w:eastAsia="en-US"/>
    </w:rPr>
  </w:style>
  <w:style w:type="paragraph" w:customStyle="1" w:styleId="C-PLR-TOC2">
    <w:name w:val="C-PLR-TOC 2"/>
    <w:basedOn w:val="C-PLR-TOC1"/>
    <w:next w:val="C-PLR-BodyText"/>
    <w:pPr>
      <w:ind w:left="864"/>
    </w:pPr>
    <w:rPr>
      <w:rFonts w:ascii="Times New Roman" w:hAnsi="Times New Roman"/>
      <w:b w:val="0"/>
      <w:caps w:val="0"/>
    </w:rPr>
  </w:style>
  <w:style w:type="paragraph" w:customStyle="1" w:styleId="C-PLR-TOC3">
    <w:name w:val="C-PLR-TOC 3"/>
    <w:basedOn w:val="C-PLR-TOC1"/>
    <w:next w:val="C-PLR-BodyText"/>
    <w:pPr>
      <w:tabs>
        <w:tab w:val="left" w:pos="432"/>
      </w:tabs>
      <w:ind w:left="864"/>
    </w:pPr>
    <w:rPr>
      <w:rFonts w:ascii="Times New Roman" w:hAnsi="Times New Roman"/>
      <w:b w:val="0"/>
      <w:caps w:val="0"/>
    </w:rPr>
  </w:style>
  <w:style w:type="paragraph" w:customStyle="1" w:styleId="C-PLR-TOC4">
    <w:name w:val="C-PLR-TOC 4"/>
    <w:basedOn w:val="C-PLR-TOC1"/>
    <w:next w:val="C-PLR-BodyText"/>
    <w:pPr>
      <w:tabs>
        <w:tab w:val="left" w:pos="432"/>
      </w:tabs>
      <w:ind w:left="864"/>
    </w:pPr>
    <w:rPr>
      <w:rFonts w:ascii="Times New Roman" w:hAnsi="Times New Roman"/>
      <w:b w:val="0"/>
      <w:caps w:val="0"/>
    </w:rPr>
  </w:style>
  <w:style w:type="paragraph" w:customStyle="1" w:styleId="C-PLR-TOCTitle">
    <w:name w:val="C-PLR-TOC Title"/>
    <w:next w:val="C-PLR-BodyText"/>
    <w:pPr>
      <w:tabs>
        <w:tab w:val="center" w:leader="underscore" w:pos="2520"/>
        <w:tab w:val="right" w:leader="underscore" w:pos="5040"/>
      </w:tabs>
      <w:jc w:val="center"/>
    </w:pPr>
    <w:rPr>
      <w:b/>
      <w:caps/>
      <w:sz w:val="16"/>
      <w:lang w:val="en-US" w:eastAsia="en-US"/>
    </w:rPr>
  </w:style>
  <w:style w:type="paragraph" w:customStyle="1" w:styleId="C-TOCTitle">
    <w:name w:val="C-TOC Title"/>
    <w:next w:val="C-BodyText"/>
    <w:pPr>
      <w:spacing w:after="120"/>
      <w:jc w:val="center"/>
    </w:pPr>
    <w:rPr>
      <w:b/>
      <w:caps/>
      <w:sz w:val="28"/>
      <w:szCs w:val="28"/>
      <w:lang w:val="en-US" w:eastAsia="en-US"/>
    </w:rPr>
  </w:style>
  <w:style w:type="character" w:styleId="HTMLKeyboard">
    <w:name w:val="HTML Keyboard"/>
    <w:rPr>
      <w:rFonts w:ascii="Courier New" w:hAnsi="Courier New"/>
      <w:sz w:val="20"/>
      <w:szCs w:val="20"/>
    </w:rPr>
  </w:style>
  <w:style w:type="character" w:customStyle="1" w:styleId="C-BodyTextIndentChar">
    <w:name w:val="C-Body Text Indent Char"/>
    <w:basedOn w:val="DefaultParagraphFont"/>
    <w:link w:val="C-BodyTextIndent"/>
    <w:rPr>
      <w:sz w:val="24"/>
      <w:lang w:val="en-US" w:eastAsia="en-US"/>
    </w:rPr>
  </w:style>
  <w:style w:type="character" w:customStyle="1" w:styleId="C-Heading1Char">
    <w:name w:val="C-Heading 1 Char"/>
    <w:link w:val="C-Heading1"/>
    <w:rPr>
      <w:b/>
      <w:caps/>
      <w:sz w:val="28"/>
      <w:lang w:val="en-US" w:eastAsia="en-US"/>
    </w:rPr>
  </w:style>
  <w:style w:type="paragraph" w:customStyle="1" w:styleId="C-Alphabetic">
    <w:name w:val="C-Alphabetic"/>
    <w:basedOn w:val="C-Heading1"/>
    <w:next w:val="C-BodyText"/>
    <w:link w:val="C-AlphabeticChar"/>
    <w:qFormat/>
    <w:pPr>
      <w:numPr>
        <w:numId w:val="20"/>
      </w:numPr>
      <w:tabs>
        <w:tab w:val="left" w:pos="1080"/>
      </w:tabs>
    </w:pPr>
  </w:style>
  <w:style w:type="character" w:customStyle="1" w:styleId="C-AlphabeticChar">
    <w:name w:val="C-Alphabetic Char"/>
    <w:basedOn w:val="C-Heading1Char"/>
    <w:link w:val="C-Alphabetic"/>
    <w:rPr>
      <w:b/>
      <w:caps/>
      <w:sz w:val="28"/>
      <w:lang w:val="en-US" w:eastAsia="en-US"/>
    </w:rPr>
  </w:style>
  <w:style w:type="paragraph" w:customStyle="1" w:styleId="C-AppendixNumbered">
    <w:name w:val="C-Appendix (Numbered)"/>
    <w:basedOn w:val="C-Appendix"/>
    <w:next w:val="C-BodyText"/>
    <w:pPr>
      <w:numPr>
        <w:numId w:val="22"/>
      </w:numPr>
      <w:tabs>
        <w:tab w:val="left" w:pos="1987"/>
      </w:tabs>
    </w:pPr>
  </w:style>
  <w:style w:type="numbering" w:customStyle="1" w:styleId="SPBulletTabs">
    <w:name w:val="SP Bullet Tabs"/>
    <w:pPr>
      <w:numPr>
        <w:numId w:val="31"/>
      </w:numPr>
    </w:pPr>
  </w:style>
  <w:style w:type="numbering" w:customStyle="1" w:styleId="SPNumberedTabs">
    <w:name w:val="SP Numbered Tabs"/>
    <w:pPr>
      <w:numPr>
        <w:numId w:val="32"/>
      </w:numPr>
    </w:pPr>
  </w:style>
  <w:style w:type="table" w:customStyle="1" w:styleId="SAS">
    <w:name w:val="SAS"/>
    <w:basedOn w:val="TableNormal"/>
    <w:uiPriority w:val="99"/>
    <w:pPr>
      <w:jc w:val="center"/>
    </w:pPr>
    <w:rPr>
      <w:rFonts w:ascii="Courier New" w:eastAsiaTheme="minorHAnsi" w:hAnsi="Courier New" w:cstheme="minorBidi"/>
      <w:sz w:val="18"/>
      <w:szCs w:val="22"/>
      <w:lang w:val="en-US" w:eastAsia="en-US"/>
    </w:rPr>
    <w:tblPr>
      <w:tblBorders>
        <w:top w:val="single" w:sz="4" w:space="0" w:color="auto"/>
        <w:bottom w:val="single" w:sz="4" w:space="0" w:color="auto"/>
      </w:tblBorders>
    </w:tblPr>
    <w:tcPr>
      <w:vAlign w:val="center"/>
    </w:tcPr>
    <w:tblStylePr w:type="firstRow">
      <w:tblPr/>
      <w:tcPr>
        <w:tcBorders>
          <w:bottom w:val="single" w:sz="4" w:space="0" w:color="auto"/>
        </w:tcBorders>
      </w:tcPr>
    </w:tblStylePr>
    <w:tblStylePr w:type="firstCol">
      <w:pPr>
        <w:jc w:val="left"/>
      </w:pPr>
    </w:tblStylePr>
  </w:style>
  <w:style w:type="character" w:customStyle="1" w:styleId="CaptionChar2">
    <w:name w:val="Caption Char2"/>
    <w:locked/>
    <w:rPr>
      <w:b/>
      <w:bCs/>
      <w:sz w:val="24"/>
      <w:lang w:val="en-US" w:eastAsia="en-US" w:bidi="ar-SA"/>
    </w:rPr>
  </w:style>
  <w:style w:type="paragraph" w:customStyle="1" w:styleId="ListBulletTable">
    <w:name w:val="ListBullet Table"/>
    <w:basedOn w:val="Normal"/>
    <w:pPr>
      <w:widowControl/>
      <w:tabs>
        <w:tab w:val="num" w:pos="432"/>
      </w:tabs>
      <w:spacing w:before="20" w:after="60" w:line="280" w:lineRule="exact"/>
      <w:ind w:left="432" w:hanging="432"/>
      <w:jc w:val="left"/>
    </w:pPr>
    <w:rPr>
      <w:rFonts w:ascii="Times New Roman" w:hAnsi="Times New Roman" w:cs="Times New Roman"/>
      <w:snapToGrid/>
      <w:sz w:val="20"/>
      <w:szCs w:val="24"/>
      <w:lang w:val="en-US"/>
    </w:rPr>
  </w:style>
  <w:style w:type="character" w:customStyle="1" w:styleId="CommentTextChar1">
    <w:name w:val="Comment Text Char1"/>
    <w:basedOn w:val="DefaultParagraphFont"/>
    <w:uiPriority w:val="99"/>
    <w:locked/>
    <w:rPr>
      <w:rFonts w:cs="Arial"/>
    </w:rPr>
  </w:style>
  <w:style w:type="character" w:customStyle="1" w:styleId="SynopsisParagraphChar">
    <w:name w:val="SynopsisParagraph Char"/>
    <w:link w:val="SynopsisParagraph"/>
    <w:rPr>
      <w:lang w:val="en-US" w:eastAsia="en-US"/>
    </w:rPr>
  </w:style>
  <w:style w:type="character" w:customStyle="1" w:styleId="CaptionChar1">
    <w:name w:val="Caption Char1"/>
    <w:aliases w:val="Caption Char Char Char1,Caption Char Char Char Char Char1,Caption Char1 Char Char Char Char Char1,Caption Char Char Char Char Char Char Char1,Caption Char1 Char Char Char Char Char Char Char1"/>
    <w:locked/>
    <w:rPr>
      <w:b/>
      <w:bCs/>
      <w:sz w:val="24"/>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customStyle="1" w:styleId="CharChar8">
    <w:name w:val="Char Char8"/>
    <w:locked/>
    <w:rPr>
      <w:b/>
      <w:sz w:val="24"/>
      <w:lang w:val="en-US" w:eastAsia="en-US"/>
    </w:rPr>
  </w:style>
  <w:style w:type="character" w:customStyle="1" w:styleId="CommentTextChar2">
    <w:name w:val="Comment Text Char2"/>
    <w:uiPriority w:val="99"/>
    <w:locked/>
    <w:rPr>
      <w:szCs w:val="24"/>
    </w:rPr>
  </w:style>
  <w:style w:type="character" w:customStyle="1" w:styleId="highlight">
    <w:name w:val="highlight"/>
    <w:basedOn w:val="DefaultParagraphFont"/>
  </w:style>
  <w:style w:type="character" w:customStyle="1" w:styleId="ReferenceListChar">
    <w:name w:val="ReferenceList Char"/>
    <w:basedOn w:val="DefaultParagraphFont"/>
    <w:link w:val="ReferenceList"/>
    <w:locked/>
    <w:rPr>
      <w:rFonts w:cs="Arial"/>
      <w:color w:val="0000FF"/>
      <w:sz w:val="24"/>
      <w:lang w:val="en-US" w:eastAsia="en-US"/>
    </w:rPr>
  </w:style>
  <w:style w:type="character" w:customStyle="1" w:styleId="jrnl">
    <w:name w:val="jrnl"/>
    <w:basedOn w:val="DefaultParagraphFont"/>
  </w:style>
  <w:style w:type="character" w:customStyle="1" w:styleId="C-Heading3Char">
    <w:name w:val="C-Heading 3 Char"/>
    <w:basedOn w:val="DefaultParagraphFont"/>
    <w:link w:val="C-Heading3"/>
    <w:locked/>
    <w:rPr>
      <w:b/>
      <w:sz w:val="24"/>
      <w:lang w:val="en-US" w:eastAsia="en-US"/>
    </w:rPr>
  </w:style>
  <w:style w:type="paragraph" w:customStyle="1" w:styleId="referencelist0">
    <w:name w:val="referencelist"/>
    <w:basedOn w:val="Normal"/>
    <w:pPr>
      <w:widowControl/>
      <w:spacing w:after="240" w:line="360" w:lineRule="atLeast"/>
      <w:ind w:left="1080" w:hanging="1080"/>
      <w:jc w:val="left"/>
    </w:pPr>
    <w:rPr>
      <w:rFonts w:ascii="Times New Roman" w:eastAsia="MS Mincho" w:hAnsi="Times New Roman" w:cs="Times New Roman"/>
      <w:snapToGrid/>
      <w:color w:val="0000FF"/>
      <w:szCs w:val="24"/>
      <w:lang w:val="en-US" w:eastAsia="ja-JP"/>
    </w:rPr>
  </w:style>
  <w:style w:type="character" w:customStyle="1" w:styleId="highlight1">
    <w:name w:val="highlight1"/>
    <w:basedOn w:val="DefaultParagraphFont"/>
    <w:rPr>
      <w:shd w:val="clear" w:color="auto" w:fill="F2F5F8"/>
    </w:rPr>
  </w:style>
  <w:style w:type="paragraph" w:customStyle="1" w:styleId="TableStyleLeft">
    <w:name w:val="TableStyleLeft"/>
    <w:basedOn w:val="Paragraph"/>
    <w:link w:val="TableStyleLeftChar"/>
    <w:pPr>
      <w:keepNext/>
      <w:spacing w:before="40" w:after="40" w:line="240" w:lineRule="auto"/>
    </w:pPr>
    <w:rPr>
      <w:rFonts w:cs="Times New Roman"/>
      <w:sz w:val="20"/>
      <w:szCs w:val="24"/>
    </w:rPr>
  </w:style>
  <w:style w:type="character" w:customStyle="1" w:styleId="TableStyleLeftChar">
    <w:name w:val="TableStyleLeft Char"/>
    <w:link w:val="TableStyleLeft"/>
    <w:locked/>
    <w:rPr>
      <w:szCs w:val="24"/>
      <w:lang w:val="en-US" w:eastAsia="en-US"/>
    </w:rPr>
  </w:style>
  <w:style w:type="character" w:customStyle="1" w:styleId="locality">
    <w:name w:val="locality"/>
    <w:basedOn w:val="DefaultParagraphFont"/>
  </w:style>
  <w:style w:type="character" w:customStyle="1" w:styleId="region">
    <w:name w:val="region"/>
    <w:basedOn w:val="DefaultParagraphFont"/>
  </w:style>
  <w:style w:type="character" w:customStyle="1" w:styleId="postal-code">
    <w:name w:val="postal-code"/>
    <w:basedOn w:val="DefaultParagraphFont"/>
  </w:style>
  <w:style w:type="paragraph" w:customStyle="1" w:styleId="TableFootnote">
    <w:name w:val="TableFootnote"/>
    <w:basedOn w:val="Normal"/>
    <w:link w:val="TableFootnoteChar"/>
    <w:qFormat/>
    <w:pPr>
      <w:widowControl/>
      <w:spacing w:before="120"/>
      <w:ind w:left="274" w:hanging="274"/>
      <w:jc w:val="left"/>
    </w:pPr>
    <w:rPr>
      <w:rFonts w:ascii="Times New Roman" w:hAnsi="Times New Roman" w:cs="Times New Roman"/>
      <w:snapToGrid/>
      <w:sz w:val="18"/>
      <w:szCs w:val="18"/>
      <w:lang w:val="x-none" w:eastAsia="x-none"/>
    </w:rPr>
  </w:style>
  <w:style w:type="character" w:customStyle="1" w:styleId="TableFootnoteChar">
    <w:name w:val="TableFootnote Char"/>
    <w:link w:val="TableFootnote"/>
    <w:rPr>
      <w:sz w:val="18"/>
      <w:szCs w:val="18"/>
      <w:lang w:val="x-none" w:eastAsia="x-none"/>
    </w:rPr>
  </w:style>
  <w:style w:type="paragraph" w:customStyle="1" w:styleId="TableStyleCenter">
    <w:name w:val="TableStyleCenter"/>
    <w:basedOn w:val="TableStyleLeft"/>
    <w:qFormat/>
    <w:pPr>
      <w:jc w:val="center"/>
    </w:pPr>
  </w:style>
  <w:style w:type="paragraph" w:customStyle="1" w:styleId="TableHeadingCenter">
    <w:name w:val="TableHeadingCenter"/>
    <w:basedOn w:val="TableStyleCenter"/>
    <w:qFormat/>
    <w:rPr>
      <w:b/>
    </w:rPr>
  </w:style>
  <w:style w:type="character" w:customStyle="1" w:styleId="ListNumberChar">
    <w:name w:val="ListNumber Char"/>
    <w:link w:val="ListNumber0"/>
    <w:rPr>
      <w:sz w:val="24"/>
      <w:szCs w:val="24"/>
      <w:lang w:val="en-US" w:eastAsia="en-US"/>
    </w:rPr>
  </w:style>
  <w:style w:type="character" w:customStyle="1" w:styleId="element-citation">
    <w:name w:val="element-citation"/>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paragraph" w:customStyle="1" w:styleId="paragraph0">
    <w:name w:val="paragraph"/>
    <w:basedOn w:val="Normal"/>
    <w:pPr>
      <w:widowControl/>
      <w:spacing w:after="240" w:line="360" w:lineRule="atLeast"/>
      <w:jc w:val="left"/>
    </w:pPr>
    <w:rPr>
      <w:rFonts w:ascii="Times New Roman" w:hAnsi="Times New Roman" w:cs="Times New Roman"/>
      <w:snapToGrid/>
      <w:szCs w:val="24"/>
      <w:lang w:val="en-US"/>
    </w:rPr>
  </w:style>
  <w:style w:type="character" w:customStyle="1" w:styleId="cit">
    <w:name w:val="cit"/>
    <w:basedOn w:val="DefaultParagraphFont"/>
  </w:style>
  <w:style w:type="character" w:customStyle="1" w:styleId="fm-vol-iss-date">
    <w:name w:val="fm-vol-iss-date"/>
    <w:basedOn w:val="DefaultParagraphFont"/>
  </w:style>
  <w:style w:type="character" w:customStyle="1" w:styleId="doi">
    <w:name w:val="doi"/>
    <w:basedOn w:val="DefaultParagraphFont"/>
  </w:style>
  <w:style w:type="character" w:customStyle="1" w:styleId="fm-citation-ids-label">
    <w:name w:val="fm-citation-ids-label"/>
    <w:basedOn w:val="DefaultParagraphFont"/>
  </w:style>
  <w:style w:type="character" w:customStyle="1" w:styleId="mixed-citation">
    <w:name w:val="mixed-citation"/>
    <w:basedOn w:val="DefaultParagraphFont"/>
  </w:style>
  <w:style w:type="character" w:customStyle="1" w:styleId="st">
    <w:name w:val="st"/>
    <w:basedOn w:val="DefaultParagraphFont"/>
  </w:style>
  <w:style w:type="character" w:styleId="Strong">
    <w:name w:val="Strong"/>
    <w:basedOn w:val="DefaultParagraphFont"/>
    <w:uiPriority w:val="22"/>
    <w:qFormat/>
    <w:rPr>
      <w:b/>
      <w:bCs/>
    </w:rPr>
  </w:style>
  <w:style w:type="paragraph" w:customStyle="1" w:styleId="title1">
    <w:name w:val="title1"/>
    <w:basedOn w:val="Normal"/>
    <w:pPr>
      <w:widowControl/>
      <w:jc w:val="left"/>
    </w:pPr>
    <w:rPr>
      <w:rFonts w:ascii="Times New Roman" w:hAnsi="Times New Roman" w:cs="Times New Roman"/>
      <w:snapToGrid/>
      <w:sz w:val="27"/>
      <w:szCs w:val="27"/>
      <w:lang w:val="en-US"/>
    </w:rPr>
  </w:style>
  <w:style w:type="paragraph" w:customStyle="1" w:styleId="desc2">
    <w:name w:val="desc2"/>
    <w:basedOn w:val="Normal"/>
    <w:pPr>
      <w:widowControl/>
      <w:jc w:val="left"/>
    </w:pPr>
    <w:rPr>
      <w:rFonts w:ascii="Times New Roman" w:hAnsi="Times New Roman" w:cs="Times New Roman"/>
      <w:snapToGrid/>
      <w:sz w:val="26"/>
      <w:szCs w:val="26"/>
      <w:lang w:val="en-US"/>
    </w:rPr>
  </w:style>
  <w:style w:type="paragraph" w:customStyle="1" w:styleId="details1">
    <w:name w:val="details1"/>
    <w:basedOn w:val="Normal"/>
    <w:pPr>
      <w:widowControl/>
      <w:jc w:val="left"/>
    </w:pPr>
    <w:rPr>
      <w:rFonts w:ascii="Times New Roman" w:hAnsi="Times New Roman" w:cs="Times New Roman"/>
      <w:snapToGrid/>
      <w:sz w:val="22"/>
      <w:lang w:val="en-US"/>
    </w:rPr>
  </w:style>
  <w:style w:type="character" w:customStyle="1" w:styleId="highlight2">
    <w:name w:val="highlight2"/>
    <w:basedOn w:val="DefaultParagraphFont"/>
  </w:style>
  <w:style w:type="character" w:customStyle="1" w:styleId="doi1">
    <w:name w:val="doi1"/>
    <w:basedOn w:val="DefaultParagraphFont"/>
  </w:style>
  <w:style w:type="character" w:customStyle="1" w:styleId="Heading3Char">
    <w:name w:val="Heading 3 Char"/>
    <w:aliases w:val="3 bullet Char,b Char,2 Char"/>
    <w:basedOn w:val="ParagraphChar"/>
    <w:uiPriority w:val="9"/>
    <w:rPr>
      <w:rFonts w:cs="Arial"/>
      <w:b/>
      <w:bCs/>
      <w:color w:val="000000"/>
      <w:sz w:val="24"/>
      <w:szCs w:val="26"/>
      <w:lang w:val="en-US" w:eastAsia="en-US"/>
    </w:rPr>
  </w:style>
  <w:style w:type="numbering" w:customStyle="1" w:styleId="NoList1">
    <w:name w:val="No List1"/>
    <w:next w:val="NoList"/>
    <w:uiPriority w:val="99"/>
    <w:semiHidden/>
    <w:unhideWhenUsed/>
  </w:style>
  <w:style w:type="paragraph" w:customStyle="1" w:styleId="font0">
    <w:name w:val="font0"/>
    <w:basedOn w:val="Normal"/>
    <w:pPr>
      <w:widowControl/>
      <w:spacing w:before="100" w:beforeAutospacing="1" w:after="100" w:afterAutospacing="1"/>
      <w:jc w:val="left"/>
    </w:pPr>
    <w:rPr>
      <w:rFonts w:cs="Times New Roman"/>
      <w:snapToGrid/>
      <w:color w:val="000000"/>
      <w:sz w:val="22"/>
      <w:lang w:val="en-US"/>
    </w:rPr>
  </w:style>
  <w:style w:type="paragraph" w:customStyle="1" w:styleId="font5">
    <w:name w:val="font5"/>
    <w:basedOn w:val="Normal"/>
    <w:pPr>
      <w:widowControl/>
      <w:spacing w:before="100" w:beforeAutospacing="1" w:after="100" w:afterAutospacing="1"/>
      <w:jc w:val="left"/>
    </w:pPr>
    <w:rPr>
      <w:rFonts w:cs="Times New Roman"/>
      <w:i/>
      <w:iCs/>
      <w:snapToGrid/>
      <w:color w:val="000000"/>
      <w:sz w:val="22"/>
      <w:lang w:val="en-US"/>
    </w:rPr>
  </w:style>
  <w:style w:type="paragraph" w:customStyle="1" w:styleId="xl75">
    <w:name w:val="xl75"/>
    <w:basedOn w:val="Normal"/>
    <w:pPr>
      <w:widowControl/>
      <w:spacing w:before="100" w:beforeAutospacing="1" w:after="100" w:afterAutospacing="1"/>
      <w:jc w:val="left"/>
    </w:pPr>
    <w:rPr>
      <w:rFonts w:ascii="Times New Roman" w:hAnsi="Times New Roman" w:cs="Times New Roman"/>
      <w:snapToGrid/>
      <w:szCs w:val="24"/>
      <w:lang w:val="en-US"/>
    </w:rPr>
  </w:style>
  <w:style w:type="paragraph" w:customStyle="1" w:styleId="xl76">
    <w:name w:val="xl76"/>
    <w:basedOn w:val="Normal"/>
    <w:pPr>
      <w:widowControl/>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snapToGrid/>
      <w:szCs w:val="24"/>
      <w:lang w:val="en-US"/>
    </w:rPr>
  </w:style>
  <w:style w:type="paragraph" w:customStyle="1" w:styleId="xl77">
    <w:name w:val="xl7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napToGrid/>
      <w:szCs w:val="24"/>
      <w:lang w:val="en-US"/>
    </w:rPr>
  </w:style>
  <w:style w:type="paragraph" w:customStyle="1" w:styleId="xl78">
    <w:name w:val="xl7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snapToGrid/>
      <w:color w:val="FF0000"/>
      <w:szCs w:val="24"/>
      <w:lang w:val="en-US"/>
    </w:rPr>
  </w:style>
  <w:style w:type="paragraph" w:customStyle="1" w:styleId="xl79">
    <w:name w:val="xl7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napToGrid/>
      <w:szCs w:val="24"/>
      <w:lang w:val="en-US"/>
    </w:rPr>
  </w:style>
  <w:style w:type="paragraph" w:customStyle="1" w:styleId="xl80">
    <w:name w:val="xl8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napToGrid/>
      <w:szCs w:val="24"/>
      <w:lang w:val="en-US"/>
    </w:rPr>
  </w:style>
  <w:style w:type="paragraph" w:customStyle="1" w:styleId="xl81">
    <w:name w:val="xl8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snapToGrid/>
      <w:szCs w:val="24"/>
      <w:lang w:val="en-US"/>
    </w:rPr>
  </w:style>
  <w:style w:type="paragraph" w:customStyle="1" w:styleId="xl82">
    <w:name w:val="xl82"/>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napToGrid/>
      <w:szCs w:val="24"/>
      <w:lang w:val="en-US"/>
    </w:rPr>
  </w:style>
  <w:style w:type="paragraph" w:customStyle="1" w:styleId="xl83">
    <w:name w:val="xl83"/>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napToGrid/>
      <w:color w:val="000000"/>
      <w:szCs w:val="24"/>
      <w:lang w:val="en-US"/>
    </w:rPr>
  </w:style>
  <w:style w:type="paragraph" w:customStyle="1" w:styleId="xl84">
    <w:name w:val="xl84"/>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snapToGrid/>
      <w:szCs w:val="24"/>
      <w:lang w:val="en-US"/>
    </w:rPr>
  </w:style>
  <w:style w:type="paragraph" w:customStyle="1" w:styleId="xl85">
    <w:name w:val="xl8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napToGrid/>
      <w:szCs w:val="24"/>
      <w:lang w:val="en-US"/>
    </w:rPr>
  </w:style>
  <w:style w:type="paragraph" w:customStyle="1" w:styleId="xl86">
    <w:name w:val="xl8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napToGrid/>
      <w:szCs w:val="24"/>
      <w:lang w:val="en-US"/>
    </w:rPr>
  </w:style>
  <w:style w:type="paragraph" w:customStyle="1" w:styleId="xl87">
    <w:name w:val="xl8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napToGrid/>
      <w:color w:val="000000"/>
      <w:szCs w:val="24"/>
      <w:lang w:val="en-US"/>
    </w:rPr>
  </w:style>
  <w:style w:type="paragraph" w:customStyle="1" w:styleId="xl88">
    <w:name w:val="xl8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napToGrid/>
      <w:szCs w:val="24"/>
      <w:lang w:val="en-US"/>
    </w:rPr>
  </w:style>
  <w:style w:type="paragraph" w:customStyle="1" w:styleId="xl89">
    <w:name w:val="xl8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napToGrid/>
      <w:szCs w:val="24"/>
      <w:lang w:val="en-US"/>
    </w:rPr>
  </w:style>
  <w:style w:type="paragraph" w:customStyle="1" w:styleId="xl90">
    <w:name w:val="xl90"/>
    <w:basedOn w:val="Normal"/>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napToGrid/>
      <w:szCs w:val="24"/>
      <w:lang w:val="en-US"/>
    </w:rPr>
  </w:style>
  <w:style w:type="paragraph" w:customStyle="1" w:styleId="xl91">
    <w:name w:val="xl91"/>
    <w:basedOn w:val="Normal"/>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napToGrid/>
      <w:szCs w:val="24"/>
      <w:lang w:val="en-US"/>
    </w:rPr>
  </w:style>
  <w:style w:type="paragraph" w:customStyle="1" w:styleId="xl92">
    <w:name w:val="xl92"/>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snapToGrid/>
      <w:color w:val="FF0000"/>
      <w:szCs w:val="24"/>
      <w:lang w:val="en-US"/>
    </w:rPr>
  </w:style>
  <w:style w:type="paragraph" w:customStyle="1" w:styleId="xl93">
    <w:name w:val="xl93"/>
    <w:basedOn w:val="Normal"/>
    <w:pPr>
      <w:widowControl/>
      <w:spacing w:before="100" w:beforeAutospacing="1" w:after="100" w:afterAutospacing="1"/>
      <w:jc w:val="center"/>
    </w:pPr>
    <w:rPr>
      <w:rFonts w:ascii="Times New Roman" w:hAnsi="Times New Roman" w:cs="Times New Roman"/>
      <w:snapToGrid/>
      <w:szCs w:val="24"/>
      <w:lang w:val="en-US"/>
    </w:rPr>
  </w:style>
  <w:style w:type="paragraph" w:customStyle="1" w:styleId="xl94">
    <w:name w:val="xl94"/>
    <w:basedOn w:val="Normal"/>
    <w:pPr>
      <w:widowControl/>
      <w:spacing w:before="100" w:beforeAutospacing="1" w:after="100" w:afterAutospacing="1"/>
      <w:jc w:val="left"/>
    </w:pPr>
    <w:rPr>
      <w:rFonts w:ascii="Times New Roman" w:hAnsi="Times New Roman" w:cs="Times New Roman"/>
      <w:snapToGrid/>
      <w:szCs w:val="24"/>
      <w:lang w:val="en-US"/>
    </w:rPr>
  </w:style>
  <w:style w:type="paragraph" w:customStyle="1" w:styleId="xl95">
    <w:name w:val="xl9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napToGrid/>
      <w:szCs w:val="24"/>
      <w:lang w:val="en-US"/>
    </w:rPr>
  </w:style>
  <w:style w:type="paragraph" w:customStyle="1" w:styleId="xl96">
    <w:name w:val="xl9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napToGrid/>
      <w:szCs w:val="24"/>
      <w:lang w:val="en-US"/>
    </w:rPr>
  </w:style>
  <w:style w:type="paragraph" w:customStyle="1" w:styleId="xl97">
    <w:name w:val="xl9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snapToGrid/>
      <w:szCs w:val="24"/>
      <w:lang w:val="en-US"/>
    </w:rPr>
  </w:style>
  <w:style w:type="paragraph" w:customStyle="1" w:styleId="xl98">
    <w:name w:val="xl9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snapToGrid/>
      <w:szCs w:val="24"/>
      <w:lang w:val="en-US"/>
    </w:rPr>
  </w:style>
  <w:style w:type="paragraph" w:customStyle="1" w:styleId="xl99">
    <w:name w:val="xl99"/>
    <w:basedOn w:val="Normal"/>
    <w:pPr>
      <w:widowControl/>
      <w:spacing w:before="100" w:beforeAutospacing="1" w:after="100" w:afterAutospacing="1"/>
      <w:jc w:val="left"/>
    </w:pPr>
    <w:rPr>
      <w:rFonts w:ascii="Times New Roman" w:hAnsi="Times New Roman" w:cs="Times New Roman"/>
      <w:snapToGrid/>
      <w:szCs w:val="24"/>
      <w:lang w:val="en-US"/>
    </w:rPr>
  </w:style>
  <w:style w:type="paragraph" w:customStyle="1" w:styleId="xl100">
    <w:name w:val="xl100"/>
    <w:basedOn w:val="Normal"/>
    <w:pPr>
      <w:widowControl/>
      <w:pBdr>
        <w:top w:val="single" w:sz="4" w:space="0" w:color="CCCCCC"/>
        <w:left w:val="single" w:sz="4" w:space="0" w:color="CCCCCC"/>
        <w:bottom w:val="single" w:sz="4" w:space="0" w:color="CCCCCC"/>
        <w:right w:val="single" w:sz="4" w:space="0" w:color="CCCCCC"/>
      </w:pBdr>
      <w:shd w:val="clear" w:color="000000" w:fill="FFFFFF"/>
      <w:spacing w:before="100" w:beforeAutospacing="1" w:after="100" w:afterAutospacing="1"/>
      <w:jc w:val="left"/>
    </w:pPr>
    <w:rPr>
      <w:rFonts w:ascii="Times New Roman" w:hAnsi="Times New Roman" w:cs="Times New Roman"/>
      <w:snapToGrid/>
      <w:color w:val="000000"/>
      <w:szCs w:val="24"/>
      <w:lang w:val="en-US"/>
    </w:rPr>
  </w:style>
  <w:style w:type="character" w:customStyle="1" w:styleId="Font">
    <w:name w:val="Font"/>
    <w:basedOn w:val="DefaultParagraphFont"/>
    <w:uiPriority w:val="1"/>
    <w:qFormat/>
    <w:rPr>
      <w:rFonts w:ascii="Calibri" w:hAnsi="Calibri"/>
      <w:sz w:val="24"/>
    </w:rPr>
  </w:style>
  <w:style w:type="table" w:customStyle="1" w:styleId="HTATableshaded">
    <w:name w:val="HTA Table shaded"/>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SmallItalics">
    <w:name w:val="Small Italics"/>
    <w:basedOn w:val="DefaultParagraphFont"/>
    <w:uiPriority w:val="4"/>
    <w:qFormat/>
    <w:rPr>
      <w:rFonts w:ascii="Calibri" w:hAnsi="Calibri"/>
      <w:i/>
      <w:sz w:val="20"/>
    </w:rPr>
  </w:style>
  <w:style w:type="character" w:styleId="PlaceholderText">
    <w:name w:val="Placeholder Text"/>
    <w:basedOn w:val="DefaultParagraphFont"/>
    <w:uiPriority w:val="99"/>
    <w:semiHidden/>
    <w:rPr>
      <w:color w:val="808080"/>
    </w:rPr>
  </w:style>
  <w:style w:type="character" w:styleId="EndnoteReference">
    <w:name w:val="endnote reference"/>
    <w:basedOn w:val="DefaultParagraphFont"/>
    <w:semiHidden/>
    <w:unhideWhenUsed/>
    <w:rPr>
      <w:vertAlign w:val="superscript"/>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widowControl/>
      <w:spacing w:after="160" w:line="240" w:lineRule="exact"/>
      <w:jc w:val="left"/>
    </w:pPr>
    <w:rPr>
      <w:rFonts w:ascii="Verdana" w:eastAsia="MS Mincho" w:hAnsi="Verdana" w:cs="Verdana"/>
      <w:snapToGrid/>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1036">
      <w:bodyDiv w:val="1"/>
      <w:marLeft w:val="0"/>
      <w:marRight w:val="0"/>
      <w:marTop w:val="0"/>
      <w:marBottom w:val="0"/>
      <w:divBdr>
        <w:top w:val="none" w:sz="0" w:space="0" w:color="auto"/>
        <w:left w:val="none" w:sz="0" w:space="0" w:color="auto"/>
        <w:bottom w:val="none" w:sz="0" w:space="0" w:color="auto"/>
        <w:right w:val="none" w:sz="0" w:space="0" w:color="auto"/>
      </w:divBdr>
    </w:div>
    <w:div w:id="75826212">
      <w:bodyDiv w:val="1"/>
      <w:marLeft w:val="0"/>
      <w:marRight w:val="0"/>
      <w:marTop w:val="0"/>
      <w:marBottom w:val="0"/>
      <w:divBdr>
        <w:top w:val="none" w:sz="0" w:space="0" w:color="auto"/>
        <w:left w:val="none" w:sz="0" w:space="0" w:color="auto"/>
        <w:bottom w:val="none" w:sz="0" w:space="0" w:color="auto"/>
        <w:right w:val="none" w:sz="0" w:space="0" w:color="auto"/>
      </w:divBdr>
    </w:div>
    <w:div w:id="76022637">
      <w:bodyDiv w:val="1"/>
      <w:marLeft w:val="0"/>
      <w:marRight w:val="0"/>
      <w:marTop w:val="0"/>
      <w:marBottom w:val="0"/>
      <w:divBdr>
        <w:top w:val="none" w:sz="0" w:space="0" w:color="auto"/>
        <w:left w:val="none" w:sz="0" w:space="0" w:color="auto"/>
        <w:bottom w:val="none" w:sz="0" w:space="0" w:color="auto"/>
        <w:right w:val="none" w:sz="0" w:space="0" w:color="auto"/>
      </w:divBdr>
    </w:div>
    <w:div w:id="154730792">
      <w:bodyDiv w:val="1"/>
      <w:marLeft w:val="0"/>
      <w:marRight w:val="0"/>
      <w:marTop w:val="0"/>
      <w:marBottom w:val="0"/>
      <w:divBdr>
        <w:top w:val="none" w:sz="0" w:space="0" w:color="auto"/>
        <w:left w:val="none" w:sz="0" w:space="0" w:color="auto"/>
        <w:bottom w:val="none" w:sz="0" w:space="0" w:color="auto"/>
        <w:right w:val="none" w:sz="0" w:space="0" w:color="auto"/>
      </w:divBdr>
    </w:div>
    <w:div w:id="204172425">
      <w:bodyDiv w:val="1"/>
      <w:marLeft w:val="0"/>
      <w:marRight w:val="0"/>
      <w:marTop w:val="0"/>
      <w:marBottom w:val="0"/>
      <w:divBdr>
        <w:top w:val="none" w:sz="0" w:space="0" w:color="auto"/>
        <w:left w:val="none" w:sz="0" w:space="0" w:color="auto"/>
        <w:bottom w:val="none" w:sz="0" w:space="0" w:color="auto"/>
        <w:right w:val="none" w:sz="0" w:space="0" w:color="auto"/>
      </w:divBdr>
    </w:div>
    <w:div w:id="251015375">
      <w:bodyDiv w:val="1"/>
      <w:marLeft w:val="0"/>
      <w:marRight w:val="0"/>
      <w:marTop w:val="0"/>
      <w:marBottom w:val="0"/>
      <w:divBdr>
        <w:top w:val="none" w:sz="0" w:space="0" w:color="auto"/>
        <w:left w:val="none" w:sz="0" w:space="0" w:color="auto"/>
        <w:bottom w:val="none" w:sz="0" w:space="0" w:color="auto"/>
        <w:right w:val="none" w:sz="0" w:space="0" w:color="auto"/>
      </w:divBdr>
    </w:div>
    <w:div w:id="305942030">
      <w:bodyDiv w:val="1"/>
      <w:marLeft w:val="0"/>
      <w:marRight w:val="0"/>
      <w:marTop w:val="0"/>
      <w:marBottom w:val="0"/>
      <w:divBdr>
        <w:top w:val="none" w:sz="0" w:space="0" w:color="auto"/>
        <w:left w:val="none" w:sz="0" w:space="0" w:color="auto"/>
        <w:bottom w:val="none" w:sz="0" w:space="0" w:color="auto"/>
        <w:right w:val="none" w:sz="0" w:space="0" w:color="auto"/>
      </w:divBdr>
    </w:div>
    <w:div w:id="309218489">
      <w:bodyDiv w:val="1"/>
      <w:marLeft w:val="0"/>
      <w:marRight w:val="0"/>
      <w:marTop w:val="0"/>
      <w:marBottom w:val="0"/>
      <w:divBdr>
        <w:top w:val="none" w:sz="0" w:space="0" w:color="auto"/>
        <w:left w:val="none" w:sz="0" w:space="0" w:color="auto"/>
        <w:bottom w:val="none" w:sz="0" w:space="0" w:color="auto"/>
        <w:right w:val="none" w:sz="0" w:space="0" w:color="auto"/>
      </w:divBdr>
    </w:div>
    <w:div w:id="343289050">
      <w:bodyDiv w:val="1"/>
      <w:marLeft w:val="0"/>
      <w:marRight w:val="0"/>
      <w:marTop w:val="0"/>
      <w:marBottom w:val="0"/>
      <w:divBdr>
        <w:top w:val="none" w:sz="0" w:space="0" w:color="auto"/>
        <w:left w:val="none" w:sz="0" w:space="0" w:color="auto"/>
        <w:bottom w:val="none" w:sz="0" w:space="0" w:color="auto"/>
        <w:right w:val="none" w:sz="0" w:space="0" w:color="auto"/>
      </w:divBdr>
    </w:div>
    <w:div w:id="345985740">
      <w:bodyDiv w:val="1"/>
      <w:marLeft w:val="0"/>
      <w:marRight w:val="0"/>
      <w:marTop w:val="0"/>
      <w:marBottom w:val="0"/>
      <w:divBdr>
        <w:top w:val="none" w:sz="0" w:space="0" w:color="auto"/>
        <w:left w:val="none" w:sz="0" w:space="0" w:color="auto"/>
        <w:bottom w:val="none" w:sz="0" w:space="0" w:color="auto"/>
        <w:right w:val="none" w:sz="0" w:space="0" w:color="auto"/>
      </w:divBdr>
    </w:div>
    <w:div w:id="363218071">
      <w:bodyDiv w:val="1"/>
      <w:marLeft w:val="0"/>
      <w:marRight w:val="0"/>
      <w:marTop w:val="0"/>
      <w:marBottom w:val="0"/>
      <w:divBdr>
        <w:top w:val="none" w:sz="0" w:space="0" w:color="auto"/>
        <w:left w:val="none" w:sz="0" w:space="0" w:color="auto"/>
        <w:bottom w:val="none" w:sz="0" w:space="0" w:color="auto"/>
        <w:right w:val="none" w:sz="0" w:space="0" w:color="auto"/>
      </w:divBdr>
    </w:div>
    <w:div w:id="400374484">
      <w:bodyDiv w:val="1"/>
      <w:marLeft w:val="0"/>
      <w:marRight w:val="0"/>
      <w:marTop w:val="0"/>
      <w:marBottom w:val="0"/>
      <w:divBdr>
        <w:top w:val="none" w:sz="0" w:space="0" w:color="auto"/>
        <w:left w:val="none" w:sz="0" w:space="0" w:color="auto"/>
        <w:bottom w:val="none" w:sz="0" w:space="0" w:color="auto"/>
        <w:right w:val="none" w:sz="0" w:space="0" w:color="auto"/>
      </w:divBdr>
    </w:div>
    <w:div w:id="425686592">
      <w:bodyDiv w:val="1"/>
      <w:marLeft w:val="0"/>
      <w:marRight w:val="0"/>
      <w:marTop w:val="0"/>
      <w:marBottom w:val="0"/>
      <w:divBdr>
        <w:top w:val="none" w:sz="0" w:space="0" w:color="auto"/>
        <w:left w:val="none" w:sz="0" w:space="0" w:color="auto"/>
        <w:bottom w:val="none" w:sz="0" w:space="0" w:color="auto"/>
        <w:right w:val="none" w:sz="0" w:space="0" w:color="auto"/>
      </w:divBdr>
    </w:div>
    <w:div w:id="440538493">
      <w:bodyDiv w:val="1"/>
      <w:marLeft w:val="0"/>
      <w:marRight w:val="0"/>
      <w:marTop w:val="0"/>
      <w:marBottom w:val="0"/>
      <w:divBdr>
        <w:top w:val="none" w:sz="0" w:space="0" w:color="auto"/>
        <w:left w:val="none" w:sz="0" w:space="0" w:color="auto"/>
        <w:bottom w:val="none" w:sz="0" w:space="0" w:color="auto"/>
        <w:right w:val="none" w:sz="0" w:space="0" w:color="auto"/>
      </w:divBdr>
    </w:div>
    <w:div w:id="449478562">
      <w:bodyDiv w:val="1"/>
      <w:marLeft w:val="0"/>
      <w:marRight w:val="0"/>
      <w:marTop w:val="0"/>
      <w:marBottom w:val="0"/>
      <w:divBdr>
        <w:top w:val="none" w:sz="0" w:space="0" w:color="auto"/>
        <w:left w:val="none" w:sz="0" w:space="0" w:color="auto"/>
        <w:bottom w:val="none" w:sz="0" w:space="0" w:color="auto"/>
        <w:right w:val="none" w:sz="0" w:space="0" w:color="auto"/>
      </w:divBdr>
      <w:divsChild>
        <w:div w:id="523902308">
          <w:marLeft w:val="360"/>
          <w:marRight w:val="0"/>
          <w:marTop w:val="200"/>
          <w:marBottom w:val="0"/>
          <w:divBdr>
            <w:top w:val="none" w:sz="0" w:space="0" w:color="auto"/>
            <w:left w:val="none" w:sz="0" w:space="0" w:color="auto"/>
            <w:bottom w:val="none" w:sz="0" w:space="0" w:color="auto"/>
            <w:right w:val="none" w:sz="0" w:space="0" w:color="auto"/>
          </w:divBdr>
        </w:div>
      </w:divsChild>
    </w:div>
    <w:div w:id="475949664">
      <w:bodyDiv w:val="1"/>
      <w:marLeft w:val="0"/>
      <w:marRight w:val="0"/>
      <w:marTop w:val="0"/>
      <w:marBottom w:val="0"/>
      <w:divBdr>
        <w:top w:val="none" w:sz="0" w:space="0" w:color="auto"/>
        <w:left w:val="none" w:sz="0" w:space="0" w:color="auto"/>
        <w:bottom w:val="none" w:sz="0" w:space="0" w:color="auto"/>
        <w:right w:val="none" w:sz="0" w:space="0" w:color="auto"/>
      </w:divBdr>
    </w:div>
    <w:div w:id="533661529">
      <w:bodyDiv w:val="1"/>
      <w:marLeft w:val="0"/>
      <w:marRight w:val="0"/>
      <w:marTop w:val="0"/>
      <w:marBottom w:val="0"/>
      <w:divBdr>
        <w:top w:val="none" w:sz="0" w:space="0" w:color="auto"/>
        <w:left w:val="none" w:sz="0" w:space="0" w:color="auto"/>
        <w:bottom w:val="none" w:sz="0" w:space="0" w:color="auto"/>
        <w:right w:val="none" w:sz="0" w:space="0" w:color="auto"/>
      </w:divBdr>
    </w:div>
    <w:div w:id="535893657">
      <w:bodyDiv w:val="1"/>
      <w:marLeft w:val="0"/>
      <w:marRight w:val="0"/>
      <w:marTop w:val="0"/>
      <w:marBottom w:val="0"/>
      <w:divBdr>
        <w:top w:val="none" w:sz="0" w:space="0" w:color="auto"/>
        <w:left w:val="none" w:sz="0" w:space="0" w:color="auto"/>
        <w:bottom w:val="none" w:sz="0" w:space="0" w:color="auto"/>
        <w:right w:val="none" w:sz="0" w:space="0" w:color="auto"/>
      </w:divBdr>
      <w:divsChild>
        <w:div w:id="1797600060">
          <w:marLeft w:val="360"/>
          <w:marRight w:val="0"/>
          <w:marTop w:val="200"/>
          <w:marBottom w:val="0"/>
          <w:divBdr>
            <w:top w:val="none" w:sz="0" w:space="0" w:color="auto"/>
            <w:left w:val="none" w:sz="0" w:space="0" w:color="auto"/>
            <w:bottom w:val="none" w:sz="0" w:space="0" w:color="auto"/>
            <w:right w:val="none" w:sz="0" w:space="0" w:color="auto"/>
          </w:divBdr>
        </w:div>
      </w:divsChild>
    </w:div>
    <w:div w:id="551966795">
      <w:bodyDiv w:val="1"/>
      <w:marLeft w:val="0"/>
      <w:marRight w:val="0"/>
      <w:marTop w:val="0"/>
      <w:marBottom w:val="0"/>
      <w:divBdr>
        <w:top w:val="none" w:sz="0" w:space="0" w:color="auto"/>
        <w:left w:val="none" w:sz="0" w:space="0" w:color="auto"/>
        <w:bottom w:val="none" w:sz="0" w:space="0" w:color="auto"/>
        <w:right w:val="none" w:sz="0" w:space="0" w:color="auto"/>
      </w:divBdr>
    </w:div>
    <w:div w:id="591593877">
      <w:bodyDiv w:val="1"/>
      <w:marLeft w:val="0"/>
      <w:marRight w:val="0"/>
      <w:marTop w:val="0"/>
      <w:marBottom w:val="0"/>
      <w:divBdr>
        <w:top w:val="none" w:sz="0" w:space="0" w:color="auto"/>
        <w:left w:val="none" w:sz="0" w:space="0" w:color="auto"/>
        <w:bottom w:val="none" w:sz="0" w:space="0" w:color="auto"/>
        <w:right w:val="none" w:sz="0" w:space="0" w:color="auto"/>
      </w:divBdr>
    </w:div>
    <w:div w:id="616063758">
      <w:bodyDiv w:val="1"/>
      <w:marLeft w:val="0"/>
      <w:marRight w:val="0"/>
      <w:marTop w:val="0"/>
      <w:marBottom w:val="0"/>
      <w:divBdr>
        <w:top w:val="none" w:sz="0" w:space="0" w:color="auto"/>
        <w:left w:val="none" w:sz="0" w:space="0" w:color="auto"/>
        <w:bottom w:val="none" w:sz="0" w:space="0" w:color="auto"/>
        <w:right w:val="none" w:sz="0" w:space="0" w:color="auto"/>
      </w:divBdr>
    </w:div>
    <w:div w:id="674654629">
      <w:bodyDiv w:val="1"/>
      <w:marLeft w:val="0"/>
      <w:marRight w:val="0"/>
      <w:marTop w:val="0"/>
      <w:marBottom w:val="0"/>
      <w:divBdr>
        <w:top w:val="none" w:sz="0" w:space="0" w:color="auto"/>
        <w:left w:val="none" w:sz="0" w:space="0" w:color="auto"/>
        <w:bottom w:val="none" w:sz="0" w:space="0" w:color="auto"/>
        <w:right w:val="none" w:sz="0" w:space="0" w:color="auto"/>
      </w:divBdr>
    </w:div>
    <w:div w:id="688721416">
      <w:bodyDiv w:val="1"/>
      <w:marLeft w:val="0"/>
      <w:marRight w:val="0"/>
      <w:marTop w:val="0"/>
      <w:marBottom w:val="0"/>
      <w:divBdr>
        <w:top w:val="none" w:sz="0" w:space="0" w:color="auto"/>
        <w:left w:val="none" w:sz="0" w:space="0" w:color="auto"/>
        <w:bottom w:val="none" w:sz="0" w:space="0" w:color="auto"/>
        <w:right w:val="none" w:sz="0" w:space="0" w:color="auto"/>
      </w:divBdr>
    </w:div>
    <w:div w:id="709840491">
      <w:bodyDiv w:val="1"/>
      <w:marLeft w:val="0"/>
      <w:marRight w:val="0"/>
      <w:marTop w:val="0"/>
      <w:marBottom w:val="0"/>
      <w:divBdr>
        <w:top w:val="none" w:sz="0" w:space="0" w:color="auto"/>
        <w:left w:val="none" w:sz="0" w:space="0" w:color="auto"/>
        <w:bottom w:val="none" w:sz="0" w:space="0" w:color="auto"/>
        <w:right w:val="none" w:sz="0" w:space="0" w:color="auto"/>
      </w:divBdr>
    </w:div>
    <w:div w:id="721910231">
      <w:bodyDiv w:val="1"/>
      <w:marLeft w:val="0"/>
      <w:marRight w:val="0"/>
      <w:marTop w:val="0"/>
      <w:marBottom w:val="0"/>
      <w:divBdr>
        <w:top w:val="none" w:sz="0" w:space="0" w:color="auto"/>
        <w:left w:val="none" w:sz="0" w:space="0" w:color="auto"/>
        <w:bottom w:val="none" w:sz="0" w:space="0" w:color="auto"/>
        <w:right w:val="none" w:sz="0" w:space="0" w:color="auto"/>
      </w:divBdr>
    </w:div>
    <w:div w:id="725296373">
      <w:bodyDiv w:val="1"/>
      <w:marLeft w:val="0"/>
      <w:marRight w:val="0"/>
      <w:marTop w:val="0"/>
      <w:marBottom w:val="0"/>
      <w:divBdr>
        <w:top w:val="none" w:sz="0" w:space="0" w:color="auto"/>
        <w:left w:val="none" w:sz="0" w:space="0" w:color="auto"/>
        <w:bottom w:val="none" w:sz="0" w:space="0" w:color="auto"/>
        <w:right w:val="none" w:sz="0" w:space="0" w:color="auto"/>
      </w:divBdr>
    </w:div>
    <w:div w:id="794131714">
      <w:bodyDiv w:val="1"/>
      <w:marLeft w:val="0"/>
      <w:marRight w:val="0"/>
      <w:marTop w:val="0"/>
      <w:marBottom w:val="0"/>
      <w:divBdr>
        <w:top w:val="none" w:sz="0" w:space="0" w:color="auto"/>
        <w:left w:val="none" w:sz="0" w:space="0" w:color="auto"/>
        <w:bottom w:val="none" w:sz="0" w:space="0" w:color="auto"/>
        <w:right w:val="none" w:sz="0" w:space="0" w:color="auto"/>
      </w:divBdr>
    </w:div>
    <w:div w:id="797722713">
      <w:bodyDiv w:val="1"/>
      <w:marLeft w:val="0"/>
      <w:marRight w:val="0"/>
      <w:marTop w:val="0"/>
      <w:marBottom w:val="0"/>
      <w:divBdr>
        <w:top w:val="none" w:sz="0" w:space="0" w:color="auto"/>
        <w:left w:val="none" w:sz="0" w:space="0" w:color="auto"/>
        <w:bottom w:val="none" w:sz="0" w:space="0" w:color="auto"/>
        <w:right w:val="none" w:sz="0" w:space="0" w:color="auto"/>
      </w:divBdr>
    </w:div>
    <w:div w:id="805776432">
      <w:bodyDiv w:val="1"/>
      <w:marLeft w:val="0"/>
      <w:marRight w:val="0"/>
      <w:marTop w:val="0"/>
      <w:marBottom w:val="0"/>
      <w:divBdr>
        <w:top w:val="none" w:sz="0" w:space="0" w:color="auto"/>
        <w:left w:val="none" w:sz="0" w:space="0" w:color="auto"/>
        <w:bottom w:val="none" w:sz="0" w:space="0" w:color="auto"/>
        <w:right w:val="none" w:sz="0" w:space="0" w:color="auto"/>
      </w:divBdr>
    </w:div>
    <w:div w:id="914432971">
      <w:bodyDiv w:val="1"/>
      <w:marLeft w:val="0"/>
      <w:marRight w:val="0"/>
      <w:marTop w:val="0"/>
      <w:marBottom w:val="0"/>
      <w:divBdr>
        <w:top w:val="none" w:sz="0" w:space="0" w:color="auto"/>
        <w:left w:val="none" w:sz="0" w:space="0" w:color="auto"/>
        <w:bottom w:val="none" w:sz="0" w:space="0" w:color="auto"/>
        <w:right w:val="none" w:sz="0" w:space="0" w:color="auto"/>
      </w:divBdr>
    </w:div>
    <w:div w:id="940068840">
      <w:bodyDiv w:val="1"/>
      <w:marLeft w:val="0"/>
      <w:marRight w:val="0"/>
      <w:marTop w:val="0"/>
      <w:marBottom w:val="0"/>
      <w:divBdr>
        <w:top w:val="none" w:sz="0" w:space="0" w:color="auto"/>
        <w:left w:val="none" w:sz="0" w:space="0" w:color="auto"/>
        <w:bottom w:val="none" w:sz="0" w:space="0" w:color="auto"/>
        <w:right w:val="none" w:sz="0" w:space="0" w:color="auto"/>
      </w:divBdr>
    </w:div>
    <w:div w:id="944191052">
      <w:bodyDiv w:val="1"/>
      <w:marLeft w:val="0"/>
      <w:marRight w:val="0"/>
      <w:marTop w:val="0"/>
      <w:marBottom w:val="0"/>
      <w:divBdr>
        <w:top w:val="none" w:sz="0" w:space="0" w:color="auto"/>
        <w:left w:val="none" w:sz="0" w:space="0" w:color="auto"/>
        <w:bottom w:val="none" w:sz="0" w:space="0" w:color="auto"/>
        <w:right w:val="none" w:sz="0" w:space="0" w:color="auto"/>
      </w:divBdr>
    </w:div>
    <w:div w:id="983118782">
      <w:bodyDiv w:val="1"/>
      <w:marLeft w:val="0"/>
      <w:marRight w:val="0"/>
      <w:marTop w:val="0"/>
      <w:marBottom w:val="0"/>
      <w:divBdr>
        <w:top w:val="none" w:sz="0" w:space="0" w:color="auto"/>
        <w:left w:val="none" w:sz="0" w:space="0" w:color="auto"/>
        <w:bottom w:val="none" w:sz="0" w:space="0" w:color="auto"/>
        <w:right w:val="none" w:sz="0" w:space="0" w:color="auto"/>
      </w:divBdr>
    </w:div>
    <w:div w:id="991524584">
      <w:bodyDiv w:val="1"/>
      <w:marLeft w:val="0"/>
      <w:marRight w:val="0"/>
      <w:marTop w:val="0"/>
      <w:marBottom w:val="0"/>
      <w:divBdr>
        <w:top w:val="none" w:sz="0" w:space="0" w:color="auto"/>
        <w:left w:val="none" w:sz="0" w:space="0" w:color="auto"/>
        <w:bottom w:val="none" w:sz="0" w:space="0" w:color="auto"/>
        <w:right w:val="none" w:sz="0" w:space="0" w:color="auto"/>
      </w:divBdr>
    </w:div>
    <w:div w:id="1007487089">
      <w:bodyDiv w:val="1"/>
      <w:marLeft w:val="0"/>
      <w:marRight w:val="0"/>
      <w:marTop w:val="0"/>
      <w:marBottom w:val="0"/>
      <w:divBdr>
        <w:top w:val="none" w:sz="0" w:space="0" w:color="auto"/>
        <w:left w:val="none" w:sz="0" w:space="0" w:color="auto"/>
        <w:bottom w:val="none" w:sz="0" w:space="0" w:color="auto"/>
        <w:right w:val="none" w:sz="0" w:space="0" w:color="auto"/>
      </w:divBdr>
    </w:div>
    <w:div w:id="1026829820">
      <w:bodyDiv w:val="1"/>
      <w:marLeft w:val="0"/>
      <w:marRight w:val="0"/>
      <w:marTop w:val="0"/>
      <w:marBottom w:val="0"/>
      <w:divBdr>
        <w:top w:val="none" w:sz="0" w:space="0" w:color="auto"/>
        <w:left w:val="none" w:sz="0" w:space="0" w:color="auto"/>
        <w:bottom w:val="none" w:sz="0" w:space="0" w:color="auto"/>
        <w:right w:val="none" w:sz="0" w:space="0" w:color="auto"/>
      </w:divBdr>
    </w:div>
    <w:div w:id="1038581282">
      <w:bodyDiv w:val="1"/>
      <w:marLeft w:val="0"/>
      <w:marRight w:val="0"/>
      <w:marTop w:val="0"/>
      <w:marBottom w:val="0"/>
      <w:divBdr>
        <w:top w:val="none" w:sz="0" w:space="0" w:color="auto"/>
        <w:left w:val="none" w:sz="0" w:space="0" w:color="auto"/>
        <w:bottom w:val="none" w:sz="0" w:space="0" w:color="auto"/>
        <w:right w:val="none" w:sz="0" w:space="0" w:color="auto"/>
      </w:divBdr>
    </w:div>
    <w:div w:id="1050299559">
      <w:bodyDiv w:val="1"/>
      <w:marLeft w:val="0"/>
      <w:marRight w:val="0"/>
      <w:marTop w:val="0"/>
      <w:marBottom w:val="0"/>
      <w:divBdr>
        <w:top w:val="none" w:sz="0" w:space="0" w:color="auto"/>
        <w:left w:val="none" w:sz="0" w:space="0" w:color="auto"/>
        <w:bottom w:val="none" w:sz="0" w:space="0" w:color="auto"/>
        <w:right w:val="none" w:sz="0" w:space="0" w:color="auto"/>
      </w:divBdr>
    </w:div>
    <w:div w:id="1088622409">
      <w:bodyDiv w:val="1"/>
      <w:marLeft w:val="0"/>
      <w:marRight w:val="0"/>
      <w:marTop w:val="0"/>
      <w:marBottom w:val="0"/>
      <w:divBdr>
        <w:top w:val="none" w:sz="0" w:space="0" w:color="auto"/>
        <w:left w:val="none" w:sz="0" w:space="0" w:color="auto"/>
        <w:bottom w:val="none" w:sz="0" w:space="0" w:color="auto"/>
        <w:right w:val="none" w:sz="0" w:space="0" w:color="auto"/>
      </w:divBdr>
    </w:div>
    <w:div w:id="1113286478">
      <w:bodyDiv w:val="1"/>
      <w:marLeft w:val="0"/>
      <w:marRight w:val="0"/>
      <w:marTop w:val="0"/>
      <w:marBottom w:val="0"/>
      <w:divBdr>
        <w:top w:val="none" w:sz="0" w:space="0" w:color="auto"/>
        <w:left w:val="none" w:sz="0" w:space="0" w:color="auto"/>
        <w:bottom w:val="none" w:sz="0" w:space="0" w:color="auto"/>
        <w:right w:val="none" w:sz="0" w:space="0" w:color="auto"/>
      </w:divBdr>
    </w:div>
    <w:div w:id="1197699626">
      <w:bodyDiv w:val="1"/>
      <w:marLeft w:val="0"/>
      <w:marRight w:val="0"/>
      <w:marTop w:val="0"/>
      <w:marBottom w:val="0"/>
      <w:divBdr>
        <w:top w:val="none" w:sz="0" w:space="0" w:color="auto"/>
        <w:left w:val="none" w:sz="0" w:space="0" w:color="auto"/>
        <w:bottom w:val="none" w:sz="0" w:space="0" w:color="auto"/>
        <w:right w:val="none" w:sz="0" w:space="0" w:color="auto"/>
      </w:divBdr>
    </w:div>
    <w:div w:id="1235582824">
      <w:bodyDiv w:val="1"/>
      <w:marLeft w:val="0"/>
      <w:marRight w:val="0"/>
      <w:marTop w:val="0"/>
      <w:marBottom w:val="0"/>
      <w:divBdr>
        <w:top w:val="none" w:sz="0" w:space="0" w:color="auto"/>
        <w:left w:val="none" w:sz="0" w:space="0" w:color="auto"/>
        <w:bottom w:val="none" w:sz="0" w:space="0" w:color="auto"/>
        <w:right w:val="none" w:sz="0" w:space="0" w:color="auto"/>
      </w:divBdr>
    </w:div>
    <w:div w:id="1240366640">
      <w:bodyDiv w:val="1"/>
      <w:marLeft w:val="0"/>
      <w:marRight w:val="0"/>
      <w:marTop w:val="0"/>
      <w:marBottom w:val="0"/>
      <w:divBdr>
        <w:top w:val="none" w:sz="0" w:space="0" w:color="auto"/>
        <w:left w:val="none" w:sz="0" w:space="0" w:color="auto"/>
        <w:bottom w:val="none" w:sz="0" w:space="0" w:color="auto"/>
        <w:right w:val="none" w:sz="0" w:space="0" w:color="auto"/>
      </w:divBdr>
    </w:div>
    <w:div w:id="1290863261">
      <w:bodyDiv w:val="1"/>
      <w:marLeft w:val="0"/>
      <w:marRight w:val="0"/>
      <w:marTop w:val="0"/>
      <w:marBottom w:val="0"/>
      <w:divBdr>
        <w:top w:val="none" w:sz="0" w:space="0" w:color="auto"/>
        <w:left w:val="none" w:sz="0" w:space="0" w:color="auto"/>
        <w:bottom w:val="none" w:sz="0" w:space="0" w:color="auto"/>
        <w:right w:val="none" w:sz="0" w:space="0" w:color="auto"/>
      </w:divBdr>
    </w:div>
    <w:div w:id="1293515481">
      <w:bodyDiv w:val="1"/>
      <w:marLeft w:val="0"/>
      <w:marRight w:val="0"/>
      <w:marTop w:val="0"/>
      <w:marBottom w:val="0"/>
      <w:divBdr>
        <w:top w:val="none" w:sz="0" w:space="0" w:color="auto"/>
        <w:left w:val="none" w:sz="0" w:space="0" w:color="auto"/>
        <w:bottom w:val="none" w:sz="0" w:space="0" w:color="auto"/>
        <w:right w:val="none" w:sz="0" w:space="0" w:color="auto"/>
      </w:divBdr>
      <w:divsChild>
        <w:div w:id="248272767">
          <w:marLeft w:val="360"/>
          <w:marRight w:val="0"/>
          <w:marTop w:val="200"/>
          <w:marBottom w:val="0"/>
          <w:divBdr>
            <w:top w:val="none" w:sz="0" w:space="0" w:color="auto"/>
            <w:left w:val="none" w:sz="0" w:space="0" w:color="auto"/>
            <w:bottom w:val="none" w:sz="0" w:space="0" w:color="auto"/>
            <w:right w:val="none" w:sz="0" w:space="0" w:color="auto"/>
          </w:divBdr>
        </w:div>
      </w:divsChild>
    </w:div>
    <w:div w:id="1327710365">
      <w:bodyDiv w:val="1"/>
      <w:marLeft w:val="0"/>
      <w:marRight w:val="0"/>
      <w:marTop w:val="0"/>
      <w:marBottom w:val="0"/>
      <w:divBdr>
        <w:top w:val="none" w:sz="0" w:space="0" w:color="auto"/>
        <w:left w:val="none" w:sz="0" w:space="0" w:color="auto"/>
        <w:bottom w:val="none" w:sz="0" w:space="0" w:color="auto"/>
        <w:right w:val="none" w:sz="0" w:space="0" w:color="auto"/>
      </w:divBdr>
    </w:div>
    <w:div w:id="1360932047">
      <w:bodyDiv w:val="1"/>
      <w:marLeft w:val="0"/>
      <w:marRight w:val="0"/>
      <w:marTop w:val="0"/>
      <w:marBottom w:val="0"/>
      <w:divBdr>
        <w:top w:val="none" w:sz="0" w:space="0" w:color="auto"/>
        <w:left w:val="none" w:sz="0" w:space="0" w:color="auto"/>
        <w:bottom w:val="none" w:sz="0" w:space="0" w:color="auto"/>
        <w:right w:val="none" w:sz="0" w:space="0" w:color="auto"/>
      </w:divBdr>
    </w:div>
    <w:div w:id="1441872603">
      <w:bodyDiv w:val="1"/>
      <w:marLeft w:val="0"/>
      <w:marRight w:val="0"/>
      <w:marTop w:val="0"/>
      <w:marBottom w:val="0"/>
      <w:divBdr>
        <w:top w:val="none" w:sz="0" w:space="0" w:color="auto"/>
        <w:left w:val="none" w:sz="0" w:space="0" w:color="auto"/>
        <w:bottom w:val="none" w:sz="0" w:space="0" w:color="auto"/>
        <w:right w:val="none" w:sz="0" w:space="0" w:color="auto"/>
      </w:divBdr>
    </w:div>
    <w:div w:id="1446465084">
      <w:bodyDiv w:val="1"/>
      <w:marLeft w:val="0"/>
      <w:marRight w:val="0"/>
      <w:marTop w:val="0"/>
      <w:marBottom w:val="0"/>
      <w:divBdr>
        <w:top w:val="none" w:sz="0" w:space="0" w:color="auto"/>
        <w:left w:val="none" w:sz="0" w:space="0" w:color="auto"/>
        <w:bottom w:val="none" w:sz="0" w:space="0" w:color="auto"/>
        <w:right w:val="none" w:sz="0" w:space="0" w:color="auto"/>
      </w:divBdr>
    </w:div>
    <w:div w:id="1451388939">
      <w:bodyDiv w:val="1"/>
      <w:marLeft w:val="0"/>
      <w:marRight w:val="0"/>
      <w:marTop w:val="0"/>
      <w:marBottom w:val="0"/>
      <w:divBdr>
        <w:top w:val="none" w:sz="0" w:space="0" w:color="auto"/>
        <w:left w:val="none" w:sz="0" w:space="0" w:color="auto"/>
        <w:bottom w:val="none" w:sz="0" w:space="0" w:color="auto"/>
        <w:right w:val="none" w:sz="0" w:space="0" w:color="auto"/>
      </w:divBdr>
    </w:div>
    <w:div w:id="1564951990">
      <w:bodyDiv w:val="1"/>
      <w:marLeft w:val="0"/>
      <w:marRight w:val="0"/>
      <w:marTop w:val="0"/>
      <w:marBottom w:val="0"/>
      <w:divBdr>
        <w:top w:val="none" w:sz="0" w:space="0" w:color="auto"/>
        <w:left w:val="none" w:sz="0" w:space="0" w:color="auto"/>
        <w:bottom w:val="none" w:sz="0" w:space="0" w:color="auto"/>
        <w:right w:val="none" w:sz="0" w:space="0" w:color="auto"/>
      </w:divBdr>
    </w:div>
    <w:div w:id="1569538806">
      <w:bodyDiv w:val="1"/>
      <w:marLeft w:val="0"/>
      <w:marRight w:val="0"/>
      <w:marTop w:val="0"/>
      <w:marBottom w:val="0"/>
      <w:divBdr>
        <w:top w:val="none" w:sz="0" w:space="0" w:color="auto"/>
        <w:left w:val="none" w:sz="0" w:space="0" w:color="auto"/>
        <w:bottom w:val="none" w:sz="0" w:space="0" w:color="auto"/>
        <w:right w:val="none" w:sz="0" w:space="0" w:color="auto"/>
      </w:divBdr>
    </w:div>
    <w:div w:id="1661159071">
      <w:bodyDiv w:val="1"/>
      <w:marLeft w:val="0"/>
      <w:marRight w:val="0"/>
      <w:marTop w:val="0"/>
      <w:marBottom w:val="0"/>
      <w:divBdr>
        <w:top w:val="none" w:sz="0" w:space="0" w:color="auto"/>
        <w:left w:val="none" w:sz="0" w:space="0" w:color="auto"/>
        <w:bottom w:val="none" w:sz="0" w:space="0" w:color="auto"/>
        <w:right w:val="none" w:sz="0" w:space="0" w:color="auto"/>
      </w:divBdr>
    </w:div>
    <w:div w:id="1698197364">
      <w:bodyDiv w:val="1"/>
      <w:marLeft w:val="0"/>
      <w:marRight w:val="0"/>
      <w:marTop w:val="0"/>
      <w:marBottom w:val="0"/>
      <w:divBdr>
        <w:top w:val="none" w:sz="0" w:space="0" w:color="auto"/>
        <w:left w:val="none" w:sz="0" w:space="0" w:color="auto"/>
        <w:bottom w:val="none" w:sz="0" w:space="0" w:color="auto"/>
        <w:right w:val="none" w:sz="0" w:space="0" w:color="auto"/>
      </w:divBdr>
    </w:div>
    <w:div w:id="1733574850">
      <w:bodyDiv w:val="1"/>
      <w:marLeft w:val="0"/>
      <w:marRight w:val="0"/>
      <w:marTop w:val="0"/>
      <w:marBottom w:val="0"/>
      <w:divBdr>
        <w:top w:val="none" w:sz="0" w:space="0" w:color="auto"/>
        <w:left w:val="none" w:sz="0" w:space="0" w:color="auto"/>
        <w:bottom w:val="none" w:sz="0" w:space="0" w:color="auto"/>
        <w:right w:val="none" w:sz="0" w:space="0" w:color="auto"/>
      </w:divBdr>
    </w:div>
    <w:div w:id="1772506819">
      <w:bodyDiv w:val="1"/>
      <w:marLeft w:val="0"/>
      <w:marRight w:val="0"/>
      <w:marTop w:val="0"/>
      <w:marBottom w:val="0"/>
      <w:divBdr>
        <w:top w:val="none" w:sz="0" w:space="0" w:color="auto"/>
        <w:left w:val="none" w:sz="0" w:space="0" w:color="auto"/>
        <w:bottom w:val="none" w:sz="0" w:space="0" w:color="auto"/>
        <w:right w:val="none" w:sz="0" w:space="0" w:color="auto"/>
      </w:divBdr>
    </w:div>
    <w:div w:id="1799568891">
      <w:bodyDiv w:val="1"/>
      <w:marLeft w:val="0"/>
      <w:marRight w:val="0"/>
      <w:marTop w:val="0"/>
      <w:marBottom w:val="0"/>
      <w:divBdr>
        <w:top w:val="none" w:sz="0" w:space="0" w:color="auto"/>
        <w:left w:val="none" w:sz="0" w:space="0" w:color="auto"/>
        <w:bottom w:val="none" w:sz="0" w:space="0" w:color="auto"/>
        <w:right w:val="none" w:sz="0" w:space="0" w:color="auto"/>
      </w:divBdr>
    </w:div>
    <w:div w:id="1841852622">
      <w:bodyDiv w:val="1"/>
      <w:marLeft w:val="0"/>
      <w:marRight w:val="0"/>
      <w:marTop w:val="0"/>
      <w:marBottom w:val="0"/>
      <w:divBdr>
        <w:top w:val="none" w:sz="0" w:space="0" w:color="auto"/>
        <w:left w:val="none" w:sz="0" w:space="0" w:color="auto"/>
        <w:bottom w:val="none" w:sz="0" w:space="0" w:color="auto"/>
        <w:right w:val="none" w:sz="0" w:space="0" w:color="auto"/>
      </w:divBdr>
    </w:div>
    <w:div w:id="1878082509">
      <w:bodyDiv w:val="1"/>
      <w:marLeft w:val="0"/>
      <w:marRight w:val="0"/>
      <w:marTop w:val="0"/>
      <w:marBottom w:val="0"/>
      <w:divBdr>
        <w:top w:val="none" w:sz="0" w:space="0" w:color="auto"/>
        <w:left w:val="none" w:sz="0" w:space="0" w:color="auto"/>
        <w:bottom w:val="none" w:sz="0" w:space="0" w:color="auto"/>
        <w:right w:val="none" w:sz="0" w:space="0" w:color="auto"/>
      </w:divBdr>
    </w:div>
    <w:div w:id="1951206153">
      <w:bodyDiv w:val="1"/>
      <w:marLeft w:val="0"/>
      <w:marRight w:val="0"/>
      <w:marTop w:val="0"/>
      <w:marBottom w:val="0"/>
      <w:divBdr>
        <w:top w:val="none" w:sz="0" w:space="0" w:color="auto"/>
        <w:left w:val="none" w:sz="0" w:space="0" w:color="auto"/>
        <w:bottom w:val="none" w:sz="0" w:space="0" w:color="auto"/>
        <w:right w:val="none" w:sz="0" w:space="0" w:color="auto"/>
      </w:divBdr>
    </w:div>
    <w:div w:id="2011985206">
      <w:bodyDiv w:val="1"/>
      <w:marLeft w:val="0"/>
      <w:marRight w:val="0"/>
      <w:marTop w:val="0"/>
      <w:marBottom w:val="0"/>
      <w:divBdr>
        <w:top w:val="none" w:sz="0" w:space="0" w:color="auto"/>
        <w:left w:val="none" w:sz="0" w:space="0" w:color="auto"/>
        <w:bottom w:val="none" w:sz="0" w:space="0" w:color="auto"/>
        <w:right w:val="none" w:sz="0" w:space="0" w:color="auto"/>
      </w:divBdr>
    </w:div>
    <w:div w:id="2015380017">
      <w:bodyDiv w:val="1"/>
      <w:marLeft w:val="0"/>
      <w:marRight w:val="0"/>
      <w:marTop w:val="0"/>
      <w:marBottom w:val="0"/>
      <w:divBdr>
        <w:top w:val="none" w:sz="0" w:space="0" w:color="auto"/>
        <w:left w:val="none" w:sz="0" w:space="0" w:color="auto"/>
        <w:bottom w:val="none" w:sz="0" w:space="0" w:color="auto"/>
        <w:right w:val="none" w:sz="0" w:space="0" w:color="auto"/>
      </w:divBdr>
    </w:div>
    <w:div w:id="2022850242">
      <w:bodyDiv w:val="1"/>
      <w:marLeft w:val="0"/>
      <w:marRight w:val="0"/>
      <w:marTop w:val="0"/>
      <w:marBottom w:val="0"/>
      <w:divBdr>
        <w:top w:val="none" w:sz="0" w:space="0" w:color="auto"/>
        <w:left w:val="none" w:sz="0" w:space="0" w:color="auto"/>
        <w:bottom w:val="none" w:sz="0" w:space="0" w:color="auto"/>
        <w:right w:val="none" w:sz="0" w:space="0" w:color="auto"/>
      </w:divBdr>
    </w:div>
    <w:div w:id="2072851477">
      <w:bodyDiv w:val="1"/>
      <w:marLeft w:val="0"/>
      <w:marRight w:val="0"/>
      <w:marTop w:val="0"/>
      <w:marBottom w:val="0"/>
      <w:divBdr>
        <w:top w:val="none" w:sz="0" w:space="0" w:color="auto"/>
        <w:left w:val="none" w:sz="0" w:space="0" w:color="auto"/>
        <w:bottom w:val="none" w:sz="0" w:space="0" w:color="auto"/>
        <w:right w:val="none" w:sz="0" w:space="0" w:color="auto"/>
      </w:divBdr>
    </w:div>
    <w:div w:id="208085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8E7C1-3E89-4730-8040-356F9796E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10501</Words>
  <Characters>60958</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KRSTIK, Dejan</dc:creator>
  <cp:keywords/>
  <dc:description/>
  <cp:lastModifiedBy>Author</cp:lastModifiedBy>
  <cp:revision>4</cp:revision>
  <cp:lastPrinted>2019-10-17T22:52:00Z</cp:lastPrinted>
  <dcterms:created xsi:type="dcterms:W3CDTF">2019-10-11T06:15:00Z</dcterms:created>
  <dcterms:modified xsi:type="dcterms:W3CDTF">2019-10-17T22:52:00Z</dcterms:modified>
</cp:coreProperties>
</file>