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48" w:rsidRDefault="00B475BF">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noProof/>
          <w:color w:val="000000"/>
          <w:sz w:val="36"/>
          <w:szCs w:val="36"/>
        </w:rPr>
        <w:t>7</w:t>
      </w:r>
      <w:r w:rsidR="00A32402">
        <w:rPr>
          <w:rFonts w:asciiTheme="minorHAnsi" w:hAnsiTheme="minorHAnsi"/>
          <w:sz w:val="36"/>
          <w:szCs w:val="36"/>
        </w:rPr>
        <w:t>.14</w:t>
      </w:r>
      <w:r w:rsidR="00A32402">
        <w:rPr>
          <w:rFonts w:asciiTheme="minorHAnsi" w:hAnsiTheme="minorHAnsi"/>
          <w:sz w:val="36"/>
          <w:szCs w:val="36"/>
        </w:rPr>
        <w:tab/>
        <w:t>CARMELLOSE</w:t>
      </w:r>
      <w:r w:rsidR="00A32402">
        <w:rPr>
          <w:rFonts w:asciiTheme="minorHAnsi" w:hAnsiTheme="minorHAnsi"/>
          <w:sz w:val="36"/>
          <w:szCs w:val="36"/>
        </w:rPr>
        <w:br/>
        <w:t xml:space="preserve">Eye drops containing carmellose sodium 5 mg per mL, 10 mL, </w:t>
      </w:r>
      <w:r w:rsidR="00A32402">
        <w:rPr>
          <w:rFonts w:asciiTheme="minorHAnsi" w:hAnsiTheme="minorHAnsi"/>
          <w:sz w:val="36"/>
          <w:szCs w:val="36"/>
        </w:rPr>
        <w:br/>
        <w:t xml:space="preserve">Evolve® carmellose 0.5%, </w:t>
      </w:r>
      <w:r w:rsidR="00A32402">
        <w:rPr>
          <w:rFonts w:asciiTheme="minorHAnsi" w:hAnsiTheme="minorHAnsi"/>
          <w:sz w:val="36"/>
          <w:szCs w:val="36"/>
        </w:rPr>
        <w:br/>
        <w:t>Contact Lens Centre Australia</w:t>
      </w:r>
    </w:p>
    <w:p w:rsidR="00F16C48" w:rsidRDefault="00A32402">
      <w:pPr>
        <w:pStyle w:val="Title"/>
        <w:spacing w:before="120" w:after="160"/>
        <w:ind w:left="720" w:hanging="11"/>
        <w:rPr>
          <w:rFonts w:asciiTheme="minorHAnsi" w:hAnsiTheme="minorHAnsi"/>
          <w:sz w:val="36"/>
          <w:szCs w:val="36"/>
        </w:rPr>
      </w:pPr>
      <w:r>
        <w:rPr>
          <w:rFonts w:asciiTheme="minorHAnsi" w:hAnsiTheme="minorHAnsi"/>
          <w:sz w:val="36"/>
          <w:szCs w:val="36"/>
        </w:rPr>
        <w:t xml:space="preserve">HYPROMELLOSE </w:t>
      </w:r>
      <w:r>
        <w:rPr>
          <w:rFonts w:asciiTheme="minorHAnsi" w:hAnsiTheme="minorHAnsi"/>
          <w:sz w:val="36"/>
          <w:szCs w:val="36"/>
        </w:rPr>
        <w:br/>
        <w:t>Eye drops containing hypromellose 3 mg per mL, 10 mL</w:t>
      </w:r>
      <w:r>
        <w:rPr>
          <w:rFonts w:asciiTheme="minorHAnsi" w:hAnsiTheme="minorHAnsi"/>
          <w:sz w:val="36"/>
          <w:szCs w:val="36"/>
        </w:rPr>
        <w:br/>
        <w:t xml:space="preserve">Evolve® hypromellose 0.3%, </w:t>
      </w:r>
      <w:r>
        <w:rPr>
          <w:rFonts w:asciiTheme="minorHAnsi" w:hAnsiTheme="minorHAnsi"/>
          <w:sz w:val="36"/>
          <w:szCs w:val="36"/>
        </w:rPr>
        <w:br/>
        <w:t>Contact Lens Centre Australia</w:t>
      </w:r>
    </w:p>
    <w:p w:rsidR="00F16C48" w:rsidRDefault="00A32402">
      <w:pPr>
        <w:pStyle w:val="PBACHeading1"/>
        <w:spacing w:before="240" w:after="120"/>
        <w:ind w:left="709" w:hanging="709"/>
        <w:rPr>
          <w:rFonts w:asciiTheme="minorHAnsi" w:hAnsiTheme="minorHAnsi"/>
          <w:sz w:val="32"/>
          <w:szCs w:val="32"/>
        </w:rPr>
      </w:pPr>
      <w:r>
        <w:rPr>
          <w:rFonts w:asciiTheme="minorHAnsi" w:hAnsiTheme="minorHAnsi"/>
          <w:sz w:val="32"/>
          <w:szCs w:val="32"/>
        </w:rPr>
        <w:t>Purpose of Application</w:t>
      </w:r>
    </w:p>
    <w:p w:rsidR="00F16C48" w:rsidRDefault="00A3240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hAnsiTheme="minorHAnsi" w:cstheme="minorHAnsi"/>
          <w:sz w:val="24"/>
          <w:szCs w:val="24"/>
        </w:rPr>
        <w:t xml:space="preserve">The minor resubmission requested General Schedule, Authority Required (STREAMLINED) listings for carmellose (Evolve® carmellose 0.5%) and hypromellose (Evolve® hypromellose 0.3%), hereafter referred to as carmellose 0.5% and hypromellose 0.3%, in multi-dose eye drops for the treatment of severe dry eye syndrome in patients who are sensitive to preservatives in multi-dose eye drops. </w:t>
      </w:r>
    </w:p>
    <w:p w:rsidR="00F16C48" w:rsidRDefault="00A32402">
      <w:pPr>
        <w:pStyle w:val="PBACHeading1"/>
        <w:numPr>
          <w:ilvl w:val="0"/>
          <w:numId w:val="5"/>
        </w:numPr>
        <w:spacing w:before="240" w:after="120"/>
        <w:ind w:left="709" w:hanging="709"/>
        <w:rPr>
          <w:rFonts w:asciiTheme="minorHAnsi" w:hAnsiTheme="minorHAnsi"/>
          <w:sz w:val="32"/>
          <w:szCs w:val="32"/>
        </w:rPr>
      </w:pPr>
      <w:r>
        <w:rPr>
          <w:rFonts w:asciiTheme="minorHAnsi" w:hAnsiTheme="minorHAnsi"/>
          <w:sz w:val="32"/>
          <w:szCs w:val="32"/>
        </w:rPr>
        <w:t>Requested listing</w:t>
      </w:r>
    </w:p>
    <w:p w:rsidR="00F16C48" w:rsidRDefault="00A32402">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resubmission proposed no changes to the PBS restriction wording recommended at the July 2018 PBAC meeting, which has the same criteria as other PBS-listed preservative-free ocular lubricants. The PBAC agreed with the Sponsor that there was no need for changes to the restriction wording.  </w:t>
      </w:r>
    </w:p>
    <w:p w:rsidR="00F16C48" w:rsidRDefault="00A32402">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Sponsor requested a DPMQ of $29.61, which was lower than the DPMQ requested in the first submission considered in July 2018 ($33.56).</w:t>
      </w:r>
    </w:p>
    <w:p w:rsidR="00F16C48" w:rsidRDefault="00A32402">
      <w:pPr>
        <w:spacing w:after="120"/>
        <w:ind w:left="720"/>
        <w:rPr>
          <w:rFonts w:asciiTheme="minorHAnsi" w:eastAsiaTheme="minorHAnsi" w:hAnsiTheme="minorHAnsi" w:cstheme="minorBidi"/>
          <w:szCs w:val="22"/>
        </w:rPr>
      </w:pPr>
      <w:r>
        <w:rPr>
          <w:rFonts w:asciiTheme="minorHAnsi" w:hAnsiTheme="minorHAnsi" w:cstheme="minorHAnsi"/>
          <w:i/>
        </w:rPr>
        <w:t>For more details on PBAC’s view, see section 6 PBAC Outcome.</w:t>
      </w:r>
    </w:p>
    <w:tbl>
      <w:tblPr>
        <w:tblW w:w="4915" w:type="pct"/>
        <w:tblLook w:val="0000" w:firstRow="0" w:lastRow="0" w:firstColumn="0" w:lastColumn="0" w:noHBand="0" w:noVBand="0"/>
      </w:tblPr>
      <w:tblGrid>
        <w:gridCol w:w="1986"/>
        <w:gridCol w:w="1182"/>
        <w:gridCol w:w="680"/>
        <w:gridCol w:w="600"/>
        <w:gridCol w:w="1508"/>
        <w:gridCol w:w="1698"/>
        <w:gridCol w:w="1219"/>
      </w:tblGrid>
      <w:tr w:rsidR="00F16C48">
        <w:trPr>
          <w:cantSplit/>
          <w:trHeight w:val="465"/>
        </w:trPr>
        <w:tc>
          <w:tcPr>
            <w:tcW w:w="1785" w:type="pct"/>
            <w:gridSpan w:val="2"/>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3" w:type="pct"/>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Max.</w:t>
            </w:r>
          </w:p>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Qty</w:t>
            </w:r>
          </w:p>
        </w:tc>
        <w:tc>
          <w:tcPr>
            <w:tcW w:w="338" w:type="pct"/>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№.of</w:t>
            </w:r>
          </w:p>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Rpts</w:t>
            </w:r>
          </w:p>
        </w:tc>
        <w:tc>
          <w:tcPr>
            <w:tcW w:w="850" w:type="pct"/>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Dispensed Price for Max. Qty</w:t>
            </w:r>
          </w:p>
        </w:tc>
        <w:tc>
          <w:tcPr>
            <w:tcW w:w="1644" w:type="pct"/>
            <w:gridSpan w:val="2"/>
            <w:tcBorders>
              <w:bottom w:val="single" w:sz="4" w:space="0" w:color="auto"/>
            </w:tcBorders>
          </w:tcPr>
          <w:p w:rsidR="00F16C48" w:rsidRDefault="00A32402">
            <w:pPr>
              <w:keepNext/>
              <w:spacing w:before="40" w:after="40"/>
              <w:rPr>
                <w:rFonts w:ascii="Arial Narrow" w:hAnsi="Arial Narrow" w:cs="Arial"/>
                <w:b/>
                <w:sz w:val="20"/>
                <w:szCs w:val="20"/>
                <w:lang w:val="fr-FR"/>
              </w:rPr>
            </w:pPr>
            <w:r>
              <w:rPr>
                <w:rFonts w:ascii="Arial Narrow" w:hAnsi="Arial Narrow" w:cs="Arial"/>
                <w:b/>
                <w:sz w:val="20"/>
                <w:szCs w:val="20"/>
              </w:rPr>
              <w:t>Proprietary Name and Manufacturer</w:t>
            </w:r>
          </w:p>
        </w:tc>
      </w:tr>
      <w:tr w:rsidR="00F16C48">
        <w:trPr>
          <w:cantSplit/>
          <w:trHeight w:val="567"/>
        </w:trPr>
        <w:tc>
          <w:tcPr>
            <w:tcW w:w="1785" w:type="pct"/>
            <w:gridSpan w:val="2"/>
          </w:tcPr>
          <w:p w:rsidR="00F16C48" w:rsidRDefault="00A32402">
            <w:pPr>
              <w:keepNext/>
              <w:spacing w:before="40" w:after="40"/>
              <w:jc w:val="both"/>
              <w:rPr>
                <w:rFonts w:ascii="Arial Narrow" w:hAnsi="Arial Narrow" w:cs="Arial"/>
                <w:sz w:val="20"/>
                <w:szCs w:val="20"/>
              </w:rPr>
            </w:pPr>
            <w:r>
              <w:rPr>
                <w:rFonts w:ascii="Arial Narrow" w:hAnsi="Arial Narrow" w:cs="Arial"/>
                <w:smallCaps/>
                <w:sz w:val="20"/>
                <w:szCs w:val="20"/>
              </w:rPr>
              <w:t>carmellose sodium</w:t>
            </w:r>
          </w:p>
          <w:p w:rsidR="00F16C48" w:rsidRDefault="00A32402">
            <w:pPr>
              <w:rPr>
                <w:rFonts w:ascii="Arial Narrow" w:hAnsi="Arial Narrow"/>
                <w:sz w:val="20"/>
                <w:szCs w:val="20"/>
              </w:rPr>
            </w:pPr>
            <w:r>
              <w:rPr>
                <w:rFonts w:ascii="Arial Narrow" w:hAnsi="Arial Narrow"/>
                <w:sz w:val="20"/>
                <w:szCs w:val="20"/>
              </w:rPr>
              <w:t xml:space="preserve">carmellose sodium 0.5% (5 mg/mL) </w:t>
            </w:r>
          </w:p>
          <w:p w:rsidR="00F16C48" w:rsidRDefault="00A32402">
            <w:pPr>
              <w:rPr>
                <w:rFonts w:ascii="Arial Narrow" w:hAnsi="Arial Narrow"/>
                <w:sz w:val="20"/>
                <w:szCs w:val="20"/>
              </w:rPr>
            </w:pPr>
            <w:r>
              <w:rPr>
                <w:rFonts w:ascii="Arial Narrow" w:hAnsi="Arial Narrow"/>
                <w:sz w:val="20"/>
                <w:szCs w:val="20"/>
              </w:rPr>
              <w:t>eye drops, 10 mL</w:t>
            </w:r>
          </w:p>
        </w:tc>
        <w:tc>
          <w:tcPr>
            <w:tcW w:w="383"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1</w:t>
            </w:r>
          </w:p>
        </w:tc>
        <w:tc>
          <w:tcPr>
            <w:tcW w:w="338"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5</w:t>
            </w:r>
          </w:p>
        </w:tc>
        <w:tc>
          <w:tcPr>
            <w:tcW w:w="850"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$29.61</w:t>
            </w:r>
          </w:p>
        </w:tc>
        <w:tc>
          <w:tcPr>
            <w:tcW w:w="957"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 xml:space="preserve">Evolve® </w:t>
            </w: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carmellose 0.5%</w:t>
            </w:r>
          </w:p>
        </w:tc>
        <w:tc>
          <w:tcPr>
            <w:tcW w:w="687" w:type="pct"/>
            <w:vMerge w:val="restar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Contact Lens Centre Australia</w:t>
            </w:r>
          </w:p>
        </w:tc>
      </w:tr>
      <w:tr w:rsidR="00F16C48">
        <w:trPr>
          <w:cantSplit/>
          <w:trHeight w:val="567"/>
        </w:trPr>
        <w:tc>
          <w:tcPr>
            <w:tcW w:w="1785" w:type="pct"/>
            <w:gridSpan w:val="2"/>
          </w:tcPr>
          <w:p w:rsidR="00F16C48" w:rsidRDefault="00A32402">
            <w:pPr>
              <w:keepNext/>
              <w:spacing w:before="40" w:after="40"/>
              <w:jc w:val="both"/>
              <w:rPr>
                <w:rFonts w:ascii="Arial Narrow" w:hAnsi="Arial Narrow" w:cs="Arial"/>
                <w:smallCaps/>
                <w:sz w:val="20"/>
                <w:szCs w:val="20"/>
              </w:rPr>
            </w:pPr>
            <w:r>
              <w:rPr>
                <w:rFonts w:ascii="Arial Narrow" w:hAnsi="Arial Narrow" w:cs="Arial"/>
                <w:smallCaps/>
                <w:sz w:val="20"/>
                <w:szCs w:val="20"/>
              </w:rPr>
              <w:t>hypromellose</w:t>
            </w: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 xml:space="preserve">hypromellose 0.3% (3 mg/mL) </w:t>
            </w: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eye drops, 10 mL</w:t>
            </w:r>
          </w:p>
        </w:tc>
        <w:tc>
          <w:tcPr>
            <w:tcW w:w="383"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1</w:t>
            </w:r>
          </w:p>
        </w:tc>
        <w:tc>
          <w:tcPr>
            <w:tcW w:w="338"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5</w:t>
            </w:r>
          </w:p>
        </w:tc>
        <w:tc>
          <w:tcPr>
            <w:tcW w:w="850"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$29.61</w:t>
            </w:r>
          </w:p>
        </w:tc>
        <w:tc>
          <w:tcPr>
            <w:tcW w:w="957" w:type="pct"/>
          </w:tcPr>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 xml:space="preserve">Evolve® </w:t>
            </w: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hypromellose 0.3%</w:t>
            </w:r>
          </w:p>
        </w:tc>
        <w:tc>
          <w:tcPr>
            <w:tcW w:w="687" w:type="pct"/>
            <w:vMerge/>
          </w:tcPr>
          <w:p w:rsidR="00F16C48" w:rsidRDefault="00F16C48">
            <w:pPr>
              <w:keepNext/>
              <w:spacing w:before="40" w:after="40"/>
              <w:jc w:val="both"/>
              <w:rPr>
                <w:rFonts w:ascii="Arial Narrow" w:hAnsi="Arial Narrow" w:cs="Arial"/>
                <w:sz w:val="20"/>
                <w:szCs w:val="20"/>
              </w:rPr>
            </w:pP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Category / Program</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GENERAL – General Schedule (Code GE)</w:t>
            </w: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lastRenderedPageBreak/>
              <w:t>Prescriber type:</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Severity:</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Severe</w:t>
            </w: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Condition:</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Dry eye syndrome</w:t>
            </w: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PBS Indication:</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Severe dry eye syndrome</w:t>
            </w:r>
          </w:p>
        </w:tc>
      </w:tr>
      <w:tr w:rsidR="00F16C48">
        <w:trPr>
          <w:cantSplit/>
          <w:trHeight w:val="604"/>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Restriction Level / Method:</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bookmarkEnd w:id="2"/>
            <w:r>
              <w:rPr>
                <w:rFonts w:ascii="Arial Narrow" w:hAnsi="Arial Narrow" w:cs="Arial"/>
                <w:sz w:val="20"/>
                <w:szCs w:val="20"/>
              </w:rPr>
              <w:t>Streamlined</w:t>
            </w: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F16C48">
        <w:trPr>
          <w:cantSplit/>
          <w:trHeight w:val="360"/>
        </w:trPr>
        <w:tc>
          <w:tcPr>
            <w:tcW w:w="1119"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 xml:space="preserve">Administrative Advice: </w:t>
            </w:r>
          </w:p>
        </w:tc>
        <w:tc>
          <w:tcPr>
            <w:tcW w:w="3881"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 xml:space="preserve">The in-use shelf life of Evolve® </w:t>
            </w:r>
            <w:r>
              <w:rPr>
                <w:rFonts w:ascii="Arial Narrow" w:hAnsi="Arial Narrow"/>
                <w:sz w:val="20"/>
                <w:szCs w:val="20"/>
              </w:rPr>
              <w:t xml:space="preserve">carmellose 0.5% and </w:t>
            </w:r>
            <w:r>
              <w:rPr>
                <w:rFonts w:ascii="Arial Narrow" w:hAnsi="Arial Narrow" w:cs="Arial"/>
                <w:sz w:val="20"/>
                <w:szCs w:val="20"/>
              </w:rPr>
              <w:t xml:space="preserve">Evolve® </w:t>
            </w:r>
            <w:r>
              <w:rPr>
                <w:rFonts w:ascii="Arial Narrow" w:hAnsi="Arial Narrow"/>
                <w:sz w:val="20"/>
                <w:szCs w:val="20"/>
              </w:rPr>
              <w:t xml:space="preserve">hypromellose 0.3% is 3 months from the date of opening </w:t>
            </w:r>
          </w:p>
        </w:tc>
      </w:tr>
    </w:tbl>
    <w:p w:rsidR="00F16C48" w:rsidRDefault="00A32402">
      <w:pPr>
        <w:pStyle w:val="PBACHeading1"/>
        <w:spacing w:before="240" w:after="120"/>
        <w:ind w:left="709" w:hanging="709"/>
        <w:rPr>
          <w:rFonts w:asciiTheme="minorHAnsi" w:hAnsiTheme="minorHAnsi"/>
          <w:sz w:val="32"/>
          <w:szCs w:val="32"/>
        </w:rPr>
      </w:pPr>
      <w:r>
        <w:rPr>
          <w:rFonts w:asciiTheme="minorHAnsi" w:hAnsiTheme="minorHAnsi"/>
          <w:sz w:val="32"/>
          <w:szCs w:val="32"/>
        </w:rPr>
        <w:t>Background</w:t>
      </w:r>
    </w:p>
    <w:p w:rsidR="00F16C48" w:rsidRDefault="00A3240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Carmellose 0.5% and hypromellose 0.3% were registered on the Australian Register of Therapeutic Goods on 17 October 2017 for use in the relief of discomfort that arises from dry eye sensations. </w:t>
      </w:r>
      <w:r>
        <w:rPr>
          <w:rFonts w:asciiTheme="minorHAnsi" w:hAnsiTheme="minorHAnsi" w:cstheme="minorHAnsi"/>
          <w:sz w:val="24"/>
          <w:szCs w:val="24"/>
        </w:rPr>
        <w:t xml:space="preserve"> </w:t>
      </w:r>
    </w:p>
    <w:p w:rsidR="00F16C48" w:rsidRDefault="00A32402">
      <w:pPr>
        <w:pStyle w:val="ListParagraph"/>
        <w:numPr>
          <w:ilvl w:val="1"/>
          <w:numId w:val="5"/>
        </w:numPr>
        <w:spacing w:before="120" w:after="16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 xml:space="preserve">This was the PBAC’s second consideration of carmellose 0.5% and hypromellose 0.3%. The previous minor submission was considered at the July 2018 meeting, and the Committee recommended that carmellose 0.5% and hypromellose 0.3% should be made available as a pharmaceutical benefit in accordance with Section 101 of the </w:t>
      </w:r>
      <w:r>
        <w:rPr>
          <w:rFonts w:asciiTheme="minorHAnsi" w:eastAsiaTheme="minorHAnsi" w:hAnsiTheme="minorHAnsi" w:cstheme="minorBidi"/>
          <w:i/>
          <w:snapToGrid/>
          <w:sz w:val="24"/>
          <w:szCs w:val="22"/>
        </w:rPr>
        <w:t>National Health Act 1953</w:t>
      </w:r>
      <w:r>
        <w:rPr>
          <w:rFonts w:asciiTheme="minorHAnsi" w:eastAsiaTheme="minorHAnsi" w:hAnsiTheme="minorHAnsi" w:cstheme="minorBidi"/>
          <w:snapToGrid/>
          <w:sz w:val="24"/>
          <w:szCs w:val="22"/>
        </w:rPr>
        <w:t xml:space="preserve"> for the treatment of severe dry eye syndrome in patients who are sensitive to preservatives in multi-dose eye drops. </w:t>
      </w:r>
    </w:p>
    <w:p w:rsidR="00F16C48" w:rsidRDefault="00A3240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its consideration of carmellose 0.5% and hypromellose 0.3% in July 2018, the PBAC recalled its previous recommendation that all ocular lubricants should be “…considered equivalent for pricing purposes, including those that contain a preservative, those that are preservative-free, multi-dose products and single-dose unit products” (November 2014 PSD ocular lubricants). The PBAC noted that the submission did not provide clinical evidence to support a claim of superiority compared to any of the currently PBS-listed ocular lubricants, and therefore advised, under Section 101(3B) of the </w:t>
      </w:r>
      <w:r>
        <w:rPr>
          <w:rFonts w:asciiTheme="minorHAnsi" w:eastAsiaTheme="minorHAnsi" w:hAnsiTheme="minorHAnsi" w:cstheme="minorBidi"/>
          <w:i/>
          <w:snapToGrid/>
          <w:sz w:val="24"/>
          <w:szCs w:val="22"/>
        </w:rPr>
        <w:t>National Health Act 1953</w:t>
      </w:r>
      <w:r>
        <w:rPr>
          <w:rFonts w:asciiTheme="minorHAnsi" w:eastAsiaTheme="minorHAnsi" w:hAnsiTheme="minorHAnsi" w:cstheme="minorBidi"/>
          <w:snapToGrid/>
          <w:sz w:val="24"/>
          <w:szCs w:val="22"/>
        </w:rPr>
        <w:t>, that carmellose 0.5% and hypromellose 0.3% should be cost-minimised against the lowest cost ocular lubricant.</w:t>
      </w:r>
    </w:p>
    <w:p w:rsidR="00F16C48" w:rsidRDefault="00A32402">
      <w:pPr>
        <w:pStyle w:val="ListParagraph"/>
        <w:widowControl/>
        <w:spacing w:before="120" w:after="160"/>
        <w:contextualSpacing w:val="0"/>
        <w:rPr>
          <w:rFonts w:asciiTheme="minorHAnsi" w:eastAsiaTheme="minorHAnsi" w:hAnsiTheme="minorHAnsi" w:cstheme="minorBidi"/>
          <w:b/>
          <w:snapToGrid/>
          <w:sz w:val="24"/>
          <w:szCs w:val="22"/>
        </w:rPr>
      </w:pPr>
      <w:r>
        <w:rPr>
          <w:rFonts w:asciiTheme="minorHAnsi" w:hAnsiTheme="minorHAnsi" w:cstheme="minorHAnsi"/>
          <w:i/>
          <w:sz w:val="24"/>
          <w:szCs w:val="24"/>
        </w:rPr>
        <w:t>For more details on PBAC’s view, see section 6 PBAC Outcome.</w:t>
      </w:r>
    </w:p>
    <w:p w:rsidR="00F16C48" w:rsidRDefault="00A32402">
      <w:pPr>
        <w:pStyle w:val="PBACHeading1"/>
        <w:spacing w:before="240" w:after="120"/>
        <w:ind w:left="709" w:hanging="709"/>
        <w:rPr>
          <w:rFonts w:asciiTheme="minorHAnsi" w:hAnsiTheme="minorHAnsi"/>
          <w:sz w:val="32"/>
          <w:szCs w:val="32"/>
        </w:rPr>
      </w:pPr>
      <w:r>
        <w:rPr>
          <w:rFonts w:asciiTheme="minorHAnsi" w:hAnsiTheme="minorHAnsi"/>
          <w:sz w:val="32"/>
          <w:szCs w:val="32"/>
        </w:rPr>
        <w:t>Current situation</w:t>
      </w:r>
    </w:p>
    <w:p w:rsidR="00F16C48" w:rsidRDefault="00A3240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indicated that, following the PBAC’s July 2018 recommendation, the Sponsor and the Department were unable to reach agreement on the PBAC’s intent regarding the appropriate choice of pricing comparator for carmellose 0.5% and hypromellose 0.3%.</w:t>
      </w:r>
    </w:p>
    <w:p w:rsidR="00F16C48" w:rsidRDefault="00A3240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resubmission sought clarification from the PBAC regarding the appropriate choice of comparator for </w:t>
      </w:r>
      <w:r>
        <w:rPr>
          <w:rFonts w:asciiTheme="minorHAnsi" w:hAnsiTheme="minorHAnsi" w:cstheme="minorHAnsi"/>
          <w:sz w:val="24"/>
          <w:szCs w:val="24"/>
        </w:rPr>
        <w:t>carmellose 0.5% and hypromellose 0.3%</w:t>
      </w:r>
      <w:r>
        <w:rPr>
          <w:rFonts w:asciiTheme="minorHAnsi" w:eastAsiaTheme="minorHAnsi" w:hAnsiTheme="minorHAnsi" w:cstheme="minorBidi"/>
          <w:snapToGrid/>
          <w:sz w:val="24"/>
          <w:szCs w:val="22"/>
        </w:rPr>
        <w:t xml:space="preserve">, particularly with reference </w:t>
      </w:r>
      <w:r>
        <w:rPr>
          <w:rFonts w:asciiTheme="minorHAnsi" w:eastAsiaTheme="minorHAnsi" w:hAnsiTheme="minorHAnsi" w:cstheme="minorBidi"/>
          <w:snapToGrid/>
          <w:sz w:val="24"/>
          <w:szCs w:val="22"/>
        </w:rPr>
        <w:lastRenderedPageBreak/>
        <w:t>to the PBAC’s decision to recommend perfluorohexyloctane at its March 2018 meeting on a cost-minimisation basis to other preservative-free multi-dose ocular lubricants.</w:t>
      </w:r>
    </w:p>
    <w:p w:rsidR="00F16C48" w:rsidRDefault="00A32402">
      <w:pPr>
        <w:pStyle w:val="ListParagraph"/>
        <w:widowControl/>
        <w:numPr>
          <w:ilvl w:val="1"/>
          <w:numId w:val="14"/>
        </w:numPr>
        <w:spacing w:before="120" w:after="160"/>
        <w:contextualSpacing w:val="0"/>
        <w:rPr>
          <w:i/>
        </w:rPr>
      </w:pPr>
      <w:r>
        <w:rPr>
          <w:rFonts w:asciiTheme="minorHAnsi" w:eastAsiaTheme="minorHAnsi" w:hAnsiTheme="minorHAnsi" w:cstheme="minorBidi"/>
          <w:snapToGrid/>
          <w:sz w:val="24"/>
          <w:szCs w:val="22"/>
        </w:rPr>
        <w:t xml:space="preserve">The minor resubmission claimed that carmellose 0.5% and hypromellose 0.3% and perfluorohexyloctane all provide a “reduction of toxicity over alternative therapies (i.e. preservative-containing products)” and therefore satisfied the requirements of Section 101(3B) of the </w:t>
      </w:r>
      <w:r>
        <w:rPr>
          <w:rFonts w:asciiTheme="minorHAnsi" w:eastAsiaTheme="minorHAnsi" w:hAnsiTheme="minorHAnsi" w:cstheme="minorBidi"/>
          <w:i/>
          <w:snapToGrid/>
          <w:sz w:val="24"/>
          <w:szCs w:val="22"/>
        </w:rPr>
        <w:t>National Health Act 1953</w:t>
      </w:r>
      <w:r>
        <w:rPr>
          <w:rFonts w:asciiTheme="minorHAnsi" w:eastAsiaTheme="minorHAnsi" w:hAnsiTheme="minorHAnsi" w:cstheme="minorBidi"/>
          <w:snapToGrid/>
          <w:sz w:val="24"/>
          <w:szCs w:val="22"/>
        </w:rPr>
        <w:t xml:space="preserve">. As such, the Sponsor requested a higher price than the preservative-containing formulations. </w:t>
      </w:r>
    </w:p>
    <w:p w:rsidR="00F16C48" w:rsidRDefault="00A32402">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2"/>
        </w:rPr>
        <w:t>The minor resubmission nominated hyaluronic acid, perfluorohexyloctane and single-dose unit carmellose 0.5% as appropriate comparators (all are preservative-free ocular lubricants</w:t>
      </w:r>
      <w:r>
        <w:rPr>
          <w:rFonts w:asciiTheme="minorHAnsi" w:eastAsiaTheme="minorHAnsi" w:hAnsiTheme="minorHAnsi" w:cstheme="minorBidi"/>
          <w:snapToGrid/>
          <w:sz w:val="24"/>
          <w:szCs w:val="24"/>
        </w:rPr>
        <w:t xml:space="preserve">). </w:t>
      </w:r>
    </w:p>
    <w:p w:rsidR="00F16C48" w:rsidRDefault="00A32402">
      <w:pPr>
        <w:pStyle w:val="ListParagraph"/>
        <w:widowControl/>
        <w:spacing w:before="120" w:after="160"/>
        <w:contextualSpacing w:val="0"/>
        <w:rPr>
          <w:rFonts w:asciiTheme="minorHAnsi" w:eastAsiaTheme="minorHAnsi" w:hAnsiTheme="minorHAnsi" w:cstheme="minorBidi"/>
          <w:snapToGrid/>
          <w:sz w:val="24"/>
          <w:szCs w:val="22"/>
        </w:rPr>
      </w:pPr>
      <w:r>
        <w:rPr>
          <w:rFonts w:asciiTheme="minorHAnsi" w:hAnsiTheme="minorHAnsi" w:cstheme="minorHAnsi"/>
          <w:i/>
          <w:sz w:val="24"/>
          <w:szCs w:val="24"/>
        </w:rPr>
        <w:t>For more details on PBAC’s view, see section 6 PBAC Outcome.</w:t>
      </w:r>
    </w:p>
    <w:p w:rsidR="00F16C48" w:rsidRDefault="00A3240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F16C48" w:rsidRDefault="00A3240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F16C48" w:rsidRDefault="00A32402">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resubmission.</w:t>
      </w:r>
    </w:p>
    <w:p w:rsidR="00F16C48" w:rsidRDefault="00A3240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F16C48" w:rsidRDefault="00A32402">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F16C48" w:rsidRDefault="00A3240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Interpretation of clinical evidence </w:t>
      </w:r>
    </w:p>
    <w:p w:rsidR="00F16C48" w:rsidRDefault="00A3240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claimed that carmellose 0.5% and hypromellose 0.3% preservative-free eye drops were clinically equivalent to single-dose carmellose and hypromellose preservative-free eye drops.</w:t>
      </w:r>
      <w:r>
        <w:rPr>
          <w:rFonts w:asciiTheme="minorHAnsi" w:eastAsiaTheme="minorHAnsi" w:hAnsiTheme="minorHAnsi" w:cstheme="minorBidi"/>
          <w:snapToGrid/>
          <w:sz w:val="24"/>
          <w:szCs w:val="24"/>
        </w:rPr>
        <w:t xml:space="preserve"> </w:t>
      </w:r>
    </w:p>
    <w:p w:rsidR="00F16C48" w:rsidRDefault="00A3240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also claimed that carmellose 0.5% and hypromellose 0.3% preservative-free eye drops had non-inferior efficacy compared with other PBS-listed preservative-free ocular lubricant formulations, such as perfluorohexyloctane (Nova-Tears®) and hyaluronic acid (Hylo-Fresh®/Hylo-Forte®). The basis for this claim was the PBAC’s consideration that “no evidence was presented to conclude any difference in patient outcomes between the various ocular lubricants” (November 2014 PSD ocular lubricants). No clinical evidence was presented to support this claim.</w:t>
      </w:r>
    </w:p>
    <w:p w:rsidR="00F16C48" w:rsidRDefault="00A32402">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resubmission also claimed that carmellose 0.5% and hypromellose 0.3% preservative-free eye drops have superior safety compared to preservative-containing eye drops for patients who are sensitive to preservatives used in multi-dose eye drop formulations. The basis for this claim presented in the resubmission was:</w:t>
      </w:r>
    </w:p>
    <w:p w:rsidR="00F16C48" w:rsidRDefault="00A32402">
      <w:pPr>
        <w:pStyle w:val="ListParagraph"/>
        <w:widowControl/>
        <w:numPr>
          <w:ilvl w:val="1"/>
          <w:numId w:val="26"/>
        </w:numPr>
        <w:spacing w:before="120" w:after="160"/>
        <w:ind w:left="993" w:hanging="284"/>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trial evidence that preservative-free eye drops may decrease ocular inflammation and increase antioxidant contents in the tears of patients with dry eye syndrome compared with preservative-containing eye drops (Jee et al. 2014);</w:t>
      </w:r>
      <w:r>
        <w:rPr>
          <w:rFonts w:ascii="AdvPS7C81" w:hAnsi="AdvPS7C81" w:cs="AdvPS7C81"/>
          <w:sz w:val="18"/>
          <w:szCs w:val="18"/>
        </w:rPr>
        <w:t xml:space="preserve"> </w:t>
      </w:r>
    </w:p>
    <w:p w:rsidR="00F16C48" w:rsidRDefault="00A32402">
      <w:pPr>
        <w:pStyle w:val="ListParagraph"/>
        <w:widowControl/>
        <w:numPr>
          <w:ilvl w:val="1"/>
          <w:numId w:val="26"/>
        </w:numPr>
        <w:spacing w:before="120" w:after="160"/>
        <w:ind w:left="993" w:hanging="284"/>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preservatives such as benzalkonium chloride cause adverse effects such as keratopathy and eye irritation (as reported in Badouin, 2008 and the 2007 report of the International Dry Eye Workshop);</w:t>
      </w:r>
    </w:p>
    <w:p w:rsidR="00F16C48" w:rsidRDefault="00A32402">
      <w:pPr>
        <w:pStyle w:val="ListParagraph"/>
        <w:widowControl/>
        <w:numPr>
          <w:ilvl w:val="1"/>
          <w:numId w:val="26"/>
        </w:numPr>
        <w:spacing w:before="120" w:after="160"/>
        <w:ind w:left="993" w:hanging="284"/>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preservatives can induce allergic reactions and delayed hypersensitivity reactions (Goh, 1989);</w:t>
      </w:r>
    </w:p>
    <w:p w:rsidR="00F16C48" w:rsidRDefault="00A32402">
      <w:pPr>
        <w:pStyle w:val="ListParagraph"/>
        <w:widowControl/>
        <w:numPr>
          <w:ilvl w:val="1"/>
          <w:numId w:val="26"/>
        </w:numPr>
        <w:spacing w:before="120" w:after="160"/>
        <w:ind w:left="993" w:hanging="284"/>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an epidemiological study of 4,100 glaucoma patients that found those using preservative-containing ocular hypotensives (such as </w:t>
      </w:r>
      <w:r>
        <w:rPr>
          <w:rFonts w:asciiTheme="minorHAnsi" w:eastAsiaTheme="minorHAnsi" w:hAnsiTheme="minorHAnsi" w:cstheme="minorHAnsi"/>
          <w:snapToGrid/>
          <w:sz w:val="24"/>
          <w:szCs w:val="22"/>
        </w:rPr>
        <w:t>β</w:t>
      </w:r>
      <w:r>
        <w:rPr>
          <w:rFonts w:asciiTheme="minorHAnsi" w:eastAsiaTheme="minorHAnsi" w:hAnsiTheme="minorHAnsi" w:cstheme="minorBidi"/>
          <w:snapToGrid/>
          <w:sz w:val="24"/>
          <w:szCs w:val="22"/>
        </w:rPr>
        <w:t xml:space="preserve"> blockers and </w:t>
      </w:r>
      <w:r>
        <w:rPr>
          <w:rFonts w:asciiTheme="minorHAnsi" w:eastAsiaTheme="minorHAnsi" w:hAnsiTheme="minorHAnsi" w:cstheme="minorHAnsi"/>
          <w:snapToGrid/>
          <w:sz w:val="24"/>
          <w:szCs w:val="22"/>
        </w:rPr>
        <w:t>α</w:t>
      </w:r>
      <w:r>
        <w:rPr>
          <w:rFonts w:asciiTheme="minorHAnsi" w:eastAsiaTheme="minorHAnsi" w:hAnsiTheme="minorHAnsi" w:cstheme="minorBidi"/>
          <w:snapToGrid/>
          <w:sz w:val="24"/>
          <w:szCs w:val="22"/>
          <w:vertAlign w:val="subscript"/>
        </w:rPr>
        <w:t>2</w:t>
      </w:r>
      <w:r>
        <w:rPr>
          <w:rFonts w:asciiTheme="minorHAnsi" w:eastAsiaTheme="minorHAnsi" w:hAnsiTheme="minorHAnsi" w:cstheme="minorBidi"/>
          <w:snapToGrid/>
          <w:sz w:val="24"/>
          <w:szCs w:val="22"/>
        </w:rPr>
        <w:t xml:space="preserve"> agonists) had a higher prevalence of adverse effects such as discomfort upon instillation, burning-stinging, foreign body sensation, and dry eye sensation, compared to those using preservative-free drops (Pisella et al. 2002); and</w:t>
      </w:r>
    </w:p>
    <w:p w:rsidR="00F16C48" w:rsidRDefault="00A32402">
      <w:pPr>
        <w:pStyle w:val="ListParagraph"/>
        <w:widowControl/>
        <w:numPr>
          <w:ilvl w:val="1"/>
          <w:numId w:val="26"/>
        </w:numPr>
        <w:spacing w:before="120" w:after="160"/>
        <w:ind w:left="993" w:hanging="284"/>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rare cases, severe systemic reactions including anaphylaxis have been reported (Anderson et al. 2009). </w:t>
      </w:r>
    </w:p>
    <w:p w:rsidR="00F16C48" w:rsidRDefault="00A3240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F16C48" w:rsidRDefault="00A32402">
      <w:pPr>
        <w:pStyle w:val="ListParagraph"/>
        <w:widowControl/>
        <w:numPr>
          <w:ilvl w:val="1"/>
          <w:numId w:val="5"/>
        </w:numPr>
        <w:spacing w:after="120"/>
        <w:contextualSpacing w:val="0"/>
        <w:rPr>
          <w:rFonts w:ascii="Arial Narrow" w:eastAsiaTheme="minorHAnsi" w:hAnsi="Arial Narrow" w:cstheme="minorBidi"/>
          <w:b/>
          <w:sz w:val="20"/>
          <w:szCs w:val="22"/>
        </w:rPr>
      </w:pPr>
      <w:r>
        <w:rPr>
          <w:rFonts w:asciiTheme="minorHAnsi" w:eastAsiaTheme="minorHAnsi" w:hAnsiTheme="minorHAnsi" w:cstheme="minorBidi"/>
          <w:snapToGrid/>
          <w:sz w:val="24"/>
          <w:szCs w:val="22"/>
        </w:rPr>
        <w:t xml:space="preserve">A formal economic analysis was not presented in the minor resubmission. A cost comparison of PBS-listed preservative-free ocular lubricants is presented in the table below. At the requested DPMQ of $29.61, carmellose 0.5% and hypromellose 0.3% would be less expensive than the existing single-dose preservative-free ocular lubricants on a cost per treatment basis. The requested price for carmellose 0.5% and hypromellose 0.3% ($0.136 per treatment) were consistent with the cost per treatment for hyaluronic acid ($0.139) and perfluorohexyloctane </w:t>
      </w:r>
      <w:r>
        <w:rPr>
          <w:rFonts w:asciiTheme="minorHAnsi" w:eastAsiaTheme="minorHAnsi" w:hAnsiTheme="minorHAnsi" w:cstheme="minorBidi"/>
          <w:snapToGrid/>
          <w:sz w:val="24"/>
          <w:szCs w:val="24"/>
        </w:rPr>
        <w:t>($0.143).</w:t>
      </w:r>
      <w:r>
        <w:rPr>
          <w:rFonts w:asciiTheme="minorHAnsi" w:hAnsiTheme="minorHAnsi" w:cstheme="minorHAnsi"/>
          <w:sz w:val="24"/>
          <w:szCs w:val="24"/>
        </w:rPr>
        <w:t xml:space="preserve"> </w:t>
      </w:r>
      <w:bookmarkStart w:id="3" w:name="_Ref510596964"/>
      <w:bookmarkStart w:id="4" w:name="_Toc511379552"/>
      <w:r>
        <w:br w:type="page"/>
      </w:r>
    </w:p>
    <w:p w:rsidR="00F16C48" w:rsidRDefault="00A32402">
      <w:pPr>
        <w:pStyle w:val="TableHeading0"/>
      </w:pPr>
      <w:r>
        <w:lastRenderedPageBreak/>
        <w:t>Table 1</w:t>
      </w:r>
      <w:bookmarkEnd w:id="3"/>
      <w:r>
        <w:t>: Cost comparison across PBS listed ocular lubricant</w:t>
      </w:r>
      <w:bookmarkEnd w:id="4"/>
      <w:r>
        <w:t>s (excluding ointments)</w:t>
      </w:r>
    </w:p>
    <w:tbl>
      <w:tblPr>
        <w:tblStyle w:val="TableGrid"/>
        <w:tblW w:w="0" w:type="auto"/>
        <w:jc w:val="center"/>
        <w:tblLayout w:type="fixed"/>
        <w:tblLook w:val="04A0" w:firstRow="1" w:lastRow="0" w:firstColumn="1" w:lastColumn="0" w:noHBand="0" w:noVBand="1"/>
      </w:tblPr>
      <w:tblGrid>
        <w:gridCol w:w="1838"/>
        <w:gridCol w:w="1418"/>
        <w:gridCol w:w="1559"/>
        <w:gridCol w:w="850"/>
        <w:gridCol w:w="993"/>
        <w:gridCol w:w="1134"/>
        <w:gridCol w:w="1224"/>
      </w:tblGrid>
      <w:tr w:rsidR="00F16C48">
        <w:trPr>
          <w:trHeight w:val="661"/>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b/>
                <w:sz w:val="20"/>
                <w:szCs w:val="20"/>
              </w:rPr>
            </w:pPr>
            <w:r>
              <w:rPr>
                <w:rFonts w:ascii="Arial Narrow" w:hAnsi="Arial Narrow" w:cstheme="minorHAnsi"/>
                <w:b/>
                <w:sz w:val="20"/>
                <w:szCs w:val="20"/>
              </w:rPr>
              <w:t>Drug LI, Strength (Brand Name)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PBS Item Code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b/>
                <w:sz w:val="20"/>
                <w:szCs w:val="20"/>
              </w:rPr>
            </w:pPr>
            <w:r>
              <w:rPr>
                <w:rFonts w:ascii="Arial Narrow" w:hAnsi="Arial Narrow" w:cstheme="minorHAnsi"/>
                <w:b/>
                <w:sz w:val="20"/>
                <w:szCs w:val="20"/>
              </w:rPr>
              <w:t xml:space="preserve">Qty &amp; Presentation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b/>
                <w:sz w:val="20"/>
                <w:szCs w:val="20"/>
              </w:rPr>
            </w:pPr>
            <w:r>
              <w:rPr>
                <w:rFonts w:ascii="Arial Narrow" w:hAnsi="Arial Narrow" w:cstheme="minorHAnsi"/>
                <w:b/>
                <w:sz w:val="20"/>
                <w:szCs w:val="20"/>
                <w:vertAlign w:val="superscript"/>
              </w:rPr>
              <w:t>a</w:t>
            </w:r>
            <w:r>
              <w:rPr>
                <w:rFonts w:ascii="Arial Narrow" w:hAnsi="Arial Narrow" w:cstheme="minorHAnsi"/>
                <w:b/>
                <w:sz w:val="20"/>
                <w:szCs w:val="20"/>
              </w:rPr>
              <w:t>AEMP</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 xml:space="preserve">DPMQ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vertAlign w:val="superscript"/>
              </w:rPr>
              <w:t>b</w:t>
            </w:r>
            <w:r>
              <w:rPr>
                <w:rFonts w:ascii="Arial Narrow" w:hAnsi="Arial Narrow" w:cstheme="minorHAnsi"/>
                <w:b/>
                <w:sz w:val="20"/>
                <w:szCs w:val="20"/>
              </w:rPr>
              <w:t>Total Treatments per pack</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vertAlign w:val="superscript"/>
              </w:rPr>
              <w:t>c</w:t>
            </w:r>
            <w:r>
              <w:rPr>
                <w:rFonts w:ascii="Arial Narrow" w:hAnsi="Arial Narrow" w:cstheme="minorHAnsi"/>
                <w:b/>
                <w:sz w:val="20"/>
                <w:szCs w:val="20"/>
              </w:rPr>
              <w:t xml:space="preserve">Cost per Treatment (both eyes) </w:t>
            </w:r>
          </w:p>
        </w:tc>
      </w:tr>
      <w:tr w:rsidR="00F16C48">
        <w:trPr>
          <w:trHeight w:val="204"/>
          <w:jc w:val="center"/>
        </w:trPr>
        <w:tc>
          <w:tcPr>
            <w:tcW w:w="9016" w:type="dxa"/>
            <w:gridSpan w:val="7"/>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Single-dose unit preservative-free ocular lubricants</w:t>
            </w:r>
          </w:p>
        </w:tc>
      </w:tr>
      <w:tr w:rsidR="00F16C48">
        <w:trPr>
          <w:trHeight w:val="204"/>
          <w:jc w:val="cent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sz w:val="20"/>
                <w:szCs w:val="20"/>
              </w:rPr>
            </w:pPr>
            <w:r>
              <w:rPr>
                <w:rFonts w:ascii="Arial Narrow" w:hAnsi="Arial Narrow" w:cstheme="minorHAnsi"/>
                <w:sz w:val="20"/>
                <w:szCs w:val="20"/>
              </w:rPr>
              <w:t>Carbomer, 980 (Viscotears Gel PF)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5504Q, 8578L</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sz w:val="20"/>
                <w:szCs w:val="20"/>
              </w:rPr>
            </w:pPr>
            <w:r>
              <w:rPr>
                <w:rFonts w:ascii="Arial Narrow" w:hAnsi="Arial Narrow" w:cstheme="minorHAnsi"/>
                <w:sz w:val="20"/>
                <w:szCs w:val="20"/>
              </w:rPr>
              <w:t>3 x 30, Single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$37.14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$0.267</w:t>
            </w:r>
          </w:p>
        </w:tc>
      </w:tr>
      <w:tr w:rsidR="00F16C48">
        <w:trPr>
          <w:trHeight w:val="221"/>
          <w:jc w:val="cent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sz w:val="20"/>
                <w:szCs w:val="20"/>
              </w:rPr>
            </w:pPr>
            <w:r>
              <w:rPr>
                <w:rFonts w:ascii="Arial Narrow" w:hAnsi="Arial Narrow" w:cstheme="minorHAnsi"/>
                <w:sz w:val="20"/>
                <w:szCs w:val="20"/>
              </w:rPr>
              <w:t>Carbomer 974,</w:t>
            </w:r>
          </w:p>
          <w:p w:rsidR="00F16C48" w:rsidRDefault="00A32402">
            <w:pPr>
              <w:rPr>
                <w:rFonts w:ascii="Arial Narrow" w:hAnsi="Arial Narrow" w:cstheme="minorHAnsi"/>
                <w:sz w:val="20"/>
                <w:szCs w:val="20"/>
              </w:rPr>
            </w:pPr>
            <w:r>
              <w:rPr>
                <w:rFonts w:ascii="Arial Narrow" w:hAnsi="Arial Narrow" w:cstheme="minorHAnsi"/>
                <w:sz w:val="20"/>
                <w:szCs w:val="20"/>
              </w:rPr>
              <w:t>(Poly Gel)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 xml:space="preserve">5502N, 8514D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sz w:val="20"/>
                <w:szCs w:val="20"/>
              </w:rPr>
            </w:pPr>
            <w:r>
              <w:rPr>
                <w:rFonts w:ascii="Arial Narrow" w:hAnsi="Arial Narrow" w:cstheme="minorHAnsi"/>
                <w:sz w:val="20"/>
                <w:szCs w:val="20"/>
              </w:rPr>
              <w:t>3 x 30, Single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 xml:space="preserve">$6.49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$32.28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$0.216</w:t>
            </w:r>
          </w:p>
        </w:tc>
      </w:tr>
      <w:tr w:rsidR="00F16C48">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sz w:val="20"/>
                <w:szCs w:val="20"/>
              </w:rPr>
            </w:pPr>
            <w:r>
              <w:rPr>
                <w:rFonts w:ascii="Arial Narrow" w:hAnsi="Arial Narrow"/>
                <w:sz w:val="18"/>
                <w:szCs w:val="18"/>
                <w:vertAlign w:val="superscript"/>
              </w:rPr>
              <w:t>d</w:t>
            </w:r>
            <w:r>
              <w:rPr>
                <w:rFonts w:ascii="Arial Narrow" w:hAnsi="Arial Narrow" w:cstheme="minorHAnsi"/>
                <w:sz w:val="20"/>
                <w:szCs w:val="20"/>
              </w:rPr>
              <w:t>Carmellose, 0.5% (Cellufresh, Optifresh Tears)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2338C, 5506T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6C48" w:rsidRDefault="00A32402">
            <w:pPr>
              <w:rPr>
                <w:rFonts w:ascii="Arial Narrow" w:hAnsi="Arial Narrow" w:cstheme="minorHAnsi"/>
                <w:sz w:val="20"/>
                <w:szCs w:val="20"/>
              </w:rPr>
            </w:pPr>
            <w:r>
              <w:rPr>
                <w:rFonts w:ascii="Arial Narrow" w:hAnsi="Arial Narrow" w:cstheme="minorHAnsi"/>
                <w:sz w:val="20"/>
                <w:szCs w:val="20"/>
              </w:rPr>
              <w:t>3 x 30, Single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$0.182</w:t>
            </w:r>
          </w:p>
        </w:tc>
      </w:tr>
      <w:tr w:rsidR="00F16C48">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Carmellose, 1% (Celluvisc, Optifresh Plus)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2324H, 5505R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 x 30, Single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$0.182</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sz w:val="18"/>
                <w:szCs w:val="18"/>
                <w:vertAlign w:val="superscript"/>
              </w:rPr>
              <w:t>d</w:t>
            </w:r>
            <w:r>
              <w:rPr>
                <w:rFonts w:ascii="Arial Narrow" w:hAnsi="Arial Narrow" w:cstheme="minorHAnsi"/>
                <w:sz w:val="20"/>
                <w:szCs w:val="20"/>
              </w:rPr>
              <w:t>Hypromellose with dextran (Bion Tears)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8299T, 5521N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 x 28 Single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$36.24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28</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$0.276</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Polyethylene glycol 400 with propylene glycol (Systane)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5532E, 9170P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 x 28, Single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$9.09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$30.87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56</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$0.162</w:t>
            </w:r>
          </w:p>
        </w:tc>
      </w:tr>
      <w:tr w:rsidR="00F16C48">
        <w:trPr>
          <w:trHeight w:val="204"/>
          <w:jc w:val="center"/>
        </w:trPr>
        <w:tc>
          <w:tcPr>
            <w:tcW w:w="9016" w:type="dxa"/>
            <w:gridSpan w:val="7"/>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Multi-dose preservative-free ocular lubricants</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 xml:space="preserve">Carmellose, 0.5% (Evolve)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1 x 10mL,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$17.00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$29.61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125</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$0.136</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 xml:space="preserve">Hypromellose, 0.3% (Evolve)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1 x 10mL,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$17.00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$29.61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125</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$0.136</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sz w:val="18"/>
                <w:szCs w:val="18"/>
                <w:vertAlign w:val="superscript"/>
              </w:rPr>
              <w:t>d</w:t>
            </w:r>
            <w:r>
              <w:rPr>
                <w:rFonts w:ascii="Arial Narrow" w:hAnsi="Arial Narrow" w:cstheme="minorHAnsi"/>
                <w:sz w:val="20"/>
                <w:szCs w:val="20"/>
              </w:rPr>
              <w:t>Hyaluronic acid</w:t>
            </w:r>
          </w:p>
          <w:p w:rsidR="00F16C48" w:rsidRDefault="00A32402">
            <w:pPr>
              <w:rPr>
                <w:rFonts w:ascii="Arial Narrow" w:hAnsi="Arial Narrow" w:cstheme="minorHAnsi"/>
                <w:sz w:val="20"/>
                <w:szCs w:val="20"/>
              </w:rPr>
            </w:pPr>
            <w:r>
              <w:rPr>
                <w:rFonts w:ascii="Arial Narrow" w:hAnsi="Arial Narrow" w:cstheme="minorHAnsi"/>
                <w:sz w:val="20"/>
                <w:szCs w:val="20"/>
              </w:rPr>
              <w:t>(Hylo-Fresh, Hylo-Forte)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2184Y, 2181T, 2171G, 2253N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10 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$20.90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150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$0.139</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sz w:val="18"/>
                <w:szCs w:val="18"/>
                <w:vertAlign w:val="superscript"/>
              </w:rPr>
              <w:t>d</w:t>
            </w:r>
            <w:r>
              <w:rPr>
                <w:rFonts w:ascii="Arial Narrow" w:hAnsi="Arial Narrow" w:cstheme="minorHAnsi"/>
                <w:sz w:val="20"/>
                <w:szCs w:val="20"/>
              </w:rPr>
              <w:t>Perfluorohexyloctane (Novatears)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11446K, 11439C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3 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$32.83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140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$0.143</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Soy lecithin (Tearsagain)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5545W, 9448G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 x 10 mL, Multi dose eye spray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$11.39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$35.83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$0.228</w:t>
            </w:r>
          </w:p>
        </w:tc>
      </w:tr>
      <w:tr w:rsidR="00F16C48">
        <w:trPr>
          <w:trHeight w:val="166"/>
          <w:jc w:val="center"/>
        </w:trPr>
        <w:tc>
          <w:tcPr>
            <w:tcW w:w="9016" w:type="dxa"/>
            <w:gridSpan w:val="7"/>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b/>
                <w:sz w:val="20"/>
                <w:szCs w:val="20"/>
              </w:rPr>
            </w:pPr>
            <w:r>
              <w:rPr>
                <w:rFonts w:ascii="Arial Narrow" w:hAnsi="Arial Narrow" w:cstheme="minorHAnsi"/>
                <w:b/>
                <w:sz w:val="20"/>
                <w:szCs w:val="20"/>
              </w:rPr>
              <w:t>Ocular lubricants containing preservatives*</w:t>
            </w: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Carmellose 0.5% (Refresh Tears Plus)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5507W, 8548X, 9211T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15mL,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$14.28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r>
      <w:tr w:rsidR="00F16C48">
        <w:trPr>
          <w:trHeight w:val="424"/>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Carmellose 1% (Refresh Liquigel)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5508X, 8593G, 9212W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15mL,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$14.28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r>
      <w:tr w:rsidR="00F16C48">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 xml:space="preserve">Hypromellose 0.3% (Genteal, In A Wink)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19"/>
                <w:szCs w:val="19"/>
              </w:rPr>
            </w:pPr>
            <w:r>
              <w:rPr>
                <w:rFonts w:ascii="Arial Narrow" w:hAnsi="Arial Narrow" w:cstheme="minorHAnsi"/>
                <w:sz w:val="19"/>
                <w:szCs w:val="19"/>
              </w:rPr>
              <w:t>11643T, 11634H 11625W, 8287E, 5518K, 9213X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 xml:space="preserve">1 x 10mL, </w:t>
            </w:r>
          </w:p>
          <w:p w:rsidR="00F16C48" w:rsidRDefault="00A32402">
            <w:pPr>
              <w:rPr>
                <w:rFonts w:ascii="Arial Narrow" w:hAnsi="Arial Narrow" w:cstheme="minorHAnsi"/>
                <w:sz w:val="20"/>
                <w:szCs w:val="20"/>
              </w:rPr>
            </w:pPr>
            <w:r>
              <w:rPr>
                <w:rFonts w:ascii="Arial Narrow" w:hAnsi="Arial Narrow" w:cstheme="minorHAnsi"/>
                <w:sz w:val="20"/>
                <w:szCs w:val="20"/>
              </w:rPr>
              <w:t>1 x 15mL,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$2.08</w:t>
            </w:r>
          </w:p>
          <w:p w:rsidR="00F16C48" w:rsidRDefault="00A32402">
            <w:pPr>
              <w:rPr>
                <w:rFonts w:ascii="Arial Narrow" w:hAnsi="Arial Narrow" w:cstheme="minorHAnsi"/>
                <w:sz w:val="20"/>
                <w:szCs w:val="20"/>
              </w:rPr>
            </w:pPr>
            <w:r>
              <w:rPr>
                <w:rFonts w:ascii="Arial Narrow" w:hAnsi="Arial Narrow" w:cstheme="minorHAnsi"/>
                <w:sz w:val="20"/>
                <w:szCs w:val="20"/>
              </w:rPr>
              <w:t>$3.12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$13.57</w:t>
            </w:r>
          </w:p>
          <w:p w:rsidR="00F16C48" w:rsidRDefault="00A32402">
            <w:pPr>
              <w:rPr>
                <w:rFonts w:ascii="Arial Narrow" w:hAnsi="Arial Narrow" w:cstheme="minorHAnsi"/>
                <w:sz w:val="20"/>
                <w:szCs w:val="20"/>
              </w:rPr>
            </w:pPr>
            <w:r>
              <w:rPr>
                <w:rFonts w:ascii="Arial Narrow" w:hAnsi="Arial Narrow" w:cstheme="minorHAnsi"/>
                <w:sz w:val="20"/>
                <w:szCs w:val="20"/>
              </w:rPr>
              <w:t>$14.68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p w:rsidR="00F16C48" w:rsidRDefault="00F16C48">
            <w:pPr>
              <w:rPr>
                <w:rFonts w:ascii="Arial Narrow" w:hAnsi="Arial Narrow" w:cstheme="minorHAnsi"/>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r>
      <w:tr w:rsidR="00F16C48">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 xml:space="preserve">Hypromellose 0.5% (Methopt)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2956N, 5517J, 9214Y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15mL,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r>
      <w:tr w:rsidR="00F16C48">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 xml:space="preserve">Hypromellose with dextran (Poly-Tears, Tears Naturale)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1509K, 5520M, 9216C, 1509K, 5520M, 9216C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15mL,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$3.29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$14.87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r>
      <w:tr w:rsidR="00F16C48">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Polyethylene glycol 400 with propylene glycol (Systane)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5524R, 8676P, 9219F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 x 15mL, Multi dose eye drops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$2.45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6C48" w:rsidRDefault="00A32402">
            <w:pPr>
              <w:rPr>
                <w:rFonts w:ascii="Arial Narrow" w:hAnsi="Arial Narrow" w:cstheme="minorHAnsi"/>
                <w:sz w:val="20"/>
                <w:szCs w:val="20"/>
              </w:rPr>
            </w:pPr>
            <w:r>
              <w:rPr>
                <w:rFonts w:ascii="Arial Narrow" w:hAnsi="Arial Narrow" w:cstheme="minorHAnsi"/>
                <w:sz w:val="20"/>
                <w:szCs w:val="20"/>
              </w:rPr>
              <w:t>$14.29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F16C48" w:rsidRDefault="00F16C48">
            <w:pPr>
              <w:rPr>
                <w:rFonts w:ascii="Arial Narrow" w:hAnsi="Arial Narrow" w:cstheme="minorHAnsi"/>
                <w:sz w:val="20"/>
                <w:szCs w:val="20"/>
              </w:rPr>
            </w:pPr>
          </w:p>
        </w:tc>
      </w:tr>
    </w:tbl>
    <w:p w:rsidR="00F16C48" w:rsidRDefault="00A32402">
      <w:pPr>
        <w:rPr>
          <w:rFonts w:ascii="Arial Narrow" w:hAnsi="Arial Narrow"/>
          <w:sz w:val="18"/>
          <w:szCs w:val="18"/>
        </w:rPr>
      </w:pPr>
      <w:r>
        <w:rPr>
          <w:rFonts w:ascii="Arial Narrow" w:hAnsi="Arial Narrow"/>
          <w:sz w:val="18"/>
          <w:szCs w:val="18"/>
        </w:rPr>
        <w:t>2019 prices from May 2019 Pharmaceutical Benefits Schedule</w:t>
      </w:r>
    </w:p>
    <w:p w:rsidR="00F16C48" w:rsidRDefault="00A32402">
      <w:pPr>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 xml:space="preserve"> Cost per treatment for both eyes calculated using </w:t>
      </w:r>
      <w:r>
        <w:rPr>
          <w:rFonts w:ascii="Arial Narrow" w:hAnsi="Arial Narrow"/>
          <w:sz w:val="18"/>
          <w:szCs w:val="18"/>
          <w:vertAlign w:val="superscript"/>
        </w:rPr>
        <w:t>a</w:t>
      </w:r>
      <w:r>
        <w:rPr>
          <w:rFonts w:ascii="Arial Narrow" w:hAnsi="Arial Narrow"/>
          <w:sz w:val="18"/>
          <w:szCs w:val="18"/>
        </w:rPr>
        <w:t xml:space="preserve">AEMP divided by </w:t>
      </w:r>
      <w:r>
        <w:rPr>
          <w:rFonts w:ascii="Arial Narrow" w:hAnsi="Arial Narrow"/>
          <w:sz w:val="18"/>
          <w:szCs w:val="18"/>
          <w:vertAlign w:val="superscript"/>
        </w:rPr>
        <w:t>b</w:t>
      </w:r>
      <w:r>
        <w:rPr>
          <w:rFonts w:ascii="Arial Narrow" w:hAnsi="Arial Narrow"/>
          <w:sz w:val="18"/>
          <w:szCs w:val="18"/>
        </w:rPr>
        <w:t>Total number of treatments per pack rounded to third decimal.</w:t>
      </w:r>
    </w:p>
    <w:p w:rsidR="00F16C48" w:rsidRDefault="00A32402">
      <w:pPr>
        <w:rPr>
          <w:rFonts w:ascii="Arial Narrow" w:hAnsi="Arial Narrow"/>
          <w:sz w:val="18"/>
          <w:szCs w:val="18"/>
        </w:rPr>
      </w:pPr>
      <w:r>
        <w:rPr>
          <w:rFonts w:ascii="Arial Narrow" w:hAnsi="Arial Narrow"/>
          <w:sz w:val="18"/>
          <w:szCs w:val="18"/>
        </w:rPr>
        <w:t>* For the purposes of comparison, this is not an exhaustive list of all preservative-containing multi-dose eye drops.</w:t>
      </w:r>
    </w:p>
    <w:p w:rsidR="00F16C48" w:rsidRDefault="00A32402">
      <w:pPr>
        <w:rPr>
          <w:rFonts w:ascii="Arial Narrow" w:hAnsi="Arial Narrow"/>
          <w:sz w:val="18"/>
          <w:szCs w:val="18"/>
        </w:rPr>
      </w:pPr>
      <w:r>
        <w:rPr>
          <w:rFonts w:ascii="Arial Narrow" w:hAnsi="Arial Narrow"/>
          <w:sz w:val="18"/>
          <w:szCs w:val="18"/>
          <w:vertAlign w:val="superscript"/>
        </w:rPr>
        <w:t>d</w:t>
      </w:r>
      <w:r>
        <w:rPr>
          <w:rFonts w:ascii="Arial Narrow" w:hAnsi="Arial Narrow"/>
          <w:sz w:val="18"/>
          <w:szCs w:val="18"/>
        </w:rPr>
        <w:t xml:space="preserve"> All nominated comparators by the Sponsor </w:t>
      </w:r>
    </w:p>
    <w:p w:rsidR="00F16C48" w:rsidRDefault="00A32402">
      <w:pPr>
        <w:rPr>
          <w:rFonts w:ascii="Arial Narrow" w:hAnsi="Arial Narrow"/>
          <w:sz w:val="18"/>
          <w:szCs w:val="18"/>
        </w:rPr>
      </w:pPr>
      <w:r>
        <w:rPr>
          <w:rFonts w:ascii="Arial Narrow" w:hAnsi="Arial Narrow"/>
          <w:sz w:val="18"/>
          <w:szCs w:val="18"/>
        </w:rPr>
        <w:t>Source: Table 3.1 pg.21-22 of the submission and Ex-manufacturer Price List May 2019 from PBS Online.</w:t>
      </w:r>
    </w:p>
    <w:p w:rsidR="00F16C48" w:rsidRDefault="00A3240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Estimated PBS usage &amp; financial implications</w:t>
      </w:r>
    </w:p>
    <w:p w:rsidR="00F16C48" w:rsidRDefault="00A32402">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financial estimates in this minor resubmission were not independently evaluated.</w:t>
      </w:r>
    </w:p>
    <w:p w:rsidR="00F16C48" w:rsidRDefault="00A32402">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resubmission used a market share approach which assumed the market for preservative-free ocular lubricants will experience no additional growth as a result of the proposed listing.</w:t>
      </w:r>
    </w:p>
    <w:p w:rsidR="00F16C48" w:rsidRDefault="00A32402">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submission assumed </w:t>
      </w:r>
      <w:r>
        <w:rPr>
          <w:rFonts w:asciiTheme="minorHAnsi" w:eastAsiaTheme="minorHAnsi" w:hAnsiTheme="minorHAnsi" w:cstheme="minorBidi"/>
          <w:snapToGrid/>
          <w:sz w:val="24"/>
          <w:szCs w:val="22"/>
        </w:rPr>
        <w:t>carmellose 0.5% and hypromellose 0.3%</w:t>
      </w:r>
      <w:r>
        <w:rPr>
          <w:rFonts w:asciiTheme="minorHAnsi" w:hAnsiTheme="minorHAnsi"/>
          <w:sz w:val="24"/>
          <w:szCs w:val="24"/>
        </w:rPr>
        <w:t xml:space="preserve"> would substitute for </w:t>
      </w:r>
      <w:r>
        <w:rPr>
          <w:rFonts w:asciiTheme="minorHAnsi" w:hAnsiTheme="minorHAnsi" w:cstheme="minorHAnsi"/>
          <w:sz w:val="24"/>
          <w:szCs w:val="24"/>
        </w:rPr>
        <w:t>perfluorohexyloctane (Novatears®), hyaluronic acid (Hylo-Fresh®, Hylo-Forte®), carmellose 0.5% (Cellufresh®, Optifresh Tears®), and hypromellose with dextran (Bion Tears®)</w:t>
      </w:r>
      <w:r>
        <w:rPr>
          <w:rFonts w:asciiTheme="minorHAnsi" w:hAnsiTheme="minorHAnsi"/>
          <w:sz w:val="24"/>
          <w:szCs w:val="24"/>
        </w:rPr>
        <w:t>. It was assumed that only eye drops would be substituted, therefore paraffin ointment (Poly-Visc</w:t>
      </w:r>
      <w:r>
        <w:rPr>
          <w:rFonts w:asciiTheme="minorHAnsi" w:hAnsiTheme="minorHAnsi" w:cstheme="minorHAnsi"/>
          <w:sz w:val="24"/>
          <w:szCs w:val="24"/>
        </w:rPr>
        <w:t>®</w:t>
      </w:r>
      <w:r>
        <w:rPr>
          <w:rFonts w:asciiTheme="minorHAnsi" w:hAnsiTheme="minorHAnsi"/>
          <w:sz w:val="24"/>
          <w:szCs w:val="24"/>
        </w:rPr>
        <w:t>) and soy lecithin spray (Tears-Again</w:t>
      </w:r>
      <w:r>
        <w:rPr>
          <w:rFonts w:asciiTheme="minorHAnsi" w:hAnsiTheme="minorHAnsi" w:cstheme="minorHAnsi"/>
          <w:sz w:val="24"/>
          <w:szCs w:val="24"/>
        </w:rPr>
        <w:t>®</w:t>
      </w:r>
      <w:r>
        <w:rPr>
          <w:rFonts w:asciiTheme="minorHAnsi" w:hAnsiTheme="minorHAnsi"/>
          <w:sz w:val="24"/>
          <w:szCs w:val="24"/>
        </w:rPr>
        <w:t>) were not included in the estimates.</w:t>
      </w:r>
    </w:p>
    <w:p w:rsidR="00F16C48" w:rsidRDefault="00A32402">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resubmission estimated  that </w:t>
      </w:r>
      <w:r>
        <w:rPr>
          <w:rFonts w:asciiTheme="minorHAnsi" w:eastAsiaTheme="minorHAnsi" w:hAnsiTheme="minorHAnsi" w:cstheme="minorBidi"/>
          <w:snapToGrid/>
          <w:sz w:val="24"/>
          <w:szCs w:val="22"/>
        </w:rPr>
        <w:t>carmellose 0.5% would substitute for 46% of the market share of all its comparators combined in Year 1 of listing (2020), increasing to 75% by Year 5. Estimates for hypromellose 0.3% were the same. The majority of substitution was expected to be for single-dose unit carmellose and hypromellose products.</w:t>
      </w:r>
      <w:r>
        <w:rPr>
          <w:rFonts w:asciiTheme="minorHAnsi" w:hAnsiTheme="minorHAnsi"/>
          <w:sz w:val="24"/>
          <w:szCs w:val="24"/>
        </w:rPr>
        <w:t xml:space="preserve"> The same estimates and assumptions were used in the previous minor submission. </w:t>
      </w:r>
    </w:p>
    <w:p w:rsidR="00F16C48" w:rsidRDefault="00A32402">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 xml:space="preserve">Table 2 shows the current market share for PBS-listed ocular lubricants as provided in the July 2018 and July 2019 minor (re)submissions. Based on these PBS script data, </w:t>
      </w:r>
      <w:r>
        <w:rPr>
          <w:rFonts w:asciiTheme="minorHAnsi" w:hAnsiTheme="minorHAnsi" w:cstheme="minorHAnsi"/>
          <w:sz w:val="24"/>
          <w:szCs w:val="24"/>
        </w:rPr>
        <w:t xml:space="preserve">there had been approximately a 13% increase in PBS services for these items between 2017 and 2018. </w:t>
      </w:r>
      <w:r>
        <w:rPr>
          <w:rFonts w:asciiTheme="minorHAnsi" w:hAnsiTheme="minorHAnsi"/>
          <w:sz w:val="24"/>
          <w:szCs w:val="24"/>
        </w:rPr>
        <w:t xml:space="preserve">Between these periods, the greatest rise in services was the uptake of hyaluronic acid products. This could be as a result of the delisting of carmellose 0.25%, patients switching from preservative-containing products, or growth in the market (new patients being prescribed ocular lubricants). </w:t>
      </w:r>
    </w:p>
    <w:p w:rsidR="00F16C48" w:rsidRDefault="00A32402">
      <w:pPr>
        <w:keepNext/>
        <w:keepLines/>
        <w:rPr>
          <w:rFonts w:ascii="Arial Narrow" w:hAnsi="Arial Narrow"/>
          <w:b/>
          <w:sz w:val="20"/>
          <w:szCs w:val="20"/>
        </w:rPr>
      </w:pPr>
      <w:r>
        <w:rPr>
          <w:rFonts w:ascii="Arial Narrow" w:hAnsi="Arial Narrow"/>
          <w:b/>
          <w:sz w:val="20"/>
          <w:szCs w:val="20"/>
        </w:rPr>
        <w:t xml:space="preserve">Table 2: Market share figures for comparator ocular lubricants </w:t>
      </w:r>
    </w:p>
    <w:tbl>
      <w:tblPr>
        <w:tblW w:w="9072" w:type="dxa"/>
        <w:tblInd w:w="-5" w:type="dxa"/>
        <w:tblLayout w:type="fixed"/>
        <w:tblLook w:val="04A0" w:firstRow="1" w:lastRow="0" w:firstColumn="1" w:lastColumn="0" w:noHBand="0" w:noVBand="1"/>
      </w:tblPr>
      <w:tblGrid>
        <w:gridCol w:w="2833"/>
        <w:gridCol w:w="1559"/>
        <w:gridCol w:w="1560"/>
        <w:gridCol w:w="1560"/>
        <w:gridCol w:w="1560"/>
      </w:tblGrid>
      <w:tr w:rsidR="00F16C48">
        <w:trPr>
          <w:trHeight w:val="282"/>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C48" w:rsidRDefault="00F16C48">
            <w:pPr>
              <w:keepNext/>
              <w:keepLines/>
              <w:rPr>
                <w:rFonts w:ascii="Arial Narrow" w:hAnsi="Arial Narrow" w:cs="Arial"/>
                <w:b/>
                <w:bCs/>
                <w:sz w:val="20"/>
                <w:szCs w:val="20"/>
              </w:rPr>
            </w:pP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C48" w:rsidRDefault="00A32402">
            <w:pPr>
              <w:keepNext/>
              <w:keepLines/>
              <w:jc w:val="center"/>
              <w:rPr>
                <w:rFonts w:ascii="Arial Narrow" w:hAnsi="Arial Narrow" w:cs="Arial"/>
                <w:b/>
                <w:bCs/>
                <w:sz w:val="20"/>
                <w:szCs w:val="20"/>
              </w:rPr>
            </w:pPr>
            <w:r>
              <w:rPr>
                <w:rFonts w:ascii="Arial Narrow" w:hAnsi="Arial Narrow" w:cs="Arial"/>
                <w:b/>
                <w:bCs/>
                <w:sz w:val="20"/>
                <w:szCs w:val="20"/>
              </w:rPr>
              <w:t>PBS Services Feb 2017- Jan 2018</w:t>
            </w:r>
          </w:p>
        </w:tc>
        <w:tc>
          <w:tcPr>
            <w:tcW w:w="3120" w:type="dxa"/>
            <w:gridSpan w:val="2"/>
            <w:tcBorders>
              <w:top w:val="single" w:sz="4" w:space="0" w:color="auto"/>
              <w:left w:val="nil"/>
              <w:bottom w:val="single" w:sz="4" w:space="0" w:color="auto"/>
              <w:right w:val="single" w:sz="4" w:space="0" w:color="auto"/>
            </w:tcBorders>
            <w:shd w:val="clear" w:color="auto" w:fill="auto"/>
            <w:vAlign w:val="center"/>
          </w:tcPr>
          <w:p w:rsidR="00F16C48" w:rsidRDefault="00A32402">
            <w:pPr>
              <w:keepNext/>
              <w:keepLines/>
              <w:jc w:val="center"/>
              <w:rPr>
                <w:rFonts w:ascii="Arial Narrow" w:hAnsi="Arial Narrow" w:cs="Arial"/>
                <w:b/>
                <w:bCs/>
                <w:sz w:val="20"/>
                <w:szCs w:val="20"/>
              </w:rPr>
            </w:pPr>
            <w:r>
              <w:rPr>
                <w:rFonts w:ascii="Arial Narrow" w:hAnsi="Arial Narrow" w:cs="Arial"/>
                <w:b/>
                <w:bCs/>
                <w:sz w:val="20"/>
                <w:szCs w:val="20"/>
              </w:rPr>
              <w:t>PBS Services Mar 2018- Feb 2019</w:t>
            </w:r>
          </w:p>
        </w:tc>
      </w:tr>
      <w:tr w:rsidR="00F16C48">
        <w:trPr>
          <w:trHeight w:val="282"/>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C48" w:rsidRDefault="00A32402">
            <w:pPr>
              <w:keepNext/>
              <w:keepLines/>
              <w:rPr>
                <w:rFonts w:ascii="Arial Narrow" w:hAnsi="Arial Narrow" w:cs="Arial"/>
                <w:b/>
                <w:bCs/>
                <w:sz w:val="20"/>
                <w:szCs w:val="20"/>
              </w:rPr>
            </w:pPr>
            <w:r>
              <w:rPr>
                <w:rFonts w:ascii="Arial Narrow" w:hAnsi="Arial Narrow" w:cs="Arial"/>
                <w:b/>
                <w:sz w:val="20"/>
                <w:szCs w:val="20"/>
              </w:rPr>
              <w:t>Name &amp; Item Code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C48" w:rsidRDefault="00A32402">
            <w:pPr>
              <w:keepNext/>
              <w:keepLines/>
              <w:jc w:val="center"/>
              <w:rPr>
                <w:rFonts w:ascii="Arial Narrow" w:hAnsi="Arial Narrow" w:cs="Arial"/>
                <w:b/>
                <w:bCs/>
                <w:sz w:val="20"/>
                <w:szCs w:val="20"/>
              </w:rPr>
            </w:pPr>
            <w:r>
              <w:rPr>
                <w:rFonts w:ascii="Arial Narrow" w:hAnsi="Arial Narrow" w:cs="Arial"/>
                <w:b/>
                <w:bCs/>
                <w:sz w:val="20"/>
                <w:szCs w:val="20"/>
              </w:rPr>
              <w:t>Total</w:t>
            </w:r>
          </w:p>
        </w:tc>
        <w:tc>
          <w:tcPr>
            <w:tcW w:w="1560" w:type="dxa"/>
            <w:tcBorders>
              <w:top w:val="single" w:sz="4" w:space="0" w:color="auto"/>
              <w:left w:val="nil"/>
              <w:bottom w:val="single" w:sz="4" w:space="0" w:color="auto"/>
              <w:right w:val="single" w:sz="4" w:space="0" w:color="auto"/>
            </w:tcBorders>
            <w:shd w:val="clear" w:color="auto" w:fill="auto"/>
            <w:vAlign w:val="center"/>
          </w:tcPr>
          <w:p w:rsidR="00F16C48" w:rsidRDefault="00A32402">
            <w:pPr>
              <w:keepNext/>
              <w:keepLines/>
              <w:jc w:val="center"/>
              <w:rPr>
                <w:rFonts w:ascii="Arial Narrow" w:hAnsi="Arial Narrow" w:cs="Arial"/>
                <w:b/>
                <w:bCs/>
                <w:sz w:val="20"/>
                <w:szCs w:val="20"/>
              </w:rPr>
            </w:pPr>
            <w:r>
              <w:rPr>
                <w:rFonts w:ascii="Arial Narrow" w:hAnsi="Arial Narrow" w:cs="Arial"/>
                <w:b/>
                <w:bCs/>
                <w:sz w:val="20"/>
                <w:szCs w:val="20"/>
              </w:rPr>
              <w:t>Market %</w:t>
            </w:r>
          </w:p>
        </w:tc>
        <w:tc>
          <w:tcPr>
            <w:tcW w:w="1560" w:type="dxa"/>
            <w:tcBorders>
              <w:top w:val="single" w:sz="4" w:space="0" w:color="auto"/>
              <w:left w:val="nil"/>
              <w:bottom w:val="single" w:sz="4" w:space="0" w:color="auto"/>
              <w:right w:val="single" w:sz="4" w:space="0" w:color="auto"/>
            </w:tcBorders>
            <w:shd w:val="clear" w:color="auto" w:fill="auto"/>
            <w:vAlign w:val="center"/>
          </w:tcPr>
          <w:p w:rsidR="00F16C48" w:rsidRDefault="00A32402">
            <w:pPr>
              <w:keepNext/>
              <w:keepLines/>
              <w:jc w:val="center"/>
              <w:rPr>
                <w:rFonts w:ascii="Arial Narrow" w:hAnsi="Arial Narrow" w:cs="Arial"/>
                <w:b/>
                <w:bCs/>
                <w:sz w:val="20"/>
                <w:szCs w:val="20"/>
              </w:rPr>
            </w:pPr>
            <w:r>
              <w:rPr>
                <w:rFonts w:ascii="Arial Narrow" w:hAnsi="Arial Narrow" w:cs="Arial"/>
                <w:b/>
                <w:bCs/>
                <w:sz w:val="20"/>
                <w:szCs w:val="20"/>
              </w:rPr>
              <w:t>Total</w:t>
            </w:r>
          </w:p>
        </w:tc>
        <w:tc>
          <w:tcPr>
            <w:tcW w:w="1560" w:type="dxa"/>
            <w:tcBorders>
              <w:top w:val="single" w:sz="4" w:space="0" w:color="auto"/>
              <w:left w:val="nil"/>
              <w:bottom w:val="single" w:sz="4" w:space="0" w:color="auto"/>
              <w:right w:val="single" w:sz="4" w:space="0" w:color="auto"/>
            </w:tcBorders>
            <w:shd w:val="clear" w:color="auto" w:fill="auto"/>
            <w:vAlign w:val="center"/>
          </w:tcPr>
          <w:p w:rsidR="00F16C48" w:rsidRDefault="00A32402">
            <w:pPr>
              <w:keepNext/>
              <w:keepLines/>
              <w:jc w:val="center"/>
              <w:rPr>
                <w:rFonts w:ascii="Arial Narrow" w:hAnsi="Arial Narrow" w:cs="Arial"/>
                <w:b/>
                <w:bCs/>
                <w:sz w:val="20"/>
                <w:szCs w:val="20"/>
              </w:rPr>
            </w:pPr>
            <w:r>
              <w:rPr>
                <w:rFonts w:ascii="Arial Narrow" w:hAnsi="Arial Narrow" w:cs="Arial"/>
                <w:b/>
                <w:bCs/>
                <w:sz w:val="20"/>
                <w:szCs w:val="20"/>
              </w:rPr>
              <w:t>Market %</w:t>
            </w:r>
          </w:p>
        </w:tc>
      </w:tr>
      <w:tr w:rsidR="00F16C48">
        <w:trPr>
          <w:trHeight w:val="134"/>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C48" w:rsidRDefault="00A32402">
            <w:pPr>
              <w:keepNext/>
              <w:keepLines/>
              <w:rPr>
                <w:rFonts w:ascii="Arial Narrow" w:hAnsi="Arial Narrow" w:cs="Arial"/>
                <w:sz w:val="20"/>
                <w:szCs w:val="20"/>
              </w:rPr>
            </w:pPr>
            <w:r>
              <w:rPr>
                <w:rFonts w:ascii="Arial Narrow" w:hAnsi="Arial Narrow" w:cs="Arial"/>
                <w:bCs/>
                <w:sz w:val="20"/>
                <w:szCs w:val="20"/>
              </w:rPr>
              <w:t>Hypromellose + dextran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121,906</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29.69%</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144,368</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31.04%</w:t>
            </w:r>
          </w:p>
        </w:tc>
      </w:tr>
      <w:tr w:rsidR="00F16C48">
        <w:trPr>
          <w:trHeight w:val="73"/>
        </w:trPr>
        <w:tc>
          <w:tcPr>
            <w:tcW w:w="2833" w:type="dxa"/>
            <w:tcBorders>
              <w:top w:val="single" w:sz="4" w:space="0" w:color="auto"/>
              <w:left w:val="single" w:sz="4" w:space="0" w:color="auto"/>
              <w:bottom w:val="single" w:sz="4" w:space="0" w:color="auto"/>
              <w:right w:val="single" w:sz="4" w:space="0" w:color="auto"/>
            </w:tcBorders>
            <w:shd w:val="clear" w:color="auto" w:fill="auto"/>
            <w:noWrap/>
          </w:tcPr>
          <w:p w:rsidR="00F16C48" w:rsidRDefault="00A32402">
            <w:pPr>
              <w:keepNext/>
              <w:keepLines/>
              <w:rPr>
                <w:rFonts w:ascii="Arial Narrow" w:hAnsi="Arial Narrow" w:cs="Arial"/>
                <w:sz w:val="20"/>
                <w:szCs w:val="20"/>
              </w:rPr>
            </w:pPr>
            <w:r>
              <w:rPr>
                <w:rFonts w:ascii="Arial Narrow" w:hAnsi="Arial Narrow" w:cs="Arial"/>
                <w:sz w:val="20"/>
                <w:szCs w:val="20"/>
              </w:rPr>
              <w:t>Carmellose 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color w:val="000000"/>
                <w:sz w:val="20"/>
                <w:szCs w:val="20"/>
              </w:rPr>
            </w:pPr>
            <w:r>
              <w:rPr>
                <w:rFonts w:ascii="Arial Narrow" w:hAnsi="Arial Narrow" w:cs="Arial"/>
                <w:color w:val="000000"/>
                <w:sz w:val="20"/>
                <w:szCs w:val="20"/>
              </w:rPr>
              <w:t>16,356</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3.98%</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N/A</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N/A</w:t>
            </w:r>
          </w:p>
        </w:tc>
      </w:tr>
      <w:tr w:rsidR="00F16C48">
        <w:trPr>
          <w:trHeight w:val="73"/>
        </w:trPr>
        <w:tc>
          <w:tcPr>
            <w:tcW w:w="2833" w:type="dxa"/>
            <w:tcBorders>
              <w:top w:val="single" w:sz="4" w:space="0" w:color="auto"/>
              <w:left w:val="single" w:sz="4" w:space="0" w:color="auto"/>
              <w:bottom w:val="single" w:sz="4" w:space="0" w:color="auto"/>
              <w:right w:val="single" w:sz="4" w:space="0" w:color="auto"/>
            </w:tcBorders>
            <w:shd w:val="clear" w:color="auto" w:fill="auto"/>
            <w:noWrap/>
          </w:tcPr>
          <w:p w:rsidR="00F16C48" w:rsidRDefault="00A32402">
            <w:pPr>
              <w:keepNext/>
              <w:keepLines/>
              <w:rPr>
                <w:rFonts w:ascii="Arial Narrow" w:hAnsi="Arial Narrow" w:cs="Arial"/>
                <w:sz w:val="20"/>
                <w:szCs w:val="20"/>
              </w:rPr>
            </w:pPr>
            <w:r>
              <w:rPr>
                <w:rFonts w:ascii="Arial Narrow" w:hAnsi="Arial Narrow" w:cs="Arial"/>
                <w:sz w:val="20"/>
                <w:szCs w:val="20"/>
              </w:rPr>
              <w:t>Carmellose 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color w:val="000000"/>
                <w:sz w:val="20"/>
                <w:szCs w:val="20"/>
              </w:rPr>
            </w:pPr>
            <w:r>
              <w:rPr>
                <w:rFonts w:ascii="Arial Narrow" w:hAnsi="Arial Narrow" w:cs="Arial"/>
                <w:color w:val="000000"/>
                <w:sz w:val="20"/>
                <w:szCs w:val="20"/>
              </w:rPr>
              <w:t>124,054</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30.22%</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131,370</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28.25%</w:t>
            </w:r>
          </w:p>
        </w:tc>
      </w:tr>
      <w:tr w:rsidR="00F16C48">
        <w:trPr>
          <w:trHeight w:val="73"/>
        </w:trPr>
        <w:tc>
          <w:tcPr>
            <w:tcW w:w="2833" w:type="dxa"/>
            <w:tcBorders>
              <w:top w:val="single" w:sz="4" w:space="0" w:color="auto"/>
              <w:left w:val="single" w:sz="4" w:space="0" w:color="auto"/>
              <w:bottom w:val="single" w:sz="4" w:space="0" w:color="auto"/>
              <w:right w:val="single" w:sz="4" w:space="0" w:color="auto"/>
            </w:tcBorders>
            <w:shd w:val="clear" w:color="auto" w:fill="auto"/>
            <w:noWrap/>
          </w:tcPr>
          <w:p w:rsidR="00F16C48" w:rsidRDefault="00A32402">
            <w:pPr>
              <w:keepNext/>
              <w:keepLines/>
              <w:rPr>
                <w:rFonts w:ascii="Arial Narrow" w:hAnsi="Arial Narrow" w:cs="Arial"/>
                <w:sz w:val="20"/>
                <w:szCs w:val="20"/>
              </w:rPr>
            </w:pPr>
            <w:r>
              <w:rPr>
                <w:rFonts w:ascii="Arial Narrow" w:hAnsi="Arial Narrow" w:cs="Arial"/>
                <w:sz w:val="20"/>
                <w:szCs w:val="20"/>
              </w:rPr>
              <w:t>Carmellose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color w:val="000000"/>
                <w:sz w:val="20"/>
                <w:szCs w:val="20"/>
              </w:rPr>
            </w:pPr>
            <w:r>
              <w:rPr>
                <w:rFonts w:ascii="Arial Narrow" w:hAnsi="Arial Narrow" w:cs="Arial"/>
                <w:color w:val="000000"/>
                <w:sz w:val="20"/>
                <w:szCs w:val="20"/>
              </w:rPr>
              <w:t>33,443</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8.15%</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NP</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NP</w:t>
            </w:r>
          </w:p>
        </w:tc>
      </w:tr>
      <w:tr w:rsidR="00F16C48">
        <w:trPr>
          <w:trHeight w:val="119"/>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C48" w:rsidRDefault="00A32402">
            <w:pPr>
              <w:keepNext/>
              <w:keepLines/>
              <w:rPr>
                <w:rFonts w:ascii="Arial Narrow" w:hAnsi="Arial Narrow" w:cs="Arial"/>
                <w:bCs/>
                <w:sz w:val="20"/>
                <w:szCs w:val="20"/>
              </w:rPr>
            </w:pPr>
            <w:r>
              <w:rPr>
                <w:rFonts w:ascii="Arial Narrow" w:hAnsi="Arial Narrow" w:cs="Arial"/>
                <w:sz w:val="20"/>
                <w:szCs w:val="20"/>
              </w:rPr>
              <w:t>Perfluorohexyloctane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N/A</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N/A</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4,774</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1.03%</w:t>
            </w:r>
          </w:p>
        </w:tc>
      </w:tr>
      <w:tr w:rsidR="00F16C48">
        <w:trPr>
          <w:trHeight w:val="119"/>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C48" w:rsidRDefault="00A32402">
            <w:pPr>
              <w:keepNext/>
              <w:keepLines/>
              <w:rPr>
                <w:rFonts w:ascii="Arial Narrow" w:hAnsi="Arial Narrow" w:cs="Arial"/>
                <w:bCs/>
                <w:sz w:val="20"/>
                <w:szCs w:val="20"/>
              </w:rPr>
            </w:pPr>
            <w:r>
              <w:rPr>
                <w:rFonts w:ascii="Arial Narrow" w:hAnsi="Arial Narrow" w:cs="Arial"/>
                <w:sz w:val="20"/>
                <w:szCs w:val="20"/>
              </w:rPr>
              <w:t>Hyaluronic acid (0.1% + 0.2%)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114,784</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27.96%</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184,565</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sz w:val="20"/>
                <w:szCs w:val="20"/>
              </w:rPr>
            </w:pPr>
            <w:r>
              <w:rPr>
                <w:rFonts w:ascii="Arial Narrow" w:hAnsi="Arial Narrow" w:cs="Arial"/>
                <w:sz w:val="20"/>
                <w:szCs w:val="20"/>
              </w:rPr>
              <w:t>39.68%</w:t>
            </w:r>
          </w:p>
        </w:tc>
      </w:tr>
      <w:tr w:rsidR="00F16C48">
        <w:trPr>
          <w:trHeight w:val="119"/>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C48" w:rsidRDefault="00A32402">
            <w:pPr>
              <w:keepNext/>
              <w:keepLines/>
              <w:rPr>
                <w:rFonts w:ascii="Arial Narrow" w:hAnsi="Arial Narrow" w:cstheme="minorHAnsi"/>
                <w:b/>
                <w:sz w:val="20"/>
                <w:szCs w:val="20"/>
              </w:rPr>
            </w:pPr>
            <w:r>
              <w:rPr>
                <w:rFonts w:ascii="Arial Narrow" w:hAnsi="Arial Narrow" w:cstheme="minorHAnsi"/>
                <w:b/>
                <w:sz w:val="20"/>
                <w:szCs w:val="20"/>
              </w:rPr>
              <w:t>Total relevant market*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b/>
                <w:sz w:val="20"/>
                <w:szCs w:val="20"/>
              </w:rPr>
            </w:pPr>
            <w:r>
              <w:rPr>
                <w:rFonts w:ascii="Arial Narrow" w:hAnsi="Arial Narrow" w:cs="Arial"/>
                <w:b/>
                <w:sz w:val="20"/>
                <w:szCs w:val="20"/>
              </w:rPr>
              <w:t>410,543</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F16C48">
            <w:pPr>
              <w:keepNext/>
              <w:keepLines/>
              <w:jc w:val="center"/>
              <w:rPr>
                <w:rFonts w:ascii="Arial Narrow" w:hAnsi="Arial Narrow" w:cs="Arial"/>
                <w:b/>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A32402">
            <w:pPr>
              <w:keepNext/>
              <w:keepLines/>
              <w:jc w:val="center"/>
              <w:rPr>
                <w:rFonts w:ascii="Arial Narrow" w:hAnsi="Arial Narrow" w:cs="Arial"/>
                <w:b/>
                <w:sz w:val="20"/>
                <w:szCs w:val="20"/>
              </w:rPr>
            </w:pPr>
            <w:r>
              <w:rPr>
                <w:rFonts w:ascii="Arial Narrow" w:hAnsi="Arial Narrow" w:cs="Arial"/>
                <w:b/>
                <w:sz w:val="20"/>
                <w:szCs w:val="20"/>
              </w:rPr>
              <w:t>465,077</w:t>
            </w:r>
          </w:p>
        </w:tc>
        <w:tc>
          <w:tcPr>
            <w:tcW w:w="1560" w:type="dxa"/>
            <w:tcBorders>
              <w:top w:val="single" w:sz="4" w:space="0" w:color="auto"/>
              <w:left w:val="nil"/>
              <w:bottom w:val="single" w:sz="4" w:space="0" w:color="auto"/>
              <w:right w:val="single" w:sz="4" w:space="0" w:color="auto"/>
            </w:tcBorders>
            <w:shd w:val="clear" w:color="auto" w:fill="auto"/>
            <w:vAlign w:val="bottom"/>
          </w:tcPr>
          <w:p w:rsidR="00F16C48" w:rsidRDefault="00F16C48">
            <w:pPr>
              <w:keepNext/>
              <w:keepLines/>
              <w:jc w:val="center"/>
              <w:rPr>
                <w:rFonts w:ascii="Arial Narrow" w:hAnsi="Arial Narrow" w:cs="Arial"/>
                <w:b/>
                <w:sz w:val="20"/>
                <w:szCs w:val="20"/>
              </w:rPr>
            </w:pPr>
          </w:p>
        </w:tc>
      </w:tr>
    </w:tbl>
    <w:p w:rsidR="00F16C48" w:rsidRDefault="00A32402">
      <w:pPr>
        <w:rPr>
          <w:rFonts w:ascii="Arial Narrow" w:hAnsi="Arial Narrow"/>
          <w:sz w:val="18"/>
          <w:szCs w:val="18"/>
        </w:rPr>
      </w:pPr>
      <w:r>
        <w:rPr>
          <w:rFonts w:ascii="Arial Narrow" w:hAnsi="Arial Narrow"/>
          <w:sz w:val="18"/>
          <w:szCs w:val="18"/>
        </w:rPr>
        <w:t xml:space="preserve">*   Excludes figures for other preservative-free multi-dose lubricants and single-dose lubricants.  </w:t>
      </w:r>
    </w:p>
    <w:p w:rsidR="00F16C48" w:rsidRDefault="00A32402">
      <w:pPr>
        <w:rPr>
          <w:rFonts w:ascii="Arial Narrow" w:hAnsi="Arial Narrow"/>
          <w:sz w:val="18"/>
          <w:szCs w:val="18"/>
        </w:rPr>
      </w:pPr>
      <w:r>
        <w:rPr>
          <w:rFonts w:ascii="Arial Narrow" w:hAnsi="Arial Narrow"/>
          <w:sz w:val="18"/>
          <w:szCs w:val="18"/>
        </w:rPr>
        <w:t>NP  Not Provided in the submission.</w:t>
      </w:r>
    </w:p>
    <w:p w:rsidR="00F16C48" w:rsidRDefault="00A32402">
      <w:pPr>
        <w:rPr>
          <w:rFonts w:ascii="Arial Narrow" w:hAnsi="Arial Narrow"/>
          <w:sz w:val="18"/>
          <w:szCs w:val="18"/>
        </w:rPr>
      </w:pPr>
      <w:r>
        <w:rPr>
          <w:rFonts w:ascii="Arial Narrow" w:hAnsi="Arial Narrow"/>
          <w:sz w:val="18"/>
          <w:szCs w:val="18"/>
        </w:rPr>
        <w:t xml:space="preserve">N/A Not applicable as either wasn’t listed or no longer listed. </w:t>
      </w:r>
    </w:p>
    <w:p w:rsidR="00F16C48" w:rsidRDefault="00A32402">
      <w:pPr>
        <w:rPr>
          <w:rFonts w:ascii="Arial Narrow" w:hAnsi="Arial Narrow"/>
          <w:sz w:val="18"/>
          <w:szCs w:val="18"/>
        </w:rPr>
      </w:pPr>
      <w:r>
        <w:rPr>
          <w:rFonts w:ascii="Arial Narrow" w:hAnsi="Arial Narrow"/>
          <w:sz w:val="18"/>
          <w:szCs w:val="18"/>
        </w:rPr>
        <w:t>Source: market figures provided in workbooks from July 2018 and July 2019 submissions.</w:t>
      </w:r>
    </w:p>
    <w:p w:rsidR="00F16C48" w:rsidRDefault="00F16C48">
      <w:pPr>
        <w:rPr>
          <w:rFonts w:ascii="Arial Narrow" w:hAnsi="Arial Narrow"/>
          <w:sz w:val="18"/>
          <w:szCs w:val="18"/>
        </w:rPr>
      </w:pPr>
    </w:p>
    <w:p w:rsidR="00F16C48" w:rsidRDefault="00A32402">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 xml:space="preserve">In its consideration of the previous minor submission in July 2018, the PBAC commented that hyaluronic acid products are multi-dose products that have been listed on the PBS since 2012, and therefore some displacement of </w:t>
      </w:r>
      <w:r>
        <w:rPr>
          <w:rFonts w:asciiTheme="minorHAnsi" w:eastAsiaTheme="minorHAnsi" w:hAnsiTheme="minorHAnsi" w:cstheme="minorBidi"/>
          <w:snapToGrid/>
          <w:sz w:val="24"/>
          <w:szCs w:val="22"/>
        </w:rPr>
        <w:t>single-dose products</w:t>
      </w:r>
      <w:r>
        <w:rPr>
          <w:rFonts w:asciiTheme="minorHAnsi" w:hAnsiTheme="minorHAnsi"/>
          <w:sz w:val="24"/>
          <w:szCs w:val="24"/>
        </w:rPr>
        <w:t xml:space="preserve"> due to the convenience of multi-dose products would likely have already occurred. The PBAC considered that it was therefore possible that the Sponsor had </w:t>
      </w:r>
      <w:r>
        <w:rPr>
          <w:rFonts w:asciiTheme="minorHAnsi" w:hAnsiTheme="minorHAnsi"/>
          <w:sz w:val="24"/>
          <w:szCs w:val="24"/>
        </w:rPr>
        <w:lastRenderedPageBreak/>
        <w:t xml:space="preserve">overestimated the potential market share for </w:t>
      </w:r>
      <w:r>
        <w:rPr>
          <w:rFonts w:asciiTheme="minorHAnsi" w:eastAsiaTheme="minorHAnsi" w:hAnsiTheme="minorHAnsi" w:cstheme="minorBidi"/>
          <w:snapToGrid/>
          <w:sz w:val="24"/>
          <w:szCs w:val="22"/>
        </w:rPr>
        <w:t>carmellose 0.5% and hypromellose 0.3%</w:t>
      </w:r>
      <w:r>
        <w:rPr>
          <w:rFonts w:asciiTheme="minorHAnsi" w:hAnsiTheme="minorHAnsi"/>
          <w:sz w:val="24"/>
          <w:szCs w:val="24"/>
        </w:rPr>
        <w:t xml:space="preserve">, and also overestimated the potential net savings to the PBS. At the July 2019 meeting, the PBAC reiterated that the potential market share and net savings to the PBS may have been overestimated, but accepted that the listing would either be at worst cost-neutral or result in some minor savings to Government. </w:t>
      </w:r>
    </w:p>
    <w:p w:rsidR="00F16C48" w:rsidRDefault="00A32402">
      <w:pPr>
        <w:pStyle w:val="ListParagraph"/>
        <w:widowControl/>
        <w:numPr>
          <w:ilvl w:val="1"/>
          <w:numId w:val="5"/>
        </w:numPr>
        <w:spacing w:after="120"/>
        <w:ind w:left="709"/>
        <w:contextualSpacing w:val="0"/>
        <w:rPr>
          <w:rFonts w:asciiTheme="minorHAnsi" w:hAnsiTheme="minorHAnsi"/>
          <w:sz w:val="24"/>
          <w:szCs w:val="24"/>
        </w:rPr>
      </w:pPr>
      <w:r>
        <w:rPr>
          <w:rFonts w:asciiTheme="minorHAnsi" w:hAnsiTheme="minorHAnsi"/>
          <w:sz w:val="24"/>
          <w:szCs w:val="24"/>
        </w:rPr>
        <w:t xml:space="preserve">The shelf life for the </w:t>
      </w:r>
      <w:r>
        <w:rPr>
          <w:rFonts w:asciiTheme="minorHAnsi" w:eastAsiaTheme="minorHAnsi" w:hAnsiTheme="minorHAnsi" w:cstheme="minorBidi"/>
          <w:snapToGrid/>
          <w:sz w:val="24"/>
          <w:szCs w:val="22"/>
        </w:rPr>
        <w:t xml:space="preserve">carmellose 0.5% and hypromellose 0.3% </w:t>
      </w:r>
      <w:r>
        <w:rPr>
          <w:rFonts w:asciiTheme="minorHAnsi" w:hAnsiTheme="minorHAnsi"/>
          <w:sz w:val="24"/>
          <w:szCs w:val="24"/>
        </w:rPr>
        <w:t xml:space="preserve">is three months after opening, however the submission claimed that multiple drops per eye per day are usually required, therefore the likelihood of wastage is low. The PBAC considered that this was reasonable. </w:t>
      </w:r>
    </w:p>
    <w:p w:rsidR="00F16C48" w:rsidRDefault="00A32402">
      <w:pPr>
        <w:pStyle w:val="ListParagraph"/>
        <w:widowControl/>
        <w:spacing w:before="120" w:after="160"/>
        <w:contextualSpacing w:val="0"/>
        <w:rPr>
          <w:rFonts w:asciiTheme="minorHAnsi" w:eastAsiaTheme="minorHAnsi" w:hAnsiTheme="minorHAnsi" w:cstheme="minorBidi"/>
          <w:snapToGrid/>
          <w:sz w:val="24"/>
          <w:szCs w:val="22"/>
        </w:rPr>
      </w:pPr>
      <w:r>
        <w:rPr>
          <w:rFonts w:asciiTheme="minorHAnsi" w:hAnsiTheme="minorHAnsi" w:cstheme="minorHAnsi"/>
          <w:i/>
          <w:sz w:val="24"/>
          <w:szCs w:val="24"/>
        </w:rPr>
        <w:t>For more details on PBAC’s view, see section 6 PBAC Outcome.</w:t>
      </w:r>
    </w:p>
    <w:p w:rsidR="00F16C48" w:rsidRDefault="00A32402">
      <w:pPr>
        <w:rPr>
          <w:rFonts w:ascii="Arial Narrow" w:eastAsiaTheme="minorHAnsi" w:hAnsi="Arial Narrow" w:cstheme="minorBidi"/>
          <w:b/>
          <w:sz w:val="20"/>
          <w:szCs w:val="20"/>
        </w:rPr>
      </w:pPr>
      <w:r>
        <w:rPr>
          <w:rFonts w:ascii="Arial Narrow" w:hAnsi="Arial Narrow"/>
          <w:b/>
          <w:sz w:val="20"/>
          <w:szCs w:val="20"/>
        </w:rPr>
        <w:t>Table 3: Estimated use and financial implications</w:t>
      </w:r>
    </w:p>
    <w:tbl>
      <w:tblPr>
        <w:tblW w:w="9072" w:type="dxa"/>
        <w:tblInd w:w="-5" w:type="dxa"/>
        <w:shd w:val="clear" w:color="auto" w:fill="FFFFFF" w:themeFill="background1"/>
        <w:tblLayout w:type="fixed"/>
        <w:tblLook w:val="04A0" w:firstRow="1" w:lastRow="0" w:firstColumn="1" w:lastColumn="0" w:noHBand="0" w:noVBand="1"/>
      </w:tblPr>
      <w:tblGrid>
        <w:gridCol w:w="3544"/>
        <w:gridCol w:w="1105"/>
        <w:gridCol w:w="1106"/>
        <w:gridCol w:w="1105"/>
        <w:gridCol w:w="1106"/>
        <w:gridCol w:w="1106"/>
      </w:tblGrid>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16C48" w:rsidRDefault="00A32402">
            <w:pPr>
              <w:rPr>
                <w:rFonts w:ascii="Arial Narrow" w:hAnsi="Arial Narrow" w:cs="Arial"/>
                <w:b/>
                <w:bCs/>
                <w:sz w:val="20"/>
                <w:szCs w:val="20"/>
              </w:rPr>
            </w:pPr>
            <w:r>
              <w:rPr>
                <w:rFonts w:ascii="Arial Narrow" w:hAnsi="Arial Narrow" w:cs="Arial"/>
                <w:b/>
                <w:bCs/>
                <w:sz w:val="20"/>
                <w:szCs w:val="20"/>
              </w:rPr>
              <w:t>Year 1-5</w:t>
            </w:r>
          </w:p>
        </w:tc>
        <w:tc>
          <w:tcPr>
            <w:tcW w:w="1105" w:type="dxa"/>
            <w:tcBorders>
              <w:top w:val="single" w:sz="4" w:space="0" w:color="auto"/>
              <w:left w:val="nil"/>
              <w:bottom w:val="single" w:sz="4" w:space="0" w:color="auto"/>
              <w:right w:val="single" w:sz="4" w:space="0" w:color="auto"/>
            </w:tcBorders>
            <w:shd w:val="clear" w:color="auto" w:fill="FFFFFF" w:themeFill="background1"/>
            <w:noWrap/>
            <w:hideMark/>
          </w:tcPr>
          <w:p w:rsidR="00F16C48" w:rsidRDefault="00A32402">
            <w:pPr>
              <w:jc w:val="center"/>
              <w:rPr>
                <w:rFonts w:ascii="Arial Narrow" w:hAnsi="Arial Narrow" w:cs="Arial"/>
                <w:b/>
                <w:bCs/>
                <w:sz w:val="20"/>
                <w:szCs w:val="20"/>
              </w:rPr>
            </w:pPr>
            <w:r>
              <w:rPr>
                <w:rFonts w:ascii="Arial Narrow" w:hAnsi="Arial Narrow" w:cs="Arial"/>
                <w:b/>
                <w:bCs/>
                <w:sz w:val="20"/>
                <w:szCs w:val="20"/>
              </w:rPr>
              <w:t>2020</w:t>
            </w:r>
          </w:p>
        </w:tc>
        <w:tc>
          <w:tcPr>
            <w:tcW w:w="1106" w:type="dxa"/>
            <w:tcBorders>
              <w:top w:val="single" w:sz="4" w:space="0" w:color="auto"/>
              <w:left w:val="nil"/>
              <w:bottom w:val="single" w:sz="4" w:space="0" w:color="auto"/>
              <w:right w:val="single" w:sz="4" w:space="0" w:color="auto"/>
            </w:tcBorders>
            <w:shd w:val="clear" w:color="auto" w:fill="FFFFFF" w:themeFill="background1"/>
            <w:noWrap/>
            <w:hideMark/>
          </w:tcPr>
          <w:p w:rsidR="00F16C48" w:rsidRDefault="00A32402">
            <w:pPr>
              <w:jc w:val="center"/>
              <w:rPr>
                <w:rFonts w:ascii="Arial Narrow" w:hAnsi="Arial Narrow" w:cs="Arial"/>
                <w:b/>
                <w:bCs/>
                <w:sz w:val="20"/>
                <w:szCs w:val="20"/>
              </w:rPr>
            </w:pPr>
            <w:r>
              <w:rPr>
                <w:rFonts w:ascii="Arial Narrow" w:hAnsi="Arial Narrow" w:cs="Arial"/>
                <w:b/>
                <w:bCs/>
                <w:sz w:val="20"/>
                <w:szCs w:val="20"/>
              </w:rPr>
              <w:t>2021</w:t>
            </w:r>
          </w:p>
        </w:tc>
        <w:tc>
          <w:tcPr>
            <w:tcW w:w="1105" w:type="dxa"/>
            <w:tcBorders>
              <w:top w:val="single" w:sz="4" w:space="0" w:color="auto"/>
              <w:left w:val="nil"/>
              <w:bottom w:val="single" w:sz="4" w:space="0" w:color="auto"/>
              <w:right w:val="single" w:sz="4" w:space="0" w:color="auto"/>
            </w:tcBorders>
            <w:shd w:val="clear" w:color="auto" w:fill="FFFFFF" w:themeFill="background1"/>
            <w:noWrap/>
            <w:hideMark/>
          </w:tcPr>
          <w:p w:rsidR="00F16C48" w:rsidRDefault="00A32402">
            <w:pPr>
              <w:jc w:val="center"/>
              <w:rPr>
                <w:rFonts w:ascii="Arial Narrow" w:hAnsi="Arial Narrow" w:cs="Arial"/>
                <w:b/>
                <w:bCs/>
                <w:sz w:val="20"/>
                <w:szCs w:val="20"/>
              </w:rPr>
            </w:pPr>
            <w:r>
              <w:rPr>
                <w:rFonts w:ascii="Arial Narrow" w:hAnsi="Arial Narrow" w:cs="Arial"/>
                <w:b/>
                <w:bCs/>
                <w:sz w:val="20"/>
                <w:szCs w:val="20"/>
              </w:rPr>
              <w:t>2022</w:t>
            </w:r>
          </w:p>
        </w:tc>
        <w:tc>
          <w:tcPr>
            <w:tcW w:w="1106" w:type="dxa"/>
            <w:tcBorders>
              <w:top w:val="single" w:sz="4" w:space="0" w:color="auto"/>
              <w:left w:val="nil"/>
              <w:bottom w:val="single" w:sz="4" w:space="0" w:color="auto"/>
              <w:right w:val="single" w:sz="4" w:space="0" w:color="auto"/>
            </w:tcBorders>
            <w:shd w:val="clear" w:color="auto" w:fill="FFFFFF" w:themeFill="background1"/>
            <w:noWrap/>
            <w:hideMark/>
          </w:tcPr>
          <w:p w:rsidR="00F16C48" w:rsidRDefault="00A32402">
            <w:pPr>
              <w:jc w:val="center"/>
              <w:rPr>
                <w:rFonts w:ascii="Arial Narrow" w:hAnsi="Arial Narrow" w:cs="Arial"/>
                <w:b/>
                <w:bCs/>
                <w:sz w:val="20"/>
                <w:szCs w:val="20"/>
              </w:rPr>
            </w:pPr>
            <w:r>
              <w:rPr>
                <w:rFonts w:ascii="Arial Narrow" w:hAnsi="Arial Narrow" w:cs="Arial"/>
                <w:b/>
                <w:bCs/>
                <w:sz w:val="20"/>
                <w:szCs w:val="20"/>
              </w:rPr>
              <w:t>2023</w:t>
            </w:r>
          </w:p>
        </w:tc>
        <w:tc>
          <w:tcPr>
            <w:tcW w:w="1106" w:type="dxa"/>
            <w:tcBorders>
              <w:top w:val="single" w:sz="4" w:space="0" w:color="auto"/>
              <w:left w:val="nil"/>
              <w:bottom w:val="single" w:sz="4" w:space="0" w:color="auto"/>
              <w:right w:val="single" w:sz="4" w:space="0" w:color="auto"/>
            </w:tcBorders>
            <w:shd w:val="clear" w:color="auto" w:fill="FFFFFF" w:themeFill="background1"/>
            <w:noWrap/>
            <w:hideMark/>
          </w:tcPr>
          <w:p w:rsidR="00F16C48" w:rsidRDefault="00A32402">
            <w:pPr>
              <w:jc w:val="center"/>
              <w:rPr>
                <w:rFonts w:ascii="Arial Narrow" w:hAnsi="Arial Narrow" w:cs="Arial"/>
                <w:b/>
                <w:bCs/>
                <w:sz w:val="20"/>
                <w:szCs w:val="20"/>
              </w:rPr>
            </w:pPr>
            <w:r>
              <w:rPr>
                <w:rFonts w:ascii="Arial Narrow" w:hAnsi="Arial Narrow" w:cs="Arial"/>
                <w:b/>
                <w:bCs/>
                <w:sz w:val="20"/>
                <w:szCs w:val="20"/>
              </w:rPr>
              <w:t>2024</w:t>
            </w:r>
          </w:p>
        </w:tc>
      </w:tr>
      <w:tr w:rsidR="00F16C48">
        <w:trPr>
          <w:trHeight w:val="282"/>
        </w:trPr>
        <w:tc>
          <w:tcPr>
            <w:tcW w:w="907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6C48" w:rsidRDefault="00A32402">
            <w:pPr>
              <w:rPr>
                <w:rFonts w:ascii="Arial Narrow" w:hAnsi="Arial Narrow" w:cs="Arial"/>
                <w:bCs/>
                <w:sz w:val="20"/>
                <w:szCs w:val="20"/>
              </w:rPr>
            </w:pPr>
            <w:r>
              <w:rPr>
                <w:rFonts w:ascii="Arial Narrow" w:hAnsi="Arial Narrow" w:cs="Arial"/>
                <w:b/>
                <w:sz w:val="20"/>
                <w:szCs w:val="20"/>
              </w:rPr>
              <w:t>Estimated extent of use (based on total estimates of displaced drugs</w:t>
            </w:r>
            <w:r>
              <w:rPr>
                <w:rFonts w:ascii="Arial Narrow" w:hAnsi="Arial Narrow" w:cs="Arial"/>
                <w:b/>
                <w:sz w:val="20"/>
                <w:szCs w:val="20"/>
                <w:vertAlign w:val="superscript"/>
              </w:rPr>
              <w:t>a</w:t>
            </w:r>
            <w:r>
              <w:rPr>
                <w:rFonts w:ascii="Arial Narrow" w:hAnsi="Arial Narrow" w:cs="Arial"/>
                <w:b/>
                <w:sz w:val="20"/>
                <w:szCs w:val="20"/>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6C48" w:rsidRDefault="00A32402">
            <w:pPr>
              <w:rPr>
                <w:rFonts w:ascii="Arial Narrow" w:hAnsi="Arial Narrow" w:cs="Arial"/>
                <w:bCs/>
                <w:sz w:val="20"/>
                <w:szCs w:val="20"/>
              </w:rPr>
            </w:pPr>
            <w:r>
              <w:rPr>
                <w:rFonts w:ascii="Arial Narrow" w:hAnsi="Arial Narrow" w:cs="Arial"/>
                <w:bCs/>
                <w:sz w:val="20"/>
                <w:szCs w:val="20"/>
              </w:rPr>
              <w:t xml:space="preserve">Estimated number of patients treated </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6C48" w:rsidRDefault="00A32402">
            <w:pPr>
              <w:rPr>
                <w:rFonts w:ascii="Arial Narrow" w:hAnsi="Arial Narrow" w:cs="Arial"/>
                <w:bCs/>
                <w:sz w:val="20"/>
                <w:szCs w:val="20"/>
              </w:rPr>
            </w:pPr>
            <w:r>
              <w:rPr>
                <w:rFonts w:ascii="Arial Narrow" w:hAnsi="Arial Narrow" w:cs="Arial"/>
                <w:bCs/>
                <w:sz w:val="20"/>
                <w:szCs w:val="20"/>
              </w:rPr>
              <w:t xml:space="preserve">Estimated number of scripts dispensed </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
                <w:bCs/>
                <w:sz w:val="20"/>
                <w:szCs w:val="20"/>
                <w:highlight w:val="black"/>
              </w:rPr>
            </w:pPr>
            <w:r>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
                <w:bCs/>
                <w:sz w:val="20"/>
                <w:szCs w:val="20"/>
                <w:highlight w:val="black"/>
              </w:rPr>
            </w:pPr>
            <w:r>
              <w:rPr>
                <w:rFonts w:ascii="Arial Narrow" w:hAnsi="Arial Narrow" w:cs="Arial"/>
                <w:bCs/>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
                <w:bCs/>
                <w:sz w:val="20"/>
                <w:szCs w:val="20"/>
                <w:highlight w:val="black"/>
              </w:rPr>
            </w:pPr>
            <w:r>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
                <w:bCs/>
                <w:sz w:val="20"/>
                <w:szCs w:val="20"/>
                <w:highlight w:val="black"/>
              </w:rPr>
            </w:pPr>
            <w:r>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rsidR="00F16C48" w:rsidRPr="008F1BDA" w:rsidRDefault="008F1BDA">
            <w:pPr>
              <w:jc w:val="right"/>
              <w:rPr>
                <w:rFonts w:ascii="Arial Narrow" w:hAnsi="Arial Narrow" w:cs="Arial"/>
                <w:b/>
                <w:bCs/>
                <w:sz w:val="20"/>
                <w:szCs w:val="20"/>
                <w:highlight w:val="black"/>
              </w:rPr>
            </w:pPr>
            <w:r>
              <w:rPr>
                <w:rFonts w:ascii="Arial Narrow" w:hAnsi="Arial Narrow" w:cs="Arial"/>
                <w:bCs/>
                <w:noProof/>
                <w:color w:val="000000"/>
                <w:sz w:val="20"/>
                <w:szCs w:val="20"/>
                <w:highlight w:val="black"/>
              </w:rPr>
              <w:t>''''''''''''''''''''</w:t>
            </w:r>
          </w:p>
        </w:tc>
      </w:tr>
      <w:tr w:rsidR="00F16C48">
        <w:trPr>
          <w:trHeight w:val="282"/>
        </w:trPr>
        <w:tc>
          <w:tcPr>
            <w:tcW w:w="907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6C48" w:rsidRDefault="00A32402">
            <w:pPr>
              <w:rPr>
                <w:rFonts w:ascii="Arial Narrow" w:hAnsi="Arial Narrow" w:cs="Arial"/>
                <w:b/>
                <w:bCs/>
                <w:sz w:val="20"/>
                <w:szCs w:val="20"/>
              </w:rPr>
            </w:pPr>
            <w:r>
              <w:rPr>
                <w:rFonts w:ascii="Arial Narrow" w:hAnsi="Arial Narrow" w:cs="Arial"/>
                <w:b/>
                <w:bCs/>
                <w:sz w:val="20"/>
                <w:szCs w:val="20"/>
              </w:rPr>
              <w:t>Estimated financial implications of new listing</w:t>
            </w:r>
            <w:r>
              <w:rPr>
                <w:rFonts w:ascii="Arial Narrow" w:hAnsi="Arial Narrow" w:cs="Arial"/>
                <w:b/>
                <w:bCs/>
                <w:sz w:val="20"/>
                <w:szCs w:val="20"/>
                <w:vertAlign w:val="superscript"/>
              </w:rPr>
              <w:t>b</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to 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to RPBS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to the PBS/RPBS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Less co-payments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PBS/RPBS less co-payments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907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b/>
                <w:bCs/>
                <w:sz w:val="20"/>
                <w:szCs w:val="20"/>
                <w:vertAlign w:val="superscript"/>
              </w:rPr>
            </w:pPr>
            <w:r>
              <w:rPr>
                <w:rFonts w:ascii="Arial Narrow" w:hAnsi="Arial Narrow" w:cs="Arial"/>
                <w:b/>
                <w:bCs/>
                <w:sz w:val="20"/>
                <w:szCs w:val="20"/>
              </w:rPr>
              <w:t>Estimated cost of displaced drugs</w:t>
            </w:r>
            <w:r>
              <w:rPr>
                <w:rFonts w:ascii="Arial Narrow" w:hAnsi="Arial Narrow" w:cs="Arial"/>
                <w:b/>
                <w:bCs/>
                <w:sz w:val="20"/>
                <w:szCs w:val="20"/>
                <w:vertAlign w:val="superscript"/>
              </w:rPr>
              <w:t>a</w:t>
            </w:r>
            <w:r>
              <w:rPr>
                <w:rFonts w:ascii="Arial Narrow" w:hAnsi="Arial Narrow" w:cs="Arial"/>
                <w:b/>
                <w:bCs/>
                <w:sz w:val="20"/>
                <w:szCs w:val="20"/>
              </w:rPr>
              <w:t>  </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to 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to RPBS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to the PBS/RPBS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Less co-payments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PBS/RPBS less co-payments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r w:rsidR="00F16C48">
        <w:trPr>
          <w:trHeight w:val="282"/>
        </w:trPr>
        <w:tc>
          <w:tcPr>
            <w:tcW w:w="907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b/>
                <w:bCs/>
                <w:sz w:val="20"/>
                <w:szCs w:val="20"/>
              </w:rPr>
            </w:pPr>
            <w:r>
              <w:rPr>
                <w:rFonts w:ascii="Arial Narrow" w:hAnsi="Arial Narrow" w:cs="Arial"/>
                <w:b/>
                <w:bCs/>
                <w:sz w:val="20"/>
                <w:szCs w:val="20"/>
              </w:rPr>
              <w:t>Estimated net cost of new listing</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bCs/>
                <w:sz w:val="20"/>
                <w:szCs w:val="20"/>
              </w:rPr>
            </w:pPr>
            <w:r>
              <w:rPr>
                <w:rFonts w:ascii="Arial Narrow" w:hAnsi="Arial Narrow" w:cs="Arial"/>
                <w:bCs/>
                <w:sz w:val="20"/>
                <w:szCs w:val="20"/>
              </w:rPr>
              <w:t>to 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bCs/>
                <w:sz w:val="20"/>
                <w:szCs w:val="20"/>
              </w:rPr>
            </w:pPr>
            <w:r>
              <w:rPr>
                <w:rFonts w:ascii="Arial Narrow" w:hAnsi="Arial Narrow" w:cs="Arial"/>
                <w:bCs/>
                <w:sz w:val="20"/>
                <w:szCs w:val="20"/>
              </w:rPr>
              <w:t>to RPBS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bCs/>
                <w:sz w:val="20"/>
                <w:szCs w:val="20"/>
              </w:rPr>
            </w:pPr>
            <w:r>
              <w:rPr>
                <w:rFonts w:ascii="Arial Narrow" w:hAnsi="Arial Narrow" w:cs="Arial"/>
                <w:bCs/>
                <w:sz w:val="20"/>
                <w:szCs w:val="20"/>
              </w:rPr>
              <w:t>to the PBS/RPBS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Less co-payments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bCs/>
                <w:sz w:val="20"/>
                <w:szCs w:val="20"/>
              </w:rPr>
            </w:pPr>
            <w:r>
              <w:rPr>
                <w:rFonts w:ascii="Arial Narrow" w:hAnsi="Arial Narrow" w:cs="Arial"/>
                <w:bCs/>
                <w:sz w:val="20"/>
                <w:szCs w:val="20"/>
              </w:rPr>
              <w:t>-$</w:t>
            </w:r>
            <w:r w:rsidR="008F1BDA">
              <w:rPr>
                <w:rFonts w:ascii="Arial Narrow" w:hAnsi="Arial Narrow" w:cs="Arial"/>
                <w:bCs/>
                <w:noProof/>
                <w:color w:val="000000"/>
                <w:sz w:val="20"/>
                <w:szCs w:val="20"/>
                <w:highlight w:val="black"/>
              </w:rPr>
              <w:t>''''''</w:t>
            </w:r>
          </w:p>
        </w:tc>
      </w:tr>
      <w:tr w:rsidR="00F16C48">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16C48" w:rsidRDefault="00A32402">
            <w:pPr>
              <w:rPr>
                <w:rFonts w:ascii="Arial Narrow" w:hAnsi="Arial Narrow" w:cs="Arial"/>
                <w:sz w:val="20"/>
                <w:szCs w:val="20"/>
              </w:rPr>
            </w:pPr>
            <w:r>
              <w:rPr>
                <w:rFonts w:ascii="Arial Narrow" w:hAnsi="Arial Narrow" w:cs="Arial"/>
                <w:sz w:val="20"/>
                <w:szCs w:val="20"/>
              </w:rPr>
              <w:t>PBS/RPBS less co-payments</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5"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c>
          <w:tcPr>
            <w:tcW w:w="1106" w:type="dxa"/>
            <w:tcBorders>
              <w:top w:val="single" w:sz="4" w:space="0" w:color="auto"/>
              <w:left w:val="nil"/>
              <w:bottom w:val="single" w:sz="4" w:space="0" w:color="auto"/>
              <w:right w:val="single" w:sz="4" w:space="0" w:color="auto"/>
            </w:tcBorders>
            <w:shd w:val="clear" w:color="auto" w:fill="FFFFFF" w:themeFill="background1"/>
            <w:vAlign w:val="bottom"/>
          </w:tcPr>
          <w:p w:rsidR="00F16C48" w:rsidRDefault="00A32402">
            <w:pPr>
              <w:jc w:val="right"/>
              <w:rPr>
                <w:rFonts w:ascii="Arial Narrow" w:hAnsi="Arial Narrow" w:cs="Arial"/>
                <w:sz w:val="20"/>
                <w:szCs w:val="20"/>
              </w:rPr>
            </w:pPr>
            <w:r>
              <w:rPr>
                <w:rFonts w:ascii="Arial Narrow" w:hAnsi="Arial Narrow" w:cs="Arial"/>
                <w:sz w:val="20"/>
                <w:szCs w:val="20"/>
              </w:rPr>
              <w:t>-$</w:t>
            </w:r>
            <w:r w:rsidR="008F1BDA">
              <w:rPr>
                <w:rFonts w:ascii="Arial Narrow" w:hAnsi="Arial Narrow" w:cs="Arial"/>
                <w:noProof/>
                <w:color w:val="000000"/>
                <w:sz w:val="20"/>
                <w:szCs w:val="20"/>
                <w:highlight w:val="black"/>
              </w:rPr>
              <w:t>''''''''''''''''''</w:t>
            </w:r>
          </w:p>
        </w:tc>
      </w:tr>
    </w:tbl>
    <w:p w:rsidR="00F16C48" w:rsidRDefault="00A32402">
      <w:pPr>
        <w:tabs>
          <w:tab w:val="left" w:pos="3210"/>
        </w:tabs>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Displaced drugs being existing single-dose unit carmellose 0.5% (</w:t>
      </w:r>
      <w:r>
        <w:rPr>
          <w:rFonts w:ascii="Arial Narrow" w:hAnsi="Arial Narrow" w:cstheme="minorHAnsi"/>
          <w:sz w:val="18"/>
          <w:szCs w:val="18"/>
        </w:rPr>
        <w:t>Cellufresh, Optifresh Tears</w:t>
      </w:r>
      <w:r>
        <w:rPr>
          <w:rFonts w:ascii="Arial Narrow" w:hAnsi="Arial Narrow"/>
          <w:sz w:val="18"/>
          <w:szCs w:val="18"/>
        </w:rPr>
        <w:t>) and hypromellose (</w:t>
      </w:r>
      <w:r>
        <w:rPr>
          <w:rFonts w:ascii="Arial Narrow" w:hAnsi="Arial Narrow" w:cstheme="minorHAnsi"/>
          <w:sz w:val="18"/>
          <w:szCs w:val="18"/>
        </w:rPr>
        <w:t>Bion Tears</w:t>
      </w:r>
      <w:r>
        <w:rPr>
          <w:rFonts w:ascii="Arial Narrow" w:hAnsi="Arial Narrow"/>
          <w:sz w:val="18"/>
          <w:szCs w:val="18"/>
        </w:rPr>
        <w:t>) products, hyaluronic acid (</w:t>
      </w:r>
      <w:r>
        <w:rPr>
          <w:rFonts w:ascii="Arial Narrow" w:hAnsi="Arial Narrow" w:cstheme="minorHAnsi"/>
          <w:sz w:val="18"/>
          <w:szCs w:val="18"/>
        </w:rPr>
        <w:t>Hylo-Fresh, Hylo-Forte)</w:t>
      </w:r>
      <w:r>
        <w:rPr>
          <w:rFonts w:ascii="Arial Narrow" w:hAnsi="Arial Narrow"/>
          <w:sz w:val="18"/>
          <w:szCs w:val="18"/>
        </w:rPr>
        <w:t xml:space="preserve"> and perfluorohexyloctane (Novatears) and numbers taken from Table 4.9 of the submission.</w:t>
      </w:r>
    </w:p>
    <w:p w:rsidR="00F16C48" w:rsidRDefault="00A32402">
      <w:pPr>
        <w:tabs>
          <w:tab w:val="left" w:pos="3210"/>
        </w:tabs>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Combining estimates for use of both carmellose 0.5% and hypromellose 0.3% from Table 4.8 of the submission. </w:t>
      </w:r>
    </w:p>
    <w:p w:rsidR="00F16C48" w:rsidRDefault="00A32402">
      <w:pPr>
        <w:tabs>
          <w:tab w:val="left" w:pos="3210"/>
        </w:tabs>
        <w:rPr>
          <w:rFonts w:ascii="Arial Narrow" w:hAnsi="Arial Narrow"/>
          <w:sz w:val="18"/>
          <w:szCs w:val="18"/>
        </w:rPr>
      </w:pPr>
      <w:r>
        <w:rPr>
          <w:rFonts w:ascii="Arial Narrow" w:hAnsi="Arial Narrow"/>
          <w:sz w:val="18"/>
          <w:szCs w:val="18"/>
        </w:rPr>
        <w:t xml:space="preserve">Source: Table 4.6, 4.7, 4.8, 4.9, 4.10, pg.26-28 of the submission. </w:t>
      </w:r>
    </w:p>
    <w:p w:rsidR="00F16C48" w:rsidRDefault="00F16C48">
      <w:pPr>
        <w:tabs>
          <w:tab w:val="left" w:pos="3210"/>
        </w:tabs>
        <w:rPr>
          <w:rFonts w:ascii="Arial Narrow" w:hAnsi="Arial Narrow"/>
          <w:sz w:val="18"/>
          <w:szCs w:val="18"/>
        </w:rPr>
      </w:pPr>
    </w:p>
    <w:p w:rsidR="00F16C48" w:rsidRPr="00AF2890" w:rsidRDefault="00A32402">
      <w:pPr>
        <w:tabs>
          <w:tab w:val="left" w:pos="3210"/>
        </w:tabs>
        <w:rPr>
          <w:rFonts w:asciiTheme="minorHAnsi" w:hAnsiTheme="minorHAnsi" w:cs="Arial"/>
          <w:bCs/>
          <w:snapToGrid w:val="0"/>
          <w:lang w:val="en-GB"/>
        </w:rPr>
      </w:pPr>
      <w:r w:rsidRPr="00AF2890">
        <w:rPr>
          <w:rFonts w:asciiTheme="minorHAnsi" w:hAnsiTheme="minorHAnsi" w:cs="Arial"/>
          <w:bCs/>
          <w:snapToGrid w:val="0"/>
          <w:lang w:val="en-GB"/>
        </w:rPr>
        <w:lastRenderedPageBreak/>
        <w:t>The redacted table shows</w:t>
      </w:r>
      <w:r w:rsidR="00AF2890" w:rsidRPr="00AF2890">
        <w:rPr>
          <w:rFonts w:asciiTheme="minorHAnsi" w:hAnsiTheme="minorHAnsi" w:cs="Arial"/>
          <w:bCs/>
          <w:snapToGrid w:val="0"/>
          <w:lang w:val="en-GB"/>
        </w:rPr>
        <w:t xml:space="preserve"> that at Year 6, the estimated number of patients was 10,000 – 50,000, and the estimated net cost to the PBS would be less than $10 million. </w:t>
      </w:r>
    </w:p>
    <w:p w:rsidR="00F16C48" w:rsidRDefault="00A3240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PBAC Outcome</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the listing of</w:t>
      </w:r>
      <w:r>
        <w:rPr>
          <w:rFonts w:asciiTheme="minorHAnsi" w:hAnsiTheme="minorHAnsi" w:cstheme="minorHAnsi"/>
        </w:rPr>
        <w:t xml:space="preserve"> carmellose (Evolve® carmellose 0.5%) and hypromellose (Evolve® hypromellose 0.3%)</w:t>
      </w:r>
      <w:r>
        <w:rPr>
          <w:rFonts w:asciiTheme="minorHAnsi" w:hAnsiTheme="minorHAnsi" w:cs="Arial"/>
          <w:bCs/>
          <w:snapToGrid w:val="0"/>
          <w:lang w:val="en-GB"/>
        </w:rPr>
        <w:t xml:space="preserve"> </w:t>
      </w:r>
      <w:r>
        <w:rPr>
          <w:rFonts w:asciiTheme="minorHAnsi" w:hAnsiTheme="minorHAnsi" w:cstheme="minorHAnsi"/>
        </w:rPr>
        <w:t xml:space="preserve">multi-dose preservative-free eye drops </w:t>
      </w:r>
      <w:r>
        <w:rPr>
          <w:rFonts w:asciiTheme="minorHAnsi" w:hAnsiTheme="minorHAnsi" w:cs="Arial"/>
          <w:bCs/>
          <w:snapToGrid w:val="0"/>
          <w:lang w:val="en-GB"/>
        </w:rPr>
        <w:t xml:space="preserve">on the General Schedule as an </w:t>
      </w:r>
      <w:r>
        <w:rPr>
          <w:rFonts w:asciiTheme="minorHAnsi" w:hAnsiTheme="minorHAnsi" w:cstheme="minorHAnsi"/>
        </w:rPr>
        <w:t xml:space="preserve">Authority Required (STREAMLINED) listing for the treatment of severe dry eye syndrome in patients who are sensitive to preservatives in multi-dose eye drops. Carmellose 0.5% and hypromellose 0.3% were recommended on the basis that the price proposed by the sponsor resulted in a lower cost per treatment compared to other currently listed preservative-free eye drops, however PBAC considered they were at least non-inferior </w:t>
      </w:r>
      <w:r>
        <w:rPr>
          <w:rFonts w:asciiTheme="minorHAnsi" w:hAnsiTheme="minorHAnsi"/>
        </w:rPr>
        <w:t>to the lowest cost PBS-listed multi-dose preservative-free eye drop</w:t>
      </w:r>
      <w:r>
        <w:rPr>
          <w:rFonts w:asciiTheme="minorHAnsi" w:hAnsiTheme="minorHAnsi" w:cstheme="minorHAnsi"/>
        </w:rPr>
        <w:t xml:space="preserve"> in terms of both safety and effectiveness.</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theme="minorHAnsi"/>
        </w:rPr>
        <w:t>The PBAC recalled that in July 2018 it recommended the Authority Required (STREAMLINED) listing of carmellose (Evolve® carmellose 0.5%) and hypromellose (Evolve® hypromellose 0.3%)</w:t>
      </w:r>
      <w:r>
        <w:rPr>
          <w:rFonts w:asciiTheme="minorHAnsi" w:hAnsiTheme="minorHAnsi" w:cs="Arial"/>
          <w:bCs/>
          <w:snapToGrid w:val="0"/>
          <w:lang w:val="en-GB"/>
        </w:rPr>
        <w:t xml:space="preserve"> </w:t>
      </w:r>
      <w:r>
        <w:rPr>
          <w:rFonts w:asciiTheme="minorHAnsi" w:hAnsiTheme="minorHAnsi" w:cstheme="minorHAnsi"/>
        </w:rPr>
        <w:t>multi-dose preservative-free eye drops on a cost-minimisation basis to the lowest cost ocular lubricant. PBAC noted that following review of further information from the sponsor around the comparative safety of carmellose 0.5% and hypromellose 0.3% when compared to some eye drops that contain preservatives, that carmellose 0.5% and hypromellose 0.3% is likely to have superior safety, although there is no evidence of improvement in efficacy.  PBAC therefore accepted that the appropriate comparator is the lowest priced multi-dose preservative-free eye drops.</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 the same restriction wording as in its July 2018 recommendation. </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theme="minorHAnsi"/>
        </w:rPr>
        <w:t>The PBAC considered that all preservative-free eye drops were appropriate comparators for carmellose 0.5% and hypromellose 0.3%.</w:t>
      </w:r>
      <w:r>
        <w:rPr>
          <w:rFonts w:asciiTheme="minorHAnsi" w:eastAsiaTheme="minorHAnsi" w:hAnsiTheme="minorHAnsi" w:cstheme="minorBidi"/>
          <w:szCs w:val="22"/>
        </w:rPr>
        <w:t xml:space="preserve"> </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w:t>
      </w:r>
      <w:r>
        <w:rPr>
          <w:rFonts w:asciiTheme="minorHAnsi" w:hAnsiTheme="minorHAnsi" w:cstheme="minorHAnsi"/>
        </w:rPr>
        <w:t xml:space="preserve">the resubmission had requested a price which would make carmellose 0.5% and hypromellose 0.3% the lowest cost multi-dose preservative-free eye drops on the PBS, and would be less expensive than the existing PBS-listed single-dose preservative-free eye drops on a cost per treatment basis. </w:t>
      </w:r>
    </w:p>
    <w:p w:rsidR="00F16C48" w:rsidRDefault="00A32402">
      <w:pPr>
        <w:widowControl w:val="0"/>
        <w:numPr>
          <w:ilvl w:val="1"/>
          <w:numId w:val="5"/>
        </w:numPr>
        <w:spacing w:after="120"/>
        <w:jc w:val="both"/>
        <w:rPr>
          <w:rFonts w:asciiTheme="minorHAnsi" w:hAnsiTheme="minorHAnsi" w:cstheme="minorHAnsi"/>
          <w:bCs/>
          <w:snapToGrid w:val="0"/>
          <w:lang w:val="en-GB"/>
        </w:rPr>
      </w:pPr>
      <w:r>
        <w:rPr>
          <w:rFonts w:asciiTheme="minorHAnsi" w:hAnsiTheme="minorHAnsi" w:cs="Arial"/>
          <w:bCs/>
          <w:snapToGrid w:val="0"/>
          <w:lang w:val="en-GB"/>
        </w:rPr>
        <w:t>The</w:t>
      </w:r>
      <w:r>
        <w:rPr>
          <w:rFonts w:asciiTheme="minorHAnsi" w:hAnsiTheme="minorHAnsi"/>
        </w:rPr>
        <w:t xml:space="preserve"> PBAC reiterated that the potential market share and net savings to the PBS may have been overestimated (paragraph 5.10, July 2018 PSD), but accepted that the listing would either be cost-neutral or result in cost </w:t>
      </w:r>
      <w:r>
        <w:rPr>
          <w:rFonts w:asciiTheme="minorHAnsi" w:hAnsiTheme="minorHAnsi" w:cstheme="minorHAnsi"/>
        </w:rPr>
        <w:t>savings to Government.</w:t>
      </w:r>
    </w:p>
    <w:p w:rsidR="00F16C48" w:rsidRDefault="00A32402">
      <w:pPr>
        <w:widowControl w:val="0"/>
        <w:numPr>
          <w:ilvl w:val="1"/>
          <w:numId w:val="5"/>
        </w:numPr>
        <w:spacing w:after="120"/>
        <w:jc w:val="both"/>
        <w:rPr>
          <w:rFonts w:asciiTheme="minorHAnsi" w:hAnsiTheme="minorHAnsi" w:cstheme="minorHAnsi"/>
          <w:bCs/>
          <w:snapToGrid w:val="0"/>
          <w:lang w:val="en-GB"/>
        </w:rPr>
      </w:pPr>
      <w:r>
        <w:rPr>
          <w:rFonts w:asciiTheme="minorHAnsi" w:hAnsiTheme="minorHAnsi" w:cstheme="minorHAnsi"/>
        </w:rPr>
        <w:t xml:space="preserve">The PBAC noted that its recommendation was on a cost-minimisation basis and advised that, because carmellose 0.5% and hypromellose 0.3% is not expected to provide a substantial and clinically relevant improvement in efficacy, or reduction of toxicity, over all other preservative-free eye drops, or not expected to address a high and urgent unmet clinical need given the presence of an alternative therapy, the criteria prescribed by the </w:t>
      </w:r>
      <w:r>
        <w:rPr>
          <w:rFonts w:asciiTheme="minorHAnsi" w:hAnsiTheme="minorHAnsi" w:cstheme="minorHAnsi"/>
          <w:i/>
        </w:rPr>
        <w:t xml:space="preserve">National Health (Pharmaceuticals and Vaccines – Cost </w:t>
      </w:r>
      <w:r>
        <w:rPr>
          <w:rFonts w:asciiTheme="minorHAnsi" w:hAnsiTheme="minorHAnsi" w:cstheme="minorHAnsi"/>
          <w:i/>
        </w:rPr>
        <w:lastRenderedPageBreak/>
        <w:t xml:space="preserve">Recovery) Regulations 2009 </w:t>
      </w:r>
      <w:r>
        <w:rPr>
          <w:rFonts w:asciiTheme="minorHAnsi" w:hAnsiTheme="minorHAnsi" w:cstheme="minorHAnsi"/>
        </w:rPr>
        <w:t>for Pricing Pathway A were not met.</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eastAsiaTheme="minorHAnsi" w:hAnsiTheme="minorHAnsi" w:cstheme="minorBidi"/>
        </w:rPr>
        <w:t xml:space="preserve">The PBAC reiterated that under Section 101(3BA) of the </w:t>
      </w:r>
      <w:r>
        <w:rPr>
          <w:rFonts w:asciiTheme="minorHAnsi" w:eastAsiaTheme="minorHAnsi" w:hAnsiTheme="minorHAnsi" w:cstheme="minorBidi"/>
          <w:i/>
          <w:szCs w:val="22"/>
        </w:rPr>
        <w:t xml:space="preserve">National Health Act 1953, </w:t>
      </w:r>
      <w:r>
        <w:rPr>
          <w:rFonts w:asciiTheme="minorHAnsi" w:hAnsiTheme="minorHAnsi" w:cstheme="minorHAnsi"/>
        </w:rPr>
        <w:t>carmellose 0.5% and hypromellose 0.3%,</w:t>
      </w:r>
      <w:r>
        <w:rPr>
          <w:rFonts w:asciiTheme="minorHAnsi" w:hAnsiTheme="minorHAnsi" w:cs="Arial"/>
          <w:bCs/>
          <w:snapToGrid w:val="0"/>
          <w:lang w:val="en-GB"/>
        </w:rPr>
        <w:t xml:space="preserve"> </w:t>
      </w:r>
      <w:r>
        <w:rPr>
          <w:rFonts w:asciiTheme="minorHAnsi" w:eastAsiaTheme="minorHAnsi" w:hAnsiTheme="minorHAnsi" w:cstheme="minorBidi"/>
        </w:rPr>
        <w:t>and other PBS-listed preservative-free multi-dose ocular lubricants be treated as interchangeable on an individual patient basis.</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reiterated that </w:t>
      </w:r>
      <w:r>
        <w:rPr>
          <w:rFonts w:asciiTheme="minorHAnsi" w:hAnsiTheme="minorHAnsi" w:cstheme="minorHAnsi"/>
        </w:rPr>
        <w:t xml:space="preserve">carmellose 0.5% and hypromellose 0.3% </w:t>
      </w:r>
      <w:r>
        <w:rPr>
          <w:rFonts w:asciiTheme="minorHAnsi" w:hAnsiTheme="minorHAnsi" w:cs="Arial"/>
          <w:bCs/>
          <w:snapToGrid w:val="0"/>
          <w:lang w:val="en-GB"/>
        </w:rPr>
        <w:t xml:space="preserve">are suitable for prescribing by nurse practitioners and optometrists.  </w:t>
      </w:r>
    </w:p>
    <w:p w:rsidR="00F16C48" w:rsidRDefault="00A32402">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 xml:space="preserve">The PBAC reiterated that the Early Supply Rule currently does not apply to any eye drop formulations and considered that </w:t>
      </w:r>
      <w:r>
        <w:rPr>
          <w:rFonts w:asciiTheme="minorHAnsi" w:hAnsiTheme="minorHAnsi" w:cstheme="minorHAnsi"/>
          <w:sz w:val="24"/>
          <w:szCs w:val="24"/>
        </w:rPr>
        <w:t>carmellose 0.5% and hypromellose 0.3%</w:t>
      </w:r>
      <w:r>
        <w:rPr>
          <w:rFonts w:asciiTheme="minorHAnsi" w:hAnsiTheme="minorHAnsi"/>
          <w:bCs/>
          <w:sz w:val="24"/>
          <w:szCs w:val="24"/>
          <w:lang w:val="en-GB"/>
        </w:rPr>
        <w:t xml:space="preserve"> </w:t>
      </w:r>
      <w:r>
        <w:rPr>
          <w:rFonts w:asciiTheme="minorHAnsi" w:eastAsiaTheme="minorHAnsi" w:hAnsiTheme="minorHAnsi" w:cstheme="minorBidi"/>
          <w:snapToGrid/>
          <w:sz w:val="24"/>
          <w:szCs w:val="24"/>
        </w:rPr>
        <w:t>should also be exempt.</w:t>
      </w:r>
    </w:p>
    <w:p w:rsidR="00F16C48" w:rsidRDefault="00A32402">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this resubmission is not eligible for an Independent Review as it received a positive recommendation. </w:t>
      </w:r>
    </w:p>
    <w:p w:rsidR="00F16C48" w:rsidRDefault="00A32402">
      <w:pPr>
        <w:spacing w:before="240"/>
        <w:jc w:val="both"/>
        <w:rPr>
          <w:rFonts w:asciiTheme="minorHAnsi" w:hAnsiTheme="minorHAnsi" w:cs="Arial"/>
          <w:b/>
          <w:bCs/>
          <w:snapToGrid w:val="0"/>
          <w:lang w:val="en-GB"/>
        </w:rPr>
      </w:pPr>
      <w:r>
        <w:rPr>
          <w:rFonts w:asciiTheme="minorHAnsi" w:hAnsiTheme="minorHAnsi" w:cs="Arial"/>
          <w:b/>
          <w:bCs/>
          <w:snapToGrid w:val="0"/>
          <w:lang w:val="en-GB"/>
        </w:rPr>
        <w:t>Outcome:</w:t>
      </w:r>
    </w:p>
    <w:p w:rsidR="00F16C48" w:rsidRDefault="00A32402">
      <w:pPr>
        <w:jc w:val="both"/>
        <w:rPr>
          <w:rFonts w:asciiTheme="minorHAnsi" w:hAnsiTheme="minorHAnsi" w:cs="Arial"/>
          <w:bCs/>
          <w:snapToGrid w:val="0"/>
          <w:lang w:val="en-GB"/>
        </w:rPr>
      </w:pPr>
      <w:r>
        <w:rPr>
          <w:rFonts w:asciiTheme="minorHAnsi" w:hAnsiTheme="minorHAnsi" w:cs="Arial"/>
          <w:bCs/>
          <w:snapToGrid w:val="0"/>
          <w:lang w:val="en-GB"/>
        </w:rPr>
        <w:t>Recommended</w:t>
      </w:r>
    </w:p>
    <w:p w:rsidR="00F16C48" w:rsidRDefault="00A3240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Recommended listing</w:t>
      </w:r>
    </w:p>
    <w:p w:rsidR="00F16C48" w:rsidRDefault="00A32402">
      <w:pPr>
        <w:widowControl w:val="0"/>
        <w:numPr>
          <w:ilvl w:val="1"/>
          <w:numId w:val="5"/>
        </w:numPr>
        <w:spacing w:after="120"/>
        <w:jc w:val="both"/>
        <w:rPr>
          <w:rFonts w:asciiTheme="minorHAnsi" w:hAnsiTheme="minorHAnsi" w:cs="Arial"/>
          <w:b/>
          <w:bCs/>
          <w:snapToGrid w:val="0"/>
        </w:rPr>
      </w:pPr>
      <w:r>
        <w:rPr>
          <w:rFonts w:asciiTheme="minorHAnsi" w:hAnsiTheme="minorHAnsi" w:cs="Arial"/>
          <w:bCs/>
          <w:snapToGrid w:val="0"/>
        </w:rPr>
        <w:t xml:space="preserve">Add new item: </w:t>
      </w:r>
    </w:p>
    <w:tbl>
      <w:tblPr>
        <w:tblW w:w="4915" w:type="pct"/>
        <w:tblLook w:val="0000" w:firstRow="0" w:lastRow="0" w:firstColumn="0" w:lastColumn="0" w:noHBand="0" w:noVBand="0"/>
      </w:tblPr>
      <w:tblGrid>
        <w:gridCol w:w="1869"/>
        <w:gridCol w:w="1301"/>
        <w:gridCol w:w="681"/>
        <w:gridCol w:w="832"/>
        <w:gridCol w:w="280"/>
        <w:gridCol w:w="2465"/>
        <w:gridCol w:w="1445"/>
      </w:tblGrid>
      <w:tr w:rsidR="00F16C48">
        <w:trPr>
          <w:cantSplit/>
          <w:trHeight w:val="465"/>
        </w:trPr>
        <w:tc>
          <w:tcPr>
            <w:tcW w:w="1786" w:type="pct"/>
            <w:gridSpan w:val="2"/>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4" w:type="pct"/>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Max.</w:t>
            </w:r>
          </w:p>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Qty</w:t>
            </w:r>
          </w:p>
        </w:tc>
        <w:tc>
          <w:tcPr>
            <w:tcW w:w="469" w:type="pct"/>
            <w:tcBorders>
              <w:bottom w:val="single" w:sz="4" w:space="0" w:color="auto"/>
            </w:tcBorders>
          </w:tcPr>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№.of</w:t>
            </w:r>
          </w:p>
          <w:p w:rsidR="00F16C48" w:rsidRDefault="00A32402">
            <w:pPr>
              <w:keepNext/>
              <w:spacing w:before="40" w:after="40"/>
              <w:jc w:val="both"/>
              <w:rPr>
                <w:rFonts w:ascii="Arial Narrow" w:hAnsi="Arial Narrow" w:cs="Arial"/>
                <w:b/>
                <w:sz w:val="20"/>
                <w:szCs w:val="20"/>
              </w:rPr>
            </w:pPr>
            <w:r>
              <w:rPr>
                <w:rFonts w:ascii="Arial Narrow" w:hAnsi="Arial Narrow" w:cs="Arial"/>
                <w:b/>
                <w:sz w:val="20"/>
                <w:szCs w:val="20"/>
              </w:rPr>
              <w:t>Rpts</w:t>
            </w:r>
          </w:p>
        </w:tc>
        <w:tc>
          <w:tcPr>
            <w:tcW w:w="158" w:type="pct"/>
            <w:tcBorders>
              <w:bottom w:val="single" w:sz="4" w:space="0" w:color="auto"/>
            </w:tcBorders>
          </w:tcPr>
          <w:p w:rsidR="00F16C48" w:rsidRDefault="00F16C48">
            <w:pPr>
              <w:keepNext/>
              <w:spacing w:before="40" w:after="40"/>
              <w:jc w:val="both"/>
              <w:rPr>
                <w:rFonts w:ascii="Arial Narrow" w:hAnsi="Arial Narrow" w:cs="Arial"/>
                <w:b/>
                <w:sz w:val="20"/>
                <w:szCs w:val="20"/>
              </w:rPr>
            </w:pPr>
          </w:p>
        </w:tc>
        <w:tc>
          <w:tcPr>
            <w:tcW w:w="2204" w:type="pct"/>
            <w:gridSpan w:val="2"/>
            <w:tcBorders>
              <w:bottom w:val="single" w:sz="4" w:space="0" w:color="auto"/>
            </w:tcBorders>
          </w:tcPr>
          <w:p w:rsidR="00F16C48" w:rsidRDefault="00A32402">
            <w:pPr>
              <w:keepNext/>
              <w:spacing w:before="40" w:after="40"/>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F16C48">
        <w:trPr>
          <w:cantSplit/>
          <w:trHeight w:val="567"/>
        </w:trPr>
        <w:tc>
          <w:tcPr>
            <w:tcW w:w="1786" w:type="pct"/>
            <w:gridSpan w:val="2"/>
          </w:tcPr>
          <w:p w:rsidR="00F16C48" w:rsidRDefault="00A32402">
            <w:pPr>
              <w:keepNext/>
              <w:spacing w:before="40" w:after="40"/>
              <w:jc w:val="both"/>
              <w:rPr>
                <w:rFonts w:ascii="Arial Narrow" w:hAnsi="Arial Narrow" w:cs="Arial"/>
                <w:sz w:val="20"/>
                <w:szCs w:val="20"/>
              </w:rPr>
            </w:pPr>
            <w:r>
              <w:rPr>
                <w:rFonts w:ascii="Arial Narrow" w:hAnsi="Arial Narrow" w:cs="Arial"/>
                <w:smallCaps/>
                <w:sz w:val="20"/>
                <w:szCs w:val="20"/>
              </w:rPr>
              <w:t>carmellose sodium</w:t>
            </w:r>
          </w:p>
          <w:p w:rsidR="00F16C48" w:rsidRDefault="00A32402">
            <w:pPr>
              <w:rPr>
                <w:rFonts w:ascii="Arial Narrow" w:hAnsi="Arial Narrow"/>
                <w:sz w:val="20"/>
                <w:szCs w:val="20"/>
              </w:rPr>
            </w:pPr>
            <w:r>
              <w:rPr>
                <w:rFonts w:ascii="Arial Narrow" w:hAnsi="Arial Narrow"/>
                <w:sz w:val="20"/>
                <w:szCs w:val="20"/>
              </w:rPr>
              <w:t xml:space="preserve">carmellose sodium 0.5% (5 mg/mL) </w:t>
            </w:r>
          </w:p>
          <w:p w:rsidR="00F16C48" w:rsidRDefault="00A32402">
            <w:pPr>
              <w:rPr>
                <w:rFonts w:ascii="Arial Narrow" w:hAnsi="Arial Narrow"/>
                <w:sz w:val="20"/>
                <w:szCs w:val="20"/>
              </w:rPr>
            </w:pPr>
            <w:r>
              <w:rPr>
                <w:rFonts w:ascii="Arial Narrow" w:hAnsi="Arial Narrow"/>
                <w:sz w:val="20"/>
                <w:szCs w:val="20"/>
              </w:rPr>
              <w:t>eye drops, 10 mL</w:t>
            </w:r>
          </w:p>
        </w:tc>
        <w:tc>
          <w:tcPr>
            <w:tcW w:w="384"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1</w:t>
            </w:r>
          </w:p>
        </w:tc>
        <w:tc>
          <w:tcPr>
            <w:tcW w:w="469"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5</w:t>
            </w:r>
          </w:p>
        </w:tc>
        <w:tc>
          <w:tcPr>
            <w:tcW w:w="158" w:type="pct"/>
          </w:tcPr>
          <w:p w:rsidR="00F16C48" w:rsidRDefault="00F16C48">
            <w:pPr>
              <w:keepNext/>
              <w:spacing w:before="40" w:after="40"/>
              <w:jc w:val="both"/>
              <w:rPr>
                <w:rFonts w:ascii="Arial Narrow" w:hAnsi="Arial Narrow" w:cs="Arial"/>
                <w:sz w:val="20"/>
                <w:szCs w:val="20"/>
              </w:rPr>
            </w:pPr>
          </w:p>
        </w:tc>
        <w:tc>
          <w:tcPr>
            <w:tcW w:w="1389"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Evolve® carmellose 0.5%</w:t>
            </w:r>
          </w:p>
        </w:tc>
        <w:tc>
          <w:tcPr>
            <w:tcW w:w="815"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Contact Lens Centre Australia</w:t>
            </w:r>
          </w:p>
        </w:tc>
      </w:tr>
      <w:tr w:rsidR="00F16C48">
        <w:trPr>
          <w:cantSplit/>
          <w:trHeight w:val="567"/>
        </w:trPr>
        <w:tc>
          <w:tcPr>
            <w:tcW w:w="1786" w:type="pct"/>
            <w:gridSpan w:val="2"/>
          </w:tcPr>
          <w:p w:rsidR="00F16C48" w:rsidRDefault="00A32402">
            <w:pPr>
              <w:keepNext/>
              <w:spacing w:before="40" w:after="40"/>
              <w:jc w:val="both"/>
              <w:rPr>
                <w:rFonts w:ascii="Arial Narrow" w:hAnsi="Arial Narrow" w:cs="Arial"/>
                <w:smallCaps/>
                <w:sz w:val="20"/>
                <w:szCs w:val="20"/>
              </w:rPr>
            </w:pPr>
            <w:r>
              <w:rPr>
                <w:rFonts w:ascii="Arial Narrow" w:hAnsi="Arial Narrow" w:cs="Arial"/>
                <w:smallCaps/>
                <w:sz w:val="20"/>
                <w:szCs w:val="20"/>
              </w:rPr>
              <w:t>hypromellose</w:t>
            </w: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 xml:space="preserve">hypromellose 0.3% (3 mg/mL) </w:t>
            </w: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eye drops, 10 mL</w:t>
            </w:r>
          </w:p>
        </w:tc>
        <w:tc>
          <w:tcPr>
            <w:tcW w:w="384"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1</w:t>
            </w:r>
          </w:p>
        </w:tc>
        <w:tc>
          <w:tcPr>
            <w:tcW w:w="469" w:type="pct"/>
          </w:tcPr>
          <w:p w:rsidR="00F16C48" w:rsidRDefault="00F16C48">
            <w:pPr>
              <w:keepNext/>
              <w:spacing w:before="40" w:after="40"/>
              <w:jc w:val="both"/>
              <w:rPr>
                <w:rFonts w:ascii="Arial Narrow" w:hAnsi="Arial Narrow" w:cs="Arial"/>
                <w:sz w:val="20"/>
                <w:szCs w:val="20"/>
              </w:rPr>
            </w:pPr>
          </w:p>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5</w:t>
            </w:r>
          </w:p>
        </w:tc>
        <w:tc>
          <w:tcPr>
            <w:tcW w:w="158" w:type="pct"/>
          </w:tcPr>
          <w:p w:rsidR="00F16C48" w:rsidRDefault="00F16C48">
            <w:pPr>
              <w:keepNext/>
              <w:spacing w:before="40" w:after="40"/>
              <w:jc w:val="both"/>
              <w:rPr>
                <w:rFonts w:ascii="Arial Narrow" w:hAnsi="Arial Narrow" w:cs="Arial"/>
                <w:sz w:val="20"/>
                <w:szCs w:val="20"/>
              </w:rPr>
            </w:pPr>
          </w:p>
        </w:tc>
        <w:tc>
          <w:tcPr>
            <w:tcW w:w="1389" w:type="pct"/>
          </w:tcPr>
          <w:p w:rsidR="00F16C48" w:rsidRDefault="00A32402">
            <w:pPr>
              <w:keepNext/>
              <w:spacing w:before="40" w:after="40"/>
              <w:jc w:val="both"/>
              <w:rPr>
                <w:rFonts w:ascii="Arial Narrow" w:hAnsi="Arial Narrow" w:cs="Arial"/>
                <w:sz w:val="20"/>
                <w:szCs w:val="20"/>
              </w:rPr>
            </w:pPr>
            <w:r>
              <w:rPr>
                <w:rFonts w:ascii="Arial Narrow" w:hAnsi="Arial Narrow" w:cs="Arial"/>
                <w:sz w:val="20"/>
                <w:szCs w:val="20"/>
              </w:rPr>
              <w:t>Evolve® hypromellose 0.3%</w:t>
            </w:r>
          </w:p>
        </w:tc>
        <w:tc>
          <w:tcPr>
            <w:tcW w:w="815" w:type="pct"/>
          </w:tcPr>
          <w:p w:rsidR="00F16C48" w:rsidRDefault="00F16C48">
            <w:pPr>
              <w:keepNext/>
              <w:spacing w:before="40" w:after="40"/>
              <w:jc w:val="both"/>
              <w:rPr>
                <w:rFonts w:ascii="Arial Narrow" w:hAnsi="Arial Narrow" w:cs="Arial"/>
                <w:sz w:val="20"/>
                <w:szCs w:val="20"/>
              </w:rPr>
            </w:pP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Category / Program</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GENERAL – General Schedule (Code GE)</w:t>
            </w: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Prescriber type:</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Severity:</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Severe</w:t>
            </w: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Condition:</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Dry eye syndrome</w:t>
            </w: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PBS Indication:</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Severe dry eye syndrome</w:t>
            </w:r>
          </w:p>
        </w:tc>
      </w:tr>
      <w:tr w:rsidR="00F16C48">
        <w:trPr>
          <w:cantSplit/>
          <w:trHeight w:val="604"/>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Restriction Level / Method:</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1840A8">
              <w:rPr>
                <w:rFonts w:ascii="Arial Narrow" w:hAnsi="Arial Narrow" w:cs="Arial"/>
                <w:sz w:val="20"/>
                <w:szCs w:val="20"/>
              </w:rPr>
            </w:r>
            <w:r w:rsidR="001840A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F16C48">
        <w:trPr>
          <w:cantSplit/>
          <w:trHeight w:val="360"/>
        </w:trPr>
        <w:tc>
          <w:tcPr>
            <w:tcW w:w="1053" w:type="pct"/>
            <w:tcBorders>
              <w:top w:val="single" w:sz="4" w:space="0" w:color="auto"/>
              <w:left w:val="single" w:sz="4" w:space="0" w:color="auto"/>
              <w:bottom w:val="single" w:sz="4" w:space="0" w:color="auto"/>
              <w:right w:val="single" w:sz="4" w:space="0" w:color="auto"/>
            </w:tcBorders>
          </w:tcPr>
          <w:p w:rsidR="00F16C48" w:rsidRDefault="00A32402">
            <w:pPr>
              <w:spacing w:before="40" w:after="40"/>
              <w:jc w:val="both"/>
              <w:rPr>
                <w:rFonts w:ascii="Arial Narrow" w:hAnsi="Arial Narrow" w:cs="Arial"/>
                <w:b/>
                <w:sz w:val="20"/>
                <w:szCs w:val="20"/>
              </w:rPr>
            </w:pPr>
            <w:r>
              <w:rPr>
                <w:rFonts w:ascii="Arial Narrow" w:hAnsi="Arial Narrow" w:cs="Arial"/>
                <w:b/>
                <w:sz w:val="20"/>
                <w:szCs w:val="20"/>
              </w:rPr>
              <w:t xml:space="preserve">Administrative Advice: </w:t>
            </w:r>
          </w:p>
        </w:tc>
        <w:tc>
          <w:tcPr>
            <w:tcW w:w="3947" w:type="pct"/>
            <w:gridSpan w:val="6"/>
            <w:tcBorders>
              <w:top w:val="single" w:sz="4" w:space="0" w:color="auto"/>
              <w:left w:val="single" w:sz="4" w:space="0" w:color="auto"/>
              <w:bottom w:val="single" w:sz="4" w:space="0" w:color="auto"/>
              <w:right w:val="single" w:sz="4" w:space="0" w:color="auto"/>
            </w:tcBorders>
          </w:tcPr>
          <w:p w:rsidR="00F16C48" w:rsidRDefault="00A32402">
            <w:pPr>
              <w:spacing w:before="40" w:after="40"/>
              <w:rPr>
                <w:rFonts w:ascii="Arial Narrow" w:hAnsi="Arial Narrow" w:cs="Arial"/>
                <w:sz w:val="20"/>
                <w:szCs w:val="20"/>
              </w:rPr>
            </w:pPr>
            <w:r>
              <w:rPr>
                <w:rFonts w:ascii="Arial Narrow" w:hAnsi="Arial Narrow" w:cs="Arial"/>
                <w:sz w:val="20"/>
                <w:szCs w:val="20"/>
              </w:rPr>
              <w:t xml:space="preserve">The in-use shelf life of Evolve® </w:t>
            </w:r>
            <w:r>
              <w:rPr>
                <w:rFonts w:ascii="Arial Narrow" w:hAnsi="Arial Narrow"/>
                <w:sz w:val="20"/>
                <w:szCs w:val="20"/>
              </w:rPr>
              <w:t xml:space="preserve">carmellose 0.5% and </w:t>
            </w:r>
            <w:r>
              <w:rPr>
                <w:rFonts w:ascii="Arial Narrow" w:hAnsi="Arial Narrow" w:cs="Arial"/>
                <w:sz w:val="20"/>
                <w:szCs w:val="20"/>
              </w:rPr>
              <w:t xml:space="preserve">Evolve® </w:t>
            </w:r>
            <w:r>
              <w:rPr>
                <w:rFonts w:ascii="Arial Narrow" w:hAnsi="Arial Narrow"/>
                <w:sz w:val="20"/>
                <w:szCs w:val="20"/>
              </w:rPr>
              <w:t xml:space="preserve">hypromellose 0.3% is 3 months from the date of opening </w:t>
            </w:r>
          </w:p>
        </w:tc>
      </w:tr>
    </w:tbl>
    <w:p w:rsidR="00F16C48" w:rsidRDefault="00F16C48">
      <w:pPr>
        <w:pStyle w:val="NoSpacing"/>
        <w:rPr>
          <w:lang w:val="en-GB"/>
        </w:rPr>
      </w:pPr>
    </w:p>
    <w:p w:rsidR="00F16C48" w:rsidRDefault="00A3240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Context for Decision</w:t>
      </w:r>
    </w:p>
    <w:p w:rsidR="00F16C48" w:rsidRDefault="00A32402">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16C48" w:rsidRDefault="00F16C48">
      <w:pPr>
        <w:spacing w:line="276" w:lineRule="auto"/>
        <w:jc w:val="both"/>
        <w:rPr>
          <w:rFonts w:asciiTheme="minorHAnsi" w:eastAsiaTheme="minorHAnsi" w:hAnsiTheme="minorHAnsi" w:cs="Arial"/>
          <w:szCs w:val="22"/>
          <w:lang w:eastAsia="en-US"/>
        </w:rPr>
      </w:pPr>
    </w:p>
    <w:p w:rsidR="00F16C48" w:rsidRDefault="00A3240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F16C48" w:rsidRDefault="00AF2890">
      <w:pPr>
        <w:pStyle w:val="NoSpacing"/>
        <w:rPr>
          <w:lang w:val="en-GB"/>
        </w:rPr>
      </w:pPr>
      <w:r w:rsidRPr="00AF2890">
        <w:rPr>
          <w:rFonts w:asciiTheme="minorHAnsi" w:eastAsiaTheme="minorHAnsi" w:hAnsiTheme="minorHAnsi" w:cs="Arial"/>
          <w:bCs/>
          <w:lang w:val="en-GB" w:eastAsia="en-US"/>
        </w:rPr>
        <w:t xml:space="preserve">Corneal Lens Centre Australia welcomes the PBAC’s recommendation to list carmellose (Evolve® carmellose 0.5%) and hypromellose (Evolve® hypromellose 0.3%) multi-dose preservative-free eye drops on the PBS. </w:t>
      </w:r>
    </w:p>
    <w:sectPr w:rsidR="00F16C4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DA" w:rsidRDefault="008F1BDA">
      <w:r>
        <w:separator/>
      </w:r>
    </w:p>
    <w:p w:rsidR="008F1BDA" w:rsidRDefault="008F1BDA"/>
  </w:endnote>
  <w:endnote w:type="continuationSeparator" w:id="0">
    <w:p w:rsidR="008F1BDA" w:rsidRDefault="008F1BDA">
      <w:r>
        <w:continuationSeparator/>
      </w:r>
    </w:p>
    <w:p w:rsidR="008F1BDA" w:rsidRDefault="008F1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AdvPS7C81">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2402">
      <w:trPr>
        <w:trHeight w:val="151"/>
      </w:trPr>
      <w:tc>
        <w:tcPr>
          <w:tcW w:w="2250" w:type="pct"/>
          <w:tcBorders>
            <w:top w:val="nil"/>
            <w:left w:val="nil"/>
            <w:bottom w:val="single" w:sz="4" w:space="0" w:color="4F81BD"/>
            <w:right w:val="nil"/>
          </w:tcBorders>
        </w:tcPr>
        <w:p w:rsidR="00A32402" w:rsidRDefault="00A32402">
          <w:pPr>
            <w:pStyle w:val="Header"/>
            <w:spacing w:line="276" w:lineRule="auto"/>
            <w:rPr>
              <w:rFonts w:ascii="Calibri" w:eastAsia="MS Gothic" w:hAnsi="Calibri"/>
              <w:b/>
              <w:bCs/>
              <w:color w:val="4F81BD"/>
            </w:rPr>
          </w:pPr>
        </w:p>
      </w:tc>
      <w:tc>
        <w:tcPr>
          <w:tcW w:w="500" w:type="pct"/>
          <w:vMerge w:val="restart"/>
          <w:noWrap/>
          <w:vAlign w:val="center"/>
          <w:hideMark/>
        </w:tcPr>
        <w:p w:rsidR="00A32402" w:rsidRDefault="00A32402">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A32402" w:rsidRDefault="00A32402">
          <w:pPr>
            <w:pStyle w:val="Header"/>
            <w:spacing w:line="276" w:lineRule="auto"/>
            <w:rPr>
              <w:rFonts w:ascii="Calibri" w:eastAsia="MS Gothic" w:hAnsi="Calibri"/>
              <w:b/>
              <w:bCs/>
              <w:color w:val="4F81BD"/>
            </w:rPr>
          </w:pPr>
        </w:p>
      </w:tc>
    </w:tr>
    <w:tr w:rsidR="00A32402">
      <w:trPr>
        <w:trHeight w:val="150"/>
      </w:trPr>
      <w:tc>
        <w:tcPr>
          <w:tcW w:w="2250" w:type="pct"/>
          <w:tcBorders>
            <w:top w:val="single" w:sz="4" w:space="0" w:color="4F81BD"/>
            <w:left w:val="nil"/>
            <w:bottom w:val="nil"/>
            <w:right w:val="nil"/>
          </w:tcBorders>
        </w:tcPr>
        <w:p w:rsidR="00A32402" w:rsidRDefault="00A32402">
          <w:pPr>
            <w:pStyle w:val="Header"/>
            <w:spacing w:line="276" w:lineRule="auto"/>
            <w:rPr>
              <w:rFonts w:ascii="Calibri" w:eastAsia="MS Gothic" w:hAnsi="Calibri"/>
              <w:b/>
              <w:bCs/>
              <w:color w:val="4F81BD"/>
            </w:rPr>
          </w:pPr>
        </w:p>
      </w:tc>
      <w:tc>
        <w:tcPr>
          <w:tcW w:w="0" w:type="auto"/>
          <w:vMerge/>
          <w:vAlign w:val="center"/>
          <w:hideMark/>
        </w:tcPr>
        <w:p w:rsidR="00A32402" w:rsidRDefault="00A32402">
          <w:pPr>
            <w:rPr>
              <w:rFonts w:ascii="Calibri" w:hAnsi="Calibri"/>
              <w:color w:val="365F91"/>
              <w:sz w:val="22"/>
              <w:szCs w:val="22"/>
            </w:rPr>
          </w:pPr>
        </w:p>
      </w:tc>
      <w:tc>
        <w:tcPr>
          <w:tcW w:w="2250" w:type="pct"/>
          <w:tcBorders>
            <w:top w:val="single" w:sz="4" w:space="0" w:color="4F81BD"/>
            <w:left w:val="nil"/>
            <w:bottom w:val="nil"/>
            <w:right w:val="nil"/>
          </w:tcBorders>
        </w:tcPr>
        <w:p w:rsidR="00A32402" w:rsidRDefault="00A32402">
          <w:pPr>
            <w:pStyle w:val="Header"/>
            <w:spacing w:line="276" w:lineRule="auto"/>
            <w:rPr>
              <w:rFonts w:ascii="Calibri" w:eastAsia="MS Gothic" w:hAnsi="Calibri"/>
              <w:b/>
              <w:bCs/>
              <w:color w:val="4F81BD"/>
            </w:rPr>
          </w:pPr>
        </w:p>
      </w:tc>
    </w:tr>
  </w:tbl>
  <w:p w:rsidR="00A32402" w:rsidRDefault="00A32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402" w:rsidRDefault="00A32402">
    <w:pPr>
      <w:pStyle w:val="Footer"/>
    </w:pPr>
  </w:p>
  <w:p w:rsidR="00A32402" w:rsidRDefault="00A324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02" w:rsidRDefault="00A32402">
    <w:pPr>
      <w:pStyle w:val="Footer"/>
      <w:jc w:val="center"/>
    </w:pPr>
  </w:p>
  <w:p w:rsidR="00A32402" w:rsidRDefault="001840A8">
    <w:pPr>
      <w:pStyle w:val="Footer"/>
      <w:jc w:val="center"/>
    </w:pPr>
    <w:sdt>
      <w:sdtPr>
        <w:id w:val="52822384"/>
        <w:docPartObj>
          <w:docPartGallery w:val="Page Numbers (Bottom of Page)"/>
          <w:docPartUnique/>
        </w:docPartObj>
      </w:sdtPr>
      <w:sdtEndPr>
        <w:rPr>
          <w:noProof/>
        </w:rPr>
      </w:sdtEndPr>
      <w:sdtContent>
        <w:r w:rsidR="00A32402">
          <w:rPr>
            <w:rFonts w:asciiTheme="minorHAnsi" w:hAnsiTheme="minorHAnsi" w:cstheme="minorHAnsi"/>
            <w:b/>
          </w:rPr>
          <w:fldChar w:fldCharType="begin"/>
        </w:r>
        <w:r w:rsidR="00A32402">
          <w:rPr>
            <w:rFonts w:asciiTheme="minorHAnsi" w:hAnsiTheme="minorHAnsi" w:cstheme="minorHAnsi"/>
            <w:b/>
          </w:rPr>
          <w:instrText xml:space="preserve"> PAGE   \* MERGEFORMAT </w:instrText>
        </w:r>
        <w:r w:rsidR="00A32402">
          <w:rPr>
            <w:rFonts w:asciiTheme="minorHAnsi" w:hAnsiTheme="minorHAnsi" w:cstheme="minorHAnsi"/>
            <w:b/>
          </w:rPr>
          <w:fldChar w:fldCharType="separate"/>
        </w:r>
        <w:r>
          <w:rPr>
            <w:rFonts w:asciiTheme="minorHAnsi" w:hAnsiTheme="minorHAnsi" w:cstheme="minorHAnsi"/>
            <w:b/>
            <w:noProof/>
          </w:rPr>
          <w:t>9</w:t>
        </w:r>
        <w:r w:rsidR="00A32402">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A32402">
      <w:trPr>
        <w:trHeight w:val="151"/>
      </w:trPr>
      <w:tc>
        <w:tcPr>
          <w:tcW w:w="2250" w:type="pct"/>
          <w:tcBorders>
            <w:top w:val="nil"/>
            <w:left w:val="nil"/>
            <w:bottom w:val="single" w:sz="4" w:space="0" w:color="4F81BD"/>
            <w:right w:val="nil"/>
          </w:tcBorders>
        </w:tcPr>
        <w:p w:rsidR="00A32402" w:rsidRDefault="00A32402">
          <w:pPr>
            <w:pStyle w:val="Header"/>
            <w:spacing w:line="276" w:lineRule="auto"/>
            <w:rPr>
              <w:rFonts w:ascii="Calibri" w:eastAsia="MS Gothic" w:hAnsi="Calibri"/>
              <w:b/>
              <w:bCs/>
              <w:color w:val="4F81BD"/>
            </w:rPr>
          </w:pPr>
        </w:p>
      </w:tc>
      <w:tc>
        <w:tcPr>
          <w:tcW w:w="500" w:type="pct"/>
          <w:vMerge w:val="restart"/>
          <w:noWrap/>
          <w:vAlign w:val="center"/>
          <w:hideMark/>
        </w:tcPr>
        <w:p w:rsidR="00A32402" w:rsidRDefault="00A32402">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A32402" w:rsidRDefault="00A32402">
          <w:pPr>
            <w:pStyle w:val="Header"/>
            <w:spacing w:line="276" w:lineRule="auto"/>
            <w:rPr>
              <w:rFonts w:ascii="Calibri" w:eastAsia="MS Gothic" w:hAnsi="Calibri"/>
              <w:b/>
              <w:bCs/>
              <w:color w:val="4F81BD"/>
            </w:rPr>
          </w:pPr>
        </w:p>
      </w:tc>
    </w:tr>
    <w:tr w:rsidR="00A32402">
      <w:trPr>
        <w:trHeight w:val="150"/>
      </w:trPr>
      <w:tc>
        <w:tcPr>
          <w:tcW w:w="2250" w:type="pct"/>
          <w:tcBorders>
            <w:top w:val="single" w:sz="4" w:space="0" w:color="4F81BD"/>
            <w:left w:val="nil"/>
            <w:bottom w:val="nil"/>
            <w:right w:val="nil"/>
          </w:tcBorders>
        </w:tcPr>
        <w:p w:rsidR="00A32402" w:rsidRDefault="00A32402">
          <w:pPr>
            <w:pStyle w:val="Header"/>
            <w:spacing w:line="276" w:lineRule="auto"/>
            <w:rPr>
              <w:rFonts w:ascii="Calibri" w:eastAsia="MS Gothic" w:hAnsi="Calibri"/>
              <w:b/>
              <w:bCs/>
              <w:color w:val="4F81BD"/>
            </w:rPr>
          </w:pPr>
        </w:p>
      </w:tc>
      <w:tc>
        <w:tcPr>
          <w:tcW w:w="0" w:type="auto"/>
          <w:vMerge/>
          <w:vAlign w:val="center"/>
          <w:hideMark/>
        </w:tcPr>
        <w:p w:rsidR="00A32402" w:rsidRDefault="00A32402">
          <w:pPr>
            <w:rPr>
              <w:rFonts w:ascii="Calibri" w:hAnsi="Calibri"/>
              <w:color w:val="365F91"/>
              <w:sz w:val="22"/>
              <w:szCs w:val="22"/>
            </w:rPr>
          </w:pPr>
        </w:p>
      </w:tc>
      <w:tc>
        <w:tcPr>
          <w:tcW w:w="2250" w:type="pct"/>
          <w:tcBorders>
            <w:top w:val="single" w:sz="4" w:space="0" w:color="4F81BD"/>
            <w:left w:val="nil"/>
            <w:bottom w:val="nil"/>
            <w:right w:val="nil"/>
          </w:tcBorders>
        </w:tcPr>
        <w:p w:rsidR="00A32402" w:rsidRDefault="00A32402">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32402">
      <w:trPr>
        <w:trHeight w:val="151"/>
      </w:trPr>
      <w:tc>
        <w:tcPr>
          <w:tcW w:w="2250" w:type="pct"/>
          <w:tcBorders>
            <w:top w:val="nil"/>
            <w:left w:val="nil"/>
            <w:bottom w:val="single" w:sz="4" w:space="0" w:color="4F81BD"/>
            <w:right w:val="nil"/>
          </w:tcBorders>
        </w:tcPr>
        <w:p w:rsidR="00A32402" w:rsidRDefault="00A32402">
          <w:pPr>
            <w:pStyle w:val="Header"/>
            <w:spacing w:line="276" w:lineRule="auto"/>
            <w:rPr>
              <w:rFonts w:ascii="Calibri" w:eastAsia="MS Gothic" w:hAnsi="Calibri"/>
              <w:b/>
              <w:bCs/>
              <w:color w:val="4F81BD"/>
            </w:rPr>
          </w:pPr>
        </w:p>
      </w:tc>
      <w:tc>
        <w:tcPr>
          <w:tcW w:w="500" w:type="pct"/>
          <w:vMerge w:val="restart"/>
          <w:noWrap/>
          <w:vAlign w:val="center"/>
          <w:hideMark/>
        </w:tcPr>
        <w:p w:rsidR="00A32402" w:rsidRDefault="00A32402">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A32402" w:rsidRDefault="00A32402">
          <w:pPr>
            <w:pStyle w:val="Header"/>
            <w:spacing w:line="276" w:lineRule="auto"/>
            <w:rPr>
              <w:rFonts w:ascii="Calibri" w:eastAsia="MS Gothic" w:hAnsi="Calibri"/>
              <w:b/>
              <w:bCs/>
              <w:color w:val="4F81BD"/>
            </w:rPr>
          </w:pPr>
        </w:p>
      </w:tc>
    </w:tr>
    <w:tr w:rsidR="00A32402">
      <w:trPr>
        <w:trHeight w:val="150"/>
      </w:trPr>
      <w:tc>
        <w:tcPr>
          <w:tcW w:w="2250" w:type="pct"/>
          <w:tcBorders>
            <w:top w:val="single" w:sz="4" w:space="0" w:color="4F81BD"/>
            <w:left w:val="nil"/>
            <w:bottom w:val="nil"/>
            <w:right w:val="nil"/>
          </w:tcBorders>
        </w:tcPr>
        <w:p w:rsidR="00A32402" w:rsidRDefault="00A32402">
          <w:pPr>
            <w:pStyle w:val="Header"/>
            <w:spacing w:line="276" w:lineRule="auto"/>
            <w:rPr>
              <w:rFonts w:ascii="Calibri" w:eastAsia="MS Gothic" w:hAnsi="Calibri"/>
              <w:b/>
              <w:bCs/>
              <w:color w:val="4F81BD"/>
            </w:rPr>
          </w:pPr>
        </w:p>
      </w:tc>
      <w:tc>
        <w:tcPr>
          <w:tcW w:w="0" w:type="auto"/>
          <w:vMerge/>
          <w:vAlign w:val="center"/>
          <w:hideMark/>
        </w:tcPr>
        <w:p w:rsidR="00A32402" w:rsidRDefault="00A32402">
          <w:pPr>
            <w:rPr>
              <w:rFonts w:ascii="Calibri" w:hAnsi="Calibri"/>
              <w:color w:val="365F91"/>
              <w:sz w:val="22"/>
              <w:szCs w:val="22"/>
            </w:rPr>
          </w:pPr>
        </w:p>
      </w:tc>
      <w:tc>
        <w:tcPr>
          <w:tcW w:w="2250" w:type="pct"/>
          <w:tcBorders>
            <w:top w:val="single" w:sz="4" w:space="0" w:color="4F81BD"/>
            <w:left w:val="nil"/>
            <w:bottom w:val="nil"/>
            <w:right w:val="nil"/>
          </w:tcBorders>
        </w:tcPr>
        <w:p w:rsidR="00A32402" w:rsidRDefault="00A32402">
          <w:pPr>
            <w:pStyle w:val="Header"/>
            <w:spacing w:line="276" w:lineRule="auto"/>
            <w:rPr>
              <w:rFonts w:ascii="Calibri" w:eastAsia="MS Gothic" w:hAnsi="Calibri"/>
              <w:b/>
              <w:bCs/>
              <w:color w:val="4F81BD"/>
            </w:rPr>
          </w:pPr>
        </w:p>
      </w:tc>
    </w:tr>
  </w:tbl>
  <w:p w:rsidR="00A32402" w:rsidRDefault="00A32402">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A32402" w:rsidRDefault="00A32402">
    <w:pPr>
      <w:pStyle w:val="Footer"/>
      <w:jc w:val="center"/>
      <w:rPr>
        <w:b/>
        <w:i/>
        <w:sz w:val="20"/>
        <w:szCs w:val="20"/>
      </w:rPr>
    </w:pPr>
    <w:r>
      <w:rPr>
        <w:b/>
        <w:i/>
        <w:sz w:val="20"/>
        <w:szCs w:val="20"/>
      </w:rPr>
      <w:t>Commercial-in-Confidence</w:t>
    </w:r>
  </w:p>
  <w:p w:rsidR="00A32402" w:rsidRDefault="00A324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DA" w:rsidRDefault="008F1BDA">
      <w:r>
        <w:separator/>
      </w:r>
    </w:p>
    <w:p w:rsidR="008F1BDA" w:rsidRDefault="008F1BDA"/>
  </w:footnote>
  <w:footnote w:type="continuationSeparator" w:id="0">
    <w:p w:rsidR="008F1BDA" w:rsidRDefault="008F1BDA">
      <w:r>
        <w:continuationSeparator/>
      </w:r>
    </w:p>
    <w:p w:rsidR="008F1BDA" w:rsidRDefault="008F1B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32402">
      <w:trPr>
        <w:trHeight w:val="151"/>
      </w:trPr>
      <w:tc>
        <w:tcPr>
          <w:tcW w:w="2389" w:type="pct"/>
          <w:tcBorders>
            <w:top w:val="nil"/>
            <w:left w:val="nil"/>
            <w:bottom w:val="single" w:sz="4" w:space="0" w:color="4F81BD"/>
            <w:right w:val="nil"/>
          </w:tcBorders>
        </w:tcPr>
        <w:p w:rsidR="00A32402" w:rsidRDefault="00A32402">
          <w:pPr>
            <w:pStyle w:val="Header"/>
            <w:spacing w:line="276" w:lineRule="auto"/>
            <w:rPr>
              <w:rFonts w:ascii="Cambria" w:eastAsia="MS Gothic" w:hAnsi="Cambria"/>
              <w:b/>
              <w:bCs/>
              <w:color w:val="4F81BD"/>
            </w:rPr>
          </w:pPr>
        </w:p>
      </w:tc>
      <w:tc>
        <w:tcPr>
          <w:tcW w:w="333" w:type="pct"/>
          <w:vMerge w:val="restart"/>
          <w:noWrap/>
          <w:vAlign w:val="center"/>
          <w:hideMark/>
        </w:tcPr>
        <w:p w:rsidR="00A32402" w:rsidRDefault="00A32402">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A32402" w:rsidRDefault="00A32402">
          <w:pPr>
            <w:pStyle w:val="Header"/>
            <w:spacing w:line="276" w:lineRule="auto"/>
            <w:rPr>
              <w:rFonts w:ascii="Cambria" w:eastAsia="MS Gothic" w:hAnsi="Cambria"/>
              <w:b/>
              <w:bCs/>
              <w:color w:val="4F81BD"/>
            </w:rPr>
          </w:pPr>
        </w:p>
      </w:tc>
    </w:tr>
    <w:tr w:rsidR="00A32402">
      <w:trPr>
        <w:trHeight w:val="150"/>
      </w:trPr>
      <w:tc>
        <w:tcPr>
          <w:tcW w:w="2389" w:type="pct"/>
          <w:tcBorders>
            <w:top w:val="single" w:sz="4" w:space="0" w:color="4F81BD"/>
            <w:left w:val="nil"/>
            <w:bottom w:val="nil"/>
            <w:right w:val="nil"/>
          </w:tcBorders>
        </w:tcPr>
        <w:p w:rsidR="00A32402" w:rsidRDefault="00A32402">
          <w:pPr>
            <w:pStyle w:val="Header"/>
            <w:spacing w:line="276" w:lineRule="auto"/>
            <w:rPr>
              <w:rFonts w:ascii="Cambria" w:eastAsia="MS Gothic" w:hAnsi="Cambria"/>
              <w:b/>
              <w:bCs/>
              <w:color w:val="4F81BD"/>
            </w:rPr>
          </w:pPr>
        </w:p>
      </w:tc>
      <w:tc>
        <w:tcPr>
          <w:tcW w:w="0" w:type="auto"/>
          <w:vMerge/>
          <w:vAlign w:val="center"/>
          <w:hideMark/>
        </w:tcPr>
        <w:p w:rsidR="00A32402" w:rsidRDefault="00A32402">
          <w:pPr>
            <w:rPr>
              <w:rFonts w:ascii="Cambria" w:hAnsi="Cambria"/>
              <w:color w:val="4F81BD"/>
              <w:sz w:val="22"/>
              <w:szCs w:val="22"/>
            </w:rPr>
          </w:pPr>
        </w:p>
      </w:tc>
      <w:tc>
        <w:tcPr>
          <w:tcW w:w="2278" w:type="pct"/>
          <w:tcBorders>
            <w:top w:val="single" w:sz="4" w:space="0" w:color="4F81BD"/>
            <w:left w:val="nil"/>
            <w:bottom w:val="nil"/>
            <w:right w:val="nil"/>
          </w:tcBorders>
        </w:tcPr>
        <w:p w:rsidR="00A32402" w:rsidRDefault="00A32402">
          <w:pPr>
            <w:pStyle w:val="Header"/>
            <w:spacing w:line="276" w:lineRule="auto"/>
            <w:rPr>
              <w:rFonts w:ascii="Cambria" w:eastAsia="MS Gothic" w:hAnsi="Cambria"/>
              <w:b/>
              <w:bCs/>
              <w:color w:val="4F81BD"/>
            </w:rPr>
          </w:pPr>
        </w:p>
      </w:tc>
    </w:tr>
  </w:tbl>
  <w:p w:rsidR="00A32402" w:rsidRDefault="00A32402">
    <w:pPr>
      <w:pStyle w:val="Header"/>
    </w:pPr>
  </w:p>
  <w:p w:rsidR="00A32402" w:rsidRDefault="00A324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02" w:rsidRDefault="00A32402">
    <w:pPr>
      <w:pStyle w:val="NoSpacing"/>
      <w:jc w:val="center"/>
      <w:rPr>
        <w:rFonts w:asciiTheme="minorHAnsi" w:hAnsiTheme="minorHAnsi" w:cstheme="minorHAnsi"/>
        <w:i/>
        <w:sz w:val="24"/>
        <w:szCs w:val="24"/>
      </w:rPr>
    </w:pPr>
    <w:r>
      <w:rPr>
        <w:rFonts w:asciiTheme="minorHAnsi" w:hAnsiTheme="minorHAnsi" w:cstheme="minorHAnsi"/>
        <w:i/>
        <w:sz w:val="24"/>
        <w:szCs w:val="24"/>
      </w:rPr>
      <w:t xml:space="preserve">Public Summary Document – July 2019 PBAC Meeting </w:t>
    </w:r>
  </w:p>
  <w:p w:rsidR="00A32402" w:rsidRDefault="00A32402">
    <w:pPr>
      <w:pStyle w:val="NoSpacing"/>
      <w:rPr>
        <w:rFonts w:asciiTheme="minorHAnsi" w:hAnsiTheme="minorHAnsi" w:cstheme="minorHAns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29" w:rsidRDefault="0073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3A3BDB"/>
    <w:multiLevelType w:val="hybridMultilevel"/>
    <w:tmpl w:val="01C8A9A0"/>
    <w:lvl w:ilvl="0" w:tplc="C97ACA3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F537D"/>
    <w:multiLevelType w:val="multilevel"/>
    <w:tmpl w:val="5CFCA7C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332205C"/>
    <w:multiLevelType w:val="multilevel"/>
    <w:tmpl w:val="46FA41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E24D0B"/>
    <w:multiLevelType w:val="multilevel"/>
    <w:tmpl w:val="D0142104"/>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B4141"/>
    <w:multiLevelType w:val="multilevel"/>
    <w:tmpl w:val="5C769990"/>
    <w:lvl w:ilvl="0">
      <w:start w:val="1"/>
      <w:numFmt w:val="bullet"/>
      <w:lvlText w:val=""/>
      <w:lvlJc w:val="left"/>
      <w:pPr>
        <w:ind w:left="2160" w:hanging="720"/>
      </w:pPr>
      <w:rPr>
        <w:rFonts w:ascii="Symbol" w:hAnsi="Symbol" w:hint="default"/>
        <w:b/>
      </w:rPr>
    </w:lvl>
    <w:lvl w:ilvl="1">
      <w:start w:val="1"/>
      <w:numFmt w:val="decimal"/>
      <w:lvlText w:val="%1.%2"/>
      <w:lvlJc w:val="left"/>
      <w:pPr>
        <w:ind w:left="216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0465D01"/>
    <w:multiLevelType w:val="hybridMultilevel"/>
    <w:tmpl w:val="A04A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53C9C"/>
    <w:multiLevelType w:val="hybridMultilevel"/>
    <w:tmpl w:val="C1B4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50002D"/>
    <w:multiLevelType w:val="hybridMultilevel"/>
    <w:tmpl w:val="EDB00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CF0722"/>
    <w:multiLevelType w:val="hybridMultilevel"/>
    <w:tmpl w:val="8D82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91040"/>
    <w:multiLevelType w:val="hybridMultilevel"/>
    <w:tmpl w:val="1360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38617B"/>
    <w:multiLevelType w:val="hybridMultilevel"/>
    <w:tmpl w:val="D87C8C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4D033C"/>
    <w:multiLevelType w:val="multilevel"/>
    <w:tmpl w:val="1F9883A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493AEC"/>
    <w:multiLevelType w:val="hybridMultilevel"/>
    <w:tmpl w:val="506A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26DE2"/>
    <w:multiLevelType w:val="hybridMultilevel"/>
    <w:tmpl w:val="8FAC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9"/>
  </w:num>
  <w:num w:numId="4">
    <w:abstractNumId w:val="25"/>
  </w:num>
  <w:num w:numId="5">
    <w:abstractNumId w:val="32"/>
  </w:num>
  <w:num w:numId="6">
    <w:abstractNumId w:val="13"/>
  </w:num>
  <w:num w:numId="7">
    <w:abstractNumId w:val="23"/>
  </w:num>
  <w:num w:numId="8">
    <w:abstractNumId w:val="4"/>
  </w:num>
  <w:num w:numId="9">
    <w:abstractNumId w:val="22"/>
  </w:num>
  <w:num w:numId="10">
    <w:abstractNumId w:val="21"/>
  </w:num>
  <w:num w:numId="11">
    <w:abstractNumId w:val="19"/>
  </w:num>
  <w:num w:numId="12">
    <w:abstractNumId w:val="1"/>
  </w:num>
  <w:num w:numId="13">
    <w:abstractNumId w:val="0"/>
  </w:num>
  <w:num w:numId="14">
    <w:abstractNumId w:val="32"/>
  </w:num>
  <w:num w:numId="15">
    <w:abstractNumId w:val="24"/>
  </w:num>
  <w:num w:numId="16">
    <w:abstractNumId w:val="30"/>
  </w:num>
  <w:num w:numId="17">
    <w:abstractNumId w:val="31"/>
  </w:num>
  <w:num w:numId="18">
    <w:abstractNumId w:val="15"/>
  </w:num>
  <w:num w:numId="19">
    <w:abstractNumId w:val="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16"/>
  </w:num>
  <w:num w:numId="24">
    <w:abstractNumId w:val="34"/>
  </w:num>
  <w:num w:numId="25">
    <w:abstractNumId w:val="7"/>
  </w:num>
  <w:num w:numId="26">
    <w:abstractNumId w:val="11"/>
  </w:num>
  <w:num w:numId="27">
    <w:abstractNumId w:val="33"/>
  </w:num>
  <w:num w:numId="28">
    <w:abstractNumId w:val="6"/>
  </w:num>
  <w:num w:numId="29">
    <w:abstractNumId w:val="26"/>
  </w:num>
  <w:num w:numId="30">
    <w:abstractNumId w:val="27"/>
  </w:num>
  <w:num w:numId="31">
    <w:abstractNumId w:val="8"/>
  </w:num>
  <w:num w:numId="32">
    <w:abstractNumId w:val="2"/>
  </w:num>
  <w:num w:numId="33">
    <w:abstractNumId w:val="18"/>
  </w:num>
  <w:num w:numId="34">
    <w:abstractNumId w:val="20"/>
  </w:num>
  <w:num w:numId="35">
    <w:abstractNumId w:val="1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48"/>
    <w:rsid w:val="001840A8"/>
    <w:rsid w:val="00737329"/>
    <w:rsid w:val="00766C44"/>
    <w:rsid w:val="008229B8"/>
    <w:rsid w:val="008F1BDA"/>
    <w:rsid w:val="00A32402"/>
    <w:rsid w:val="00A962B8"/>
    <w:rsid w:val="00AF2890"/>
    <w:rsid w:val="00B475BF"/>
    <w:rsid w:val="00CC6933"/>
    <w:rsid w:val="00EC72CF"/>
    <w:rsid w:val="00F1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84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qFormat/>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Footnote,Bullet point,List Paragraph1,List Paragraph11,Recommendation,Numbered para,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qFormat/>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Numbered para Char,ES Paragraph Char,PBAC ES Paragraph Char,PBAC normal points Char,Bullet List Char"/>
    <w:basedOn w:val="DefaultParagraphFont"/>
    <w:link w:val="ListParagraph"/>
    <w:uiPriority w:val="72"/>
    <w:qFormat/>
    <w:rPr>
      <w:rFonts w:ascii="Arial" w:hAnsi="Arial" w:cs="Arial"/>
      <w:snapToGrid w:val="0"/>
      <w:sz w:val="22"/>
      <w:lang w:eastAsia="en-US"/>
    </w:rPr>
  </w:style>
  <w:style w:type="paragraph" w:customStyle="1" w:styleId="PBACHeading1">
    <w:name w:val="PBAC Heading 1"/>
    <w:qFormat/>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subsection">
    <w:name w:val="subsection"/>
    <w:basedOn w:val="Normal"/>
    <w:pPr>
      <w:spacing w:before="100" w:beforeAutospacing="1" w:after="100" w:afterAutospacing="1"/>
    </w:pPr>
    <w:rPr>
      <w:lang w:val="en-US" w:eastAsia="en-US"/>
    </w:rPr>
  </w:style>
  <w:style w:type="paragraph" w:customStyle="1" w:styleId="paragraph">
    <w:name w:val="paragraph"/>
    <w:basedOn w:val="Normal"/>
    <w:pPr>
      <w:spacing w:before="100" w:beforeAutospacing="1" w:after="100" w:afterAutospacing="1"/>
    </w:pPr>
    <w:rPr>
      <w:lang w:val="en-US" w:eastAsia="en-US"/>
    </w:rPr>
  </w:style>
  <w:style w:type="character" w:customStyle="1" w:styleId="form-strength">
    <w:name w:val="form-strength"/>
    <w:basedOn w:val="DefaultParagraphFont"/>
  </w:style>
  <w:style w:type="paragraph" w:customStyle="1" w:styleId="TableHeading0">
    <w:name w:val="Table Heading"/>
    <w:basedOn w:val="Normal"/>
    <w:qFormat/>
    <w:pPr>
      <w:keepNext/>
      <w:spacing w:before="240" w:after="60"/>
      <w:jc w:val="both"/>
    </w:pPr>
    <w:rPr>
      <w:rFonts w:ascii="Arial Narrow" w:eastAsiaTheme="minorHAnsi" w:hAnsi="Arial Narrow" w:cstheme="minorBidi"/>
      <w:b/>
      <w:sz w:val="20"/>
      <w:szCs w:val="22"/>
      <w:lang w:eastAsia="en-US"/>
    </w:rPr>
  </w:style>
  <w:style w:type="paragraph" w:customStyle="1" w:styleId="2Sections">
    <w:name w:val="2. Sections"/>
    <w:qFormat/>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pPr>
      <w:widowControl/>
      <w:spacing w:after="120"/>
      <w:ind w:hanging="720"/>
      <w:contextualSpacing w:val="0"/>
    </w:pPr>
    <w:rPr>
      <w:rFonts w:asciiTheme="minorHAnsi" w:eastAsiaTheme="minorHAnsi" w:hAnsiTheme="minorHAnsi" w:cstheme="minorBidi"/>
      <w:snapToGrid/>
      <w:sz w:val="24"/>
      <w:szCs w:val="22"/>
    </w:rPr>
  </w:style>
  <w:style w:type="character" w:customStyle="1" w:styleId="3BodytextChar">
    <w:name w:val="3. Body text Char"/>
    <w:basedOn w:val="DefaultParagraphFont"/>
    <w:link w:val="3Bodytext"/>
    <w:rPr>
      <w:rFonts w:asciiTheme="minorHAnsi" w:eastAsiaTheme="minorHAnsi" w:hAnsiTheme="minorHAnsi" w:cstheme="minorBidi"/>
      <w:sz w:val="24"/>
      <w:szCs w:val="22"/>
      <w:lang w:eastAsia="en-US"/>
    </w:rPr>
  </w:style>
  <w:style w:type="paragraph" w:styleId="Revision">
    <w:name w:val="Revision"/>
    <w:hidden/>
    <w:uiPriority w:val="71"/>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Emphasis">
    <w:name w:val="Emphasis"/>
    <w:basedOn w:val="DefaultParagraphFont"/>
    <w:qFormat/>
    <w:rPr>
      <w:i/>
      <w:iCs/>
    </w:rPr>
  </w:style>
  <w:style w:type="paragraph" w:customStyle="1" w:styleId="Numberbullet2">
    <w:name w:val="Number bullet 2"/>
    <w:basedOn w:val="ListBullet2"/>
    <w:qFormat/>
    <w:pPr>
      <w:numPr>
        <w:ilvl w:val="1"/>
      </w:numPr>
      <w:tabs>
        <w:tab w:val="num" w:pos="1440"/>
      </w:tabs>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pPr>
      <w:numPr>
        <w:ilvl w:val="2"/>
        <w:numId w:val="37"/>
      </w:numPr>
      <w:tabs>
        <w:tab w:val="num" w:pos="2160"/>
      </w:tabs>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pPr>
      <w:numPr>
        <w:numId w:val="37"/>
      </w:numPr>
    </w:pPr>
  </w:style>
  <w:style w:type="paragraph" w:styleId="ListBullet2">
    <w:name w:val="List Bullet 2"/>
    <w:basedOn w:val="Normal"/>
    <w:semiHidden/>
    <w:unhideWhenUsed/>
    <w:pPr>
      <w:numPr>
        <w:numId w:val="37"/>
      </w:numPr>
      <w:contextualSpacing/>
    </w:pPr>
  </w:style>
  <w:style w:type="paragraph" w:styleId="ListBullet3">
    <w:name w:val="List Bullet 3"/>
    <w:basedOn w:val="Normal"/>
    <w:semiHidden/>
    <w:unhideWhenUsed/>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57591084">
      <w:bodyDiv w:val="1"/>
      <w:marLeft w:val="0"/>
      <w:marRight w:val="0"/>
      <w:marTop w:val="0"/>
      <w:marBottom w:val="0"/>
      <w:divBdr>
        <w:top w:val="none" w:sz="0" w:space="0" w:color="auto"/>
        <w:left w:val="none" w:sz="0" w:space="0" w:color="auto"/>
        <w:bottom w:val="none" w:sz="0" w:space="0" w:color="auto"/>
        <w:right w:val="none" w:sz="0" w:space="0" w:color="auto"/>
      </w:divBdr>
    </w:div>
    <w:div w:id="69338284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3243741">
      <w:bodyDiv w:val="1"/>
      <w:marLeft w:val="0"/>
      <w:marRight w:val="0"/>
      <w:marTop w:val="0"/>
      <w:marBottom w:val="0"/>
      <w:divBdr>
        <w:top w:val="none" w:sz="0" w:space="0" w:color="auto"/>
        <w:left w:val="none" w:sz="0" w:space="0" w:color="auto"/>
        <w:bottom w:val="none" w:sz="0" w:space="0" w:color="auto"/>
        <w:right w:val="none" w:sz="0" w:space="0" w:color="auto"/>
      </w:divBdr>
    </w:div>
    <w:div w:id="1176962393">
      <w:bodyDiv w:val="1"/>
      <w:marLeft w:val="0"/>
      <w:marRight w:val="0"/>
      <w:marTop w:val="0"/>
      <w:marBottom w:val="0"/>
      <w:divBdr>
        <w:top w:val="none" w:sz="0" w:space="0" w:color="auto"/>
        <w:left w:val="none" w:sz="0" w:space="0" w:color="auto"/>
        <w:bottom w:val="none" w:sz="0" w:space="0" w:color="auto"/>
        <w:right w:val="none" w:sz="0" w:space="0" w:color="auto"/>
      </w:divBdr>
    </w:div>
    <w:div w:id="165198360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63723965">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08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3883-3379-4918-BF9C-FF77FA90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19178</Characters>
  <Application>Microsoft Office Word</Application>
  <DocSecurity>0</DocSecurity>
  <Lines>159</Lines>
  <Paragraphs>44</Paragraphs>
  <ScaleCrop>false</ScaleCrop>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2019-09-30T22:14:00Z</dcterms:created>
  <dcterms:modified xsi:type="dcterms:W3CDTF">2019-10-18T02:57:00Z</dcterms:modified>
</cp:coreProperties>
</file>