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7F3" w:rsidRPr="00F453F7" w:rsidRDefault="00584B57" w:rsidP="00E176C3">
      <w:pPr>
        <w:pStyle w:val="Title"/>
        <w:ind w:left="720" w:hanging="720"/>
      </w:pPr>
      <w:bookmarkStart w:id="0" w:name="_GoBack"/>
      <w:bookmarkEnd w:id="0"/>
      <w:r w:rsidRPr="00F453F7">
        <w:t>5.02</w:t>
      </w:r>
      <w:r w:rsidR="00C317F3" w:rsidRPr="00F453F7">
        <w:tab/>
      </w:r>
      <w:r w:rsidR="00B55E13" w:rsidRPr="00F453F7">
        <w:t>DURVALUMAB</w:t>
      </w:r>
      <w:r w:rsidR="00C317F3" w:rsidRPr="00F453F7">
        <w:t>,</w:t>
      </w:r>
      <w:r w:rsidR="009D4C2A" w:rsidRPr="00F453F7">
        <w:br/>
      </w:r>
      <w:r w:rsidR="0073676B" w:rsidRPr="00F453F7">
        <w:t>Solution concentrate for I.V. infusion 120 mg in 2.4 mL; Solution concentrate for I.V. infusion 500 mg in 10 mL</w:t>
      </w:r>
      <w:r w:rsidR="00C317F3" w:rsidRPr="00F453F7">
        <w:t xml:space="preserve">, </w:t>
      </w:r>
      <w:r w:rsidR="009D4C2A" w:rsidRPr="00F453F7">
        <w:br/>
      </w:r>
      <w:r w:rsidR="00B55E13" w:rsidRPr="00F453F7">
        <w:t>Imfinzi™</w:t>
      </w:r>
      <w:r w:rsidR="00C317F3" w:rsidRPr="00F453F7">
        <w:t xml:space="preserve">, </w:t>
      </w:r>
      <w:r w:rsidR="00E176C3" w:rsidRPr="00F453F7">
        <w:br/>
      </w:r>
      <w:r w:rsidR="00B55E13" w:rsidRPr="00F453F7">
        <w:t>AstraZeneca Pty Ltd</w:t>
      </w:r>
    </w:p>
    <w:p w:rsidR="00C317F3" w:rsidRPr="00F453F7" w:rsidRDefault="00C317F3" w:rsidP="004D22DF">
      <w:pPr>
        <w:pStyle w:val="2-SectionHeading"/>
      </w:pPr>
      <w:bookmarkStart w:id="1" w:name="_Toc413139271"/>
      <w:bookmarkStart w:id="2" w:name="_Toc9428542"/>
      <w:r w:rsidRPr="00F453F7">
        <w:t xml:space="preserve">Purpose of </w:t>
      </w:r>
      <w:r w:rsidR="0081687A" w:rsidRPr="00F453F7">
        <w:t>A</w:t>
      </w:r>
      <w:r w:rsidRPr="00F453F7">
        <w:t>pplication</w:t>
      </w:r>
      <w:bookmarkEnd w:id="1"/>
      <w:bookmarkEnd w:id="2"/>
    </w:p>
    <w:p w:rsidR="006C033A" w:rsidRPr="00F453F7" w:rsidRDefault="006C033A" w:rsidP="00A1349E">
      <w:pPr>
        <w:pStyle w:val="ListParagraph"/>
        <w:numPr>
          <w:ilvl w:val="1"/>
          <w:numId w:val="3"/>
        </w:numPr>
      </w:pPr>
      <w:r w:rsidRPr="00F453F7">
        <w:t>The submission requested a Section 100 (Efficient Funding of Chemotherapy – Public and Private Hospital) listing of durvalumab for the treatment of patients with locally advanced or metastatic urothelial cancer who have disease progression during or following platinum-based chemotherapy. The PBAC has not previously considered durvalumab for the treatment of urothelial cancer.</w:t>
      </w:r>
    </w:p>
    <w:p w:rsidR="00C317F3" w:rsidRPr="00F453F7" w:rsidRDefault="006C033A" w:rsidP="00A1349E">
      <w:pPr>
        <w:pStyle w:val="ListParagraph"/>
        <w:numPr>
          <w:ilvl w:val="1"/>
          <w:numId w:val="3"/>
        </w:numPr>
      </w:pPr>
      <w:r w:rsidRPr="00F453F7">
        <w:t>The listing was requested on a cost-minimisation basis compared to pembrolizumab</w:t>
      </w:r>
      <w:r w:rsidR="00D12DE3" w:rsidRPr="00F453F7">
        <w:t xml:space="preserve"> (Table 1)</w:t>
      </w:r>
      <w:r w:rsidRPr="00F453F7">
        <w:t>.</w:t>
      </w:r>
    </w:p>
    <w:p w:rsidR="00086C75" w:rsidRDefault="00086C75" w:rsidP="00086C75">
      <w:pPr>
        <w:pStyle w:val="TableHeading"/>
      </w:pPr>
      <w:r>
        <w:t xml:space="preserve">Table </w:t>
      </w:r>
      <w:r w:rsidR="00C15CB6">
        <w:fldChar w:fldCharType="begin"/>
      </w:r>
      <w:r w:rsidR="00C15CB6">
        <w:instrText xml:space="preserve"> SEQ Table \* ARABIC </w:instrText>
      </w:r>
      <w:r w:rsidR="00C15CB6">
        <w:fldChar w:fldCharType="separate"/>
      </w:r>
      <w:r w:rsidR="00E55F9F">
        <w:rPr>
          <w:noProof/>
        </w:rPr>
        <w:t>1</w:t>
      </w:r>
      <w:r w:rsidR="00C15CB6">
        <w:rPr>
          <w:noProof/>
        </w:rPr>
        <w:fldChar w:fldCharType="end"/>
      </w:r>
      <w:r w:rsidRPr="00057E47">
        <w:t>: Key components of the clinical issue addressed in the submission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in the submission"/>
      </w:tblPr>
      <w:tblGrid>
        <w:gridCol w:w="1696"/>
        <w:gridCol w:w="7320"/>
      </w:tblGrid>
      <w:tr w:rsidR="00AE513E" w:rsidRPr="00F453F7" w:rsidTr="00984441">
        <w:trPr>
          <w:cnfStyle w:val="100000000000" w:firstRow="1" w:lastRow="0" w:firstColumn="0" w:lastColumn="0" w:oddVBand="0" w:evenVBand="0" w:oddHBand="0" w:evenHBand="0" w:firstRowFirstColumn="0" w:firstRowLastColumn="0" w:lastRowFirstColumn="0" w:lastRowLastColumn="0"/>
          <w:cantSplit/>
          <w:tblHeader/>
        </w:trPr>
        <w:tc>
          <w:tcPr>
            <w:tcW w:w="1696" w:type="dxa"/>
            <w:shd w:val="clear" w:color="auto" w:fill="auto"/>
          </w:tcPr>
          <w:p w:rsidR="00AE513E" w:rsidRPr="00F453F7" w:rsidRDefault="00AE513E" w:rsidP="006C033A">
            <w:pPr>
              <w:pStyle w:val="TableText"/>
              <w:rPr>
                <w:szCs w:val="20"/>
                <w:lang w:val="en-AU"/>
              </w:rPr>
            </w:pPr>
            <w:r w:rsidRPr="00F453F7">
              <w:rPr>
                <w:lang w:val="en-AU"/>
              </w:rPr>
              <w:t>Component</w:t>
            </w:r>
          </w:p>
        </w:tc>
        <w:tc>
          <w:tcPr>
            <w:tcW w:w="7320" w:type="dxa"/>
            <w:shd w:val="clear" w:color="auto" w:fill="auto"/>
          </w:tcPr>
          <w:p w:rsidR="00AE513E" w:rsidRPr="00F453F7" w:rsidRDefault="00AE513E" w:rsidP="006C033A">
            <w:pPr>
              <w:pStyle w:val="TableText"/>
              <w:rPr>
                <w:lang w:val="en-AU"/>
              </w:rPr>
            </w:pPr>
            <w:r w:rsidRPr="00F453F7">
              <w:rPr>
                <w:lang w:val="en-AU"/>
              </w:rPr>
              <w:t>Description</w:t>
            </w:r>
          </w:p>
        </w:tc>
      </w:tr>
      <w:tr w:rsidR="006C033A" w:rsidRPr="00F453F7" w:rsidTr="006A3F03">
        <w:trPr>
          <w:cantSplit/>
        </w:trPr>
        <w:tc>
          <w:tcPr>
            <w:tcW w:w="1696" w:type="dxa"/>
            <w:shd w:val="clear" w:color="auto" w:fill="auto"/>
          </w:tcPr>
          <w:p w:rsidR="006C033A" w:rsidRPr="00F453F7" w:rsidRDefault="006C033A" w:rsidP="006C033A">
            <w:pPr>
              <w:pStyle w:val="TableText"/>
              <w:rPr>
                <w:lang w:val="en-AU"/>
              </w:rPr>
            </w:pPr>
            <w:r w:rsidRPr="00F453F7">
              <w:rPr>
                <w:lang w:val="en-AU"/>
              </w:rPr>
              <w:t>Population</w:t>
            </w:r>
          </w:p>
        </w:tc>
        <w:tc>
          <w:tcPr>
            <w:tcW w:w="7320" w:type="dxa"/>
          </w:tcPr>
          <w:p w:rsidR="006C033A" w:rsidRPr="00F453F7" w:rsidRDefault="006C033A" w:rsidP="006C033A">
            <w:pPr>
              <w:pStyle w:val="TableText"/>
              <w:rPr>
                <w:lang w:val="en-AU"/>
              </w:rPr>
            </w:pPr>
            <w:r w:rsidRPr="00F453F7">
              <w:rPr>
                <w:lang w:val="en-AU"/>
              </w:rPr>
              <w:t>Patients with locally advanced or metastatic urothelial cancer who have disease progression during or following platinum-based chemotherapy.</w:t>
            </w:r>
          </w:p>
        </w:tc>
      </w:tr>
      <w:tr w:rsidR="006C033A" w:rsidRPr="00F453F7" w:rsidTr="006A3F03">
        <w:trPr>
          <w:cantSplit/>
        </w:trPr>
        <w:tc>
          <w:tcPr>
            <w:tcW w:w="1696" w:type="dxa"/>
            <w:shd w:val="clear" w:color="auto" w:fill="auto"/>
          </w:tcPr>
          <w:p w:rsidR="006C033A" w:rsidRPr="00F453F7" w:rsidRDefault="006C033A" w:rsidP="006C033A">
            <w:pPr>
              <w:pStyle w:val="TableText"/>
              <w:rPr>
                <w:lang w:val="en-AU"/>
              </w:rPr>
            </w:pPr>
            <w:r w:rsidRPr="00F453F7">
              <w:rPr>
                <w:lang w:val="en-AU"/>
              </w:rPr>
              <w:t>Intervention</w:t>
            </w:r>
          </w:p>
        </w:tc>
        <w:tc>
          <w:tcPr>
            <w:tcW w:w="7320" w:type="dxa"/>
          </w:tcPr>
          <w:p w:rsidR="006C033A" w:rsidRPr="00F453F7" w:rsidRDefault="006C033A" w:rsidP="006C033A">
            <w:pPr>
              <w:pStyle w:val="TableText"/>
              <w:rPr>
                <w:lang w:val="en-AU"/>
              </w:rPr>
            </w:pPr>
            <w:r w:rsidRPr="00F453F7">
              <w:rPr>
                <w:lang w:val="en-AU"/>
              </w:rPr>
              <w:t>Durvalumab 10 mg/kg administered every two weeks by IV infusion.</w:t>
            </w:r>
          </w:p>
        </w:tc>
      </w:tr>
      <w:tr w:rsidR="006C033A" w:rsidRPr="00F453F7" w:rsidTr="006A3F03">
        <w:trPr>
          <w:cantSplit/>
        </w:trPr>
        <w:tc>
          <w:tcPr>
            <w:tcW w:w="1696" w:type="dxa"/>
            <w:shd w:val="clear" w:color="auto" w:fill="auto"/>
          </w:tcPr>
          <w:p w:rsidR="006C033A" w:rsidRPr="00F453F7" w:rsidRDefault="006C033A" w:rsidP="006C033A">
            <w:pPr>
              <w:pStyle w:val="TableText"/>
              <w:rPr>
                <w:lang w:val="en-AU"/>
              </w:rPr>
            </w:pPr>
            <w:r w:rsidRPr="00F453F7">
              <w:rPr>
                <w:lang w:val="en-AU"/>
              </w:rPr>
              <w:t>Comparator</w:t>
            </w:r>
          </w:p>
        </w:tc>
        <w:tc>
          <w:tcPr>
            <w:tcW w:w="7320" w:type="dxa"/>
          </w:tcPr>
          <w:p w:rsidR="006C033A" w:rsidRPr="00F453F7" w:rsidRDefault="006C033A" w:rsidP="006C033A">
            <w:pPr>
              <w:pStyle w:val="TableText"/>
              <w:rPr>
                <w:lang w:val="en-AU"/>
              </w:rPr>
            </w:pPr>
            <w:r w:rsidRPr="00F453F7">
              <w:rPr>
                <w:lang w:val="en-AU"/>
              </w:rPr>
              <w:t>Pembrolizumab 200 mg administered every three weeks by IV infusion.</w:t>
            </w:r>
          </w:p>
        </w:tc>
      </w:tr>
      <w:tr w:rsidR="006C033A" w:rsidRPr="00F453F7" w:rsidTr="006A3F03">
        <w:trPr>
          <w:cantSplit/>
        </w:trPr>
        <w:tc>
          <w:tcPr>
            <w:tcW w:w="1696" w:type="dxa"/>
            <w:shd w:val="clear" w:color="auto" w:fill="auto"/>
          </w:tcPr>
          <w:p w:rsidR="006C033A" w:rsidRPr="00F453F7" w:rsidRDefault="006C033A" w:rsidP="006C033A">
            <w:pPr>
              <w:pStyle w:val="TableText"/>
              <w:rPr>
                <w:lang w:val="en-AU"/>
              </w:rPr>
            </w:pPr>
            <w:r w:rsidRPr="00F453F7">
              <w:rPr>
                <w:lang w:val="en-AU"/>
              </w:rPr>
              <w:t>Outcomes</w:t>
            </w:r>
          </w:p>
        </w:tc>
        <w:tc>
          <w:tcPr>
            <w:tcW w:w="7320" w:type="dxa"/>
          </w:tcPr>
          <w:p w:rsidR="006C033A" w:rsidRPr="00F453F7" w:rsidRDefault="006C033A" w:rsidP="006C033A">
            <w:pPr>
              <w:pStyle w:val="TableText"/>
              <w:rPr>
                <w:lang w:val="en-AU"/>
              </w:rPr>
            </w:pPr>
            <w:r w:rsidRPr="00F453F7">
              <w:rPr>
                <w:lang w:val="en-AU"/>
              </w:rPr>
              <w:t>Overall survival, progression-free survival, objective response rate, duration of response, health-related quality of life, safety/tolerability.</w:t>
            </w:r>
          </w:p>
        </w:tc>
      </w:tr>
      <w:tr w:rsidR="006C033A" w:rsidRPr="00F453F7" w:rsidTr="006A3F03">
        <w:trPr>
          <w:cantSplit/>
        </w:trPr>
        <w:tc>
          <w:tcPr>
            <w:tcW w:w="1696" w:type="dxa"/>
            <w:shd w:val="clear" w:color="auto" w:fill="auto"/>
          </w:tcPr>
          <w:p w:rsidR="006C033A" w:rsidRPr="00F453F7" w:rsidRDefault="006C033A" w:rsidP="006C033A">
            <w:pPr>
              <w:pStyle w:val="TableText"/>
              <w:rPr>
                <w:lang w:val="en-AU"/>
              </w:rPr>
            </w:pPr>
            <w:r w:rsidRPr="00F453F7">
              <w:rPr>
                <w:lang w:val="en-AU"/>
              </w:rPr>
              <w:t>Clinical claim</w:t>
            </w:r>
          </w:p>
        </w:tc>
        <w:tc>
          <w:tcPr>
            <w:tcW w:w="7320" w:type="dxa"/>
          </w:tcPr>
          <w:p w:rsidR="006C033A" w:rsidRPr="00F453F7" w:rsidRDefault="006C033A" w:rsidP="006C033A">
            <w:pPr>
              <w:pStyle w:val="TableText"/>
              <w:rPr>
                <w:lang w:val="en-AU"/>
              </w:rPr>
            </w:pPr>
            <w:r w:rsidRPr="00F453F7">
              <w:rPr>
                <w:lang w:val="en-AU"/>
              </w:rPr>
              <w:t>In patients with locally advanced or metastatic urothelial cancer whose disease has progressed during or following platinum-based chemotherapy, durvalumab 10 mg/kg every two weeks is non-inferior to pembrolizumab 200 mg every three weeks, in terms of clinical effectiveness and safety/tolerability.</w:t>
            </w:r>
          </w:p>
        </w:tc>
      </w:tr>
    </w:tbl>
    <w:p w:rsidR="006C033A" w:rsidRPr="00F453F7" w:rsidRDefault="006C033A" w:rsidP="006C033A">
      <w:pPr>
        <w:pStyle w:val="TableFooter"/>
      </w:pPr>
      <w:r w:rsidRPr="00F453F7">
        <w:t>Source: Table 1.1.1, p.13 of the submission.</w:t>
      </w:r>
    </w:p>
    <w:p w:rsidR="006C033A" w:rsidRPr="00F453F7" w:rsidRDefault="006C033A" w:rsidP="004D22DF">
      <w:pPr>
        <w:pStyle w:val="TableFooter"/>
      </w:pPr>
      <w:r w:rsidRPr="00F453F7">
        <w:t>Abbreviations: IV, intravenous.</w:t>
      </w:r>
    </w:p>
    <w:p w:rsidR="00E4041E" w:rsidRPr="00F453F7" w:rsidRDefault="00C317F3" w:rsidP="004D22DF">
      <w:pPr>
        <w:pStyle w:val="2-SectionHeading"/>
      </w:pPr>
      <w:bookmarkStart w:id="3" w:name="_Toc413139272"/>
      <w:bookmarkStart w:id="4" w:name="_Toc9428543"/>
      <w:r w:rsidRPr="00F453F7">
        <w:t>Requested listing</w:t>
      </w:r>
      <w:bookmarkEnd w:id="3"/>
      <w:bookmarkEnd w:id="4"/>
      <w:r w:rsidR="005C6285" w:rsidRPr="00F453F7">
        <w:t xml:space="preserve"> </w:t>
      </w:r>
    </w:p>
    <w:p w:rsidR="00090E3D" w:rsidRPr="00F453F7" w:rsidRDefault="00090E3D" w:rsidP="00A1349E">
      <w:pPr>
        <w:pStyle w:val="ListParagraph"/>
        <w:keepNext/>
        <w:keepLines/>
        <w:numPr>
          <w:ilvl w:val="1"/>
          <w:numId w:val="3"/>
        </w:numPr>
      </w:pPr>
      <w:r w:rsidRPr="00F453F7">
        <w:t>Suggestions and additions proposed by the Secretariat are added in italics and suggested deletions are crossed out with strikethrough.</w:t>
      </w:r>
    </w:p>
    <w:tbl>
      <w:tblPr>
        <w:tblStyle w:val="PlainTable21"/>
        <w:tblW w:w="9214" w:type="dxa"/>
        <w:tblLayout w:type="fixed"/>
        <w:tblLook w:val="04A0" w:firstRow="1" w:lastRow="0" w:firstColumn="1" w:lastColumn="0" w:noHBand="0" w:noVBand="1"/>
        <w:tblCaption w:val="Requested listing"/>
      </w:tblPr>
      <w:tblGrid>
        <w:gridCol w:w="2835"/>
        <w:gridCol w:w="993"/>
        <w:gridCol w:w="850"/>
        <w:gridCol w:w="1276"/>
        <w:gridCol w:w="1279"/>
        <w:gridCol w:w="1981"/>
      </w:tblGrid>
      <w:tr w:rsidR="006C033A" w:rsidRPr="00F453F7" w:rsidTr="00C205ED">
        <w:trPr>
          <w:cnfStyle w:val="100000000000" w:firstRow="1" w:lastRow="0" w:firstColumn="0" w:lastColumn="0" w:oddVBand="0" w:evenVBand="0" w:oddHBand="0" w:evenHBand="0" w:firstRowFirstColumn="0" w:firstRowLastColumn="0" w:lastRowFirstColumn="0" w:lastRowLastColumn="0"/>
          <w:trHeight w:val="201"/>
          <w:tblHeader/>
        </w:trPr>
        <w:tc>
          <w:tcPr>
            <w:cnfStyle w:val="001000000000" w:firstRow="0" w:lastRow="0" w:firstColumn="1" w:lastColumn="0" w:oddVBand="0" w:evenVBand="0" w:oddHBand="0" w:evenHBand="0" w:firstRowFirstColumn="0" w:firstRowLastColumn="0" w:lastRowFirstColumn="0" w:lastRowLastColumn="0"/>
            <w:tcW w:w="2835" w:type="dxa"/>
            <w:vMerge w:val="restart"/>
            <w:tcBorders>
              <w:top w:val="single" w:sz="4" w:space="0" w:color="auto"/>
              <w:bottom w:val="nil"/>
            </w:tcBorders>
          </w:tcPr>
          <w:p w:rsidR="006C033A" w:rsidRPr="00F453F7" w:rsidRDefault="006C033A" w:rsidP="006A3F03">
            <w:pPr>
              <w:pStyle w:val="Tabletext0"/>
              <w:rPr>
                <w:b w:val="0"/>
                <w:bCs w:val="0"/>
              </w:rPr>
            </w:pPr>
            <w:r w:rsidRPr="00F453F7">
              <w:t>Name, restriction, manner of administration, form</w:t>
            </w:r>
          </w:p>
        </w:tc>
        <w:tc>
          <w:tcPr>
            <w:tcW w:w="993" w:type="dxa"/>
            <w:vMerge w:val="restart"/>
            <w:tcBorders>
              <w:top w:val="single" w:sz="4" w:space="0" w:color="auto"/>
              <w:bottom w:val="nil"/>
            </w:tcBorders>
            <w:vAlign w:val="center"/>
          </w:tcPr>
          <w:p w:rsidR="006C033A" w:rsidRPr="00F453F7" w:rsidRDefault="006C033A" w:rsidP="006A3F03">
            <w:pPr>
              <w:pStyle w:val="Tabletext0"/>
              <w:jc w:val="center"/>
              <w:cnfStyle w:val="100000000000" w:firstRow="1" w:lastRow="0" w:firstColumn="0" w:lastColumn="0" w:oddVBand="0" w:evenVBand="0" w:oddHBand="0" w:evenHBand="0" w:firstRowFirstColumn="0" w:firstRowLastColumn="0" w:lastRowFirstColumn="0" w:lastRowLastColumn="0"/>
              <w:rPr>
                <w:b w:val="0"/>
                <w:bCs w:val="0"/>
              </w:rPr>
            </w:pPr>
            <w:r w:rsidRPr="00F453F7">
              <w:t>Max. Qty</w:t>
            </w:r>
          </w:p>
        </w:tc>
        <w:tc>
          <w:tcPr>
            <w:tcW w:w="850" w:type="dxa"/>
            <w:vMerge w:val="restart"/>
            <w:tcBorders>
              <w:top w:val="single" w:sz="4" w:space="0" w:color="auto"/>
              <w:bottom w:val="nil"/>
            </w:tcBorders>
          </w:tcPr>
          <w:p w:rsidR="006C033A" w:rsidRPr="00F453F7" w:rsidRDefault="006C033A" w:rsidP="006A3F03">
            <w:pPr>
              <w:pStyle w:val="Tabletext0"/>
              <w:jc w:val="center"/>
              <w:cnfStyle w:val="100000000000" w:firstRow="1" w:lastRow="0" w:firstColumn="0" w:lastColumn="0" w:oddVBand="0" w:evenVBand="0" w:oddHBand="0" w:evenHBand="0" w:firstRowFirstColumn="0" w:firstRowLastColumn="0" w:lastRowFirstColumn="0" w:lastRowLastColumn="0"/>
              <w:rPr>
                <w:b w:val="0"/>
                <w:bCs w:val="0"/>
              </w:rPr>
            </w:pPr>
            <w:r w:rsidRPr="00F453F7">
              <w:t>No. of repeats</w:t>
            </w:r>
          </w:p>
        </w:tc>
        <w:tc>
          <w:tcPr>
            <w:tcW w:w="2555" w:type="dxa"/>
            <w:gridSpan w:val="2"/>
            <w:tcBorders>
              <w:top w:val="single" w:sz="4" w:space="0" w:color="auto"/>
              <w:bottom w:val="nil"/>
            </w:tcBorders>
          </w:tcPr>
          <w:p w:rsidR="006C033A" w:rsidRPr="00F453F7" w:rsidRDefault="006C033A" w:rsidP="006A3F03">
            <w:pPr>
              <w:pStyle w:val="Tabletext0"/>
              <w:jc w:val="center"/>
              <w:cnfStyle w:val="100000000000" w:firstRow="1" w:lastRow="0" w:firstColumn="0" w:lastColumn="0" w:oddVBand="0" w:evenVBand="0" w:oddHBand="0" w:evenHBand="0" w:firstRowFirstColumn="0" w:firstRowLastColumn="0" w:lastRowFirstColumn="0" w:lastRowLastColumn="0"/>
              <w:rPr>
                <w:bCs w:val="0"/>
              </w:rPr>
            </w:pPr>
            <w:r w:rsidRPr="00F453F7">
              <w:t>DPMA</w:t>
            </w:r>
          </w:p>
        </w:tc>
        <w:tc>
          <w:tcPr>
            <w:tcW w:w="1981" w:type="dxa"/>
            <w:vMerge w:val="restart"/>
            <w:tcBorders>
              <w:top w:val="single" w:sz="4" w:space="0" w:color="auto"/>
              <w:bottom w:val="nil"/>
            </w:tcBorders>
          </w:tcPr>
          <w:p w:rsidR="006C033A" w:rsidRPr="00F453F7" w:rsidRDefault="006C033A" w:rsidP="006A3F03">
            <w:pPr>
              <w:pStyle w:val="Tabletext0"/>
              <w:jc w:val="center"/>
              <w:cnfStyle w:val="100000000000" w:firstRow="1" w:lastRow="0" w:firstColumn="0" w:lastColumn="0" w:oddVBand="0" w:evenVBand="0" w:oddHBand="0" w:evenHBand="0" w:firstRowFirstColumn="0" w:firstRowLastColumn="0" w:lastRowFirstColumn="0" w:lastRowLastColumn="0"/>
              <w:rPr>
                <w:b w:val="0"/>
                <w:bCs w:val="0"/>
              </w:rPr>
            </w:pPr>
            <w:r w:rsidRPr="00F453F7">
              <w:t>Proprietary name and manufacturer</w:t>
            </w:r>
          </w:p>
        </w:tc>
      </w:tr>
      <w:tr w:rsidR="006C033A" w:rsidRPr="00F453F7" w:rsidTr="00C205ED">
        <w:trPr>
          <w:cnfStyle w:val="100000000000" w:firstRow="1" w:lastRow="0" w:firstColumn="0" w:lastColumn="0" w:oddVBand="0" w:evenVBand="0" w:oddHBand="0" w:evenHBand="0" w:firstRowFirstColumn="0" w:firstRowLastColumn="0" w:lastRowFirstColumn="0" w:lastRowLastColumn="0"/>
          <w:trHeight w:val="247"/>
          <w:tblHeader/>
        </w:trPr>
        <w:tc>
          <w:tcPr>
            <w:cnfStyle w:val="001000000000" w:firstRow="0" w:lastRow="0" w:firstColumn="1" w:lastColumn="0" w:oddVBand="0" w:evenVBand="0" w:oddHBand="0" w:evenHBand="0" w:firstRowFirstColumn="0" w:firstRowLastColumn="0" w:lastRowFirstColumn="0" w:lastRowLastColumn="0"/>
            <w:tcW w:w="2835" w:type="dxa"/>
            <w:vMerge/>
            <w:tcBorders>
              <w:top w:val="nil"/>
              <w:bottom w:val="single" w:sz="4" w:space="0" w:color="auto"/>
            </w:tcBorders>
          </w:tcPr>
          <w:p w:rsidR="006C033A" w:rsidRPr="00F453F7" w:rsidRDefault="006C033A" w:rsidP="006A3F03">
            <w:pPr>
              <w:pStyle w:val="Tabletext0"/>
            </w:pPr>
          </w:p>
        </w:tc>
        <w:tc>
          <w:tcPr>
            <w:tcW w:w="993" w:type="dxa"/>
            <w:vMerge/>
            <w:tcBorders>
              <w:top w:val="nil"/>
              <w:bottom w:val="single" w:sz="4" w:space="0" w:color="auto"/>
            </w:tcBorders>
          </w:tcPr>
          <w:p w:rsidR="006C033A" w:rsidRPr="00F453F7" w:rsidRDefault="006C033A" w:rsidP="006A3F03">
            <w:pPr>
              <w:pStyle w:val="Tabletext0"/>
              <w:cnfStyle w:val="100000000000" w:firstRow="1" w:lastRow="0" w:firstColumn="0" w:lastColumn="0" w:oddVBand="0" w:evenVBand="0" w:oddHBand="0" w:evenHBand="0" w:firstRowFirstColumn="0" w:firstRowLastColumn="0" w:lastRowFirstColumn="0" w:lastRowLastColumn="0"/>
            </w:pPr>
          </w:p>
        </w:tc>
        <w:tc>
          <w:tcPr>
            <w:tcW w:w="850" w:type="dxa"/>
            <w:vMerge/>
            <w:tcBorders>
              <w:top w:val="nil"/>
              <w:bottom w:val="single" w:sz="4" w:space="0" w:color="auto"/>
            </w:tcBorders>
          </w:tcPr>
          <w:p w:rsidR="006C033A" w:rsidRPr="00F453F7" w:rsidRDefault="006C033A" w:rsidP="006A3F03">
            <w:pPr>
              <w:pStyle w:val="Tabletext0"/>
              <w:cnfStyle w:val="100000000000" w:firstRow="1" w:lastRow="0" w:firstColumn="0" w:lastColumn="0" w:oddVBand="0" w:evenVBand="0" w:oddHBand="0" w:evenHBand="0" w:firstRowFirstColumn="0" w:firstRowLastColumn="0" w:lastRowFirstColumn="0" w:lastRowLastColumn="0"/>
            </w:pPr>
          </w:p>
        </w:tc>
        <w:tc>
          <w:tcPr>
            <w:tcW w:w="1276" w:type="dxa"/>
            <w:tcBorders>
              <w:top w:val="nil"/>
              <w:bottom w:val="single" w:sz="4" w:space="0" w:color="auto"/>
            </w:tcBorders>
          </w:tcPr>
          <w:p w:rsidR="006C033A" w:rsidRPr="00F453F7" w:rsidRDefault="006C033A" w:rsidP="006A3F03">
            <w:pPr>
              <w:pStyle w:val="Tabletext0"/>
              <w:jc w:val="center"/>
              <w:cnfStyle w:val="100000000000" w:firstRow="1" w:lastRow="0" w:firstColumn="0" w:lastColumn="0" w:oddVBand="0" w:evenVBand="0" w:oddHBand="0" w:evenHBand="0" w:firstRowFirstColumn="0" w:firstRowLastColumn="0" w:lastRowFirstColumn="0" w:lastRowLastColumn="0"/>
              <w:rPr>
                <w:b w:val="0"/>
                <w:bCs w:val="0"/>
              </w:rPr>
            </w:pPr>
            <w:r w:rsidRPr="00F453F7">
              <w:rPr>
                <w:b w:val="0"/>
                <w:bCs w:val="0"/>
              </w:rPr>
              <w:t>Public</w:t>
            </w:r>
          </w:p>
        </w:tc>
        <w:tc>
          <w:tcPr>
            <w:tcW w:w="1279" w:type="dxa"/>
            <w:tcBorders>
              <w:top w:val="nil"/>
              <w:bottom w:val="single" w:sz="4" w:space="0" w:color="auto"/>
            </w:tcBorders>
          </w:tcPr>
          <w:p w:rsidR="006C033A" w:rsidRPr="00F453F7" w:rsidRDefault="006C033A" w:rsidP="006A3F03">
            <w:pPr>
              <w:pStyle w:val="Tabletext0"/>
              <w:jc w:val="center"/>
              <w:cnfStyle w:val="100000000000" w:firstRow="1" w:lastRow="0" w:firstColumn="0" w:lastColumn="0" w:oddVBand="0" w:evenVBand="0" w:oddHBand="0" w:evenHBand="0" w:firstRowFirstColumn="0" w:firstRowLastColumn="0" w:lastRowFirstColumn="0" w:lastRowLastColumn="0"/>
              <w:rPr>
                <w:b w:val="0"/>
              </w:rPr>
            </w:pPr>
            <w:r w:rsidRPr="00F453F7">
              <w:rPr>
                <w:b w:val="0"/>
                <w:bCs w:val="0"/>
              </w:rPr>
              <w:t>Private</w:t>
            </w:r>
          </w:p>
        </w:tc>
        <w:tc>
          <w:tcPr>
            <w:tcW w:w="1981" w:type="dxa"/>
            <w:vMerge/>
            <w:tcBorders>
              <w:top w:val="nil"/>
              <w:bottom w:val="single" w:sz="4" w:space="0" w:color="auto"/>
            </w:tcBorders>
          </w:tcPr>
          <w:p w:rsidR="006C033A" w:rsidRPr="00F453F7" w:rsidRDefault="006C033A" w:rsidP="006A3F03">
            <w:pPr>
              <w:pStyle w:val="Tabletext0"/>
              <w:cnfStyle w:val="100000000000" w:firstRow="1" w:lastRow="0" w:firstColumn="0" w:lastColumn="0" w:oddVBand="0" w:evenVBand="0" w:oddHBand="0" w:evenHBand="0" w:firstRowFirstColumn="0" w:firstRowLastColumn="0" w:lastRowFirstColumn="0" w:lastRowLastColumn="0"/>
            </w:pPr>
          </w:p>
        </w:tc>
      </w:tr>
      <w:tr w:rsidR="006C033A" w:rsidRPr="00F453F7" w:rsidTr="00690E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bottom w:val="nil"/>
            </w:tcBorders>
          </w:tcPr>
          <w:p w:rsidR="006C033A" w:rsidRPr="00F453F7" w:rsidRDefault="006C033A" w:rsidP="006A3F03">
            <w:pPr>
              <w:pStyle w:val="Tabletext0"/>
              <w:rPr>
                <w:b w:val="0"/>
              </w:rPr>
            </w:pPr>
            <w:r w:rsidRPr="00F453F7">
              <w:rPr>
                <w:b w:val="0"/>
              </w:rPr>
              <w:t xml:space="preserve">Durvalumab </w:t>
            </w:r>
          </w:p>
          <w:p w:rsidR="006C033A" w:rsidRPr="00F453F7" w:rsidRDefault="006C033A" w:rsidP="006A3F03">
            <w:pPr>
              <w:pStyle w:val="Tabletext0"/>
              <w:rPr>
                <w:b w:val="0"/>
              </w:rPr>
            </w:pPr>
            <w:r w:rsidRPr="00F453F7">
              <w:rPr>
                <w:b w:val="0"/>
              </w:rPr>
              <w:t xml:space="preserve">500 mg/10 mL, concentrated solution for IV infusion; </w:t>
            </w:r>
          </w:p>
          <w:p w:rsidR="006C033A" w:rsidRPr="00F453F7" w:rsidRDefault="006C033A" w:rsidP="006A3F03">
            <w:pPr>
              <w:pStyle w:val="Tabletext0"/>
              <w:rPr>
                <w:b w:val="0"/>
                <w:bCs w:val="0"/>
              </w:rPr>
            </w:pPr>
            <w:r w:rsidRPr="00F453F7">
              <w:rPr>
                <w:b w:val="0"/>
              </w:rPr>
              <w:t>120 mg/2.4 mL, concentrated solution for IV infusion</w:t>
            </w:r>
          </w:p>
        </w:tc>
        <w:tc>
          <w:tcPr>
            <w:tcW w:w="993" w:type="dxa"/>
            <w:tcBorders>
              <w:top w:val="single" w:sz="4" w:space="0" w:color="auto"/>
              <w:bottom w:val="nil"/>
            </w:tcBorders>
          </w:tcPr>
          <w:p w:rsidR="006C033A" w:rsidRPr="00F453F7" w:rsidRDefault="006C033A" w:rsidP="006A3F03">
            <w:pPr>
              <w:pStyle w:val="Tabletext0"/>
              <w:jc w:val="center"/>
              <w:cnfStyle w:val="000000100000" w:firstRow="0" w:lastRow="0" w:firstColumn="0" w:lastColumn="0" w:oddVBand="0" w:evenVBand="0" w:oddHBand="1" w:evenHBand="0" w:firstRowFirstColumn="0" w:firstRowLastColumn="0" w:lastRowFirstColumn="0" w:lastRowLastColumn="0"/>
              <w:rPr>
                <w:rFonts w:ascii="Times" w:hAnsi="Times"/>
              </w:rPr>
            </w:pPr>
            <w:r w:rsidRPr="00F453F7">
              <w:t>1240 mg</w:t>
            </w:r>
          </w:p>
        </w:tc>
        <w:tc>
          <w:tcPr>
            <w:tcW w:w="850" w:type="dxa"/>
            <w:tcBorders>
              <w:top w:val="single" w:sz="4" w:space="0" w:color="auto"/>
              <w:bottom w:val="nil"/>
            </w:tcBorders>
          </w:tcPr>
          <w:p w:rsidR="006C033A" w:rsidRPr="00F453F7" w:rsidRDefault="006C033A" w:rsidP="006A3F03">
            <w:pPr>
              <w:pStyle w:val="Tabletext0"/>
              <w:jc w:val="center"/>
              <w:cnfStyle w:val="000000100000" w:firstRow="0" w:lastRow="0" w:firstColumn="0" w:lastColumn="0" w:oddVBand="0" w:evenVBand="0" w:oddHBand="1" w:evenHBand="0" w:firstRowFirstColumn="0" w:firstRowLastColumn="0" w:lastRowFirstColumn="0" w:lastRowLastColumn="0"/>
              <w:rPr>
                <w:rFonts w:ascii="Times" w:hAnsi="Times"/>
              </w:rPr>
            </w:pPr>
            <w:r w:rsidRPr="00F453F7">
              <w:t>8</w:t>
            </w:r>
          </w:p>
        </w:tc>
        <w:tc>
          <w:tcPr>
            <w:tcW w:w="1276" w:type="dxa"/>
            <w:tcBorders>
              <w:top w:val="single" w:sz="4" w:space="0" w:color="auto"/>
              <w:bottom w:val="nil"/>
            </w:tcBorders>
          </w:tcPr>
          <w:p w:rsidR="006C033A" w:rsidRPr="00F453F7" w:rsidRDefault="006C033A" w:rsidP="006A3F03">
            <w:pPr>
              <w:pStyle w:val="Tabletext0"/>
              <w:jc w:val="center"/>
              <w:cnfStyle w:val="000000100000" w:firstRow="0" w:lastRow="0" w:firstColumn="0" w:lastColumn="0" w:oddVBand="0" w:evenVBand="0" w:oddHBand="1" w:evenHBand="0" w:firstRowFirstColumn="0" w:firstRowLastColumn="0" w:lastRowFirstColumn="0" w:lastRowLastColumn="0"/>
            </w:pPr>
            <w:r w:rsidRPr="00F453F7">
              <w:t>$</w:t>
            </w:r>
            <w:r w:rsidR="007A2599">
              <w:rPr>
                <w:noProof/>
                <w:color w:val="000000"/>
                <w:highlight w:val="black"/>
              </w:rPr>
              <w:t>''''''''''''''''''''''</w:t>
            </w:r>
            <w:r w:rsidRPr="00F453F7">
              <w:rPr>
                <w:vertAlign w:val="superscript"/>
              </w:rPr>
              <w:t>1</w:t>
            </w:r>
          </w:p>
        </w:tc>
        <w:tc>
          <w:tcPr>
            <w:tcW w:w="1279" w:type="dxa"/>
            <w:tcBorders>
              <w:top w:val="single" w:sz="4" w:space="0" w:color="auto"/>
              <w:bottom w:val="nil"/>
            </w:tcBorders>
          </w:tcPr>
          <w:p w:rsidR="006C033A" w:rsidRPr="00F453F7" w:rsidRDefault="006C033A" w:rsidP="006A3F03">
            <w:pPr>
              <w:pStyle w:val="Tabletext0"/>
              <w:jc w:val="center"/>
              <w:cnfStyle w:val="000000100000" w:firstRow="0" w:lastRow="0" w:firstColumn="0" w:lastColumn="0" w:oddVBand="0" w:evenVBand="0" w:oddHBand="1" w:evenHBand="0" w:firstRowFirstColumn="0" w:firstRowLastColumn="0" w:lastRowFirstColumn="0" w:lastRowLastColumn="0"/>
              <w:rPr>
                <w:vertAlign w:val="superscript"/>
              </w:rPr>
            </w:pPr>
            <w:r w:rsidRPr="00F453F7">
              <w:t>$</w:t>
            </w:r>
            <w:r w:rsidR="007A2599">
              <w:rPr>
                <w:noProof/>
                <w:color w:val="000000"/>
                <w:highlight w:val="black"/>
              </w:rPr>
              <w:t>''''''''''''''''''''''''</w:t>
            </w:r>
            <w:r w:rsidRPr="00F453F7">
              <w:rPr>
                <w:vertAlign w:val="superscript"/>
              </w:rPr>
              <w:t>1</w:t>
            </w:r>
          </w:p>
        </w:tc>
        <w:tc>
          <w:tcPr>
            <w:tcW w:w="1981" w:type="dxa"/>
            <w:tcBorders>
              <w:top w:val="single" w:sz="4" w:space="0" w:color="auto"/>
              <w:bottom w:val="nil"/>
            </w:tcBorders>
          </w:tcPr>
          <w:p w:rsidR="006C033A" w:rsidRPr="00F453F7" w:rsidRDefault="006C033A" w:rsidP="006A3F03">
            <w:pPr>
              <w:pStyle w:val="Tabletext0"/>
              <w:jc w:val="center"/>
              <w:cnfStyle w:val="000000100000" w:firstRow="0" w:lastRow="0" w:firstColumn="0" w:lastColumn="0" w:oddVBand="0" w:evenVBand="0" w:oddHBand="1" w:evenHBand="0" w:firstRowFirstColumn="0" w:firstRowLastColumn="0" w:lastRowFirstColumn="0" w:lastRowLastColumn="0"/>
            </w:pPr>
            <w:r w:rsidRPr="00F453F7">
              <w:t>Imfinzi™</w:t>
            </w:r>
          </w:p>
          <w:p w:rsidR="006C033A" w:rsidRPr="00F453F7" w:rsidRDefault="006C033A" w:rsidP="006A3F03">
            <w:pPr>
              <w:pStyle w:val="Tabletext0"/>
              <w:jc w:val="center"/>
              <w:cnfStyle w:val="000000100000" w:firstRow="0" w:lastRow="0" w:firstColumn="0" w:lastColumn="0" w:oddVBand="0" w:evenVBand="0" w:oddHBand="1" w:evenHBand="0" w:firstRowFirstColumn="0" w:firstRowLastColumn="0" w:lastRowFirstColumn="0" w:lastRowLastColumn="0"/>
            </w:pPr>
            <w:r w:rsidRPr="00F453F7">
              <w:t xml:space="preserve">AstraZeneca Pty Ltd </w:t>
            </w:r>
          </w:p>
        </w:tc>
      </w:tr>
    </w:tbl>
    <w:tbl>
      <w:tblPr>
        <w:tblW w:w="9219" w:type="dxa"/>
        <w:tblInd w:w="-5" w:type="dxa"/>
        <w:tblLayout w:type="fixed"/>
        <w:tblLook w:val="0000" w:firstRow="0" w:lastRow="0" w:firstColumn="0" w:lastColumn="0" w:noHBand="0" w:noVBand="0"/>
        <w:tblCaption w:val="Requested listing"/>
      </w:tblPr>
      <w:tblGrid>
        <w:gridCol w:w="2410"/>
        <w:gridCol w:w="6809"/>
      </w:tblGrid>
      <w:tr w:rsidR="00090E3D" w:rsidRPr="00F453F7" w:rsidTr="006A1F15">
        <w:trPr>
          <w:trHeight w:val="289"/>
        </w:trPr>
        <w:tc>
          <w:tcPr>
            <w:tcW w:w="2410" w:type="dxa"/>
            <w:tcBorders>
              <w:top w:val="single" w:sz="4" w:space="0" w:color="auto"/>
              <w:left w:val="single" w:sz="4" w:space="0" w:color="auto"/>
              <w:bottom w:val="single" w:sz="4" w:space="0" w:color="auto"/>
              <w:right w:val="single" w:sz="4" w:space="0" w:color="auto"/>
            </w:tcBorders>
          </w:tcPr>
          <w:p w:rsidR="00090E3D" w:rsidRPr="00F453F7" w:rsidRDefault="00090E3D" w:rsidP="00690EF8">
            <w:r w:rsidRPr="00F453F7">
              <w:rPr>
                <w:rFonts w:ascii="Arial Narrow" w:hAnsi="Arial Narrow" w:cs="Arial"/>
                <w:b/>
                <w:sz w:val="20"/>
                <w:szCs w:val="20"/>
              </w:rPr>
              <w:t>Category / Program:</w:t>
            </w:r>
          </w:p>
        </w:tc>
        <w:tc>
          <w:tcPr>
            <w:tcW w:w="6809" w:type="dxa"/>
            <w:tcBorders>
              <w:top w:val="single" w:sz="4" w:space="0" w:color="auto"/>
              <w:left w:val="single" w:sz="4" w:space="0" w:color="auto"/>
              <w:bottom w:val="single" w:sz="4" w:space="0" w:color="auto"/>
              <w:right w:val="single" w:sz="4" w:space="0" w:color="auto"/>
            </w:tcBorders>
          </w:tcPr>
          <w:p w:rsidR="00090E3D" w:rsidRPr="00F453F7" w:rsidRDefault="00090E3D" w:rsidP="00E76233">
            <w:pPr>
              <w:rPr>
                <w:rFonts w:ascii="Arial Narrow" w:hAnsi="Arial Narrow" w:cs="Arial"/>
                <w:sz w:val="20"/>
                <w:szCs w:val="20"/>
              </w:rPr>
            </w:pPr>
            <w:r w:rsidRPr="00F453F7">
              <w:rPr>
                <w:rFonts w:ascii="Arial Narrow" w:hAnsi="Arial Narrow" w:cs="Arial"/>
                <w:sz w:val="20"/>
                <w:szCs w:val="20"/>
              </w:rPr>
              <w:t>Section 100 – Efficient Funding of Chemotherapy</w:t>
            </w:r>
          </w:p>
        </w:tc>
      </w:tr>
      <w:tr w:rsidR="00090E3D" w:rsidRPr="00F453F7" w:rsidTr="00690EF8">
        <w:trPr>
          <w:trHeight w:val="360"/>
        </w:trPr>
        <w:tc>
          <w:tcPr>
            <w:tcW w:w="2410" w:type="dxa"/>
            <w:tcBorders>
              <w:top w:val="single" w:sz="4" w:space="0" w:color="auto"/>
              <w:left w:val="single" w:sz="4" w:space="0" w:color="auto"/>
              <w:bottom w:val="single" w:sz="4" w:space="0" w:color="auto"/>
              <w:right w:val="single" w:sz="4" w:space="0" w:color="auto"/>
            </w:tcBorders>
          </w:tcPr>
          <w:p w:rsidR="00090E3D" w:rsidRPr="00F453F7" w:rsidRDefault="00090E3D" w:rsidP="00E76233">
            <w:pPr>
              <w:rPr>
                <w:rFonts w:ascii="Arial Narrow" w:hAnsi="Arial Narrow" w:cs="Arial"/>
                <w:b/>
                <w:sz w:val="20"/>
                <w:szCs w:val="20"/>
              </w:rPr>
            </w:pPr>
            <w:r w:rsidRPr="00F453F7">
              <w:rPr>
                <w:rFonts w:ascii="Arial Narrow" w:hAnsi="Arial Narrow" w:cs="Arial"/>
                <w:b/>
                <w:sz w:val="20"/>
                <w:szCs w:val="20"/>
              </w:rPr>
              <w:t>Prescriber type:</w:t>
            </w:r>
          </w:p>
          <w:p w:rsidR="00090E3D" w:rsidRPr="00F453F7" w:rsidRDefault="00090E3D" w:rsidP="00E76233">
            <w:pPr>
              <w:rPr>
                <w:rFonts w:ascii="Arial Narrow" w:hAnsi="Arial Narrow" w:cs="Arial"/>
                <w:b/>
                <w:sz w:val="20"/>
                <w:szCs w:val="20"/>
              </w:rPr>
            </w:pPr>
          </w:p>
        </w:tc>
        <w:tc>
          <w:tcPr>
            <w:tcW w:w="6809" w:type="dxa"/>
            <w:tcBorders>
              <w:top w:val="single" w:sz="4" w:space="0" w:color="auto"/>
              <w:left w:val="single" w:sz="4" w:space="0" w:color="auto"/>
              <w:bottom w:val="single" w:sz="4" w:space="0" w:color="auto"/>
              <w:right w:val="single" w:sz="4" w:space="0" w:color="auto"/>
            </w:tcBorders>
          </w:tcPr>
          <w:p w:rsidR="00090E3D" w:rsidRPr="00F453F7" w:rsidRDefault="00090E3D" w:rsidP="00E76233">
            <w:pPr>
              <w:rPr>
                <w:rFonts w:ascii="Arial Narrow" w:hAnsi="Arial Narrow" w:cs="Arial"/>
                <w:sz w:val="20"/>
                <w:szCs w:val="20"/>
              </w:rPr>
            </w:pPr>
            <w:r w:rsidRPr="00F453F7">
              <w:rPr>
                <w:rFonts w:ascii="Arial Narrow" w:hAnsi="Arial Narrow" w:cs="Arial"/>
                <w:sz w:val="20"/>
                <w:szCs w:val="20"/>
              </w:rPr>
              <w:lastRenderedPageBreak/>
              <w:fldChar w:fldCharType="begin">
                <w:ffData>
                  <w:name w:val="Check1"/>
                  <w:enabled/>
                  <w:calcOnExit w:val="0"/>
                  <w:checkBox>
                    <w:sizeAuto/>
                    <w:default w:val="0"/>
                  </w:checkBox>
                </w:ffData>
              </w:fldChar>
            </w:r>
            <w:r w:rsidRPr="00F453F7">
              <w:rPr>
                <w:rFonts w:ascii="Arial Narrow" w:hAnsi="Arial Narrow" w:cs="Arial"/>
                <w:sz w:val="20"/>
                <w:szCs w:val="20"/>
              </w:rPr>
              <w:instrText xml:space="preserve"> FORMCHECKBOX </w:instrText>
            </w:r>
            <w:r w:rsidR="00C15CB6">
              <w:rPr>
                <w:rFonts w:ascii="Arial Narrow" w:hAnsi="Arial Narrow" w:cs="Arial"/>
                <w:sz w:val="20"/>
                <w:szCs w:val="20"/>
              </w:rPr>
            </w:r>
            <w:r w:rsidR="00C15CB6">
              <w:rPr>
                <w:rFonts w:ascii="Arial Narrow" w:hAnsi="Arial Narrow" w:cs="Arial"/>
                <w:sz w:val="20"/>
                <w:szCs w:val="20"/>
              </w:rPr>
              <w:fldChar w:fldCharType="separate"/>
            </w:r>
            <w:r w:rsidRPr="00F453F7">
              <w:rPr>
                <w:rFonts w:ascii="Arial Narrow" w:hAnsi="Arial Narrow" w:cs="Arial"/>
                <w:sz w:val="20"/>
                <w:szCs w:val="20"/>
              </w:rPr>
              <w:fldChar w:fldCharType="end"/>
            </w:r>
            <w:r w:rsidRPr="00F453F7">
              <w:rPr>
                <w:rFonts w:ascii="Arial Narrow" w:hAnsi="Arial Narrow" w:cs="Arial"/>
                <w:sz w:val="20"/>
                <w:szCs w:val="20"/>
              </w:rPr>
              <w:t xml:space="preserve">Dental  </w:t>
            </w:r>
            <w:r w:rsidRPr="00F453F7">
              <w:rPr>
                <w:rFonts w:ascii="Arial Narrow" w:hAnsi="Arial Narrow" w:cs="Arial"/>
                <w:sz w:val="20"/>
                <w:szCs w:val="20"/>
              </w:rPr>
              <w:fldChar w:fldCharType="begin">
                <w:ffData>
                  <w:name w:val=""/>
                  <w:enabled/>
                  <w:calcOnExit w:val="0"/>
                  <w:checkBox>
                    <w:sizeAuto/>
                    <w:default w:val="1"/>
                  </w:checkBox>
                </w:ffData>
              </w:fldChar>
            </w:r>
            <w:r w:rsidRPr="00F453F7">
              <w:rPr>
                <w:rFonts w:ascii="Arial Narrow" w:hAnsi="Arial Narrow" w:cs="Arial"/>
                <w:sz w:val="20"/>
                <w:szCs w:val="20"/>
              </w:rPr>
              <w:instrText xml:space="preserve"> FORMCHECKBOX </w:instrText>
            </w:r>
            <w:r w:rsidR="00C15CB6">
              <w:rPr>
                <w:rFonts w:ascii="Arial Narrow" w:hAnsi="Arial Narrow" w:cs="Arial"/>
                <w:sz w:val="20"/>
                <w:szCs w:val="20"/>
              </w:rPr>
            </w:r>
            <w:r w:rsidR="00C15CB6">
              <w:rPr>
                <w:rFonts w:ascii="Arial Narrow" w:hAnsi="Arial Narrow" w:cs="Arial"/>
                <w:sz w:val="20"/>
                <w:szCs w:val="20"/>
              </w:rPr>
              <w:fldChar w:fldCharType="separate"/>
            </w:r>
            <w:r w:rsidRPr="00F453F7">
              <w:rPr>
                <w:rFonts w:ascii="Arial Narrow" w:hAnsi="Arial Narrow" w:cs="Arial"/>
                <w:sz w:val="20"/>
                <w:szCs w:val="20"/>
              </w:rPr>
              <w:fldChar w:fldCharType="end"/>
            </w:r>
            <w:r w:rsidRPr="00F453F7">
              <w:rPr>
                <w:rFonts w:ascii="Arial Narrow" w:hAnsi="Arial Narrow" w:cs="Arial"/>
                <w:sz w:val="20"/>
                <w:szCs w:val="20"/>
              </w:rPr>
              <w:t xml:space="preserve">Medical Practitioners  </w:t>
            </w:r>
            <w:r w:rsidRPr="00F453F7">
              <w:rPr>
                <w:rFonts w:ascii="Arial Narrow" w:hAnsi="Arial Narrow" w:cs="Arial"/>
                <w:sz w:val="20"/>
                <w:szCs w:val="20"/>
              </w:rPr>
              <w:fldChar w:fldCharType="begin">
                <w:ffData>
                  <w:name w:val="Check3"/>
                  <w:enabled/>
                  <w:calcOnExit w:val="0"/>
                  <w:checkBox>
                    <w:sizeAuto/>
                    <w:default w:val="0"/>
                  </w:checkBox>
                </w:ffData>
              </w:fldChar>
            </w:r>
            <w:r w:rsidRPr="00F453F7">
              <w:rPr>
                <w:rFonts w:ascii="Arial Narrow" w:hAnsi="Arial Narrow" w:cs="Arial"/>
                <w:sz w:val="20"/>
                <w:szCs w:val="20"/>
              </w:rPr>
              <w:instrText xml:space="preserve"> FORMCHECKBOX </w:instrText>
            </w:r>
            <w:r w:rsidR="00C15CB6">
              <w:rPr>
                <w:rFonts w:ascii="Arial Narrow" w:hAnsi="Arial Narrow" w:cs="Arial"/>
                <w:sz w:val="20"/>
                <w:szCs w:val="20"/>
              </w:rPr>
            </w:r>
            <w:r w:rsidR="00C15CB6">
              <w:rPr>
                <w:rFonts w:ascii="Arial Narrow" w:hAnsi="Arial Narrow" w:cs="Arial"/>
                <w:sz w:val="20"/>
                <w:szCs w:val="20"/>
              </w:rPr>
              <w:fldChar w:fldCharType="separate"/>
            </w:r>
            <w:r w:rsidRPr="00F453F7">
              <w:rPr>
                <w:rFonts w:ascii="Arial Narrow" w:hAnsi="Arial Narrow" w:cs="Arial"/>
                <w:sz w:val="20"/>
                <w:szCs w:val="20"/>
              </w:rPr>
              <w:fldChar w:fldCharType="end"/>
            </w:r>
            <w:r w:rsidRPr="00F453F7">
              <w:rPr>
                <w:rFonts w:ascii="Arial Narrow" w:hAnsi="Arial Narrow" w:cs="Arial"/>
                <w:sz w:val="20"/>
                <w:szCs w:val="20"/>
              </w:rPr>
              <w:t xml:space="preserve">Nurse practitioners  </w:t>
            </w:r>
            <w:r w:rsidRPr="00F453F7">
              <w:rPr>
                <w:rFonts w:ascii="Arial Narrow" w:hAnsi="Arial Narrow" w:cs="Arial"/>
                <w:sz w:val="20"/>
                <w:szCs w:val="20"/>
              </w:rPr>
              <w:fldChar w:fldCharType="begin">
                <w:ffData>
                  <w:name w:val=""/>
                  <w:enabled/>
                  <w:calcOnExit w:val="0"/>
                  <w:checkBox>
                    <w:sizeAuto/>
                    <w:default w:val="0"/>
                  </w:checkBox>
                </w:ffData>
              </w:fldChar>
            </w:r>
            <w:r w:rsidRPr="00F453F7">
              <w:rPr>
                <w:rFonts w:ascii="Arial Narrow" w:hAnsi="Arial Narrow" w:cs="Arial"/>
                <w:sz w:val="20"/>
                <w:szCs w:val="20"/>
              </w:rPr>
              <w:instrText xml:space="preserve"> FORMCHECKBOX </w:instrText>
            </w:r>
            <w:r w:rsidR="00C15CB6">
              <w:rPr>
                <w:rFonts w:ascii="Arial Narrow" w:hAnsi="Arial Narrow" w:cs="Arial"/>
                <w:sz w:val="20"/>
                <w:szCs w:val="20"/>
              </w:rPr>
            </w:r>
            <w:r w:rsidR="00C15CB6">
              <w:rPr>
                <w:rFonts w:ascii="Arial Narrow" w:hAnsi="Arial Narrow" w:cs="Arial"/>
                <w:sz w:val="20"/>
                <w:szCs w:val="20"/>
              </w:rPr>
              <w:fldChar w:fldCharType="separate"/>
            </w:r>
            <w:r w:rsidRPr="00F453F7">
              <w:rPr>
                <w:rFonts w:ascii="Arial Narrow" w:hAnsi="Arial Narrow" w:cs="Arial"/>
                <w:sz w:val="20"/>
                <w:szCs w:val="20"/>
              </w:rPr>
              <w:fldChar w:fldCharType="end"/>
            </w:r>
            <w:r w:rsidRPr="00F453F7">
              <w:rPr>
                <w:rFonts w:ascii="Arial Narrow" w:hAnsi="Arial Narrow" w:cs="Arial"/>
                <w:sz w:val="20"/>
                <w:szCs w:val="20"/>
              </w:rPr>
              <w:t>Optometrists</w:t>
            </w:r>
          </w:p>
          <w:p w:rsidR="00090E3D" w:rsidRPr="00F453F7" w:rsidRDefault="00090E3D" w:rsidP="00E76233">
            <w:pPr>
              <w:rPr>
                <w:rFonts w:ascii="Arial Narrow" w:hAnsi="Arial Narrow" w:cs="Arial"/>
                <w:sz w:val="20"/>
                <w:szCs w:val="20"/>
              </w:rPr>
            </w:pPr>
            <w:r w:rsidRPr="00F453F7">
              <w:rPr>
                <w:rFonts w:ascii="Arial Narrow" w:hAnsi="Arial Narrow" w:cs="Arial"/>
                <w:sz w:val="20"/>
                <w:szCs w:val="20"/>
              </w:rPr>
              <w:lastRenderedPageBreak/>
              <w:fldChar w:fldCharType="begin">
                <w:ffData>
                  <w:name w:val="Check5"/>
                  <w:enabled/>
                  <w:calcOnExit w:val="0"/>
                  <w:checkBox>
                    <w:sizeAuto/>
                    <w:default w:val="0"/>
                  </w:checkBox>
                </w:ffData>
              </w:fldChar>
            </w:r>
            <w:r w:rsidRPr="00F453F7">
              <w:rPr>
                <w:rFonts w:ascii="Arial Narrow" w:hAnsi="Arial Narrow" w:cs="Arial"/>
                <w:sz w:val="20"/>
                <w:szCs w:val="20"/>
              </w:rPr>
              <w:instrText xml:space="preserve"> FORMCHECKBOX </w:instrText>
            </w:r>
            <w:r w:rsidR="00C15CB6">
              <w:rPr>
                <w:rFonts w:ascii="Arial Narrow" w:hAnsi="Arial Narrow" w:cs="Arial"/>
                <w:sz w:val="20"/>
                <w:szCs w:val="20"/>
              </w:rPr>
            </w:r>
            <w:r w:rsidR="00C15CB6">
              <w:rPr>
                <w:rFonts w:ascii="Arial Narrow" w:hAnsi="Arial Narrow" w:cs="Arial"/>
                <w:sz w:val="20"/>
                <w:szCs w:val="20"/>
              </w:rPr>
              <w:fldChar w:fldCharType="separate"/>
            </w:r>
            <w:r w:rsidRPr="00F453F7">
              <w:rPr>
                <w:rFonts w:ascii="Arial Narrow" w:hAnsi="Arial Narrow" w:cs="Arial"/>
                <w:sz w:val="20"/>
                <w:szCs w:val="20"/>
              </w:rPr>
              <w:fldChar w:fldCharType="end"/>
            </w:r>
            <w:r w:rsidRPr="00F453F7">
              <w:rPr>
                <w:rFonts w:ascii="Arial Narrow" w:hAnsi="Arial Narrow" w:cs="Arial"/>
                <w:sz w:val="20"/>
                <w:szCs w:val="20"/>
              </w:rPr>
              <w:t>Midwives</w:t>
            </w:r>
          </w:p>
        </w:tc>
      </w:tr>
      <w:tr w:rsidR="00090E3D" w:rsidRPr="00F453F7" w:rsidTr="00A1349E">
        <w:trPr>
          <w:trHeight w:val="159"/>
        </w:trPr>
        <w:tc>
          <w:tcPr>
            <w:tcW w:w="2410" w:type="dxa"/>
            <w:tcBorders>
              <w:top w:val="single" w:sz="4" w:space="0" w:color="auto"/>
              <w:left w:val="single" w:sz="4" w:space="0" w:color="auto"/>
              <w:bottom w:val="single" w:sz="4" w:space="0" w:color="auto"/>
              <w:right w:val="single" w:sz="4" w:space="0" w:color="auto"/>
            </w:tcBorders>
          </w:tcPr>
          <w:p w:rsidR="00090E3D" w:rsidRPr="00F453F7" w:rsidRDefault="00090E3D" w:rsidP="00E76233">
            <w:pPr>
              <w:rPr>
                <w:rFonts w:ascii="Arial Narrow" w:hAnsi="Arial Narrow" w:cs="Arial"/>
                <w:b/>
                <w:sz w:val="20"/>
                <w:szCs w:val="20"/>
              </w:rPr>
            </w:pPr>
            <w:r w:rsidRPr="00F453F7">
              <w:rPr>
                <w:rFonts w:ascii="Arial Narrow" w:hAnsi="Arial Narrow" w:cs="Arial"/>
                <w:b/>
                <w:sz w:val="20"/>
                <w:szCs w:val="20"/>
              </w:rPr>
              <w:lastRenderedPageBreak/>
              <w:t>Severity:</w:t>
            </w:r>
          </w:p>
        </w:tc>
        <w:tc>
          <w:tcPr>
            <w:tcW w:w="6809" w:type="dxa"/>
            <w:tcBorders>
              <w:top w:val="single" w:sz="4" w:space="0" w:color="auto"/>
              <w:left w:val="single" w:sz="4" w:space="0" w:color="auto"/>
              <w:bottom w:val="single" w:sz="4" w:space="0" w:color="auto"/>
              <w:right w:val="single" w:sz="4" w:space="0" w:color="auto"/>
            </w:tcBorders>
          </w:tcPr>
          <w:p w:rsidR="00090E3D" w:rsidRPr="00F453F7" w:rsidRDefault="00090E3D" w:rsidP="00E76233">
            <w:pPr>
              <w:rPr>
                <w:rFonts w:ascii="Arial Narrow" w:hAnsi="Arial Narrow" w:cs="Arial"/>
                <w:sz w:val="20"/>
                <w:szCs w:val="20"/>
              </w:rPr>
            </w:pPr>
            <w:r w:rsidRPr="00F453F7">
              <w:rPr>
                <w:rFonts w:ascii="Arial Narrow" w:hAnsi="Arial Narrow" w:cstheme="minorHAnsi"/>
                <w:sz w:val="20"/>
                <w:szCs w:val="20"/>
              </w:rPr>
              <w:t>Locally advanced (Stage III) or metastatic (Stage IV) urothelial cancer</w:t>
            </w:r>
          </w:p>
        </w:tc>
      </w:tr>
      <w:tr w:rsidR="00090E3D" w:rsidRPr="00F453F7" w:rsidTr="00A1349E">
        <w:trPr>
          <w:trHeight w:val="205"/>
        </w:trPr>
        <w:tc>
          <w:tcPr>
            <w:tcW w:w="2410" w:type="dxa"/>
            <w:tcBorders>
              <w:top w:val="single" w:sz="4" w:space="0" w:color="auto"/>
              <w:left w:val="single" w:sz="4" w:space="0" w:color="auto"/>
              <w:bottom w:val="single" w:sz="4" w:space="0" w:color="auto"/>
              <w:right w:val="single" w:sz="4" w:space="0" w:color="auto"/>
            </w:tcBorders>
          </w:tcPr>
          <w:p w:rsidR="00090E3D" w:rsidRPr="00F453F7" w:rsidRDefault="00090E3D" w:rsidP="00E76233">
            <w:pPr>
              <w:rPr>
                <w:rFonts w:ascii="Arial Narrow" w:hAnsi="Arial Narrow" w:cs="Arial"/>
                <w:b/>
                <w:sz w:val="20"/>
                <w:szCs w:val="20"/>
              </w:rPr>
            </w:pPr>
            <w:r w:rsidRPr="00F453F7">
              <w:rPr>
                <w:rFonts w:ascii="Arial Narrow" w:hAnsi="Arial Narrow" w:cs="Arial"/>
                <w:b/>
                <w:sz w:val="20"/>
                <w:szCs w:val="20"/>
              </w:rPr>
              <w:t>Condition:</w:t>
            </w:r>
          </w:p>
        </w:tc>
        <w:tc>
          <w:tcPr>
            <w:tcW w:w="6809" w:type="dxa"/>
            <w:tcBorders>
              <w:top w:val="single" w:sz="4" w:space="0" w:color="auto"/>
              <w:left w:val="single" w:sz="4" w:space="0" w:color="auto"/>
              <w:bottom w:val="single" w:sz="4" w:space="0" w:color="auto"/>
              <w:right w:val="single" w:sz="4" w:space="0" w:color="auto"/>
            </w:tcBorders>
          </w:tcPr>
          <w:p w:rsidR="00090E3D" w:rsidRPr="00F453F7" w:rsidRDefault="00090E3D" w:rsidP="00E76233">
            <w:pPr>
              <w:rPr>
                <w:rFonts w:ascii="Arial Narrow" w:hAnsi="Arial Narrow" w:cs="Arial"/>
                <w:sz w:val="20"/>
                <w:szCs w:val="20"/>
              </w:rPr>
            </w:pPr>
            <w:r w:rsidRPr="00F453F7">
              <w:rPr>
                <w:rFonts w:ascii="Arial Narrow" w:hAnsi="Arial Narrow" w:cstheme="minorHAnsi"/>
                <w:sz w:val="20"/>
                <w:szCs w:val="20"/>
              </w:rPr>
              <w:t>Urothelial cancer</w:t>
            </w:r>
          </w:p>
        </w:tc>
      </w:tr>
      <w:tr w:rsidR="00090E3D" w:rsidRPr="00F453F7" w:rsidTr="00A1349E">
        <w:trPr>
          <w:trHeight w:val="109"/>
        </w:trPr>
        <w:tc>
          <w:tcPr>
            <w:tcW w:w="2410" w:type="dxa"/>
            <w:tcBorders>
              <w:top w:val="single" w:sz="4" w:space="0" w:color="auto"/>
              <w:left w:val="single" w:sz="4" w:space="0" w:color="auto"/>
              <w:bottom w:val="single" w:sz="4" w:space="0" w:color="auto"/>
              <w:right w:val="single" w:sz="4" w:space="0" w:color="auto"/>
            </w:tcBorders>
          </w:tcPr>
          <w:p w:rsidR="00090E3D" w:rsidRPr="00F453F7" w:rsidRDefault="00090E3D" w:rsidP="00E76233">
            <w:pPr>
              <w:rPr>
                <w:rFonts w:ascii="Arial Narrow" w:hAnsi="Arial Narrow" w:cs="Arial"/>
                <w:b/>
                <w:sz w:val="20"/>
                <w:szCs w:val="20"/>
              </w:rPr>
            </w:pPr>
            <w:r w:rsidRPr="00F453F7">
              <w:rPr>
                <w:rFonts w:ascii="Arial Narrow" w:hAnsi="Arial Narrow" w:cs="Arial"/>
                <w:b/>
                <w:sz w:val="20"/>
                <w:szCs w:val="20"/>
              </w:rPr>
              <w:t>PBS Indication:</w:t>
            </w:r>
          </w:p>
        </w:tc>
        <w:tc>
          <w:tcPr>
            <w:tcW w:w="6809" w:type="dxa"/>
            <w:tcBorders>
              <w:top w:val="single" w:sz="4" w:space="0" w:color="auto"/>
              <w:left w:val="single" w:sz="4" w:space="0" w:color="auto"/>
              <w:bottom w:val="single" w:sz="4" w:space="0" w:color="auto"/>
              <w:right w:val="single" w:sz="4" w:space="0" w:color="auto"/>
            </w:tcBorders>
          </w:tcPr>
          <w:p w:rsidR="00090E3D" w:rsidRPr="00F453F7" w:rsidRDefault="00090E3D" w:rsidP="00E76233">
            <w:pPr>
              <w:rPr>
                <w:rFonts w:ascii="Arial Narrow" w:hAnsi="Arial Narrow" w:cs="Arial"/>
                <w:sz w:val="20"/>
                <w:szCs w:val="20"/>
              </w:rPr>
            </w:pPr>
            <w:r w:rsidRPr="00F453F7">
              <w:rPr>
                <w:rFonts w:ascii="Arial Narrow" w:hAnsi="Arial Narrow" w:cstheme="minorHAnsi"/>
                <w:sz w:val="20"/>
                <w:szCs w:val="20"/>
              </w:rPr>
              <w:t>Locally advanced (Stage III) or metastatic (Stage IV) urothelial cancer</w:t>
            </w:r>
          </w:p>
        </w:tc>
      </w:tr>
      <w:tr w:rsidR="00090E3D" w:rsidRPr="00F453F7" w:rsidTr="00A1349E">
        <w:trPr>
          <w:trHeight w:val="155"/>
        </w:trPr>
        <w:tc>
          <w:tcPr>
            <w:tcW w:w="2410" w:type="dxa"/>
            <w:tcBorders>
              <w:top w:val="single" w:sz="4" w:space="0" w:color="auto"/>
              <w:left w:val="single" w:sz="4" w:space="0" w:color="auto"/>
              <w:bottom w:val="single" w:sz="4" w:space="0" w:color="auto"/>
              <w:right w:val="single" w:sz="4" w:space="0" w:color="auto"/>
            </w:tcBorders>
          </w:tcPr>
          <w:p w:rsidR="00090E3D" w:rsidRPr="00F453F7" w:rsidRDefault="00090E3D" w:rsidP="00E76233">
            <w:pPr>
              <w:rPr>
                <w:rFonts w:ascii="Arial Narrow" w:hAnsi="Arial Narrow" w:cs="Arial"/>
                <w:b/>
                <w:sz w:val="20"/>
                <w:szCs w:val="20"/>
              </w:rPr>
            </w:pPr>
            <w:r w:rsidRPr="00F453F7">
              <w:rPr>
                <w:rFonts w:ascii="Arial Narrow" w:hAnsi="Arial Narrow" w:cs="Arial"/>
                <w:b/>
                <w:sz w:val="20"/>
                <w:szCs w:val="20"/>
              </w:rPr>
              <w:t>Treatment phase:</w:t>
            </w:r>
          </w:p>
        </w:tc>
        <w:tc>
          <w:tcPr>
            <w:tcW w:w="6809" w:type="dxa"/>
            <w:tcBorders>
              <w:top w:val="single" w:sz="4" w:space="0" w:color="auto"/>
              <w:left w:val="single" w:sz="4" w:space="0" w:color="auto"/>
              <w:bottom w:val="single" w:sz="4" w:space="0" w:color="auto"/>
              <w:right w:val="single" w:sz="4" w:space="0" w:color="auto"/>
            </w:tcBorders>
          </w:tcPr>
          <w:p w:rsidR="00090E3D" w:rsidRPr="00F453F7" w:rsidRDefault="00090E3D" w:rsidP="00E76233">
            <w:pPr>
              <w:rPr>
                <w:rFonts w:ascii="Arial Narrow" w:hAnsi="Arial Narrow" w:cs="Arial"/>
                <w:sz w:val="20"/>
                <w:szCs w:val="20"/>
              </w:rPr>
            </w:pPr>
            <w:r w:rsidRPr="00F453F7">
              <w:rPr>
                <w:rFonts w:ascii="Arial Narrow" w:hAnsi="Arial Narrow" w:cstheme="minorHAnsi"/>
                <w:sz w:val="20"/>
                <w:szCs w:val="20"/>
              </w:rPr>
              <w:t>Initial treatment</w:t>
            </w:r>
          </w:p>
        </w:tc>
      </w:tr>
      <w:tr w:rsidR="00090E3D" w:rsidRPr="00F453F7" w:rsidTr="00690EF8">
        <w:trPr>
          <w:trHeight w:val="360"/>
        </w:trPr>
        <w:tc>
          <w:tcPr>
            <w:tcW w:w="2410" w:type="dxa"/>
            <w:tcBorders>
              <w:top w:val="single" w:sz="4" w:space="0" w:color="auto"/>
              <w:left w:val="single" w:sz="4" w:space="0" w:color="auto"/>
              <w:bottom w:val="single" w:sz="4" w:space="0" w:color="auto"/>
              <w:right w:val="single" w:sz="4" w:space="0" w:color="auto"/>
            </w:tcBorders>
          </w:tcPr>
          <w:p w:rsidR="00090E3D" w:rsidRPr="00F453F7" w:rsidRDefault="00090E3D" w:rsidP="00E76233">
            <w:pPr>
              <w:rPr>
                <w:rFonts w:ascii="Arial Narrow" w:hAnsi="Arial Narrow" w:cs="Arial"/>
                <w:b/>
                <w:sz w:val="20"/>
                <w:szCs w:val="20"/>
              </w:rPr>
            </w:pPr>
            <w:r w:rsidRPr="00F453F7">
              <w:rPr>
                <w:rFonts w:ascii="Arial Narrow" w:hAnsi="Arial Narrow" w:cs="Arial"/>
                <w:b/>
                <w:sz w:val="20"/>
                <w:szCs w:val="20"/>
              </w:rPr>
              <w:t>Restriction Level / Method:</w:t>
            </w:r>
          </w:p>
          <w:p w:rsidR="00090E3D" w:rsidRPr="00F453F7" w:rsidRDefault="00090E3D" w:rsidP="00E76233">
            <w:pPr>
              <w:rPr>
                <w:rFonts w:ascii="Arial Narrow" w:hAnsi="Arial Narrow" w:cs="Arial"/>
                <w:i/>
                <w:sz w:val="20"/>
                <w:szCs w:val="20"/>
              </w:rPr>
            </w:pPr>
          </w:p>
          <w:p w:rsidR="00090E3D" w:rsidRPr="00F453F7" w:rsidRDefault="00090E3D" w:rsidP="00E76233">
            <w:pPr>
              <w:rPr>
                <w:rFonts w:ascii="Arial Narrow" w:hAnsi="Arial Narrow" w:cs="Arial"/>
                <w:i/>
                <w:sz w:val="20"/>
                <w:szCs w:val="20"/>
              </w:rPr>
            </w:pPr>
          </w:p>
          <w:p w:rsidR="00090E3D" w:rsidRPr="00F453F7" w:rsidRDefault="00090E3D" w:rsidP="00E76233">
            <w:pPr>
              <w:rPr>
                <w:rFonts w:ascii="Arial Narrow" w:hAnsi="Arial Narrow" w:cs="Arial"/>
                <w:i/>
                <w:sz w:val="20"/>
                <w:szCs w:val="20"/>
              </w:rPr>
            </w:pPr>
          </w:p>
        </w:tc>
        <w:tc>
          <w:tcPr>
            <w:tcW w:w="6809" w:type="dxa"/>
            <w:tcBorders>
              <w:top w:val="single" w:sz="4" w:space="0" w:color="auto"/>
              <w:left w:val="single" w:sz="4" w:space="0" w:color="auto"/>
              <w:bottom w:val="single" w:sz="4" w:space="0" w:color="auto"/>
              <w:right w:val="single" w:sz="4" w:space="0" w:color="auto"/>
            </w:tcBorders>
          </w:tcPr>
          <w:p w:rsidR="00090E3D" w:rsidRPr="00F453F7" w:rsidRDefault="00090E3D" w:rsidP="00E76233">
            <w:pPr>
              <w:rPr>
                <w:rFonts w:ascii="Arial Narrow" w:hAnsi="Arial Narrow" w:cs="Arial"/>
                <w:sz w:val="20"/>
                <w:szCs w:val="20"/>
              </w:rPr>
            </w:pPr>
            <w:r w:rsidRPr="00F453F7">
              <w:rPr>
                <w:rFonts w:ascii="Arial Narrow" w:hAnsi="Arial Narrow" w:cs="Arial"/>
                <w:sz w:val="20"/>
                <w:szCs w:val="20"/>
              </w:rPr>
              <w:fldChar w:fldCharType="begin">
                <w:ffData>
                  <w:name w:val="Check1"/>
                  <w:enabled/>
                  <w:calcOnExit w:val="0"/>
                  <w:checkBox>
                    <w:sizeAuto/>
                    <w:default w:val="0"/>
                  </w:checkBox>
                </w:ffData>
              </w:fldChar>
            </w:r>
            <w:r w:rsidRPr="00F453F7">
              <w:rPr>
                <w:rFonts w:ascii="Arial Narrow" w:hAnsi="Arial Narrow" w:cs="Arial"/>
                <w:sz w:val="20"/>
                <w:szCs w:val="20"/>
              </w:rPr>
              <w:instrText xml:space="preserve"> FORMCHECKBOX </w:instrText>
            </w:r>
            <w:r w:rsidR="00C15CB6">
              <w:rPr>
                <w:rFonts w:ascii="Arial Narrow" w:hAnsi="Arial Narrow" w:cs="Arial"/>
                <w:sz w:val="20"/>
                <w:szCs w:val="20"/>
              </w:rPr>
            </w:r>
            <w:r w:rsidR="00C15CB6">
              <w:rPr>
                <w:rFonts w:ascii="Arial Narrow" w:hAnsi="Arial Narrow" w:cs="Arial"/>
                <w:sz w:val="20"/>
                <w:szCs w:val="20"/>
              </w:rPr>
              <w:fldChar w:fldCharType="separate"/>
            </w:r>
            <w:r w:rsidRPr="00F453F7">
              <w:rPr>
                <w:rFonts w:ascii="Arial Narrow" w:hAnsi="Arial Narrow" w:cs="Arial"/>
                <w:sz w:val="20"/>
                <w:szCs w:val="20"/>
              </w:rPr>
              <w:fldChar w:fldCharType="end"/>
            </w:r>
            <w:r w:rsidRPr="00F453F7">
              <w:rPr>
                <w:rFonts w:ascii="Arial Narrow" w:hAnsi="Arial Narrow" w:cs="Arial"/>
                <w:sz w:val="20"/>
                <w:szCs w:val="20"/>
              </w:rPr>
              <w:t>Restricted benefit</w:t>
            </w:r>
          </w:p>
          <w:p w:rsidR="00090E3D" w:rsidRPr="00F453F7" w:rsidRDefault="00090E3D" w:rsidP="00E76233">
            <w:pPr>
              <w:rPr>
                <w:rFonts w:ascii="Arial Narrow" w:hAnsi="Arial Narrow" w:cs="Arial"/>
                <w:sz w:val="20"/>
                <w:szCs w:val="20"/>
              </w:rPr>
            </w:pPr>
            <w:r w:rsidRPr="00F453F7">
              <w:rPr>
                <w:rFonts w:ascii="Arial Narrow" w:hAnsi="Arial Narrow" w:cs="Arial"/>
                <w:sz w:val="20"/>
                <w:szCs w:val="20"/>
              </w:rPr>
              <w:fldChar w:fldCharType="begin">
                <w:ffData>
                  <w:name w:val=""/>
                  <w:enabled/>
                  <w:calcOnExit w:val="0"/>
                  <w:checkBox>
                    <w:sizeAuto/>
                    <w:default w:val="0"/>
                  </w:checkBox>
                </w:ffData>
              </w:fldChar>
            </w:r>
            <w:r w:rsidRPr="00F453F7">
              <w:rPr>
                <w:rFonts w:ascii="Arial Narrow" w:hAnsi="Arial Narrow" w:cs="Arial"/>
                <w:sz w:val="20"/>
                <w:szCs w:val="20"/>
              </w:rPr>
              <w:instrText xml:space="preserve"> FORMCHECKBOX </w:instrText>
            </w:r>
            <w:r w:rsidR="00C15CB6">
              <w:rPr>
                <w:rFonts w:ascii="Arial Narrow" w:hAnsi="Arial Narrow" w:cs="Arial"/>
                <w:sz w:val="20"/>
                <w:szCs w:val="20"/>
              </w:rPr>
            </w:r>
            <w:r w:rsidR="00C15CB6">
              <w:rPr>
                <w:rFonts w:ascii="Arial Narrow" w:hAnsi="Arial Narrow" w:cs="Arial"/>
                <w:sz w:val="20"/>
                <w:szCs w:val="20"/>
              </w:rPr>
              <w:fldChar w:fldCharType="separate"/>
            </w:r>
            <w:r w:rsidRPr="00F453F7">
              <w:rPr>
                <w:rFonts w:ascii="Arial Narrow" w:hAnsi="Arial Narrow" w:cs="Arial"/>
                <w:sz w:val="20"/>
                <w:szCs w:val="20"/>
              </w:rPr>
              <w:fldChar w:fldCharType="end"/>
            </w:r>
            <w:r w:rsidRPr="00F453F7">
              <w:rPr>
                <w:rFonts w:ascii="Arial Narrow" w:hAnsi="Arial Narrow" w:cs="Arial"/>
                <w:sz w:val="20"/>
                <w:szCs w:val="20"/>
              </w:rPr>
              <w:t>Authority Required – In Writing</w:t>
            </w:r>
          </w:p>
          <w:p w:rsidR="00090E3D" w:rsidRPr="00F453F7" w:rsidRDefault="00090E3D" w:rsidP="00E76233">
            <w:pPr>
              <w:rPr>
                <w:rFonts w:ascii="Arial Narrow" w:hAnsi="Arial Narrow" w:cs="Arial"/>
                <w:sz w:val="20"/>
                <w:szCs w:val="20"/>
              </w:rPr>
            </w:pPr>
            <w:r w:rsidRPr="00F453F7">
              <w:rPr>
                <w:rFonts w:ascii="Arial Narrow" w:hAnsi="Arial Narrow" w:cs="Arial"/>
                <w:sz w:val="20"/>
                <w:szCs w:val="20"/>
              </w:rPr>
              <w:fldChar w:fldCharType="begin">
                <w:ffData>
                  <w:name w:val="Check3"/>
                  <w:enabled/>
                  <w:calcOnExit w:val="0"/>
                  <w:checkBox>
                    <w:sizeAuto/>
                    <w:default w:val="0"/>
                  </w:checkBox>
                </w:ffData>
              </w:fldChar>
            </w:r>
            <w:r w:rsidRPr="00F453F7">
              <w:rPr>
                <w:rFonts w:ascii="Arial Narrow" w:hAnsi="Arial Narrow" w:cs="Arial"/>
                <w:sz w:val="20"/>
                <w:szCs w:val="20"/>
              </w:rPr>
              <w:instrText xml:space="preserve"> FORMCHECKBOX </w:instrText>
            </w:r>
            <w:r w:rsidR="00C15CB6">
              <w:rPr>
                <w:rFonts w:ascii="Arial Narrow" w:hAnsi="Arial Narrow" w:cs="Arial"/>
                <w:sz w:val="20"/>
                <w:szCs w:val="20"/>
              </w:rPr>
            </w:r>
            <w:r w:rsidR="00C15CB6">
              <w:rPr>
                <w:rFonts w:ascii="Arial Narrow" w:hAnsi="Arial Narrow" w:cs="Arial"/>
                <w:sz w:val="20"/>
                <w:szCs w:val="20"/>
              </w:rPr>
              <w:fldChar w:fldCharType="separate"/>
            </w:r>
            <w:r w:rsidRPr="00F453F7">
              <w:rPr>
                <w:rFonts w:ascii="Arial Narrow" w:hAnsi="Arial Narrow" w:cs="Arial"/>
                <w:sz w:val="20"/>
                <w:szCs w:val="20"/>
              </w:rPr>
              <w:fldChar w:fldCharType="end"/>
            </w:r>
            <w:r w:rsidRPr="00F453F7">
              <w:rPr>
                <w:rFonts w:ascii="Arial Narrow" w:hAnsi="Arial Narrow" w:cs="Arial"/>
                <w:sz w:val="20"/>
                <w:szCs w:val="20"/>
              </w:rPr>
              <w:t>Authority Required – Telephone/Electronic/Emergency</w:t>
            </w:r>
          </w:p>
          <w:p w:rsidR="00090E3D" w:rsidRPr="00F453F7" w:rsidRDefault="00090E3D" w:rsidP="00E76233">
            <w:pPr>
              <w:rPr>
                <w:rFonts w:ascii="Arial Narrow" w:hAnsi="Arial Narrow" w:cs="Arial"/>
                <w:sz w:val="20"/>
                <w:szCs w:val="20"/>
              </w:rPr>
            </w:pPr>
            <w:r w:rsidRPr="00F453F7">
              <w:rPr>
                <w:rFonts w:ascii="Arial Narrow" w:hAnsi="Arial Narrow" w:cs="Arial"/>
                <w:sz w:val="20"/>
                <w:szCs w:val="20"/>
              </w:rPr>
              <w:fldChar w:fldCharType="begin">
                <w:ffData>
                  <w:name w:val="Check5"/>
                  <w:enabled/>
                  <w:calcOnExit w:val="0"/>
                  <w:checkBox>
                    <w:sizeAuto/>
                    <w:default w:val="1"/>
                  </w:checkBox>
                </w:ffData>
              </w:fldChar>
            </w:r>
            <w:r w:rsidRPr="00F453F7">
              <w:rPr>
                <w:rFonts w:ascii="Arial Narrow" w:hAnsi="Arial Narrow" w:cs="Arial"/>
                <w:sz w:val="20"/>
                <w:szCs w:val="20"/>
              </w:rPr>
              <w:instrText xml:space="preserve"> FORMCHECKBOX </w:instrText>
            </w:r>
            <w:r w:rsidR="00C15CB6">
              <w:rPr>
                <w:rFonts w:ascii="Arial Narrow" w:hAnsi="Arial Narrow" w:cs="Arial"/>
                <w:sz w:val="20"/>
                <w:szCs w:val="20"/>
              </w:rPr>
            </w:r>
            <w:r w:rsidR="00C15CB6">
              <w:rPr>
                <w:rFonts w:ascii="Arial Narrow" w:hAnsi="Arial Narrow" w:cs="Arial"/>
                <w:sz w:val="20"/>
                <w:szCs w:val="20"/>
              </w:rPr>
              <w:fldChar w:fldCharType="separate"/>
            </w:r>
            <w:r w:rsidRPr="00F453F7">
              <w:rPr>
                <w:rFonts w:ascii="Arial Narrow" w:hAnsi="Arial Narrow" w:cs="Arial"/>
                <w:sz w:val="20"/>
                <w:szCs w:val="20"/>
              </w:rPr>
              <w:fldChar w:fldCharType="end"/>
            </w:r>
            <w:r w:rsidRPr="00F453F7">
              <w:rPr>
                <w:rFonts w:ascii="Arial Narrow" w:hAnsi="Arial Narrow" w:cs="Arial"/>
                <w:sz w:val="20"/>
                <w:szCs w:val="20"/>
              </w:rPr>
              <w:t>Streamlined</w:t>
            </w:r>
          </w:p>
        </w:tc>
      </w:tr>
      <w:tr w:rsidR="00090E3D" w:rsidRPr="00F453F7" w:rsidTr="00690EF8">
        <w:trPr>
          <w:trHeight w:val="657"/>
        </w:trPr>
        <w:tc>
          <w:tcPr>
            <w:tcW w:w="2410" w:type="dxa"/>
            <w:tcBorders>
              <w:top w:val="single" w:sz="4" w:space="0" w:color="auto"/>
              <w:left w:val="single" w:sz="4" w:space="0" w:color="auto"/>
              <w:bottom w:val="single" w:sz="4" w:space="0" w:color="auto"/>
              <w:right w:val="single" w:sz="4" w:space="0" w:color="auto"/>
            </w:tcBorders>
          </w:tcPr>
          <w:p w:rsidR="00090E3D" w:rsidRPr="00F453F7" w:rsidRDefault="00090E3D" w:rsidP="00E76233">
            <w:pPr>
              <w:rPr>
                <w:rFonts w:ascii="Arial Narrow" w:hAnsi="Arial Narrow" w:cs="Arial"/>
                <w:b/>
                <w:sz w:val="20"/>
                <w:szCs w:val="20"/>
              </w:rPr>
            </w:pPr>
            <w:r w:rsidRPr="00F453F7">
              <w:rPr>
                <w:rFonts w:ascii="Arial Narrow" w:hAnsi="Arial Narrow" w:cs="Arial"/>
                <w:b/>
                <w:sz w:val="20"/>
                <w:szCs w:val="20"/>
              </w:rPr>
              <w:t>Clinical criteria:</w:t>
            </w:r>
          </w:p>
          <w:p w:rsidR="00090E3D" w:rsidRPr="00F453F7" w:rsidRDefault="00090E3D" w:rsidP="00E76233">
            <w:pPr>
              <w:rPr>
                <w:rFonts w:ascii="Arial Narrow" w:hAnsi="Arial Narrow" w:cs="Arial"/>
                <w:b/>
                <w:sz w:val="20"/>
                <w:szCs w:val="20"/>
              </w:rPr>
            </w:pPr>
          </w:p>
        </w:tc>
        <w:tc>
          <w:tcPr>
            <w:tcW w:w="6809" w:type="dxa"/>
            <w:tcBorders>
              <w:top w:val="single" w:sz="4" w:space="0" w:color="auto"/>
              <w:left w:val="single" w:sz="4" w:space="0" w:color="auto"/>
              <w:bottom w:val="single" w:sz="4" w:space="0" w:color="auto"/>
              <w:right w:val="single" w:sz="4" w:space="0" w:color="auto"/>
            </w:tcBorders>
          </w:tcPr>
          <w:p w:rsidR="00090E3D" w:rsidRPr="00F453F7" w:rsidRDefault="00090E3D" w:rsidP="00E76233">
            <w:pPr>
              <w:spacing w:after="60"/>
              <w:rPr>
                <w:rFonts w:ascii="Arial Narrow" w:hAnsi="Arial Narrow" w:cstheme="minorHAnsi"/>
                <w:sz w:val="20"/>
                <w:szCs w:val="20"/>
              </w:rPr>
            </w:pPr>
            <w:r w:rsidRPr="00F453F7">
              <w:rPr>
                <w:rFonts w:ascii="Arial Narrow" w:hAnsi="Arial Narrow" w:cstheme="minorHAnsi"/>
                <w:sz w:val="20"/>
                <w:szCs w:val="20"/>
              </w:rPr>
              <w:t>The treatment must be the sole PBS-subsidised treatment for this condition,</w:t>
            </w:r>
          </w:p>
          <w:p w:rsidR="00090E3D" w:rsidRPr="00F453F7" w:rsidRDefault="00090E3D" w:rsidP="00E76233">
            <w:pPr>
              <w:spacing w:after="60"/>
              <w:rPr>
                <w:rFonts w:ascii="Arial Narrow" w:hAnsi="Arial Narrow" w:cstheme="minorHAnsi"/>
                <w:sz w:val="20"/>
                <w:szCs w:val="20"/>
              </w:rPr>
            </w:pPr>
            <w:r w:rsidRPr="00F453F7">
              <w:rPr>
                <w:rFonts w:ascii="Arial Narrow" w:hAnsi="Arial Narrow" w:cstheme="minorHAnsi"/>
                <w:sz w:val="20"/>
                <w:szCs w:val="20"/>
              </w:rPr>
              <w:t>AND</w:t>
            </w:r>
          </w:p>
          <w:p w:rsidR="00090E3D" w:rsidRPr="00F453F7" w:rsidRDefault="00090E3D" w:rsidP="00E76233">
            <w:pPr>
              <w:spacing w:after="60"/>
              <w:rPr>
                <w:rFonts w:ascii="Arial Narrow" w:hAnsi="Arial Narrow" w:cstheme="minorHAnsi"/>
                <w:sz w:val="20"/>
                <w:szCs w:val="20"/>
              </w:rPr>
            </w:pPr>
            <w:r w:rsidRPr="00F453F7">
              <w:rPr>
                <w:rFonts w:ascii="Arial Narrow" w:hAnsi="Arial Narrow" w:cstheme="minorHAnsi"/>
                <w:sz w:val="20"/>
                <w:szCs w:val="20"/>
              </w:rPr>
              <w:t xml:space="preserve">The condition must have progressed on or after prior platinum-based chemotherapy </w:t>
            </w:r>
            <w:r w:rsidRPr="00F453F7">
              <w:rPr>
                <w:rFonts w:ascii="Arial Narrow" w:hAnsi="Arial Narrow" w:cstheme="minorHAnsi"/>
                <w:i/>
                <w:sz w:val="20"/>
                <w:szCs w:val="20"/>
              </w:rPr>
              <w:t>for this condition in the metastatic setting or for inoperable locally advanced disease</w:t>
            </w:r>
          </w:p>
          <w:p w:rsidR="00090E3D" w:rsidRPr="00F453F7" w:rsidRDefault="00090E3D" w:rsidP="00E76233">
            <w:pPr>
              <w:spacing w:after="60"/>
              <w:rPr>
                <w:rFonts w:ascii="Arial Narrow" w:hAnsi="Arial Narrow" w:cstheme="minorHAnsi"/>
                <w:sz w:val="20"/>
                <w:szCs w:val="20"/>
              </w:rPr>
            </w:pPr>
            <w:r w:rsidRPr="00F453F7">
              <w:rPr>
                <w:rFonts w:ascii="Arial Narrow" w:hAnsi="Arial Narrow" w:cstheme="minorHAnsi"/>
                <w:sz w:val="20"/>
                <w:szCs w:val="20"/>
              </w:rPr>
              <w:t>OR</w:t>
            </w:r>
          </w:p>
          <w:p w:rsidR="00090E3D" w:rsidRPr="00F453F7" w:rsidRDefault="00090E3D" w:rsidP="00E76233">
            <w:pPr>
              <w:spacing w:after="60"/>
              <w:rPr>
                <w:rFonts w:ascii="Arial Narrow" w:hAnsi="Arial Narrow" w:cstheme="minorHAnsi"/>
                <w:sz w:val="20"/>
                <w:szCs w:val="20"/>
              </w:rPr>
            </w:pPr>
            <w:r w:rsidRPr="00F453F7">
              <w:rPr>
                <w:rFonts w:ascii="Arial Narrow" w:hAnsi="Arial Narrow" w:cstheme="minorHAnsi"/>
                <w:sz w:val="20"/>
                <w:szCs w:val="20"/>
              </w:rPr>
              <w:t>The condition must have progressed on or within 12 months of completion of adjuvant platinum containing chemotherapy following cystectomy for localised muscle-invasive urothelial cancer</w:t>
            </w:r>
          </w:p>
          <w:p w:rsidR="00090E3D" w:rsidRPr="00F453F7" w:rsidRDefault="00090E3D" w:rsidP="00E76233">
            <w:pPr>
              <w:spacing w:after="60"/>
              <w:rPr>
                <w:rFonts w:ascii="Arial Narrow" w:hAnsi="Arial Narrow" w:cstheme="minorHAnsi"/>
                <w:sz w:val="20"/>
                <w:szCs w:val="20"/>
              </w:rPr>
            </w:pPr>
            <w:r w:rsidRPr="00F453F7">
              <w:rPr>
                <w:rFonts w:ascii="Arial Narrow" w:hAnsi="Arial Narrow" w:cstheme="minorHAnsi"/>
                <w:sz w:val="20"/>
                <w:szCs w:val="20"/>
              </w:rPr>
              <w:t>OR</w:t>
            </w:r>
          </w:p>
          <w:p w:rsidR="00090E3D" w:rsidRPr="00F453F7" w:rsidRDefault="00090E3D" w:rsidP="00E76233">
            <w:pPr>
              <w:spacing w:after="60"/>
              <w:rPr>
                <w:rFonts w:ascii="Arial Narrow" w:hAnsi="Arial Narrow" w:cstheme="minorHAnsi"/>
                <w:sz w:val="20"/>
                <w:szCs w:val="20"/>
              </w:rPr>
            </w:pPr>
            <w:r w:rsidRPr="00F453F7">
              <w:rPr>
                <w:rFonts w:ascii="Arial Narrow" w:hAnsi="Arial Narrow" w:cstheme="minorHAnsi"/>
                <w:sz w:val="20"/>
                <w:szCs w:val="20"/>
              </w:rPr>
              <w:t>The condition must have progressed on or within 12 months of completion of neoadjuvant platinum containing chemotherapy prior to cystectomy for localised muscle-invasive urothelial cancer</w:t>
            </w:r>
          </w:p>
          <w:p w:rsidR="00090E3D" w:rsidRPr="00F453F7" w:rsidRDefault="00090E3D" w:rsidP="00E76233">
            <w:pPr>
              <w:spacing w:after="60"/>
              <w:rPr>
                <w:rFonts w:ascii="Arial Narrow" w:hAnsi="Arial Narrow" w:cstheme="minorHAnsi"/>
                <w:sz w:val="20"/>
                <w:szCs w:val="20"/>
              </w:rPr>
            </w:pPr>
            <w:r w:rsidRPr="00F453F7">
              <w:rPr>
                <w:rFonts w:ascii="Arial Narrow" w:hAnsi="Arial Narrow" w:cstheme="minorHAnsi"/>
                <w:sz w:val="20"/>
                <w:szCs w:val="20"/>
              </w:rPr>
              <w:t>AND</w:t>
            </w:r>
          </w:p>
          <w:p w:rsidR="00090E3D" w:rsidRPr="00F453F7" w:rsidRDefault="00090E3D" w:rsidP="00E76233">
            <w:pPr>
              <w:spacing w:after="60"/>
              <w:rPr>
                <w:rFonts w:ascii="Arial Narrow" w:hAnsi="Arial Narrow" w:cstheme="minorHAnsi"/>
                <w:sz w:val="20"/>
                <w:szCs w:val="20"/>
              </w:rPr>
            </w:pPr>
            <w:r w:rsidRPr="00F453F7">
              <w:rPr>
                <w:rFonts w:ascii="Arial Narrow" w:hAnsi="Arial Narrow" w:cstheme="minorHAnsi"/>
                <w:sz w:val="20"/>
                <w:szCs w:val="20"/>
              </w:rPr>
              <w:t>Patient must have WHO performance status of 2 or less</w:t>
            </w:r>
          </w:p>
          <w:p w:rsidR="00090E3D" w:rsidRPr="00F453F7" w:rsidRDefault="00090E3D" w:rsidP="00E76233">
            <w:pPr>
              <w:spacing w:after="60"/>
              <w:rPr>
                <w:rFonts w:ascii="Arial Narrow" w:hAnsi="Arial Narrow" w:cstheme="minorHAnsi"/>
                <w:sz w:val="20"/>
                <w:szCs w:val="20"/>
              </w:rPr>
            </w:pPr>
            <w:r w:rsidRPr="00F453F7">
              <w:rPr>
                <w:rFonts w:ascii="Arial Narrow" w:hAnsi="Arial Narrow" w:cstheme="minorHAnsi"/>
                <w:sz w:val="20"/>
                <w:szCs w:val="20"/>
              </w:rPr>
              <w:t>AND</w:t>
            </w:r>
          </w:p>
          <w:p w:rsidR="00090E3D" w:rsidRPr="00F453F7" w:rsidRDefault="00090E3D" w:rsidP="00E76233">
            <w:pPr>
              <w:spacing w:after="60"/>
              <w:rPr>
                <w:rFonts w:ascii="Arial Narrow" w:hAnsi="Arial Narrow" w:cstheme="minorHAnsi"/>
                <w:sz w:val="20"/>
                <w:szCs w:val="20"/>
              </w:rPr>
            </w:pPr>
            <w:r w:rsidRPr="00F453F7">
              <w:rPr>
                <w:rFonts w:ascii="Arial Narrow" w:hAnsi="Arial Narrow" w:cstheme="minorHAnsi"/>
                <w:sz w:val="20"/>
                <w:szCs w:val="20"/>
              </w:rPr>
              <w:t>The treatment must not exceed a total of 9 doses at 10 mg/kg/dose every 2 weeks for this condition under this restriction.</w:t>
            </w:r>
          </w:p>
        </w:tc>
      </w:tr>
      <w:tr w:rsidR="00090E3D" w:rsidRPr="00F453F7" w:rsidTr="00690EF8">
        <w:trPr>
          <w:trHeight w:val="360"/>
        </w:trPr>
        <w:tc>
          <w:tcPr>
            <w:tcW w:w="2410" w:type="dxa"/>
            <w:tcBorders>
              <w:top w:val="single" w:sz="4" w:space="0" w:color="auto"/>
              <w:left w:val="single" w:sz="4" w:space="0" w:color="auto"/>
              <w:bottom w:val="single" w:sz="4" w:space="0" w:color="auto"/>
              <w:right w:val="single" w:sz="4" w:space="0" w:color="auto"/>
            </w:tcBorders>
          </w:tcPr>
          <w:p w:rsidR="00090E3D" w:rsidRPr="00F453F7" w:rsidRDefault="00090E3D" w:rsidP="00E76233">
            <w:pPr>
              <w:rPr>
                <w:rFonts w:ascii="Arial Narrow" w:hAnsi="Arial Narrow" w:cs="Arial"/>
                <w:b/>
                <w:sz w:val="20"/>
                <w:szCs w:val="20"/>
              </w:rPr>
            </w:pPr>
            <w:r w:rsidRPr="00F453F7">
              <w:rPr>
                <w:rFonts w:ascii="Arial Narrow" w:hAnsi="Arial Narrow" w:cs="Arial"/>
                <w:b/>
                <w:sz w:val="20"/>
                <w:szCs w:val="20"/>
              </w:rPr>
              <w:t>Administrative Advice:</w:t>
            </w:r>
          </w:p>
          <w:p w:rsidR="00090E3D" w:rsidRPr="00F453F7" w:rsidRDefault="00090E3D" w:rsidP="00E76233">
            <w:pPr>
              <w:rPr>
                <w:rFonts w:ascii="Arial Narrow" w:hAnsi="Arial Narrow" w:cs="Arial"/>
                <w:i/>
                <w:sz w:val="20"/>
                <w:szCs w:val="20"/>
              </w:rPr>
            </w:pPr>
          </w:p>
        </w:tc>
        <w:tc>
          <w:tcPr>
            <w:tcW w:w="6809" w:type="dxa"/>
            <w:tcBorders>
              <w:top w:val="single" w:sz="4" w:space="0" w:color="auto"/>
              <w:left w:val="single" w:sz="4" w:space="0" w:color="auto"/>
              <w:bottom w:val="single" w:sz="4" w:space="0" w:color="auto"/>
              <w:right w:val="single" w:sz="4" w:space="0" w:color="auto"/>
            </w:tcBorders>
          </w:tcPr>
          <w:p w:rsidR="00090E3D" w:rsidRPr="00F453F7" w:rsidRDefault="00090E3D" w:rsidP="00E76233">
            <w:pPr>
              <w:spacing w:after="60"/>
              <w:rPr>
                <w:rFonts w:ascii="Arial Narrow" w:hAnsi="Arial Narrow" w:cstheme="minorHAnsi"/>
                <w:strike/>
                <w:sz w:val="20"/>
                <w:szCs w:val="20"/>
              </w:rPr>
            </w:pPr>
            <w:r w:rsidRPr="00F453F7">
              <w:rPr>
                <w:rFonts w:ascii="Arial Narrow" w:hAnsi="Arial Narrow" w:cstheme="minorHAnsi"/>
                <w:strike/>
                <w:sz w:val="20"/>
                <w:szCs w:val="20"/>
              </w:rPr>
              <w:t>No increase in the maximum quantity or number of units will be authorised</w:t>
            </w:r>
          </w:p>
          <w:p w:rsidR="00090E3D" w:rsidRPr="00F453F7" w:rsidRDefault="00090E3D" w:rsidP="00E76233">
            <w:pPr>
              <w:spacing w:after="60"/>
              <w:rPr>
                <w:rFonts w:ascii="Arial Narrow" w:hAnsi="Arial Narrow" w:cstheme="minorHAnsi"/>
                <w:strike/>
                <w:sz w:val="20"/>
                <w:szCs w:val="20"/>
              </w:rPr>
            </w:pPr>
            <w:r w:rsidRPr="00F453F7">
              <w:rPr>
                <w:rFonts w:ascii="Arial Narrow" w:hAnsi="Arial Narrow" w:cstheme="minorHAnsi"/>
                <w:strike/>
                <w:sz w:val="20"/>
                <w:szCs w:val="20"/>
              </w:rPr>
              <w:t>No increase in the maximum number of repeats may be authorised</w:t>
            </w:r>
          </w:p>
          <w:p w:rsidR="00090E3D" w:rsidRPr="00F453F7" w:rsidRDefault="00090E3D" w:rsidP="00E76233">
            <w:pPr>
              <w:spacing w:after="60"/>
              <w:rPr>
                <w:rFonts w:ascii="Arial Narrow" w:hAnsi="Arial Narrow" w:cstheme="minorHAnsi"/>
                <w:sz w:val="20"/>
                <w:szCs w:val="20"/>
              </w:rPr>
            </w:pPr>
            <w:r w:rsidRPr="00F453F7">
              <w:rPr>
                <w:rFonts w:ascii="Arial Narrow" w:hAnsi="Arial Narrow" w:cstheme="minorHAnsi"/>
                <w:sz w:val="20"/>
                <w:szCs w:val="20"/>
              </w:rPr>
              <w:t>In the first few months after start of immunotherapy some patients can have a transient tumour flare with subsequent disease response. When progression is suspected this should be confirmed through a confirmatory scan taken at least 4 weeks later.</w:t>
            </w:r>
          </w:p>
          <w:p w:rsidR="00090E3D" w:rsidRPr="00F453F7" w:rsidRDefault="00090E3D" w:rsidP="00E76233">
            <w:pPr>
              <w:spacing w:after="60"/>
              <w:rPr>
                <w:rFonts w:ascii="Arial Narrow" w:hAnsi="Arial Narrow" w:cs="Arial"/>
                <w:sz w:val="20"/>
                <w:szCs w:val="20"/>
              </w:rPr>
            </w:pPr>
            <w:r w:rsidRPr="00F453F7">
              <w:rPr>
                <w:rFonts w:ascii="Arial Narrow" w:hAnsi="Arial Narrow" w:cstheme="minorHAnsi"/>
                <w:sz w:val="20"/>
                <w:szCs w:val="20"/>
              </w:rPr>
              <w:t>Special Pricing Arrangements apply.</w:t>
            </w:r>
          </w:p>
        </w:tc>
      </w:tr>
      <w:tr w:rsidR="00090E3D" w:rsidRPr="00F453F7" w:rsidTr="00690EF8">
        <w:trPr>
          <w:cantSplit/>
          <w:trHeight w:val="360"/>
        </w:trPr>
        <w:tc>
          <w:tcPr>
            <w:tcW w:w="9219" w:type="dxa"/>
            <w:gridSpan w:val="2"/>
            <w:tcBorders>
              <w:bottom w:val="single" w:sz="4" w:space="0" w:color="auto"/>
            </w:tcBorders>
          </w:tcPr>
          <w:p w:rsidR="00090E3D" w:rsidRPr="00F453F7" w:rsidRDefault="00090E3D" w:rsidP="00E76233">
            <w:pPr>
              <w:rPr>
                <w:rFonts w:ascii="Arial Narrow" w:hAnsi="Arial Narrow" w:cs="Arial"/>
                <w:sz w:val="20"/>
                <w:szCs w:val="20"/>
              </w:rPr>
            </w:pPr>
          </w:p>
        </w:tc>
      </w:tr>
      <w:tr w:rsidR="00090E3D" w:rsidRPr="00F453F7" w:rsidTr="006A1F15">
        <w:trPr>
          <w:cantSplit/>
          <w:trHeight w:val="178"/>
        </w:trPr>
        <w:tc>
          <w:tcPr>
            <w:tcW w:w="2410" w:type="dxa"/>
            <w:tcBorders>
              <w:top w:val="single" w:sz="4" w:space="0" w:color="auto"/>
              <w:left w:val="single" w:sz="4" w:space="0" w:color="auto"/>
              <w:bottom w:val="single" w:sz="4" w:space="0" w:color="auto"/>
              <w:right w:val="single" w:sz="4" w:space="0" w:color="auto"/>
            </w:tcBorders>
          </w:tcPr>
          <w:p w:rsidR="00090E3D" w:rsidRPr="00F453F7" w:rsidRDefault="00090E3D" w:rsidP="00E76233">
            <w:pPr>
              <w:rPr>
                <w:rFonts w:ascii="Arial Narrow" w:hAnsi="Arial Narrow" w:cs="Arial"/>
                <w:b/>
                <w:sz w:val="20"/>
                <w:szCs w:val="20"/>
              </w:rPr>
            </w:pPr>
            <w:r w:rsidRPr="00F453F7">
              <w:rPr>
                <w:rFonts w:ascii="Arial Narrow" w:hAnsi="Arial Narrow" w:cs="Arial"/>
                <w:b/>
                <w:sz w:val="20"/>
                <w:szCs w:val="20"/>
              </w:rPr>
              <w:t>Category / Program:</w:t>
            </w:r>
          </w:p>
        </w:tc>
        <w:tc>
          <w:tcPr>
            <w:tcW w:w="6809" w:type="dxa"/>
            <w:tcBorders>
              <w:top w:val="single" w:sz="4" w:space="0" w:color="auto"/>
              <w:left w:val="single" w:sz="4" w:space="0" w:color="auto"/>
              <w:bottom w:val="single" w:sz="4" w:space="0" w:color="auto"/>
              <w:right w:val="single" w:sz="4" w:space="0" w:color="auto"/>
            </w:tcBorders>
          </w:tcPr>
          <w:p w:rsidR="00090E3D" w:rsidRPr="00F453F7" w:rsidRDefault="00090E3D" w:rsidP="00E76233">
            <w:pPr>
              <w:rPr>
                <w:rFonts w:ascii="Arial Narrow" w:hAnsi="Arial Narrow" w:cs="Arial"/>
                <w:sz w:val="20"/>
                <w:szCs w:val="20"/>
              </w:rPr>
            </w:pPr>
            <w:r w:rsidRPr="00F453F7">
              <w:rPr>
                <w:rFonts w:ascii="Arial Narrow" w:hAnsi="Arial Narrow" w:cs="Arial"/>
                <w:sz w:val="20"/>
                <w:szCs w:val="20"/>
              </w:rPr>
              <w:t>Section 100 – Efficient Funding of Chemotherapy</w:t>
            </w:r>
          </w:p>
        </w:tc>
      </w:tr>
      <w:tr w:rsidR="00090E3D" w:rsidRPr="00F453F7" w:rsidTr="00690EF8">
        <w:trPr>
          <w:cantSplit/>
          <w:trHeight w:val="360"/>
        </w:trPr>
        <w:tc>
          <w:tcPr>
            <w:tcW w:w="2410" w:type="dxa"/>
            <w:tcBorders>
              <w:top w:val="single" w:sz="4" w:space="0" w:color="auto"/>
              <w:left w:val="single" w:sz="4" w:space="0" w:color="auto"/>
              <w:bottom w:val="single" w:sz="4" w:space="0" w:color="auto"/>
              <w:right w:val="single" w:sz="4" w:space="0" w:color="auto"/>
            </w:tcBorders>
          </w:tcPr>
          <w:p w:rsidR="00090E3D" w:rsidRPr="00F453F7" w:rsidRDefault="00090E3D" w:rsidP="00E76233">
            <w:pPr>
              <w:rPr>
                <w:rFonts w:ascii="Arial Narrow" w:hAnsi="Arial Narrow" w:cs="Arial"/>
                <w:b/>
                <w:sz w:val="20"/>
                <w:szCs w:val="20"/>
              </w:rPr>
            </w:pPr>
            <w:r w:rsidRPr="00F453F7">
              <w:rPr>
                <w:rFonts w:ascii="Arial Narrow" w:hAnsi="Arial Narrow" w:cs="Arial"/>
                <w:b/>
                <w:sz w:val="20"/>
                <w:szCs w:val="20"/>
              </w:rPr>
              <w:t>Prescriber type:</w:t>
            </w:r>
          </w:p>
          <w:p w:rsidR="00090E3D" w:rsidRPr="00F453F7" w:rsidRDefault="00090E3D" w:rsidP="00E76233">
            <w:pPr>
              <w:rPr>
                <w:rFonts w:ascii="Arial Narrow" w:hAnsi="Arial Narrow" w:cs="Arial"/>
                <w:b/>
                <w:sz w:val="20"/>
                <w:szCs w:val="20"/>
              </w:rPr>
            </w:pPr>
          </w:p>
        </w:tc>
        <w:tc>
          <w:tcPr>
            <w:tcW w:w="6809" w:type="dxa"/>
            <w:tcBorders>
              <w:top w:val="single" w:sz="4" w:space="0" w:color="auto"/>
              <w:left w:val="single" w:sz="4" w:space="0" w:color="auto"/>
              <w:bottom w:val="single" w:sz="4" w:space="0" w:color="auto"/>
              <w:right w:val="single" w:sz="4" w:space="0" w:color="auto"/>
            </w:tcBorders>
          </w:tcPr>
          <w:p w:rsidR="00090E3D" w:rsidRPr="00F453F7" w:rsidRDefault="00090E3D" w:rsidP="00E76233">
            <w:pPr>
              <w:rPr>
                <w:rFonts w:ascii="Arial Narrow" w:hAnsi="Arial Narrow" w:cs="Arial"/>
                <w:sz w:val="20"/>
                <w:szCs w:val="20"/>
              </w:rPr>
            </w:pPr>
            <w:r w:rsidRPr="00F453F7">
              <w:rPr>
                <w:rFonts w:ascii="Arial Narrow" w:hAnsi="Arial Narrow" w:cs="Arial"/>
                <w:sz w:val="20"/>
                <w:szCs w:val="20"/>
              </w:rPr>
              <w:fldChar w:fldCharType="begin">
                <w:ffData>
                  <w:name w:val="Check1"/>
                  <w:enabled/>
                  <w:calcOnExit w:val="0"/>
                  <w:checkBox>
                    <w:sizeAuto/>
                    <w:default w:val="0"/>
                  </w:checkBox>
                </w:ffData>
              </w:fldChar>
            </w:r>
            <w:r w:rsidRPr="00F453F7">
              <w:rPr>
                <w:rFonts w:ascii="Arial Narrow" w:hAnsi="Arial Narrow" w:cs="Arial"/>
                <w:sz w:val="20"/>
                <w:szCs w:val="20"/>
              </w:rPr>
              <w:instrText xml:space="preserve"> FORMCHECKBOX </w:instrText>
            </w:r>
            <w:r w:rsidR="00C15CB6">
              <w:rPr>
                <w:rFonts w:ascii="Arial Narrow" w:hAnsi="Arial Narrow" w:cs="Arial"/>
                <w:sz w:val="20"/>
                <w:szCs w:val="20"/>
              </w:rPr>
            </w:r>
            <w:r w:rsidR="00C15CB6">
              <w:rPr>
                <w:rFonts w:ascii="Arial Narrow" w:hAnsi="Arial Narrow" w:cs="Arial"/>
                <w:sz w:val="20"/>
                <w:szCs w:val="20"/>
              </w:rPr>
              <w:fldChar w:fldCharType="separate"/>
            </w:r>
            <w:r w:rsidRPr="00F453F7">
              <w:rPr>
                <w:rFonts w:ascii="Arial Narrow" w:hAnsi="Arial Narrow" w:cs="Arial"/>
                <w:sz w:val="20"/>
                <w:szCs w:val="20"/>
              </w:rPr>
              <w:fldChar w:fldCharType="end"/>
            </w:r>
            <w:r w:rsidRPr="00F453F7">
              <w:rPr>
                <w:rFonts w:ascii="Arial Narrow" w:hAnsi="Arial Narrow" w:cs="Arial"/>
                <w:sz w:val="20"/>
                <w:szCs w:val="20"/>
              </w:rPr>
              <w:t xml:space="preserve">Dental  </w:t>
            </w:r>
            <w:r w:rsidRPr="00F453F7">
              <w:rPr>
                <w:rFonts w:ascii="Arial Narrow" w:hAnsi="Arial Narrow" w:cs="Arial"/>
                <w:sz w:val="20"/>
                <w:szCs w:val="20"/>
              </w:rPr>
              <w:fldChar w:fldCharType="begin">
                <w:ffData>
                  <w:name w:val=""/>
                  <w:enabled/>
                  <w:calcOnExit w:val="0"/>
                  <w:checkBox>
                    <w:sizeAuto/>
                    <w:default w:val="1"/>
                  </w:checkBox>
                </w:ffData>
              </w:fldChar>
            </w:r>
            <w:r w:rsidRPr="00F453F7">
              <w:rPr>
                <w:rFonts w:ascii="Arial Narrow" w:hAnsi="Arial Narrow" w:cs="Arial"/>
                <w:sz w:val="20"/>
                <w:szCs w:val="20"/>
              </w:rPr>
              <w:instrText xml:space="preserve"> FORMCHECKBOX </w:instrText>
            </w:r>
            <w:r w:rsidR="00C15CB6">
              <w:rPr>
                <w:rFonts w:ascii="Arial Narrow" w:hAnsi="Arial Narrow" w:cs="Arial"/>
                <w:sz w:val="20"/>
                <w:szCs w:val="20"/>
              </w:rPr>
            </w:r>
            <w:r w:rsidR="00C15CB6">
              <w:rPr>
                <w:rFonts w:ascii="Arial Narrow" w:hAnsi="Arial Narrow" w:cs="Arial"/>
                <w:sz w:val="20"/>
                <w:szCs w:val="20"/>
              </w:rPr>
              <w:fldChar w:fldCharType="separate"/>
            </w:r>
            <w:r w:rsidRPr="00F453F7">
              <w:rPr>
                <w:rFonts w:ascii="Arial Narrow" w:hAnsi="Arial Narrow" w:cs="Arial"/>
                <w:sz w:val="20"/>
                <w:szCs w:val="20"/>
              </w:rPr>
              <w:fldChar w:fldCharType="end"/>
            </w:r>
            <w:r w:rsidRPr="00F453F7">
              <w:rPr>
                <w:rFonts w:ascii="Arial Narrow" w:hAnsi="Arial Narrow" w:cs="Arial"/>
                <w:sz w:val="20"/>
                <w:szCs w:val="20"/>
              </w:rPr>
              <w:t xml:space="preserve">Medical Practitioners  </w:t>
            </w:r>
            <w:r w:rsidRPr="00F453F7">
              <w:rPr>
                <w:rFonts w:ascii="Arial Narrow" w:hAnsi="Arial Narrow" w:cs="Arial"/>
                <w:sz w:val="20"/>
                <w:szCs w:val="20"/>
              </w:rPr>
              <w:fldChar w:fldCharType="begin">
                <w:ffData>
                  <w:name w:val="Check3"/>
                  <w:enabled/>
                  <w:calcOnExit w:val="0"/>
                  <w:checkBox>
                    <w:sizeAuto/>
                    <w:default w:val="0"/>
                  </w:checkBox>
                </w:ffData>
              </w:fldChar>
            </w:r>
            <w:r w:rsidRPr="00F453F7">
              <w:rPr>
                <w:rFonts w:ascii="Arial Narrow" w:hAnsi="Arial Narrow" w:cs="Arial"/>
                <w:sz w:val="20"/>
                <w:szCs w:val="20"/>
              </w:rPr>
              <w:instrText xml:space="preserve"> FORMCHECKBOX </w:instrText>
            </w:r>
            <w:r w:rsidR="00C15CB6">
              <w:rPr>
                <w:rFonts w:ascii="Arial Narrow" w:hAnsi="Arial Narrow" w:cs="Arial"/>
                <w:sz w:val="20"/>
                <w:szCs w:val="20"/>
              </w:rPr>
            </w:r>
            <w:r w:rsidR="00C15CB6">
              <w:rPr>
                <w:rFonts w:ascii="Arial Narrow" w:hAnsi="Arial Narrow" w:cs="Arial"/>
                <w:sz w:val="20"/>
                <w:szCs w:val="20"/>
              </w:rPr>
              <w:fldChar w:fldCharType="separate"/>
            </w:r>
            <w:r w:rsidRPr="00F453F7">
              <w:rPr>
                <w:rFonts w:ascii="Arial Narrow" w:hAnsi="Arial Narrow" w:cs="Arial"/>
                <w:sz w:val="20"/>
                <w:szCs w:val="20"/>
              </w:rPr>
              <w:fldChar w:fldCharType="end"/>
            </w:r>
            <w:r w:rsidRPr="00F453F7">
              <w:rPr>
                <w:rFonts w:ascii="Arial Narrow" w:hAnsi="Arial Narrow" w:cs="Arial"/>
                <w:sz w:val="20"/>
                <w:szCs w:val="20"/>
              </w:rPr>
              <w:t xml:space="preserve">Nurse practitioners  </w:t>
            </w:r>
            <w:r w:rsidRPr="00F453F7">
              <w:rPr>
                <w:rFonts w:ascii="Arial Narrow" w:hAnsi="Arial Narrow" w:cs="Arial"/>
                <w:sz w:val="20"/>
                <w:szCs w:val="20"/>
              </w:rPr>
              <w:fldChar w:fldCharType="begin">
                <w:ffData>
                  <w:name w:val=""/>
                  <w:enabled/>
                  <w:calcOnExit w:val="0"/>
                  <w:checkBox>
                    <w:sizeAuto/>
                    <w:default w:val="0"/>
                  </w:checkBox>
                </w:ffData>
              </w:fldChar>
            </w:r>
            <w:r w:rsidRPr="00F453F7">
              <w:rPr>
                <w:rFonts w:ascii="Arial Narrow" w:hAnsi="Arial Narrow" w:cs="Arial"/>
                <w:sz w:val="20"/>
                <w:szCs w:val="20"/>
              </w:rPr>
              <w:instrText xml:space="preserve"> FORMCHECKBOX </w:instrText>
            </w:r>
            <w:r w:rsidR="00C15CB6">
              <w:rPr>
                <w:rFonts w:ascii="Arial Narrow" w:hAnsi="Arial Narrow" w:cs="Arial"/>
                <w:sz w:val="20"/>
                <w:szCs w:val="20"/>
              </w:rPr>
            </w:r>
            <w:r w:rsidR="00C15CB6">
              <w:rPr>
                <w:rFonts w:ascii="Arial Narrow" w:hAnsi="Arial Narrow" w:cs="Arial"/>
                <w:sz w:val="20"/>
                <w:szCs w:val="20"/>
              </w:rPr>
              <w:fldChar w:fldCharType="separate"/>
            </w:r>
            <w:r w:rsidRPr="00F453F7">
              <w:rPr>
                <w:rFonts w:ascii="Arial Narrow" w:hAnsi="Arial Narrow" w:cs="Arial"/>
                <w:sz w:val="20"/>
                <w:szCs w:val="20"/>
              </w:rPr>
              <w:fldChar w:fldCharType="end"/>
            </w:r>
            <w:r w:rsidRPr="00F453F7">
              <w:rPr>
                <w:rFonts w:ascii="Arial Narrow" w:hAnsi="Arial Narrow" w:cs="Arial"/>
                <w:sz w:val="20"/>
                <w:szCs w:val="20"/>
              </w:rPr>
              <w:t>Optometrists</w:t>
            </w:r>
          </w:p>
          <w:p w:rsidR="00090E3D" w:rsidRPr="00F453F7" w:rsidRDefault="00090E3D" w:rsidP="00E76233">
            <w:pPr>
              <w:rPr>
                <w:rFonts w:ascii="Arial Narrow" w:hAnsi="Arial Narrow" w:cs="Arial"/>
                <w:sz w:val="20"/>
                <w:szCs w:val="20"/>
              </w:rPr>
            </w:pPr>
            <w:r w:rsidRPr="00F453F7">
              <w:rPr>
                <w:rFonts w:ascii="Arial Narrow" w:hAnsi="Arial Narrow" w:cs="Arial"/>
                <w:sz w:val="20"/>
                <w:szCs w:val="20"/>
              </w:rPr>
              <w:fldChar w:fldCharType="begin">
                <w:ffData>
                  <w:name w:val="Check5"/>
                  <w:enabled/>
                  <w:calcOnExit w:val="0"/>
                  <w:checkBox>
                    <w:sizeAuto/>
                    <w:default w:val="0"/>
                  </w:checkBox>
                </w:ffData>
              </w:fldChar>
            </w:r>
            <w:r w:rsidRPr="00F453F7">
              <w:rPr>
                <w:rFonts w:ascii="Arial Narrow" w:hAnsi="Arial Narrow" w:cs="Arial"/>
                <w:sz w:val="20"/>
                <w:szCs w:val="20"/>
              </w:rPr>
              <w:instrText xml:space="preserve"> FORMCHECKBOX </w:instrText>
            </w:r>
            <w:r w:rsidR="00C15CB6">
              <w:rPr>
                <w:rFonts w:ascii="Arial Narrow" w:hAnsi="Arial Narrow" w:cs="Arial"/>
                <w:sz w:val="20"/>
                <w:szCs w:val="20"/>
              </w:rPr>
            </w:r>
            <w:r w:rsidR="00C15CB6">
              <w:rPr>
                <w:rFonts w:ascii="Arial Narrow" w:hAnsi="Arial Narrow" w:cs="Arial"/>
                <w:sz w:val="20"/>
                <w:szCs w:val="20"/>
              </w:rPr>
              <w:fldChar w:fldCharType="separate"/>
            </w:r>
            <w:r w:rsidRPr="00F453F7">
              <w:rPr>
                <w:rFonts w:ascii="Arial Narrow" w:hAnsi="Arial Narrow" w:cs="Arial"/>
                <w:sz w:val="20"/>
                <w:szCs w:val="20"/>
              </w:rPr>
              <w:fldChar w:fldCharType="end"/>
            </w:r>
            <w:r w:rsidRPr="00F453F7">
              <w:rPr>
                <w:rFonts w:ascii="Arial Narrow" w:hAnsi="Arial Narrow" w:cs="Arial"/>
                <w:sz w:val="20"/>
                <w:szCs w:val="20"/>
              </w:rPr>
              <w:t>Midwives</w:t>
            </w:r>
          </w:p>
        </w:tc>
      </w:tr>
      <w:tr w:rsidR="00090E3D" w:rsidRPr="00F453F7" w:rsidTr="00A1349E">
        <w:trPr>
          <w:cantSplit/>
          <w:trHeight w:val="119"/>
        </w:trPr>
        <w:tc>
          <w:tcPr>
            <w:tcW w:w="2410" w:type="dxa"/>
            <w:tcBorders>
              <w:top w:val="single" w:sz="4" w:space="0" w:color="auto"/>
              <w:left w:val="single" w:sz="4" w:space="0" w:color="auto"/>
              <w:bottom w:val="single" w:sz="4" w:space="0" w:color="auto"/>
              <w:right w:val="single" w:sz="4" w:space="0" w:color="auto"/>
            </w:tcBorders>
          </w:tcPr>
          <w:p w:rsidR="00090E3D" w:rsidRPr="00F453F7" w:rsidRDefault="00090E3D" w:rsidP="00E76233">
            <w:pPr>
              <w:rPr>
                <w:rFonts w:ascii="Arial Narrow" w:hAnsi="Arial Narrow" w:cs="Arial"/>
                <w:b/>
                <w:sz w:val="20"/>
                <w:szCs w:val="20"/>
              </w:rPr>
            </w:pPr>
            <w:r w:rsidRPr="00F453F7">
              <w:rPr>
                <w:rFonts w:ascii="Arial Narrow" w:hAnsi="Arial Narrow" w:cs="Arial"/>
                <w:b/>
                <w:sz w:val="20"/>
                <w:szCs w:val="20"/>
              </w:rPr>
              <w:t>Severity:</w:t>
            </w:r>
          </w:p>
        </w:tc>
        <w:tc>
          <w:tcPr>
            <w:tcW w:w="6809" w:type="dxa"/>
            <w:tcBorders>
              <w:top w:val="single" w:sz="4" w:space="0" w:color="auto"/>
              <w:left w:val="single" w:sz="4" w:space="0" w:color="auto"/>
              <w:bottom w:val="single" w:sz="4" w:space="0" w:color="auto"/>
              <w:right w:val="single" w:sz="4" w:space="0" w:color="auto"/>
            </w:tcBorders>
          </w:tcPr>
          <w:p w:rsidR="00090E3D" w:rsidRPr="00F453F7" w:rsidRDefault="00090E3D" w:rsidP="00E76233">
            <w:pPr>
              <w:rPr>
                <w:rFonts w:ascii="Arial Narrow" w:hAnsi="Arial Narrow" w:cs="Arial"/>
                <w:sz w:val="20"/>
                <w:szCs w:val="20"/>
              </w:rPr>
            </w:pPr>
            <w:r w:rsidRPr="00F453F7">
              <w:rPr>
                <w:rFonts w:ascii="Arial Narrow" w:hAnsi="Arial Narrow" w:cstheme="minorHAnsi"/>
                <w:sz w:val="20"/>
                <w:szCs w:val="20"/>
              </w:rPr>
              <w:t>Locally advanced (Stage III) or metastatic (Stage IV) urothelial cancer</w:t>
            </w:r>
          </w:p>
        </w:tc>
      </w:tr>
      <w:tr w:rsidR="00090E3D" w:rsidRPr="00F453F7" w:rsidTr="00A1349E">
        <w:trPr>
          <w:cantSplit/>
          <w:trHeight w:val="167"/>
        </w:trPr>
        <w:tc>
          <w:tcPr>
            <w:tcW w:w="2410" w:type="dxa"/>
            <w:tcBorders>
              <w:top w:val="single" w:sz="4" w:space="0" w:color="auto"/>
              <w:left w:val="single" w:sz="4" w:space="0" w:color="auto"/>
              <w:bottom w:val="single" w:sz="4" w:space="0" w:color="auto"/>
              <w:right w:val="single" w:sz="4" w:space="0" w:color="auto"/>
            </w:tcBorders>
          </w:tcPr>
          <w:p w:rsidR="00090E3D" w:rsidRPr="00F453F7" w:rsidRDefault="00090E3D" w:rsidP="00E76233">
            <w:pPr>
              <w:rPr>
                <w:rFonts w:ascii="Arial Narrow" w:hAnsi="Arial Narrow" w:cs="Arial"/>
                <w:b/>
                <w:sz w:val="20"/>
                <w:szCs w:val="20"/>
              </w:rPr>
            </w:pPr>
            <w:r w:rsidRPr="00F453F7">
              <w:rPr>
                <w:rFonts w:ascii="Arial Narrow" w:hAnsi="Arial Narrow" w:cs="Arial"/>
                <w:b/>
                <w:sz w:val="20"/>
                <w:szCs w:val="20"/>
              </w:rPr>
              <w:t>Condition:</w:t>
            </w:r>
          </w:p>
        </w:tc>
        <w:tc>
          <w:tcPr>
            <w:tcW w:w="6809" w:type="dxa"/>
            <w:tcBorders>
              <w:top w:val="single" w:sz="4" w:space="0" w:color="auto"/>
              <w:left w:val="single" w:sz="4" w:space="0" w:color="auto"/>
              <w:bottom w:val="single" w:sz="4" w:space="0" w:color="auto"/>
              <w:right w:val="single" w:sz="4" w:space="0" w:color="auto"/>
            </w:tcBorders>
          </w:tcPr>
          <w:p w:rsidR="00090E3D" w:rsidRPr="00F453F7" w:rsidRDefault="00090E3D" w:rsidP="00E76233">
            <w:pPr>
              <w:rPr>
                <w:rFonts w:ascii="Arial Narrow" w:hAnsi="Arial Narrow" w:cs="Arial"/>
                <w:sz w:val="20"/>
                <w:szCs w:val="20"/>
              </w:rPr>
            </w:pPr>
            <w:r w:rsidRPr="00F453F7">
              <w:rPr>
                <w:rFonts w:ascii="Arial Narrow" w:hAnsi="Arial Narrow" w:cstheme="minorHAnsi"/>
                <w:sz w:val="20"/>
                <w:szCs w:val="20"/>
              </w:rPr>
              <w:t>Urothelial cancer</w:t>
            </w:r>
          </w:p>
        </w:tc>
      </w:tr>
      <w:tr w:rsidR="00090E3D" w:rsidRPr="00F453F7" w:rsidTr="00A1349E">
        <w:trPr>
          <w:cantSplit/>
          <w:trHeight w:val="69"/>
        </w:trPr>
        <w:tc>
          <w:tcPr>
            <w:tcW w:w="2410" w:type="dxa"/>
            <w:tcBorders>
              <w:top w:val="single" w:sz="4" w:space="0" w:color="auto"/>
              <w:left w:val="single" w:sz="4" w:space="0" w:color="auto"/>
              <w:bottom w:val="single" w:sz="4" w:space="0" w:color="auto"/>
              <w:right w:val="single" w:sz="4" w:space="0" w:color="auto"/>
            </w:tcBorders>
          </w:tcPr>
          <w:p w:rsidR="00090E3D" w:rsidRPr="00F453F7" w:rsidRDefault="00090E3D" w:rsidP="00E76233">
            <w:pPr>
              <w:rPr>
                <w:rFonts w:ascii="Arial Narrow" w:hAnsi="Arial Narrow" w:cs="Arial"/>
                <w:b/>
                <w:sz w:val="20"/>
                <w:szCs w:val="20"/>
              </w:rPr>
            </w:pPr>
            <w:r w:rsidRPr="00F453F7">
              <w:rPr>
                <w:rFonts w:ascii="Arial Narrow" w:hAnsi="Arial Narrow" w:cs="Arial"/>
                <w:b/>
                <w:sz w:val="20"/>
                <w:szCs w:val="20"/>
              </w:rPr>
              <w:t>PBS Indication:</w:t>
            </w:r>
          </w:p>
        </w:tc>
        <w:tc>
          <w:tcPr>
            <w:tcW w:w="6809" w:type="dxa"/>
            <w:tcBorders>
              <w:top w:val="single" w:sz="4" w:space="0" w:color="auto"/>
              <w:left w:val="single" w:sz="4" w:space="0" w:color="auto"/>
              <w:bottom w:val="single" w:sz="4" w:space="0" w:color="auto"/>
              <w:right w:val="single" w:sz="4" w:space="0" w:color="auto"/>
            </w:tcBorders>
          </w:tcPr>
          <w:p w:rsidR="00090E3D" w:rsidRPr="00F453F7" w:rsidRDefault="00090E3D" w:rsidP="00E76233">
            <w:pPr>
              <w:rPr>
                <w:rFonts w:ascii="Arial Narrow" w:hAnsi="Arial Narrow" w:cs="Arial"/>
                <w:sz w:val="20"/>
                <w:szCs w:val="20"/>
              </w:rPr>
            </w:pPr>
            <w:r w:rsidRPr="00F453F7">
              <w:rPr>
                <w:rFonts w:ascii="Arial Narrow" w:hAnsi="Arial Narrow" w:cstheme="minorHAnsi"/>
                <w:sz w:val="20"/>
                <w:szCs w:val="20"/>
              </w:rPr>
              <w:t>Locally advanced (Stage III) or metastatic (Stage IV) urothelial cancer</w:t>
            </w:r>
          </w:p>
        </w:tc>
      </w:tr>
      <w:tr w:rsidR="00090E3D" w:rsidRPr="00F453F7" w:rsidTr="00A1349E">
        <w:trPr>
          <w:cantSplit/>
          <w:trHeight w:val="115"/>
        </w:trPr>
        <w:tc>
          <w:tcPr>
            <w:tcW w:w="2410" w:type="dxa"/>
            <w:tcBorders>
              <w:top w:val="single" w:sz="4" w:space="0" w:color="auto"/>
              <w:left w:val="single" w:sz="4" w:space="0" w:color="auto"/>
              <w:bottom w:val="single" w:sz="4" w:space="0" w:color="auto"/>
              <w:right w:val="single" w:sz="4" w:space="0" w:color="auto"/>
            </w:tcBorders>
          </w:tcPr>
          <w:p w:rsidR="00090E3D" w:rsidRPr="00F453F7" w:rsidRDefault="00090E3D" w:rsidP="00E76233">
            <w:pPr>
              <w:rPr>
                <w:rFonts w:ascii="Arial Narrow" w:hAnsi="Arial Narrow" w:cs="Arial"/>
                <w:b/>
                <w:sz w:val="20"/>
                <w:szCs w:val="20"/>
              </w:rPr>
            </w:pPr>
            <w:r w:rsidRPr="00F453F7">
              <w:rPr>
                <w:rFonts w:ascii="Arial Narrow" w:hAnsi="Arial Narrow" w:cs="Arial"/>
                <w:b/>
                <w:sz w:val="20"/>
                <w:szCs w:val="20"/>
              </w:rPr>
              <w:t>Treatment phase:</w:t>
            </w:r>
          </w:p>
        </w:tc>
        <w:tc>
          <w:tcPr>
            <w:tcW w:w="6809" w:type="dxa"/>
            <w:tcBorders>
              <w:top w:val="single" w:sz="4" w:space="0" w:color="auto"/>
              <w:left w:val="single" w:sz="4" w:space="0" w:color="auto"/>
              <w:bottom w:val="single" w:sz="4" w:space="0" w:color="auto"/>
              <w:right w:val="single" w:sz="4" w:space="0" w:color="auto"/>
            </w:tcBorders>
          </w:tcPr>
          <w:p w:rsidR="00090E3D" w:rsidRPr="00F453F7" w:rsidRDefault="00090E3D" w:rsidP="00E76233">
            <w:pPr>
              <w:rPr>
                <w:rFonts w:ascii="Arial Narrow" w:hAnsi="Arial Narrow" w:cs="Arial"/>
                <w:sz w:val="20"/>
                <w:szCs w:val="20"/>
              </w:rPr>
            </w:pPr>
            <w:r w:rsidRPr="00F453F7">
              <w:rPr>
                <w:rFonts w:ascii="Arial Narrow" w:hAnsi="Arial Narrow" w:cstheme="minorHAnsi"/>
                <w:sz w:val="20"/>
                <w:szCs w:val="20"/>
              </w:rPr>
              <w:t>Continuing treatment</w:t>
            </w:r>
          </w:p>
        </w:tc>
      </w:tr>
      <w:tr w:rsidR="00090E3D" w:rsidRPr="00F453F7" w:rsidTr="00690EF8">
        <w:trPr>
          <w:cantSplit/>
          <w:trHeight w:val="360"/>
        </w:trPr>
        <w:tc>
          <w:tcPr>
            <w:tcW w:w="2410" w:type="dxa"/>
            <w:tcBorders>
              <w:top w:val="single" w:sz="4" w:space="0" w:color="auto"/>
              <w:left w:val="single" w:sz="4" w:space="0" w:color="auto"/>
              <w:bottom w:val="single" w:sz="4" w:space="0" w:color="auto"/>
              <w:right w:val="single" w:sz="4" w:space="0" w:color="auto"/>
            </w:tcBorders>
          </w:tcPr>
          <w:p w:rsidR="00090E3D" w:rsidRPr="00F453F7" w:rsidRDefault="00090E3D" w:rsidP="00E76233">
            <w:pPr>
              <w:rPr>
                <w:rFonts w:ascii="Arial Narrow" w:hAnsi="Arial Narrow" w:cs="Arial"/>
                <w:b/>
                <w:sz w:val="20"/>
                <w:szCs w:val="20"/>
              </w:rPr>
            </w:pPr>
            <w:r w:rsidRPr="00F453F7">
              <w:rPr>
                <w:rFonts w:ascii="Arial Narrow" w:hAnsi="Arial Narrow" w:cs="Arial"/>
                <w:b/>
                <w:sz w:val="20"/>
                <w:szCs w:val="20"/>
              </w:rPr>
              <w:t>Restriction Level / Method:</w:t>
            </w:r>
          </w:p>
          <w:p w:rsidR="00090E3D" w:rsidRPr="00F453F7" w:rsidRDefault="00090E3D" w:rsidP="00E76233">
            <w:pPr>
              <w:rPr>
                <w:rFonts w:ascii="Arial Narrow" w:hAnsi="Arial Narrow" w:cs="Arial"/>
                <w:i/>
                <w:sz w:val="20"/>
                <w:szCs w:val="20"/>
              </w:rPr>
            </w:pPr>
          </w:p>
          <w:p w:rsidR="00090E3D" w:rsidRPr="00F453F7" w:rsidRDefault="00090E3D" w:rsidP="00E76233">
            <w:pPr>
              <w:rPr>
                <w:rFonts w:ascii="Arial Narrow" w:hAnsi="Arial Narrow" w:cs="Arial"/>
                <w:i/>
                <w:sz w:val="20"/>
                <w:szCs w:val="20"/>
              </w:rPr>
            </w:pPr>
          </w:p>
          <w:p w:rsidR="00090E3D" w:rsidRPr="00F453F7" w:rsidRDefault="00090E3D" w:rsidP="00E76233">
            <w:pPr>
              <w:rPr>
                <w:rFonts w:ascii="Arial Narrow" w:hAnsi="Arial Narrow" w:cs="Arial"/>
                <w:i/>
                <w:sz w:val="20"/>
                <w:szCs w:val="20"/>
              </w:rPr>
            </w:pPr>
          </w:p>
        </w:tc>
        <w:tc>
          <w:tcPr>
            <w:tcW w:w="6809" w:type="dxa"/>
            <w:tcBorders>
              <w:top w:val="single" w:sz="4" w:space="0" w:color="auto"/>
              <w:left w:val="single" w:sz="4" w:space="0" w:color="auto"/>
              <w:bottom w:val="single" w:sz="4" w:space="0" w:color="auto"/>
              <w:right w:val="single" w:sz="4" w:space="0" w:color="auto"/>
            </w:tcBorders>
          </w:tcPr>
          <w:p w:rsidR="00090E3D" w:rsidRPr="00F453F7" w:rsidRDefault="00090E3D" w:rsidP="00E76233">
            <w:pPr>
              <w:rPr>
                <w:rFonts w:ascii="Arial Narrow" w:hAnsi="Arial Narrow" w:cs="Arial"/>
                <w:sz w:val="20"/>
                <w:szCs w:val="20"/>
              </w:rPr>
            </w:pPr>
            <w:r w:rsidRPr="00F453F7">
              <w:rPr>
                <w:rFonts w:ascii="Arial Narrow" w:hAnsi="Arial Narrow" w:cs="Arial"/>
                <w:sz w:val="20"/>
                <w:szCs w:val="20"/>
              </w:rPr>
              <w:fldChar w:fldCharType="begin">
                <w:ffData>
                  <w:name w:val="Check1"/>
                  <w:enabled/>
                  <w:calcOnExit w:val="0"/>
                  <w:checkBox>
                    <w:sizeAuto/>
                    <w:default w:val="0"/>
                  </w:checkBox>
                </w:ffData>
              </w:fldChar>
            </w:r>
            <w:r w:rsidRPr="00F453F7">
              <w:rPr>
                <w:rFonts w:ascii="Arial Narrow" w:hAnsi="Arial Narrow" w:cs="Arial"/>
                <w:sz w:val="20"/>
                <w:szCs w:val="20"/>
              </w:rPr>
              <w:instrText xml:space="preserve"> FORMCHECKBOX </w:instrText>
            </w:r>
            <w:r w:rsidR="00C15CB6">
              <w:rPr>
                <w:rFonts w:ascii="Arial Narrow" w:hAnsi="Arial Narrow" w:cs="Arial"/>
                <w:sz w:val="20"/>
                <w:szCs w:val="20"/>
              </w:rPr>
            </w:r>
            <w:r w:rsidR="00C15CB6">
              <w:rPr>
                <w:rFonts w:ascii="Arial Narrow" w:hAnsi="Arial Narrow" w:cs="Arial"/>
                <w:sz w:val="20"/>
                <w:szCs w:val="20"/>
              </w:rPr>
              <w:fldChar w:fldCharType="separate"/>
            </w:r>
            <w:r w:rsidRPr="00F453F7">
              <w:rPr>
                <w:rFonts w:ascii="Arial Narrow" w:hAnsi="Arial Narrow" w:cs="Arial"/>
                <w:sz w:val="20"/>
                <w:szCs w:val="20"/>
              </w:rPr>
              <w:fldChar w:fldCharType="end"/>
            </w:r>
            <w:r w:rsidRPr="00F453F7">
              <w:rPr>
                <w:rFonts w:ascii="Arial Narrow" w:hAnsi="Arial Narrow" w:cs="Arial"/>
                <w:sz w:val="20"/>
                <w:szCs w:val="20"/>
              </w:rPr>
              <w:t>Restricted benefit</w:t>
            </w:r>
          </w:p>
          <w:p w:rsidR="00090E3D" w:rsidRPr="00F453F7" w:rsidRDefault="00090E3D" w:rsidP="00E76233">
            <w:pPr>
              <w:rPr>
                <w:rFonts w:ascii="Arial Narrow" w:hAnsi="Arial Narrow" w:cs="Arial"/>
                <w:sz w:val="20"/>
                <w:szCs w:val="20"/>
              </w:rPr>
            </w:pPr>
            <w:r w:rsidRPr="00F453F7">
              <w:rPr>
                <w:rFonts w:ascii="Arial Narrow" w:hAnsi="Arial Narrow" w:cs="Arial"/>
                <w:sz w:val="20"/>
                <w:szCs w:val="20"/>
              </w:rPr>
              <w:fldChar w:fldCharType="begin">
                <w:ffData>
                  <w:name w:val=""/>
                  <w:enabled/>
                  <w:calcOnExit w:val="0"/>
                  <w:checkBox>
                    <w:sizeAuto/>
                    <w:default w:val="0"/>
                  </w:checkBox>
                </w:ffData>
              </w:fldChar>
            </w:r>
            <w:r w:rsidRPr="00F453F7">
              <w:rPr>
                <w:rFonts w:ascii="Arial Narrow" w:hAnsi="Arial Narrow" w:cs="Arial"/>
                <w:sz w:val="20"/>
                <w:szCs w:val="20"/>
              </w:rPr>
              <w:instrText xml:space="preserve"> FORMCHECKBOX </w:instrText>
            </w:r>
            <w:r w:rsidR="00C15CB6">
              <w:rPr>
                <w:rFonts w:ascii="Arial Narrow" w:hAnsi="Arial Narrow" w:cs="Arial"/>
                <w:sz w:val="20"/>
                <w:szCs w:val="20"/>
              </w:rPr>
            </w:r>
            <w:r w:rsidR="00C15CB6">
              <w:rPr>
                <w:rFonts w:ascii="Arial Narrow" w:hAnsi="Arial Narrow" w:cs="Arial"/>
                <w:sz w:val="20"/>
                <w:szCs w:val="20"/>
              </w:rPr>
              <w:fldChar w:fldCharType="separate"/>
            </w:r>
            <w:r w:rsidRPr="00F453F7">
              <w:rPr>
                <w:rFonts w:ascii="Arial Narrow" w:hAnsi="Arial Narrow" w:cs="Arial"/>
                <w:sz w:val="20"/>
                <w:szCs w:val="20"/>
              </w:rPr>
              <w:fldChar w:fldCharType="end"/>
            </w:r>
            <w:r w:rsidRPr="00F453F7">
              <w:rPr>
                <w:rFonts w:ascii="Arial Narrow" w:hAnsi="Arial Narrow" w:cs="Arial"/>
                <w:sz w:val="20"/>
                <w:szCs w:val="20"/>
              </w:rPr>
              <w:t>Authority Required – In Writing</w:t>
            </w:r>
          </w:p>
          <w:p w:rsidR="00090E3D" w:rsidRPr="00F453F7" w:rsidRDefault="00090E3D" w:rsidP="00E76233">
            <w:pPr>
              <w:rPr>
                <w:rFonts w:ascii="Arial Narrow" w:hAnsi="Arial Narrow" w:cs="Arial"/>
                <w:sz w:val="20"/>
                <w:szCs w:val="20"/>
              </w:rPr>
            </w:pPr>
            <w:r w:rsidRPr="00F453F7">
              <w:rPr>
                <w:rFonts w:ascii="Arial Narrow" w:hAnsi="Arial Narrow" w:cs="Arial"/>
                <w:sz w:val="20"/>
                <w:szCs w:val="20"/>
              </w:rPr>
              <w:fldChar w:fldCharType="begin">
                <w:ffData>
                  <w:name w:val="Check3"/>
                  <w:enabled/>
                  <w:calcOnExit w:val="0"/>
                  <w:checkBox>
                    <w:sizeAuto/>
                    <w:default w:val="0"/>
                  </w:checkBox>
                </w:ffData>
              </w:fldChar>
            </w:r>
            <w:r w:rsidRPr="00F453F7">
              <w:rPr>
                <w:rFonts w:ascii="Arial Narrow" w:hAnsi="Arial Narrow" w:cs="Arial"/>
                <w:sz w:val="20"/>
                <w:szCs w:val="20"/>
              </w:rPr>
              <w:instrText xml:space="preserve"> FORMCHECKBOX </w:instrText>
            </w:r>
            <w:r w:rsidR="00C15CB6">
              <w:rPr>
                <w:rFonts w:ascii="Arial Narrow" w:hAnsi="Arial Narrow" w:cs="Arial"/>
                <w:sz w:val="20"/>
                <w:szCs w:val="20"/>
              </w:rPr>
            </w:r>
            <w:r w:rsidR="00C15CB6">
              <w:rPr>
                <w:rFonts w:ascii="Arial Narrow" w:hAnsi="Arial Narrow" w:cs="Arial"/>
                <w:sz w:val="20"/>
                <w:szCs w:val="20"/>
              </w:rPr>
              <w:fldChar w:fldCharType="separate"/>
            </w:r>
            <w:r w:rsidRPr="00F453F7">
              <w:rPr>
                <w:rFonts w:ascii="Arial Narrow" w:hAnsi="Arial Narrow" w:cs="Arial"/>
                <w:sz w:val="20"/>
                <w:szCs w:val="20"/>
              </w:rPr>
              <w:fldChar w:fldCharType="end"/>
            </w:r>
            <w:r w:rsidRPr="00F453F7">
              <w:rPr>
                <w:rFonts w:ascii="Arial Narrow" w:hAnsi="Arial Narrow" w:cs="Arial"/>
                <w:sz w:val="20"/>
                <w:szCs w:val="20"/>
              </w:rPr>
              <w:t>Authority Required – Telephone/Electronic/Emergency</w:t>
            </w:r>
          </w:p>
          <w:p w:rsidR="00090E3D" w:rsidRPr="00F453F7" w:rsidRDefault="00090E3D" w:rsidP="00E76233">
            <w:pPr>
              <w:rPr>
                <w:rFonts w:ascii="Arial Narrow" w:hAnsi="Arial Narrow" w:cs="Arial"/>
                <w:sz w:val="20"/>
                <w:szCs w:val="20"/>
              </w:rPr>
            </w:pPr>
            <w:r w:rsidRPr="00F453F7">
              <w:rPr>
                <w:rFonts w:ascii="Arial Narrow" w:hAnsi="Arial Narrow" w:cs="Arial"/>
                <w:sz w:val="20"/>
                <w:szCs w:val="20"/>
              </w:rPr>
              <w:fldChar w:fldCharType="begin">
                <w:ffData>
                  <w:name w:val="Check5"/>
                  <w:enabled/>
                  <w:calcOnExit w:val="0"/>
                  <w:checkBox>
                    <w:sizeAuto/>
                    <w:default w:val="1"/>
                  </w:checkBox>
                </w:ffData>
              </w:fldChar>
            </w:r>
            <w:r w:rsidRPr="00F453F7">
              <w:rPr>
                <w:rFonts w:ascii="Arial Narrow" w:hAnsi="Arial Narrow" w:cs="Arial"/>
                <w:sz w:val="20"/>
                <w:szCs w:val="20"/>
              </w:rPr>
              <w:instrText xml:space="preserve"> FORMCHECKBOX </w:instrText>
            </w:r>
            <w:r w:rsidR="00C15CB6">
              <w:rPr>
                <w:rFonts w:ascii="Arial Narrow" w:hAnsi="Arial Narrow" w:cs="Arial"/>
                <w:sz w:val="20"/>
                <w:szCs w:val="20"/>
              </w:rPr>
            </w:r>
            <w:r w:rsidR="00C15CB6">
              <w:rPr>
                <w:rFonts w:ascii="Arial Narrow" w:hAnsi="Arial Narrow" w:cs="Arial"/>
                <w:sz w:val="20"/>
                <w:szCs w:val="20"/>
              </w:rPr>
              <w:fldChar w:fldCharType="separate"/>
            </w:r>
            <w:r w:rsidRPr="00F453F7">
              <w:rPr>
                <w:rFonts w:ascii="Arial Narrow" w:hAnsi="Arial Narrow" w:cs="Arial"/>
                <w:sz w:val="20"/>
                <w:szCs w:val="20"/>
              </w:rPr>
              <w:fldChar w:fldCharType="end"/>
            </w:r>
            <w:r w:rsidRPr="00F453F7">
              <w:rPr>
                <w:rFonts w:ascii="Arial Narrow" w:hAnsi="Arial Narrow" w:cs="Arial"/>
                <w:sz w:val="20"/>
                <w:szCs w:val="20"/>
              </w:rPr>
              <w:t>Streamlined</w:t>
            </w:r>
          </w:p>
        </w:tc>
      </w:tr>
      <w:tr w:rsidR="00090E3D" w:rsidRPr="00F453F7" w:rsidTr="00690EF8">
        <w:trPr>
          <w:cantSplit/>
          <w:trHeight w:val="657"/>
        </w:trPr>
        <w:tc>
          <w:tcPr>
            <w:tcW w:w="2410" w:type="dxa"/>
            <w:tcBorders>
              <w:top w:val="single" w:sz="4" w:space="0" w:color="auto"/>
              <w:left w:val="single" w:sz="4" w:space="0" w:color="auto"/>
              <w:bottom w:val="single" w:sz="4" w:space="0" w:color="auto"/>
              <w:right w:val="single" w:sz="4" w:space="0" w:color="auto"/>
            </w:tcBorders>
          </w:tcPr>
          <w:p w:rsidR="00090E3D" w:rsidRPr="00F453F7" w:rsidRDefault="00090E3D" w:rsidP="00E76233">
            <w:pPr>
              <w:rPr>
                <w:rFonts w:ascii="Arial Narrow" w:hAnsi="Arial Narrow" w:cs="Arial"/>
                <w:b/>
                <w:sz w:val="20"/>
                <w:szCs w:val="20"/>
              </w:rPr>
            </w:pPr>
            <w:r w:rsidRPr="00F453F7">
              <w:rPr>
                <w:rFonts w:ascii="Arial Narrow" w:hAnsi="Arial Narrow" w:cs="Arial"/>
                <w:b/>
                <w:sz w:val="20"/>
                <w:szCs w:val="20"/>
              </w:rPr>
              <w:lastRenderedPageBreak/>
              <w:t>Clinical criteria:</w:t>
            </w:r>
          </w:p>
          <w:p w:rsidR="00090E3D" w:rsidRPr="00F453F7" w:rsidRDefault="00090E3D" w:rsidP="00E76233">
            <w:pPr>
              <w:rPr>
                <w:rFonts w:ascii="Arial Narrow" w:hAnsi="Arial Narrow" w:cs="Arial"/>
                <w:b/>
                <w:sz w:val="20"/>
                <w:szCs w:val="20"/>
              </w:rPr>
            </w:pPr>
          </w:p>
        </w:tc>
        <w:tc>
          <w:tcPr>
            <w:tcW w:w="6809" w:type="dxa"/>
            <w:tcBorders>
              <w:top w:val="single" w:sz="4" w:space="0" w:color="auto"/>
              <w:left w:val="single" w:sz="4" w:space="0" w:color="auto"/>
              <w:bottom w:val="single" w:sz="4" w:space="0" w:color="auto"/>
              <w:right w:val="single" w:sz="4" w:space="0" w:color="auto"/>
            </w:tcBorders>
          </w:tcPr>
          <w:p w:rsidR="00090E3D" w:rsidRPr="00F453F7" w:rsidRDefault="00090E3D" w:rsidP="00E76233">
            <w:pPr>
              <w:spacing w:after="60"/>
              <w:rPr>
                <w:rFonts w:ascii="Arial Narrow" w:hAnsi="Arial Narrow" w:cstheme="minorHAnsi"/>
                <w:sz w:val="20"/>
                <w:szCs w:val="20"/>
              </w:rPr>
            </w:pPr>
            <w:r w:rsidRPr="00F453F7">
              <w:rPr>
                <w:rFonts w:ascii="Arial Narrow" w:hAnsi="Arial Narrow" w:cstheme="minorHAnsi"/>
                <w:sz w:val="20"/>
                <w:szCs w:val="20"/>
              </w:rPr>
              <w:t>Patient must have previously received PBS-subsidised treatment with this drug for this condition,</w:t>
            </w:r>
          </w:p>
          <w:p w:rsidR="00090E3D" w:rsidRPr="00F453F7" w:rsidRDefault="00090E3D" w:rsidP="00E76233">
            <w:pPr>
              <w:spacing w:after="60"/>
              <w:rPr>
                <w:rFonts w:ascii="Arial Narrow" w:hAnsi="Arial Narrow" w:cstheme="minorHAnsi"/>
                <w:sz w:val="20"/>
                <w:szCs w:val="20"/>
              </w:rPr>
            </w:pPr>
            <w:r w:rsidRPr="00F453F7">
              <w:rPr>
                <w:rFonts w:ascii="Arial Narrow" w:hAnsi="Arial Narrow" w:cstheme="minorHAnsi"/>
                <w:sz w:val="20"/>
                <w:szCs w:val="20"/>
              </w:rPr>
              <w:t>AND</w:t>
            </w:r>
          </w:p>
          <w:p w:rsidR="00090E3D" w:rsidRPr="00F453F7" w:rsidRDefault="00090E3D" w:rsidP="00E76233">
            <w:pPr>
              <w:spacing w:after="60"/>
              <w:rPr>
                <w:rFonts w:ascii="Arial Narrow" w:hAnsi="Arial Narrow" w:cstheme="minorHAnsi"/>
                <w:sz w:val="20"/>
                <w:szCs w:val="20"/>
              </w:rPr>
            </w:pPr>
            <w:r w:rsidRPr="00F453F7">
              <w:rPr>
                <w:rFonts w:ascii="Arial Narrow" w:hAnsi="Arial Narrow" w:cstheme="minorHAnsi"/>
                <w:sz w:val="20"/>
                <w:szCs w:val="20"/>
              </w:rPr>
              <w:t>Treatment must be the sole PBS-subsidised treatment for this condition,</w:t>
            </w:r>
          </w:p>
          <w:p w:rsidR="00090E3D" w:rsidRPr="00F453F7" w:rsidRDefault="00090E3D" w:rsidP="00E76233">
            <w:pPr>
              <w:spacing w:after="60"/>
              <w:rPr>
                <w:rFonts w:ascii="Arial Narrow" w:hAnsi="Arial Narrow" w:cstheme="minorHAnsi"/>
                <w:sz w:val="20"/>
                <w:szCs w:val="20"/>
              </w:rPr>
            </w:pPr>
            <w:r w:rsidRPr="00F453F7">
              <w:rPr>
                <w:rFonts w:ascii="Arial Narrow" w:hAnsi="Arial Narrow" w:cstheme="minorHAnsi"/>
                <w:sz w:val="20"/>
                <w:szCs w:val="20"/>
              </w:rPr>
              <w:t>AND</w:t>
            </w:r>
          </w:p>
          <w:p w:rsidR="00090E3D" w:rsidRPr="00F453F7" w:rsidRDefault="00090E3D" w:rsidP="00E76233">
            <w:pPr>
              <w:spacing w:after="60"/>
              <w:rPr>
                <w:rFonts w:ascii="Arial Narrow" w:hAnsi="Arial Narrow" w:cstheme="minorHAnsi"/>
                <w:sz w:val="20"/>
                <w:szCs w:val="20"/>
              </w:rPr>
            </w:pPr>
            <w:r w:rsidRPr="00F453F7">
              <w:rPr>
                <w:rFonts w:ascii="Arial Narrow" w:hAnsi="Arial Narrow" w:cstheme="minorHAnsi"/>
                <w:sz w:val="20"/>
                <w:szCs w:val="20"/>
              </w:rPr>
              <w:t>Patient must have stable or responding disease</w:t>
            </w:r>
          </w:p>
          <w:p w:rsidR="00090E3D" w:rsidRPr="00F453F7" w:rsidRDefault="00090E3D" w:rsidP="00E76233">
            <w:pPr>
              <w:spacing w:after="60"/>
              <w:rPr>
                <w:rFonts w:ascii="Arial Narrow" w:hAnsi="Arial Narrow" w:cstheme="minorHAnsi"/>
                <w:sz w:val="20"/>
                <w:szCs w:val="20"/>
              </w:rPr>
            </w:pPr>
            <w:r w:rsidRPr="00F453F7">
              <w:rPr>
                <w:rFonts w:ascii="Arial Narrow" w:hAnsi="Arial Narrow" w:cstheme="minorHAnsi"/>
                <w:sz w:val="20"/>
                <w:szCs w:val="20"/>
              </w:rPr>
              <w:t>AND</w:t>
            </w:r>
          </w:p>
          <w:p w:rsidR="00090E3D" w:rsidRPr="00F453F7" w:rsidRDefault="00090E3D" w:rsidP="00E76233">
            <w:pPr>
              <w:spacing w:after="60"/>
              <w:rPr>
                <w:rFonts w:ascii="Arial Narrow" w:hAnsi="Arial Narrow" w:cstheme="minorHAnsi"/>
                <w:sz w:val="20"/>
                <w:szCs w:val="20"/>
              </w:rPr>
            </w:pPr>
            <w:r w:rsidRPr="00F453F7">
              <w:rPr>
                <w:rFonts w:ascii="Arial Narrow" w:hAnsi="Arial Narrow" w:cstheme="minorHAnsi"/>
                <w:sz w:val="20"/>
                <w:szCs w:val="20"/>
              </w:rPr>
              <w:t>Treatment must not exceed 54 weeks in total, at 10 mg/kg/dose every 2 weeks, with this drug for this condition.</w:t>
            </w:r>
          </w:p>
        </w:tc>
      </w:tr>
      <w:tr w:rsidR="00090E3D" w:rsidRPr="00F453F7" w:rsidTr="00690EF8">
        <w:trPr>
          <w:cantSplit/>
          <w:trHeight w:val="360"/>
        </w:trPr>
        <w:tc>
          <w:tcPr>
            <w:tcW w:w="2410" w:type="dxa"/>
            <w:tcBorders>
              <w:top w:val="single" w:sz="4" w:space="0" w:color="auto"/>
              <w:left w:val="single" w:sz="4" w:space="0" w:color="auto"/>
              <w:bottom w:val="single" w:sz="4" w:space="0" w:color="auto"/>
              <w:right w:val="single" w:sz="4" w:space="0" w:color="auto"/>
            </w:tcBorders>
          </w:tcPr>
          <w:p w:rsidR="00090E3D" w:rsidRPr="00F453F7" w:rsidRDefault="00090E3D" w:rsidP="00E76233">
            <w:pPr>
              <w:rPr>
                <w:rFonts w:ascii="Arial Narrow" w:hAnsi="Arial Narrow" w:cs="Arial"/>
                <w:b/>
                <w:sz w:val="20"/>
                <w:szCs w:val="20"/>
              </w:rPr>
            </w:pPr>
            <w:r w:rsidRPr="00F453F7">
              <w:rPr>
                <w:rFonts w:ascii="Arial Narrow" w:hAnsi="Arial Narrow" w:cs="Arial"/>
                <w:b/>
                <w:sz w:val="20"/>
                <w:szCs w:val="20"/>
              </w:rPr>
              <w:t>Administrative Advice:</w:t>
            </w:r>
          </w:p>
          <w:p w:rsidR="00090E3D" w:rsidRPr="00F453F7" w:rsidRDefault="00090E3D" w:rsidP="00E76233">
            <w:pPr>
              <w:rPr>
                <w:rFonts w:ascii="Arial Narrow" w:hAnsi="Arial Narrow" w:cs="Arial"/>
                <w:i/>
                <w:sz w:val="20"/>
                <w:szCs w:val="20"/>
              </w:rPr>
            </w:pPr>
          </w:p>
        </w:tc>
        <w:tc>
          <w:tcPr>
            <w:tcW w:w="6809" w:type="dxa"/>
            <w:tcBorders>
              <w:top w:val="single" w:sz="4" w:space="0" w:color="auto"/>
              <w:left w:val="single" w:sz="4" w:space="0" w:color="auto"/>
              <w:bottom w:val="single" w:sz="4" w:space="0" w:color="auto"/>
              <w:right w:val="single" w:sz="4" w:space="0" w:color="auto"/>
            </w:tcBorders>
          </w:tcPr>
          <w:p w:rsidR="00090E3D" w:rsidRPr="00F453F7" w:rsidRDefault="00090E3D" w:rsidP="00E76233">
            <w:pPr>
              <w:spacing w:after="60"/>
              <w:rPr>
                <w:rFonts w:ascii="Arial Narrow" w:hAnsi="Arial Narrow" w:cstheme="minorHAnsi"/>
                <w:strike/>
                <w:sz w:val="20"/>
                <w:szCs w:val="20"/>
              </w:rPr>
            </w:pPr>
            <w:r w:rsidRPr="00F453F7">
              <w:rPr>
                <w:rFonts w:ascii="Arial Narrow" w:hAnsi="Arial Narrow" w:cstheme="minorHAnsi"/>
                <w:strike/>
                <w:sz w:val="20"/>
                <w:szCs w:val="20"/>
              </w:rPr>
              <w:t>No increase in the maximum quantity or number of units will be authorised</w:t>
            </w:r>
          </w:p>
          <w:p w:rsidR="00090E3D" w:rsidRPr="00F453F7" w:rsidRDefault="00090E3D" w:rsidP="00E76233">
            <w:pPr>
              <w:spacing w:after="60"/>
              <w:rPr>
                <w:rFonts w:ascii="Arial Narrow" w:hAnsi="Arial Narrow" w:cstheme="minorHAnsi"/>
                <w:strike/>
                <w:sz w:val="20"/>
                <w:szCs w:val="20"/>
              </w:rPr>
            </w:pPr>
            <w:r w:rsidRPr="00F453F7">
              <w:rPr>
                <w:rFonts w:ascii="Arial Narrow" w:hAnsi="Arial Narrow" w:cstheme="minorHAnsi"/>
                <w:strike/>
                <w:sz w:val="20"/>
                <w:szCs w:val="20"/>
              </w:rPr>
              <w:t>No increase in the maximum number of repeats may be authorised</w:t>
            </w:r>
          </w:p>
          <w:p w:rsidR="00090E3D" w:rsidRPr="00F453F7" w:rsidRDefault="00090E3D" w:rsidP="00E76233">
            <w:pPr>
              <w:spacing w:after="60"/>
              <w:rPr>
                <w:rFonts w:ascii="Arial Narrow" w:hAnsi="Arial Narrow" w:cs="Arial"/>
                <w:sz w:val="20"/>
                <w:szCs w:val="20"/>
              </w:rPr>
            </w:pPr>
            <w:r w:rsidRPr="00F453F7">
              <w:rPr>
                <w:rFonts w:ascii="Arial Narrow" w:hAnsi="Arial Narrow" w:cstheme="minorHAnsi"/>
                <w:sz w:val="20"/>
                <w:szCs w:val="20"/>
              </w:rPr>
              <w:t>Special Pricing Arrangements apply.</w:t>
            </w:r>
          </w:p>
        </w:tc>
      </w:tr>
    </w:tbl>
    <w:p w:rsidR="00090E3D" w:rsidRPr="00F453F7" w:rsidRDefault="00090E3D" w:rsidP="00090E3D">
      <w:pPr>
        <w:rPr>
          <w:rFonts w:cstheme="minorHAnsi"/>
          <w:color w:val="0070C0"/>
        </w:rPr>
      </w:pPr>
      <w:r w:rsidRPr="00F453F7">
        <w:rPr>
          <w:rFonts w:cstheme="minorHAnsi"/>
          <w:color w:val="0070C0"/>
        </w:rPr>
        <w:t xml:space="preserve"> </w:t>
      </w:r>
    </w:p>
    <w:tbl>
      <w:tblPr>
        <w:tblW w:w="9214" w:type="dxa"/>
        <w:tblInd w:w="-5" w:type="dxa"/>
        <w:tblLayout w:type="fixed"/>
        <w:tblLook w:val="0000" w:firstRow="0" w:lastRow="0" w:firstColumn="0" w:lastColumn="0" w:noHBand="0" w:noVBand="0"/>
      </w:tblPr>
      <w:tblGrid>
        <w:gridCol w:w="2410"/>
        <w:gridCol w:w="6804"/>
      </w:tblGrid>
      <w:tr w:rsidR="00090E3D" w:rsidRPr="00F453F7" w:rsidTr="00A1349E">
        <w:trPr>
          <w:cantSplit/>
          <w:trHeight w:val="227"/>
        </w:trPr>
        <w:tc>
          <w:tcPr>
            <w:tcW w:w="2410" w:type="dxa"/>
            <w:tcBorders>
              <w:top w:val="single" w:sz="4" w:space="0" w:color="auto"/>
              <w:left w:val="single" w:sz="4" w:space="0" w:color="auto"/>
              <w:bottom w:val="single" w:sz="4" w:space="0" w:color="auto"/>
              <w:right w:val="single" w:sz="4" w:space="0" w:color="auto"/>
            </w:tcBorders>
          </w:tcPr>
          <w:p w:rsidR="00090E3D" w:rsidRPr="00F453F7" w:rsidRDefault="00090E3D" w:rsidP="00E76233">
            <w:pPr>
              <w:rPr>
                <w:rFonts w:ascii="Arial Narrow" w:hAnsi="Arial Narrow" w:cs="Arial"/>
                <w:b/>
                <w:sz w:val="20"/>
                <w:szCs w:val="20"/>
              </w:rPr>
            </w:pPr>
            <w:r w:rsidRPr="00F453F7">
              <w:rPr>
                <w:rFonts w:ascii="Arial Narrow" w:hAnsi="Arial Narrow" w:cs="Arial"/>
                <w:b/>
                <w:sz w:val="20"/>
                <w:szCs w:val="20"/>
              </w:rPr>
              <w:t>Category / Program:</w:t>
            </w:r>
          </w:p>
        </w:tc>
        <w:tc>
          <w:tcPr>
            <w:tcW w:w="6804" w:type="dxa"/>
            <w:tcBorders>
              <w:top w:val="single" w:sz="4" w:space="0" w:color="auto"/>
              <w:left w:val="single" w:sz="4" w:space="0" w:color="auto"/>
              <w:bottom w:val="single" w:sz="4" w:space="0" w:color="auto"/>
              <w:right w:val="single" w:sz="4" w:space="0" w:color="auto"/>
            </w:tcBorders>
          </w:tcPr>
          <w:p w:rsidR="00090E3D" w:rsidRPr="00F453F7" w:rsidRDefault="00090E3D" w:rsidP="00E76233">
            <w:pPr>
              <w:rPr>
                <w:rFonts w:ascii="Arial Narrow" w:hAnsi="Arial Narrow" w:cs="Arial"/>
                <w:sz w:val="20"/>
                <w:szCs w:val="20"/>
              </w:rPr>
            </w:pPr>
            <w:r w:rsidRPr="00F453F7">
              <w:rPr>
                <w:rFonts w:ascii="Arial Narrow" w:hAnsi="Arial Narrow" w:cs="Arial"/>
                <w:sz w:val="20"/>
                <w:szCs w:val="20"/>
              </w:rPr>
              <w:t>Section 100 – Efficient Funding of Chemotherapy</w:t>
            </w:r>
          </w:p>
        </w:tc>
      </w:tr>
      <w:tr w:rsidR="00090E3D" w:rsidRPr="00F453F7" w:rsidTr="00690EF8">
        <w:trPr>
          <w:cantSplit/>
          <w:trHeight w:val="360"/>
        </w:trPr>
        <w:tc>
          <w:tcPr>
            <w:tcW w:w="2410" w:type="dxa"/>
            <w:tcBorders>
              <w:top w:val="single" w:sz="4" w:space="0" w:color="auto"/>
              <w:left w:val="single" w:sz="4" w:space="0" w:color="auto"/>
              <w:bottom w:val="single" w:sz="4" w:space="0" w:color="auto"/>
              <w:right w:val="single" w:sz="4" w:space="0" w:color="auto"/>
            </w:tcBorders>
          </w:tcPr>
          <w:p w:rsidR="00090E3D" w:rsidRPr="00F453F7" w:rsidRDefault="00090E3D" w:rsidP="00E76233">
            <w:pPr>
              <w:rPr>
                <w:rFonts w:ascii="Arial Narrow" w:hAnsi="Arial Narrow" w:cs="Arial"/>
                <w:b/>
                <w:sz w:val="20"/>
                <w:szCs w:val="20"/>
              </w:rPr>
            </w:pPr>
            <w:r w:rsidRPr="00F453F7">
              <w:rPr>
                <w:rFonts w:ascii="Arial Narrow" w:hAnsi="Arial Narrow" w:cs="Arial"/>
                <w:b/>
                <w:sz w:val="20"/>
                <w:szCs w:val="20"/>
              </w:rPr>
              <w:t>Prescriber type:</w:t>
            </w:r>
          </w:p>
          <w:p w:rsidR="00090E3D" w:rsidRPr="00F453F7" w:rsidRDefault="00090E3D" w:rsidP="00E76233">
            <w:pPr>
              <w:rPr>
                <w:rFonts w:ascii="Arial Narrow" w:hAnsi="Arial Narrow" w:cs="Arial"/>
                <w:b/>
                <w:sz w:val="20"/>
                <w:szCs w:val="20"/>
              </w:rPr>
            </w:pPr>
          </w:p>
        </w:tc>
        <w:tc>
          <w:tcPr>
            <w:tcW w:w="6804" w:type="dxa"/>
            <w:tcBorders>
              <w:top w:val="single" w:sz="4" w:space="0" w:color="auto"/>
              <w:left w:val="single" w:sz="4" w:space="0" w:color="auto"/>
              <w:bottom w:val="single" w:sz="4" w:space="0" w:color="auto"/>
              <w:right w:val="single" w:sz="4" w:space="0" w:color="auto"/>
            </w:tcBorders>
          </w:tcPr>
          <w:p w:rsidR="00090E3D" w:rsidRPr="00F453F7" w:rsidRDefault="00090E3D" w:rsidP="00E76233">
            <w:pPr>
              <w:rPr>
                <w:rFonts w:ascii="Arial Narrow" w:hAnsi="Arial Narrow" w:cs="Arial"/>
                <w:sz w:val="20"/>
                <w:szCs w:val="20"/>
              </w:rPr>
            </w:pPr>
            <w:r w:rsidRPr="00F453F7">
              <w:rPr>
                <w:rFonts w:ascii="Arial Narrow" w:hAnsi="Arial Narrow" w:cs="Arial"/>
                <w:sz w:val="20"/>
                <w:szCs w:val="20"/>
              </w:rPr>
              <w:fldChar w:fldCharType="begin">
                <w:ffData>
                  <w:name w:val="Check1"/>
                  <w:enabled/>
                  <w:calcOnExit w:val="0"/>
                  <w:checkBox>
                    <w:sizeAuto/>
                    <w:default w:val="0"/>
                  </w:checkBox>
                </w:ffData>
              </w:fldChar>
            </w:r>
            <w:r w:rsidRPr="00F453F7">
              <w:rPr>
                <w:rFonts w:ascii="Arial Narrow" w:hAnsi="Arial Narrow" w:cs="Arial"/>
                <w:sz w:val="20"/>
                <w:szCs w:val="20"/>
              </w:rPr>
              <w:instrText xml:space="preserve"> FORMCHECKBOX </w:instrText>
            </w:r>
            <w:r w:rsidR="00C15CB6">
              <w:rPr>
                <w:rFonts w:ascii="Arial Narrow" w:hAnsi="Arial Narrow" w:cs="Arial"/>
                <w:sz w:val="20"/>
                <w:szCs w:val="20"/>
              </w:rPr>
            </w:r>
            <w:r w:rsidR="00C15CB6">
              <w:rPr>
                <w:rFonts w:ascii="Arial Narrow" w:hAnsi="Arial Narrow" w:cs="Arial"/>
                <w:sz w:val="20"/>
                <w:szCs w:val="20"/>
              </w:rPr>
              <w:fldChar w:fldCharType="separate"/>
            </w:r>
            <w:r w:rsidRPr="00F453F7">
              <w:rPr>
                <w:rFonts w:ascii="Arial Narrow" w:hAnsi="Arial Narrow" w:cs="Arial"/>
                <w:sz w:val="20"/>
                <w:szCs w:val="20"/>
              </w:rPr>
              <w:fldChar w:fldCharType="end"/>
            </w:r>
            <w:r w:rsidRPr="00F453F7">
              <w:rPr>
                <w:rFonts w:ascii="Arial Narrow" w:hAnsi="Arial Narrow" w:cs="Arial"/>
                <w:sz w:val="20"/>
                <w:szCs w:val="20"/>
              </w:rPr>
              <w:t xml:space="preserve">Dental  </w:t>
            </w:r>
            <w:r w:rsidRPr="00F453F7">
              <w:rPr>
                <w:rFonts w:ascii="Arial Narrow" w:hAnsi="Arial Narrow" w:cs="Arial"/>
                <w:sz w:val="20"/>
                <w:szCs w:val="20"/>
              </w:rPr>
              <w:fldChar w:fldCharType="begin">
                <w:ffData>
                  <w:name w:val=""/>
                  <w:enabled/>
                  <w:calcOnExit w:val="0"/>
                  <w:checkBox>
                    <w:sizeAuto/>
                    <w:default w:val="1"/>
                  </w:checkBox>
                </w:ffData>
              </w:fldChar>
            </w:r>
            <w:r w:rsidRPr="00F453F7">
              <w:rPr>
                <w:rFonts w:ascii="Arial Narrow" w:hAnsi="Arial Narrow" w:cs="Arial"/>
                <w:sz w:val="20"/>
                <w:szCs w:val="20"/>
              </w:rPr>
              <w:instrText xml:space="preserve"> FORMCHECKBOX </w:instrText>
            </w:r>
            <w:r w:rsidR="00C15CB6">
              <w:rPr>
                <w:rFonts w:ascii="Arial Narrow" w:hAnsi="Arial Narrow" w:cs="Arial"/>
                <w:sz w:val="20"/>
                <w:szCs w:val="20"/>
              </w:rPr>
            </w:r>
            <w:r w:rsidR="00C15CB6">
              <w:rPr>
                <w:rFonts w:ascii="Arial Narrow" w:hAnsi="Arial Narrow" w:cs="Arial"/>
                <w:sz w:val="20"/>
                <w:szCs w:val="20"/>
              </w:rPr>
              <w:fldChar w:fldCharType="separate"/>
            </w:r>
            <w:r w:rsidRPr="00F453F7">
              <w:rPr>
                <w:rFonts w:ascii="Arial Narrow" w:hAnsi="Arial Narrow" w:cs="Arial"/>
                <w:sz w:val="20"/>
                <w:szCs w:val="20"/>
              </w:rPr>
              <w:fldChar w:fldCharType="end"/>
            </w:r>
            <w:r w:rsidRPr="00F453F7">
              <w:rPr>
                <w:rFonts w:ascii="Arial Narrow" w:hAnsi="Arial Narrow" w:cs="Arial"/>
                <w:sz w:val="20"/>
                <w:szCs w:val="20"/>
              </w:rPr>
              <w:t xml:space="preserve">Medical Practitioners  </w:t>
            </w:r>
            <w:r w:rsidRPr="00F453F7">
              <w:rPr>
                <w:rFonts w:ascii="Arial Narrow" w:hAnsi="Arial Narrow" w:cs="Arial"/>
                <w:sz w:val="20"/>
                <w:szCs w:val="20"/>
              </w:rPr>
              <w:fldChar w:fldCharType="begin">
                <w:ffData>
                  <w:name w:val="Check3"/>
                  <w:enabled/>
                  <w:calcOnExit w:val="0"/>
                  <w:checkBox>
                    <w:sizeAuto/>
                    <w:default w:val="0"/>
                  </w:checkBox>
                </w:ffData>
              </w:fldChar>
            </w:r>
            <w:r w:rsidRPr="00F453F7">
              <w:rPr>
                <w:rFonts w:ascii="Arial Narrow" w:hAnsi="Arial Narrow" w:cs="Arial"/>
                <w:sz w:val="20"/>
                <w:szCs w:val="20"/>
              </w:rPr>
              <w:instrText xml:space="preserve"> FORMCHECKBOX </w:instrText>
            </w:r>
            <w:r w:rsidR="00C15CB6">
              <w:rPr>
                <w:rFonts w:ascii="Arial Narrow" w:hAnsi="Arial Narrow" w:cs="Arial"/>
                <w:sz w:val="20"/>
                <w:szCs w:val="20"/>
              </w:rPr>
            </w:r>
            <w:r w:rsidR="00C15CB6">
              <w:rPr>
                <w:rFonts w:ascii="Arial Narrow" w:hAnsi="Arial Narrow" w:cs="Arial"/>
                <w:sz w:val="20"/>
                <w:szCs w:val="20"/>
              </w:rPr>
              <w:fldChar w:fldCharType="separate"/>
            </w:r>
            <w:r w:rsidRPr="00F453F7">
              <w:rPr>
                <w:rFonts w:ascii="Arial Narrow" w:hAnsi="Arial Narrow" w:cs="Arial"/>
                <w:sz w:val="20"/>
                <w:szCs w:val="20"/>
              </w:rPr>
              <w:fldChar w:fldCharType="end"/>
            </w:r>
            <w:r w:rsidRPr="00F453F7">
              <w:rPr>
                <w:rFonts w:ascii="Arial Narrow" w:hAnsi="Arial Narrow" w:cs="Arial"/>
                <w:sz w:val="20"/>
                <w:szCs w:val="20"/>
              </w:rPr>
              <w:t xml:space="preserve">Nurse practitioners  </w:t>
            </w:r>
            <w:r w:rsidRPr="00F453F7">
              <w:rPr>
                <w:rFonts w:ascii="Arial Narrow" w:hAnsi="Arial Narrow" w:cs="Arial"/>
                <w:sz w:val="20"/>
                <w:szCs w:val="20"/>
              </w:rPr>
              <w:fldChar w:fldCharType="begin">
                <w:ffData>
                  <w:name w:val=""/>
                  <w:enabled/>
                  <w:calcOnExit w:val="0"/>
                  <w:checkBox>
                    <w:sizeAuto/>
                    <w:default w:val="0"/>
                  </w:checkBox>
                </w:ffData>
              </w:fldChar>
            </w:r>
            <w:r w:rsidRPr="00F453F7">
              <w:rPr>
                <w:rFonts w:ascii="Arial Narrow" w:hAnsi="Arial Narrow" w:cs="Arial"/>
                <w:sz w:val="20"/>
                <w:szCs w:val="20"/>
              </w:rPr>
              <w:instrText xml:space="preserve"> FORMCHECKBOX </w:instrText>
            </w:r>
            <w:r w:rsidR="00C15CB6">
              <w:rPr>
                <w:rFonts w:ascii="Arial Narrow" w:hAnsi="Arial Narrow" w:cs="Arial"/>
                <w:sz w:val="20"/>
                <w:szCs w:val="20"/>
              </w:rPr>
            </w:r>
            <w:r w:rsidR="00C15CB6">
              <w:rPr>
                <w:rFonts w:ascii="Arial Narrow" w:hAnsi="Arial Narrow" w:cs="Arial"/>
                <w:sz w:val="20"/>
                <w:szCs w:val="20"/>
              </w:rPr>
              <w:fldChar w:fldCharType="separate"/>
            </w:r>
            <w:r w:rsidRPr="00F453F7">
              <w:rPr>
                <w:rFonts w:ascii="Arial Narrow" w:hAnsi="Arial Narrow" w:cs="Arial"/>
                <w:sz w:val="20"/>
                <w:szCs w:val="20"/>
              </w:rPr>
              <w:fldChar w:fldCharType="end"/>
            </w:r>
            <w:r w:rsidRPr="00F453F7">
              <w:rPr>
                <w:rFonts w:ascii="Arial Narrow" w:hAnsi="Arial Narrow" w:cs="Arial"/>
                <w:sz w:val="20"/>
                <w:szCs w:val="20"/>
              </w:rPr>
              <w:t>Optometrists</w:t>
            </w:r>
          </w:p>
          <w:p w:rsidR="00090E3D" w:rsidRPr="00F453F7" w:rsidRDefault="00090E3D" w:rsidP="00E76233">
            <w:pPr>
              <w:rPr>
                <w:rFonts w:ascii="Arial Narrow" w:hAnsi="Arial Narrow" w:cs="Arial"/>
                <w:sz w:val="20"/>
                <w:szCs w:val="20"/>
              </w:rPr>
            </w:pPr>
            <w:r w:rsidRPr="00F453F7">
              <w:rPr>
                <w:rFonts w:ascii="Arial Narrow" w:hAnsi="Arial Narrow" w:cs="Arial"/>
                <w:sz w:val="20"/>
                <w:szCs w:val="20"/>
              </w:rPr>
              <w:fldChar w:fldCharType="begin">
                <w:ffData>
                  <w:name w:val="Check5"/>
                  <w:enabled/>
                  <w:calcOnExit w:val="0"/>
                  <w:checkBox>
                    <w:sizeAuto/>
                    <w:default w:val="0"/>
                  </w:checkBox>
                </w:ffData>
              </w:fldChar>
            </w:r>
            <w:r w:rsidRPr="00F453F7">
              <w:rPr>
                <w:rFonts w:ascii="Arial Narrow" w:hAnsi="Arial Narrow" w:cs="Arial"/>
                <w:sz w:val="20"/>
                <w:szCs w:val="20"/>
              </w:rPr>
              <w:instrText xml:space="preserve"> FORMCHECKBOX </w:instrText>
            </w:r>
            <w:r w:rsidR="00C15CB6">
              <w:rPr>
                <w:rFonts w:ascii="Arial Narrow" w:hAnsi="Arial Narrow" w:cs="Arial"/>
                <w:sz w:val="20"/>
                <w:szCs w:val="20"/>
              </w:rPr>
            </w:r>
            <w:r w:rsidR="00C15CB6">
              <w:rPr>
                <w:rFonts w:ascii="Arial Narrow" w:hAnsi="Arial Narrow" w:cs="Arial"/>
                <w:sz w:val="20"/>
                <w:szCs w:val="20"/>
              </w:rPr>
              <w:fldChar w:fldCharType="separate"/>
            </w:r>
            <w:r w:rsidRPr="00F453F7">
              <w:rPr>
                <w:rFonts w:ascii="Arial Narrow" w:hAnsi="Arial Narrow" w:cs="Arial"/>
                <w:sz w:val="20"/>
                <w:szCs w:val="20"/>
              </w:rPr>
              <w:fldChar w:fldCharType="end"/>
            </w:r>
            <w:r w:rsidRPr="00F453F7">
              <w:rPr>
                <w:rFonts w:ascii="Arial Narrow" w:hAnsi="Arial Narrow" w:cs="Arial"/>
                <w:sz w:val="20"/>
                <w:szCs w:val="20"/>
              </w:rPr>
              <w:t>Midwives</w:t>
            </w:r>
          </w:p>
        </w:tc>
      </w:tr>
      <w:tr w:rsidR="00090E3D" w:rsidRPr="00F453F7" w:rsidTr="00A1349E">
        <w:trPr>
          <w:cantSplit/>
          <w:trHeight w:val="82"/>
        </w:trPr>
        <w:tc>
          <w:tcPr>
            <w:tcW w:w="2410" w:type="dxa"/>
            <w:tcBorders>
              <w:top w:val="single" w:sz="4" w:space="0" w:color="auto"/>
              <w:left w:val="single" w:sz="4" w:space="0" w:color="auto"/>
              <w:bottom w:val="single" w:sz="4" w:space="0" w:color="auto"/>
              <w:right w:val="single" w:sz="4" w:space="0" w:color="auto"/>
            </w:tcBorders>
          </w:tcPr>
          <w:p w:rsidR="00090E3D" w:rsidRPr="00F453F7" w:rsidRDefault="00090E3D" w:rsidP="00E76233">
            <w:pPr>
              <w:rPr>
                <w:rFonts w:ascii="Arial Narrow" w:hAnsi="Arial Narrow" w:cs="Arial"/>
                <w:b/>
                <w:sz w:val="20"/>
                <w:szCs w:val="20"/>
              </w:rPr>
            </w:pPr>
            <w:r w:rsidRPr="00F453F7">
              <w:rPr>
                <w:rFonts w:ascii="Arial Narrow" w:hAnsi="Arial Narrow" w:cs="Arial"/>
                <w:b/>
                <w:sz w:val="20"/>
                <w:szCs w:val="20"/>
              </w:rPr>
              <w:t>Severity:</w:t>
            </w:r>
          </w:p>
        </w:tc>
        <w:tc>
          <w:tcPr>
            <w:tcW w:w="6804" w:type="dxa"/>
            <w:tcBorders>
              <w:top w:val="single" w:sz="4" w:space="0" w:color="auto"/>
              <w:left w:val="single" w:sz="4" w:space="0" w:color="auto"/>
              <w:bottom w:val="single" w:sz="4" w:space="0" w:color="auto"/>
              <w:right w:val="single" w:sz="4" w:space="0" w:color="auto"/>
            </w:tcBorders>
          </w:tcPr>
          <w:p w:rsidR="00090E3D" w:rsidRPr="00F453F7" w:rsidRDefault="00090E3D" w:rsidP="00E76233">
            <w:pPr>
              <w:rPr>
                <w:rFonts w:ascii="Arial Narrow" w:hAnsi="Arial Narrow" w:cs="Arial"/>
                <w:sz w:val="20"/>
                <w:szCs w:val="20"/>
              </w:rPr>
            </w:pPr>
            <w:r w:rsidRPr="00F453F7">
              <w:rPr>
                <w:rFonts w:ascii="Arial Narrow" w:hAnsi="Arial Narrow" w:cstheme="minorHAnsi"/>
                <w:sz w:val="20"/>
                <w:szCs w:val="20"/>
              </w:rPr>
              <w:t>Locally advanced (Stage III) or metastatic (Stage IV) urothelial cancer</w:t>
            </w:r>
          </w:p>
        </w:tc>
      </w:tr>
      <w:tr w:rsidR="00090E3D" w:rsidRPr="00F453F7" w:rsidTr="00A1349E">
        <w:trPr>
          <w:cantSplit/>
          <w:trHeight w:val="127"/>
        </w:trPr>
        <w:tc>
          <w:tcPr>
            <w:tcW w:w="2410" w:type="dxa"/>
            <w:tcBorders>
              <w:top w:val="single" w:sz="4" w:space="0" w:color="auto"/>
              <w:left w:val="single" w:sz="4" w:space="0" w:color="auto"/>
              <w:bottom w:val="single" w:sz="4" w:space="0" w:color="auto"/>
              <w:right w:val="single" w:sz="4" w:space="0" w:color="auto"/>
            </w:tcBorders>
          </w:tcPr>
          <w:p w:rsidR="00090E3D" w:rsidRPr="00F453F7" w:rsidRDefault="00090E3D" w:rsidP="00E76233">
            <w:pPr>
              <w:rPr>
                <w:rFonts w:ascii="Arial Narrow" w:hAnsi="Arial Narrow" w:cs="Arial"/>
                <w:b/>
                <w:sz w:val="20"/>
                <w:szCs w:val="20"/>
              </w:rPr>
            </w:pPr>
            <w:r w:rsidRPr="00F453F7">
              <w:rPr>
                <w:rFonts w:ascii="Arial Narrow" w:hAnsi="Arial Narrow" w:cs="Arial"/>
                <w:b/>
                <w:sz w:val="20"/>
                <w:szCs w:val="20"/>
              </w:rPr>
              <w:t>Condition:</w:t>
            </w:r>
          </w:p>
        </w:tc>
        <w:tc>
          <w:tcPr>
            <w:tcW w:w="6804" w:type="dxa"/>
            <w:tcBorders>
              <w:top w:val="single" w:sz="4" w:space="0" w:color="auto"/>
              <w:left w:val="single" w:sz="4" w:space="0" w:color="auto"/>
              <w:bottom w:val="single" w:sz="4" w:space="0" w:color="auto"/>
              <w:right w:val="single" w:sz="4" w:space="0" w:color="auto"/>
            </w:tcBorders>
          </w:tcPr>
          <w:p w:rsidR="00090E3D" w:rsidRPr="00F453F7" w:rsidRDefault="00090E3D" w:rsidP="00E76233">
            <w:pPr>
              <w:rPr>
                <w:rFonts w:ascii="Arial Narrow" w:hAnsi="Arial Narrow" w:cs="Arial"/>
                <w:sz w:val="20"/>
                <w:szCs w:val="20"/>
              </w:rPr>
            </w:pPr>
            <w:r w:rsidRPr="00F453F7">
              <w:rPr>
                <w:rFonts w:ascii="Arial Narrow" w:hAnsi="Arial Narrow" w:cstheme="minorHAnsi"/>
                <w:sz w:val="20"/>
                <w:szCs w:val="20"/>
              </w:rPr>
              <w:t>Urothelial cancer</w:t>
            </w:r>
          </w:p>
        </w:tc>
      </w:tr>
      <w:tr w:rsidR="00090E3D" w:rsidRPr="00F453F7" w:rsidTr="00A1349E">
        <w:trPr>
          <w:cantSplit/>
          <w:trHeight w:val="173"/>
        </w:trPr>
        <w:tc>
          <w:tcPr>
            <w:tcW w:w="2410" w:type="dxa"/>
            <w:tcBorders>
              <w:top w:val="single" w:sz="4" w:space="0" w:color="auto"/>
              <w:left w:val="single" w:sz="4" w:space="0" w:color="auto"/>
              <w:bottom w:val="single" w:sz="4" w:space="0" w:color="auto"/>
              <w:right w:val="single" w:sz="4" w:space="0" w:color="auto"/>
            </w:tcBorders>
          </w:tcPr>
          <w:p w:rsidR="00090E3D" w:rsidRPr="00F453F7" w:rsidRDefault="00090E3D" w:rsidP="00E76233">
            <w:pPr>
              <w:rPr>
                <w:rFonts w:ascii="Arial Narrow" w:hAnsi="Arial Narrow" w:cs="Arial"/>
                <w:b/>
                <w:sz w:val="20"/>
                <w:szCs w:val="20"/>
              </w:rPr>
            </w:pPr>
            <w:r w:rsidRPr="00F453F7">
              <w:rPr>
                <w:rFonts w:ascii="Arial Narrow" w:hAnsi="Arial Narrow" w:cs="Arial"/>
                <w:b/>
                <w:sz w:val="20"/>
                <w:szCs w:val="20"/>
              </w:rPr>
              <w:t>PBS Indication:</w:t>
            </w:r>
          </w:p>
        </w:tc>
        <w:tc>
          <w:tcPr>
            <w:tcW w:w="6804" w:type="dxa"/>
            <w:tcBorders>
              <w:top w:val="single" w:sz="4" w:space="0" w:color="auto"/>
              <w:left w:val="single" w:sz="4" w:space="0" w:color="auto"/>
              <w:bottom w:val="single" w:sz="4" w:space="0" w:color="auto"/>
              <w:right w:val="single" w:sz="4" w:space="0" w:color="auto"/>
            </w:tcBorders>
          </w:tcPr>
          <w:p w:rsidR="00090E3D" w:rsidRPr="00F453F7" w:rsidRDefault="00090E3D" w:rsidP="00E76233">
            <w:pPr>
              <w:rPr>
                <w:rFonts w:ascii="Arial Narrow" w:hAnsi="Arial Narrow" w:cs="Arial"/>
                <w:sz w:val="20"/>
                <w:szCs w:val="20"/>
              </w:rPr>
            </w:pPr>
            <w:r w:rsidRPr="00F453F7">
              <w:rPr>
                <w:rFonts w:ascii="Arial Narrow" w:hAnsi="Arial Narrow" w:cstheme="minorHAnsi"/>
                <w:sz w:val="20"/>
                <w:szCs w:val="20"/>
              </w:rPr>
              <w:t>Locally advanced (Stage III) or metastatic (Stage IV) urothelial cancer</w:t>
            </w:r>
          </w:p>
        </w:tc>
      </w:tr>
      <w:tr w:rsidR="00090E3D" w:rsidRPr="00F453F7" w:rsidTr="00A1349E">
        <w:trPr>
          <w:cantSplit/>
          <w:trHeight w:val="205"/>
        </w:trPr>
        <w:tc>
          <w:tcPr>
            <w:tcW w:w="2410" w:type="dxa"/>
            <w:tcBorders>
              <w:top w:val="single" w:sz="4" w:space="0" w:color="auto"/>
              <w:left w:val="single" w:sz="4" w:space="0" w:color="auto"/>
              <w:bottom w:val="single" w:sz="4" w:space="0" w:color="auto"/>
              <w:right w:val="single" w:sz="4" w:space="0" w:color="auto"/>
            </w:tcBorders>
          </w:tcPr>
          <w:p w:rsidR="00090E3D" w:rsidRPr="00F453F7" w:rsidRDefault="00090E3D" w:rsidP="00E76233">
            <w:pPr>
              <w:rPr>
                <w:rFonts w:ascii="Arial Narrow" w:hAnsi="Arial Narrow" w:cs="Arial"/>
                <w:b/>
                <w:sz w:val="20"/>
                <w:szCs w:val="20"/>
              </w:rPr>
            </w:pPr>
            <w:r w:rsidRPr="00F453F7">
              <w:rPr>
                <w:rFonts w:ascii="Arial Narrow" w:hAnsi="Arial Narrow" w:cs="Arial"/>
                <w:b/>
                <w:sz w:val="20"/>
                <w:szCs w:val="20"/>
              </w:rPr>
              <w:t>Treatment phase:</w:t>
            </w:r>
          </w:p>
        </w:tc>
        <w:tc>
          <w:tcPr>
            <w:tcW w:w="6804" w:type="dxa"/>
            <w:tcBorders>
              <w:top w:val="single" w:sz="4" w:space="0" w:color="auto"/>
              <w:left w:val="single" w:sz="4" w:space="0" w:color="auto"/>
              <w:bottom w:val="single" w:sz="4" w:space="0" w:color="auto"/>
              <w:right w:val="single" w:sz="4" w:space="0" w:color="auto"/>
            </w:tcBorders>
          </w:tcPr>
          <w:p w:rsidR="00090E3D" w:rsidRPr="00F453F7" w:rsidRDefault="00090E3D" w:rsidP="00E76233">
            <w:pPr>
              <w:rPr>
                <w:rFonts w:ascii="Arial Narrow" w:hAnsi="Arial Narrow" w:cs="Arial"/>
                <w:sz w:val="20"/>
                <w:szCs w:val="20"/>
              </w:rPr>
            </w:pPr>
            <w:r w:rsidRPr="00F453F7">
              <w:rPr>
                <w:rFonts w:ascii="Arial Narrow" w:hAnsi="Arial Narrow" w:cstheme="minorHAnsi"/>
                <w:sz w:val="20"/>
                <w:szCs w:val="20"/>
              </w:rPr>
              <w:t>Grandfathering treatment</w:t>
            </w:r>
          </w:p>
        </w:tc>
      </w:tr>
      <w:tr w:rsidR="00090E3D" w:rsidRPr="00F453F7" w:rsidTr="00690EF8">
        <w:trPr>
          <w:cantSplit/>
          <w:trHeight w:val="360"/>
        </w:trPr>
        <w:tc>
          <w:tcPr>
            <w:tcW w:w="2410" w:type="dxa"/>
            <w:tcBorders>
              <w:top w:val="single" w:sz="4" w:space="0" w:color="auto"/>
              <w:left w:val="single" w:sz="4" w:space="0" w:color="auto"/>
              <w:bottom w:val="single" w:sz="4" w:space="0" w:color="auto"/>
              <w:right w:val="single" w:sz="4" w:space="0" w:color="auto"/>
            </w:tcBorders>
          </w:tcPr>
          <w:p w:rsidR="00090E3D" w:rsidRPr="00F453F7" w:rsidRDefault="00090E3D" w:rsidP="00E76233">
            <w:pPr>
              <w:rPr>
                <w:rFonts w:ascii="Arial Narrow" w:hAnsi="Arial Narrow" w:cs="Arial"/>
                <w:b/>
                <w:sz w:val="20"/>
                <w:szCs w:val="20"/>
              </w:rPr>
            </w:pPr>
            <w:r w:rsidRPr="00F453F7">
              <w:rPr>
                <w:rFonts w:ascii="Arial Narrow" w:hAnsi="Arial Narrow" w:cs="Arial"/>
                <w:b/>
                <w:sz w:val="20"/>
                <w:szCs w:val="20"/>
              </w:rPr>
              <w:t>Restriction Level / Method:</w:t>
            </w:r>
          </w:p>
          <w:p w:rsidR="00090E3D" w:rsidRPr="00F453F7" w:rsidRDefault="00090E3D" w:rsidP="00E76233">
            <w:pPr>
              <w:rPr>
                <w:rFonts w:ascii="Arial Narrow" w:hAnsi="Arial Narrow" w:cs="Arial"/>
                <w:i/>
                <w:sz w:val="20"/>
                <w:szCs w:val="20"/>
              </w:rPr>
            </w:pPr>
          </w:p>
          <w:p w:rsidR="00090E3D" w:rsidRPr="00F453F7" w:rsidRDefault="00090E3D" w:rsidP="00E76233">
            <w:pPr>
              <w:rPr>
                <w:rFonts w:ascii="Arial Narrow" w:hAnsi="Arial Narrow" w:cs="Arial"/>
                <w:i/>
                <w:sz w:val="20"/>
                <w:szCs w:val="20"/>
              </w:rPr>
            </w:pPr>
          </w:p>
          <w:p w:rsidR="00090E3D" w:rsidRPr="00F453F7" w:rsidRDefault="00090E3D" w:rsidP="00E76233">
            <w:pPr>
              <w:rPr>
                <w:rFonts w:ascii="Arial Narrow" w:hAnsi="Arial Narrow" w:cs="Arial"/>
                <w:i/>
                <w:sz w:val="20"/>
                <w:szCs w:val="20"/>
              </w:rPr>
            </w:pPr>
          </w:p>
        </w:tc>
        <w:tc>
          <w:tcPr>
            <w:tcW w:w="6804" w:type="dxa"/>
            <w:tcBorders>
              <w:top w:val="single" w:sz="4" w:space="0" w:color="auto"/>
              <w:left w:val="single" w:sz="4" w:space="0" w:color="auto"/>
              <w:bottom w:val="single" w:sz="4" w:space="0" w:color="auto"/>
              <w:right w:val="single" w:sz="4" w:space="0" w:color="auto"/>
            </w:tcBorders>
          </w:tcPr>
          <w:p w:rsidR="00090E3D" w:rsidRPr="00F453F7" w:rsidRDefault="00090E3D" w:rsidP="00E76233">
            <w:pPr>
              <w:rPr>
                <w:rFonts w:ascii="Arial Narrow" w:hAnsi="Arial Narrow" w:cs="Arial"/>
                <w:sz w:val="20"/>
                <w:szCs w:val="20"/>
              </w:rPr>
            </w:pPr>
            <w:r w:rsidRPr="00F453F7">
              <w:rPr>
                <w:rFonts w:ascii="Arial Narrow" w:hAnsi="Arial Narrow" w:cs="Arial"/>
                <w:sz w:val="20"/>
                <w:szCs w:val="20"/>
              </w:rPr>
              <w:fldChar w:fldCharType="begin">
                <w:ffData>
                  <w:name w:val="Check1"/>
                  <w:enabled/>
                  <w:calcOnExit w:val="0"/>
                  <w:checkBox>
                    <w:sizeAuto/>
                    <w:default w:val="0"/>
                  </w:checkBox>
                </w:ffData>
              </w:fldChar>
            </w:r>
            <w:r w:rsidRPr="00F453F7">
              <w:rPr>
                <w:rFonts w:ascii="Arial Narrow" w:hAnsi="Arial Narrow" w:cs="Arial"/>
                <w:sz w:val="20"/>
                <w:szCs w:val="20"/>
              </w:rPr>
              <w:instrText xml:space="preserve"> FORMCHECKBOX </w:instrText>
            </w:r>
            <w:r w:rsidR="00C15CB6">
              <w:rPr>
                <w:rFonts w:ascii="Arial Narrow" w:hAnsi="Arial Narrow" w:cs="Arial"/>
                <w:sz w:val="20"/>
                <w:szCs w:val="20"/>
              </w:rPr>
            </w:r>
            <w:r w:rsidR="00C15CB6">
              <w:rPr>
                <w:rFonts w:ascii="Arial Narrow" w:hAnsi="Arial Narrow" w:cs="Arial"/>
                <w:sz w:val="20"/>
                <w:szCs w:val="20"/>
              </w:rPr>
              <w:fldChar w:fldCharType="separate"/>
            </w:r>
            <w:r w:rsidRPr="00F453F7">
              <w:rPr>
                <w:rFonts w:ascii="Arial Narrow" w:hAnsi="Arial Narrow" w:cs="Arial"/>
                <w:sz w:val="20"/>
                <w:szCs w:val="20"/>
              </w:rPr>
              <w:fldChar w:fldCharType="end"/>
            </w:r>
            <w:r w:rsidRPr="00F453F7">
              <w:rPr>
                <w:rFonts w:ascii="Arial Narrow" w:hAnsi="Arial Narrow" w:cs="Arial"/>
                <w:sz w:val="20"/>
                <w:szCs w:val="20"/>
              </w:rPr>
              <w:t>Restricted benefit</w:t>
            </w:r>
          </w:p>
          <w:p w:rsidR="00090E3D" w:rsidRPr="00F453F7" w:rsidRDefault="00090E3D" w:rsidP="00E76233">
            <w:pPr>
              <w:rPr>
                <w:rFonts w:ascii="Arial Narrow" w:hAnsi="Arial Narrow" w:cs="Arial"/>
                <w:sz w:val="20"/>
                <w:szCs w:val="20"/>
              </w:rPr>
            </w:pPr>
            <w:r w:rsidRPr="00F453F7">
              <w:rPr>
                <w:rFonts w:ascii="Arial Narrow" w:hAnsi="Arial Narrow" w:cs="Arial"/>
                <w:sz w:val="20"/>
                <w:szCs w:val="20"/>
              </w:rPr>
              <w:fldChar w:fldCharType="begin">
                <w:ffData>
                  <w:name w:val=""/>
                  <w:enabled/>
                  <w:calcOnExit w:val="0"/>
                  <w:checkBox>
                    <w:sizeAuto/>
                    <w:default w:val="0"/>
                  </w:checkBox>
                </w:ffData>
              </w:fldChar>
            </w:r>
            <w:r w:rsidRPr="00F453F7">
              <w:rPr>
                <w:rFonts w:ascii="Arial Narrow" w:hAnsi="Arial Narrow" w:cs="Arial"/>
                <w:sz w:val="20"/>
                <w:szCs w:val="20"/>
              </w:rPr>
              <w:instrText xml:space="preserve"> FORMCHECKBOX </w:instrText>
            </w:r>
            <w:r w:rsidR="00C15CB6">
              <w:rPr>
                <w:rFonts w:ascii="Arial Narrow" w:hAnsi="Arial Narrow" w:cs="Arial"/>
                <w:sz w:val="20"/>
                <w:szCs w:val="20"/>
              </w:rPr>
            </w:r>
            <w:r w:rsidR="00C15CB6">
              <w:rPr>
                <w:rFonts w:ascii="Arial Narrow" w:hAnsi="Arial Narrow" w:cs="Arial"/>
                <w:sz w:val="20"/>
                <w:szCs w:val="20"/>
              </w:rPr>
              <w:fldChar w:fldCharType="separate"/>
            </w:r>
            <w:r w:rsidRPr="00F453F7">
              <w:rPr>
                <w:rFonts w:ascii="Arial Narrow" w:hAnsi="Arial Narrow" w:cs="Arial"/>
                <w:sz w:val="20"/>
                <w:szCs w:val="20"/>
              </w:rPr>
              <w:fldChar w:fldCharType="end"/>
            </w:r>
            <w:r w:rsidRPr="00F453F7">
              <w:rPr>
                <w:rFonts w:ascii="Arial Narrow" w:hAnsi="Arial Narrow" w:cs="Arial"/>
                <w:sz w:val="20"/>
                <w:szCs w:val="20"/>
              </w:rPr>
              <w:t>Authority Required – In Writing</w:t>
            </w:r>
          </w:p>
          <w:p w:rsidR="00090E3D" w:rsidRPr="00F453F7" w:rsidRDefault="00090E3D" w:rsidP="00E76233">
            <w:pPr>
              <w:rPr>
                <w:rFonts w:ascii="Arial Narrow" w:hAnsi="Arial Narrow" w:cs="Arial"/>
                <w:sz w:val="20"/>
                <w:szCs w:val="20"/>
              </w:rPr>
            </w:pPr>
            <w:r w:rsidRPr="00F453F7">
              <w:rPr>
                <w:rFonts w:ascii="Arial Narrow" w:hAnsi="Arial Narrow" w:cs="Arial"/>
                <w:sz w:val="20"/>
                <w:szCs w:val="20"/>
              </w:rPr>
              <w:fldChar w:fldCharType="begin">
                <w:ffData>
                  <w:name w:val="Check3"/>
                  <w:enabled/>
                  <w:calcOnExit w:val="0"/>
                  <w:checkBox>
                    <w:sizeAuto/>
                    <w:default w:val="0"/>
                  </w:checkBox>
                </w:ffData>
              </w:fldChar>
            </w:r>
            <w:r w:rsidRPr="00F453F7">
              <w:rPr>
                <w:rFonts w:ascii="Arial Narrow" w:hAnsi="Arial Narrow" w:cs="Arial"/>
                <w:sz w:val="20"/>
                <w:szCs w:val="20"/>
              </w:rPr>
              <w:instrText xml:space="preserve"> FORMCHECKBOX </w:instrText>
            </w:r>
            <w:r w:rsidR="00C15CB6">
              <w:rPr>
                <w:rFonts w:ascii="Arial Narrow" w:hAnsi="Arial Narrow" w:cs="Arial"/>
                <w:sz w:val="20"/>
                <w:szCs w:val="20"/>
              </w:rPr>
            </w:r>
            <w:r w:rsidR="00C15CB6">
              <w:rPr>
                <w:rFonts w:ascii="Arial Narrow" w:hAnsi="Arial Narrow" w:cs="Arial"/>
                <w:sz w:val="20"/>
                <w:szCs w:val="20"/>
              </w:rPr>
              <w:fldChar w:fldCharType="separate"/>
            </w:r>
            <w:r w:rsidRPr="00F453F7">
              <w:rPr>
                <w:rFonts w:ascii="Arial Narrow" w:hAnsi="Arial Narrow" w:cs="Arial"/>
                <w:sz w:val="20"/>
                <w:szCs w:val="20"/>
              </w:rPr>
              <w:fldChar w:fldCharType="end"/>
            </w:r>
            <w:r w:rsidRPr="00F453F7">
              <w:rPr>
                <w:rFonts w:ascii="Arial Narrow" w:hAnsi="Arial Narrow" w:cs="Arial"/>
                <w:sz w:val="20"/>
                <w:szCs w:val="20"/>
              </w:rPr>
              <w:t>Authority Required – Telephone/Electronic/Emergency</w:t>
            </w:r>
          </w:p>
          <w:p w:rsidR="00090E3D" w:rsidRPr="00F453F7" w:rsidRDefault="00090E3D" w:rsidP="00E76233">
            <w:pPr>
              <w:rPr>
                <w:rFonts w:ascii="Arial Narrow" w:hAnsi="Arial Narrow" w:cs="Arial"/>
                <w:sz w:val="20"/>
                <w:szCs w:val="20"/>
              </w:rPr>
            </w:pPr>
            <w:r w:rsidRPr="00F453F7">
              <w:rPr>
                <w:rFonts w:ascii="Arial Narrow" w:hAnsi="Arial Narrow" w:cs="Arial"/>
                <w:sz w:val="20"/>
                <w:szCs w:val="20"/>
              </w:rPr>
              <w:fldChar w:fldCharType="begin">
                <w:ffData>
                  <w:name w:val="Check5"/>
                  <w:enabled/>
                  <w:calcOnExit w:val="0"/>
                  <w:checkBox>
                    <w:sizeAuto/>
                    <w:default w:val="1"/>
                  </w:checkBox>
                </w:ffData>
              </w:fldChar>
            </w:r>
            <w:r w:rsidRPr="00F453F7">
              <w:rPr>
                <w:rFonts w:ascii="Arial Narrow" w:hAnsi="Arial Narrow" w:cs="Arial"/>
                <w:sz w:val="20"/>
                <w:szCs w:val="20"/>
              </w:rPr>
              <w:instrText xml:space="preserve"> FORMCHECKBOX </w:instrText>
            </w:r>
            <w:r w:rsidR="00C15CB6">
              <w:rPr>
                <w:rFonts w:ascii="Arial Narrow" w:hAnsi="Arial Narrow" w:cs="Arial"/>
                <w:sz w:val="20"/>
                <w:szCs w:val="20"/>
              </w:rPr>
            </w:r>
            <w:r w:rsidR="00C15CB6">
              <w:rPr>
                <w:rFonts w:ascii="Arial Narrow" w:hAnsi="Arial Narrow" w:cs="Arial"/>
                <w:sz w:val="20"/>
                <w:szCs w:val="20"/>
              </w:rPr>
              <w:fldChar w:fldCharType="separate"/>
            </w:r>
            <w:r w:rsidRPr="00F453F7">
              <w:rPr>
                <w:rFonts w:ascii="Arial Narrow" w:hAnsi="Arial Narrow" w:cs="Arial"/>
                <w:sz w:val="20"/>
                <w:szCs w:val="20"/>
              </w:rPr>
              <w:fldChar w:fldCharType="end"/>
            </w:r>
            <w:r w:rsidRPr="00F453F7">
              <w:rPr>
                <w:rFonts w:ascii="Arial Narrow" w:hAnsi="Arial Narrow" w:cs="Arial"/>
                <w:sz w:val="20"/>
                <w:szCs w:val="20"/>
              </w:rPr>
              <w:t>Streamlined</w:t>
            </w:r>
          </w:p>
        </w:tc>
      </w:tr>
      <w:tr w:rsidR="00090E3D" w:rsidRPr="00F453F7" w:rsidTr="00690EF8">
        <w:trPr>
          <w:cantSplit/>
          <w:trHeight w:val="657"/>
        </w:trPr>
        <w:tc>
          <w:tcPr>
            <w:tcW w:w="2410" w:type="dxa"/>
            <w:tcBorders>
              <w:top w:val="single" w:sz="4" w:space="0" w:color="auto"/>
              <w:left w:val="single" w:sz="4" w:space="0" w:color="auto"/>
              <w:bottom w:val="single" w:sz="4" w:space="0" w:color="auto"/>
              <w:right w:val="single" w:sz="4" w:space="0" w:color="auto"/>
            </w:tcBorders>
          </w:tcPr>
          <w:p w:rsidR="00090E3D" w:rsidRPr="00F453F7" w:rsidRDefault="00090E3D" w:rsidP="00E76233">
            <w:pPr>
              <w:rPr>
                <w:rFonts w:ascii="Arial Narrow" w:hAnsi="Arial Narrow" w:cs="Arial"/>
                <w:b/>
                <w:sz w:val="20"/>
                <w:szCs w:val="20"/>
              </w:rPr>
            </w:pPr>
            <w:r w:rsidRPr="00F453F7">
              <w:rPr>
                <w:rFonts w:ascii="Arial Narrow" w:hAnsi="Arial Narrow" w:cs="Arial"/>
                <w:b/>
                <w:sz w:val="20"/>
                <w:szCs w:val="20"/>
              </w:rPr>
              <w:lastRenderedPageBreak/>
              <w:t>Clinical criteria:</w:t>
            </w:r>
          </w:p>
          <w:p w:rsidR="00090E3D" w:rsidRPr="00F453F7" w:rsidRDefault="00090E3D" w:rsidP="00E76233">
            <w:pPr>
              <w:rPr>
                <w:rFonts w:ascii="Arial Narrow" w:hAnsi="Arial Narrow" w:cs="Arial"/>
                <w:b/>
                <w:sz w:val="20"/>
                <w:szCs w:val="20"/>
              </w:rPr>
            </w:pPr>
          </w:p>
        </w:tc>
        <w:tc>
          <w:tcPr>
            <w:tcW w:w="6804" w:type="dxa"/>
            <w:tcBorders>
              <w:top w:val="single" w:sz="4" w:space="0" w:color="auto"/>
              <w:left w:val="single" w:sz="4" w:space="0" w:color="auto"/>
              <w:bottom w:val="single" w:sz="4" w:space="0" w:color="auto"/>
              <w:right w:val="single" w:sz="4" w:space="0" w:color="auto"/>
            </w:tcBorders>
          </w:tcPr>
          <w:p w:rsidR="00090E3D" w:rsidRPr="00F453F7" w:rsidRDefault="00090E3D" w:rsidP="00E76233">
            <w:pPr>
              <w:pStyle w:val="TableText"/>
              <w:spacing w:after="60"/>
              <w:rPr>
                <w:rFonts w:cs="Times New Roman"/>
                <w:szCs w:val="20"/>
              </w:rPr>
            </w:pPr>
            <w:r w:rsidRPr="00F453F7">
              <w:rPr>
                <w:rFonts w:cs="Times New Roman"/>
                <w:szCs w:val="20"/>
              </w:rPr>
              <w:t>Patient must have received non-PBS treatment with this drug for this condition prior to [date of PBS listing]</w:t>
            </w:r>
          </w:p>
          <w:p w:rsidR="00090E3D" w:rsidRPr="00F453F7" w:rsidRDefault="00090E3D" w:rsidP="00E76233">
            <w:pPr>
              <w:pStyle w:val="TableText"/>
              <w:spacing w:after="60"/>
              <w:rPr>
                <w:rFonts w:cs="Times New Roman"/>
                <w:szCs w:val="20"/>
              </w:rPr>
            </w:pPr>
            <w:r w:rsidRPr="00F453F7">
              <w:rPr>
                <w:rFonts w:cs="Times New Roman"/>
                <w:szCs w:val="20"/>
              </w:rPr>
              <w:t>AND</w:t>
            </w:r>
          </w:p>
          <w:p w:rsidR="00090E3D" w:rsidRPr="00F453F7" w:rsidRDefault="00090E3D" w:rsidP="00E76233">
            <w:pPr>
              <w:spacing w:after="60"/>
              <w:rPr>
                <w:rFonts w:ascii="Arial Narrow" w:hAnsi="Arial Narrow" w:cstheme="minorHAnsi"/>
                <w:sz w:val="20"/>
                <w:szCs w:val="20"/>
              </w:rPr>
            </w:pPr>
            <w:r w:rsidRPr="00F453F7">
              <w:rPr>
                <w:rFonts w:ascii="Arial Narrow" w:hAnsi="Arial Narrow" w:cstheme="minorHAnsi"/>
                <w:sz w:val="20"/>
                <w:szCs w:val="20"/>
              </w:rPr>
              <w:t>The treatment must be the sole PBS-subsidised treatment for this condition,</w:t>
            </w:r>
          </w:p>
          <w:p w:rsidR="00090E3D" w:rsidRPr="00F453F7" w:rsidRDefault="00090E3D" w:rsidP="00E76233">
            <w:pPr>
              <w:spacing w:after="60"/>
              <w:rPr>
                <w:rFonts w:ascii="Arial Narrow" w:hAnsi="Arial Narrow" w:cstheme="minorHAnsi"/>
                <w:sz w:val="20"/>
                <w:szCs w:val="20"/>
              </w:rPr>
            </w:pPr>
            <w:r w:rsidRPr="00F453F7">
              <w:rPr>
                <w:rFonts w:ascii="Arial Narrow" w:hAnsi="Arial Narrow" w:cstheme="minorHAnsi"/>
                <w:sz w:val="20"/>
                <w:szCs w:val="20"/>
              </w:rPr>
              <w:t>AND</w:t>
            </w:r>
          </w:p>
          <w:p w:rsidR="00090E3D" w:rsidRPr="00F453F7" w:rsidRDefault="00090E3D" w:rsidP="00E76233">
            <w:pPr>
              <w:spacing w:after="60"/>
              <w:rPr>
                <w:rFonts w:ascii="Arial Narrow" w:hAnsi="Arial Narrow" w:cstheme="minorHAnsi"/>
                <w:sz w:val="20"/>
                <w:szCs w:val="20"/>
              </w:rPr>
            </w:pPr>
            <w:r w:rsidRPr="00F453F7">
              <w:rPr>
                <w:rFonts w:ascii="Arial Narrow" w:hAnsi="Arial Narrow" w:cstheme="minorHAnsi"/>
                <w:sz w:val="20"/>
                <w:szCs w:val="20"/>
              </w:rPr>
              <w:t xml:space="preserve">The condition must have progressed on or after prior platinum-based chemotherapy </w:t>
            </w:r>
            <w:r w:rsidRPr="00F453F7">
              <w:rPr>
                <w:rFonts w:ascii="Arial Narrow" w:hAnsi="Arial Narrow" w:cstheme="minorHAnsi"/>
                <w:i/>
                <w:sz w:val="20"/>
                <w:szCs w:val="20"/>
              </w:rPr>
              <w:t>for this condition in the metastatic setting or for inoperable locally advanced disease</w:t>
            </w:r>
          </w:p>
          <w:p w:rsidR="00090E3D" w:rsidRPr="00F453F7" w:rsidRDefault="00090E3D" w:rsidP="00E76233">
            <w:pPr>
              <w:spacing w:after="60"/>
              <w:rPr>
                <w:rFonts w:ascii="Arial Narrow" w:hAnsi="Arial Narrow" w:cstheme="minorHAnsi"/>
                <w:sz w:val="20"/>
                <w:szCs w:val="20"/>
              </w:rPr>
            </w:pPr>
            <w:r w:rsidRPr="00F453F7">
              <w:rPr>
                <w:rFonts w:ascii="Arial Narrow" w:hAnsi="Arial Narrow" w:cstheme="minorHAnsi"/>
                <w:sz w:val="20"/>
                <w:szCs w:val="20"/>
              </w:rPr>
              <w:t>OR</w:t>
            </w:r>
          </w:p>
          <w:p w:rsidR="00090E3D" w:rsidRPr="00F453F7" w:rsidRDefault="00090E3D" w:rsidP="00E76233">
            <w:pPr>
              <w:spacing w:after="60"/>
              <w:rPr>
                <w:rFonts w:ascii="Arial Narrow" w:hAnsi="Arial Narrow" w:cstheme="minorHAnsi"/>
                <w:sz w:val="20"/>
                <w:szCs w:val="20"/>
              </w:rPr>
            </w:pPr>
            <w:r w:rsidRPr="00F453F7">
              <w:rPr>
                <w:rFonts w:ascii="Arial Narrow" w:hAnsi="Arial Narrow" w:cstheme="minorHAnsi"/>
                <w:sz w:val="20"/>
                <w:szCs w:val="20"/>
              </w:rPr>
              <w:t>The condition must have progressed on or within 12 months of completion of adjuvant platinum containing chemotherapy following cystectomy for localised muscle-invasive urothelial cancer</w:t>
            </w:r>
          </w:p>
          <w:p w:rsidR="00090E3D" w:rsidRPr="00F453F7" w:rsidRDefault="00090E3D" w:rsidP="00E76233">
            <w:pPr>
              <w:spacing w:after="60"/>
              <w:rPr>
                <w:rFonts w:ascii="Arial Narrow" w:hAnsi="Arial Narrow" w:cstheme="minorHAnsi"/>
                <w:sz w:val="20"/>
                <w:szCs w:val="20"/>
              </w:rPr>
            </w:pPr>
            <w:r w:rsidRPr="00F453F7">
              <w:rPr>
                <w:rFonts w:ascii="Arial Narrow" w:hAnsi="Arial Narrow" w:cstheme="minorHAnsi"/>
                <w:sz w:val="20"/>
                <w:szCs w:val="20"/>
              </w:rPr>
              <w:t>OR</w:t>
            </w:r>
          </w:p>
          <w:p w:rsidR="00090E3D" w:rsidRPr="00F453F7" w:rsidRDefault="00090E3D" w:rsidP="00E76233">
            <w:pPr>
              <w:spacing w:after="60"/>
              <w:rPr>
                <w:rFonts w:ascii="Arial Narrow" w:hAnsi="Arial Narrow" w:cstheme="minorHAnsi"/>
                <w:sz w:val="20"/>
                <w:szCs w:val="20"/>
              </w:rPr>
            </w:pPr>
            <w:r w:rsidRPr="00F453F7">
              <w:rPr>
                <w:rFonts w:ascii="Arial Narrow" w:hAnsi="Arial Narrow" w:cstheme="minorHAnsi"/>
                <w:sz w:val="20"/>
                <w:szCs w:val="20"/>
              </w:rPr>
              <w:t>The condition must have progressed on or within 12 months of completion of neoadjuvant platinum containing chemotherapy prior to cystectomy for localised muscle-invasive urothelial cancer</w:t>
            </w:r>
          </w:p>
          <w:p w:rsidR="00090E3D" w:rsidRPr="00F453F7" w:rsidRDefault="00090E3D" w:rsidP="00E76233">
            <w:pPr>
              <w:spacing w:after="60"/>
              <w:rPr>
                <w:rFonts w:ascii="Arial Narrow" w:hAnsi="Arial Narrow" w:cstheme="minorHAnsi"/>
                <w:sz w:val="20"/>
                <w:szCs w:val="20"/>
              </w:rPr>
            </w:pPr>
            <w:r w:rsidRPr="00F453F7">
              <w:rPr>
                <w:rFonts w:ascii="Arial Narrow" w:hAnsi="Arial Narrow" w:cstheme="minorHAnsi"/>
                <w:sz w:val="20"/>
                <w:szCs w:val="20"/>
              </w:rPr>
              <w:t>AND</w:t>
            </w:r>
          </w:p>
          <w:p w:rsidR="00090E3D" w:rsidRPr="00F453F7" w:rsidRDefault="00090E3D" w:rsidP="00E76233">
            <w:pPr>
              <w:pStyle w:val="TableText"/>
              <w:spacing w:after="60"/>
              <w:rPr>
                <w:rFonts w:cs="Times New Roman"/>
                <w:szCs w:val="20"/>
              </w:rPr>
            </w:pPr>
            <w:r w:rsidRPr="00F453F7">
              <w:rPr>
                <w:rFonts w:cs="Times New Roman"/>
                <w:szCs w:val="20"/>
              </w:rPr>
              <w:t>Patient must have WHO performance status of 2 or less prior to initiating treatment with this drug for this condition</w:t>
            </w:r>
          </w:p>
          <w:p w:rsidR="00090E3D" w:rsidRPr="00F453F7" w:rsidRDefault="00090E3D" w:rsidP="00E76233">
            <w:pPr>
              <w:spacing w:after="60"/>
              <w:rPr>
                <w:rFonts w:ascii="Arial Narrow" w:hAnsi="Arial Narrow" w:cstheme="minorHAnsi"/>
                <w:sz w:val="20"/>
                <w:szCs w:val="20"/>
              </w:rPr>
            </w:pPr>
            <w:r w:rsidRPr="00F453F7">
              <w:rPr>
                <w:rFonts w:ascii="Arial Narrow" w:hAnsi="Arial Narrow" w:cstheme="minorHAnsi"/>
                <w:sz w:val="20"/>
                <w:szCs w:val="20"/>
              </w:rPr>
              <w:t>AND</w:t>
            </w:r>
          </w:p>
          <w:p w:rsidR="00090E3D" w:rsidRPr="00F453F7" w:rsidRDefault="00090E3D" w:rsidP="00E76233">
            <w:pPr>
              <w:pStyle w:val="TableText"/>
              <w:spacing w:after="60"/>
              <w:rPr>
                <w:rFonts w:cs="Times New Roman"/>
                <w:szCs w:val="20"/>
              </w:rPr>
            </w:pPr>
            <w:r w:rsidRPr="00F453F7">
              <w:rPr>
                <w:rFonts w:cs="Times New Roman"/>
                <w:szCs w:val="20"/>
              </w:rPr>
              <w:t>Patient must have stable or responding disease</w:t>
            </w:r>
          </w:p>
          <w:p w:rsidR="00090E3D" w:rsidRPr="00F453F7" w:rsidRDefault="00090E3D" w:rsidP="00E76233">
            <w:pPr>
              <w:pStyle w:val="TableText"/>
              <w:spacing w:after="60"/>
              <w:rPr>
                <w:rFonts w:cs="Times New Roman"/>
                <w:szCs w:val="20"/>
              </w:rPr>
            </w:pPr>
            <w:r w:rsidRPr="00F453F7">
              <w:rPr>
                <w:rFonts w:cs="Times New Roman"/>
                <w:szCs w:val="20"/>
              </w:rPr>
              <w:t>AND</w:t>
            </w:r>
          </w:p>
          <w:p w:rsidR="00090E3D" w:rsidRPr="00F453F7" w:rsidRDefault="00090E3D" w:rsidP="00E76233">
            <w:pPr>
              <w:spacing w:after="60"/>
              <w:rPr>
                <w:rFonts w:ascii="Arial Narrow" w:hAnsi="Arial Narrow" w:cstheme="minorHAnsi"/>
                <w:sz w:val="20"/>
                <w:szCs w:val="20"/>
              </w:rPr>
            </w:pPr>
            <w:r w:rsidRPr="00F453F7">
              <w:rPr>
                <w:rFonts w:ascii="Arial Narrow" w:hAnsi="Arial Narrow"/>
                <w:sz w:val="20"/>
                <w:szCs w:val="20"/>
              </w:rPr>
              <w:t>Treatment must not exceed 54 weeks in total, at 10 mg/kg/dose every 2 weeks, with this drug for this condition.</w:t>
            </w:r>
          </w:p>
        </w:tc>
      </w:tr>
      <w:tr w:rsidR="00090E3D" w:rsidRPr="00F453F7" w:rsidTr="00690EF8">
        <w:trPr>
          <w:cantSplit/>
          <w:trHeight w:val="360"/>
        </w:trPr>
        <w:tc>
          <w:tcPr>
            <w:tcW w:w="2410" w:type="dxa"/>
            <w:tcBorders>
              <w:top w:val="single" w:sz="4" w:space="0" w:color="auto"/>
              <w:left w:val="single" w:sz="4" w:space="0" w:color="auto"/>
              <w:bottom w:val="single" w:sz="4" w:space="0" w:color="auto"/>
              <w:right w:val="single" w:sz="4" w:space="0" w:color="auto"/>
            </w:tcBorders>
          </w:tcPr>
          <w:p w:rsidR="00090E3D" w:rsidRPr="00F453F7" w:rsidRDefault="00090E3D" w:rsidP="00E76233">
            <w:pPr>
              <w:rPr>
                <w:rFonts w:ascii="Arial Narrow" w:hAnsi="Arial Narrow" w:cs="Arial"/>
                <w:b/>
                <w:sz w:val="20"/>
                <w:szCs w:val="20"/>
              </w:rPr>
            </w:pPr>
            <w:r w:rsidRPr="00F453F7">
              <w:rPr>
                <w:rFonts w:ascii="Arial Narrow" w:hAnsi="Arial Narrow" w:cs="Arial"/>
                <w:b/>
                <w:sz w:val="20"/>
                <w:szCs w:val="20"/>
              </w:rPr>
              <w:t>Administrative Advice:</w:t>
            </w:r>
          </w:p>
          <w:p w:rsidR="00090E3D" w:rsidRPr="00F453F7" w:rsidRDefault="00090E3D" w:rsidP="00E76233">
            <w:pPr>
              <w:rPr>
                <w:rFonts w:ascii="Arial Narrow" w:hAnsi="Arial Narrow" w:cs="Arial"/>
                <w:i/>
                <w:sz w:val="20"/>
                <w:szCs w:val="20"/>
              </w:rPr>
            </w:pPr>
          </w:p>
        </w:tc>
        <w:tc>
          <w:tcPr>
            <w:tcW w:w="6804" w:type="dxa"/>
            <w:tcBorders>
              <w:top w:val="single" w:sz="4" w:space="0" w:color="auto"/>
              <w:left w:val="single" w:sz="4" w:space="0" w:color="auto"/>
              <w:bottom w:val="single" w:sz="4" w:space="0" w:color="auto"/>
              <w:right w:val="single" w:sz="4" w:space="0" w:color="auto"/>
            </w:tcBorders>
          </w:tcPr>
          <w:p w:rsidR="00090E3D" w:rsidRPr="00F453F7" w:rsidRDefault="00090E3D" w:rsidP="00E76233">
            <w:pPr>
              <w:spacing w:after="60"/>
              <w:rPr>
                <w:rFonts w:ascii="Arial Narrow" w:hAnsi="Arial Narrow" w:cstheme="minorHAnsi"/>
                <w:strike/>
                <w:sz w:val="20"/>
                <w:szCs w:val="20"/>
              </w:rPr>
            </w:pPr>
            <w:r w:rsidRPr="00F453F7">
              <w:rPr>
                <w:rFonts w:ascii="Arial Narrow" w:hAnsi="Arial Narrow" w:cstheme="minorHAnsi"/>
                <w:strike/>
                <w:sz w:val="20"/>
                <w:szCs w:val="20"/>
              </w:rPr>
              <w:t>No increase in the maximum quantity or number of units will be authorised</w:t>
            </w:r>
          </w:p>
          <w:p w:rsidR="00090E3D" w:rsidRPr="00F453F7" w:rsidRDefault="00090E3D" w:rsidP="00E76233">
            <w:pPr>
              <w:spacing w:after="60"/>
              <w:rPr>
                <w:rFonts w:ascii="Arial Narrow" w:hAnsi="Arial Narrow" w:cstheme="minorHAnsi"/>
                <w:strike/>
                <w:sz w:val="20"/>
                <w:szCs w:val="20"/>
              </w:rPr>
            </w:pPr>
            <w:r w:rsidRPr="00F453F7">
              <w:rPr>
                <w:rFonts w:ascii="Arial Narrow" w:hAnsi="Arial Narrow" w:cstheme="minorHAnsi"/>
                <w:strike/>
                <w:sz w:val="20"/>
                <w:szCs w:val="20"/>
              </w:rPr>
              <w:t>No increase in the maximum number of repeats may be authorised</w:t>
            </w:r>
          </w:p>
          <w:p w:rsidR="00090E3D" w:rsidRPr="00F453F7" w:rsidRDefault="00090E3D" w:rsidP="00E76233">
            <w:pPr>
              <w:rPr>
                <w:rFonts w:ascii="Arial Narrow" w:hAnsi="Arial Narrow" w:cstheme="minorHAnsi"/>
                <w:sz w:val="20"/>
                <w:szCs w:val="20"/>
              </w:rPr>
            </w:pPr>
            <w:r w:rsidRPr="00F453F7">
              <w:rPr>
                <w:rFonts w:ascii="Arial Narrow" w:hAnsi="Arial Narrow" w:cstheme="minorHAnsi"/>
                <w:sz w:val="20"/>
                <w:szCs w:val="20"/>
              </w:rPr>
              <w:t>A patient may qualify for PBS-subsidised treatment under this restriction once only. For continuing PBS-subsidised treatment a Grandfathered patient must qualify under the Continuing treatment criteria.</w:t>
            </w:r>
          </w:p>
          <w:p w:rsidR="00090E3D" w:rsidRPr="00F453F7" w:rsidRDefault="00090E3D" w:rsidP="00E76233">
            <w:pPr>
              <w:spacing w:after="60"/>
              <w:rPr>
                <w:rFonts w:ascii="Arial Narrow" w:hAnsi="Arial Narrow" w:cs="Arial"/>
                <w:sz w:val="20"/>
                <w:szCs w:val="20"/>
              </w:rPr>
            </w:pPr>
            <w:r w:rsidRPr="00F453F7">
              <w:rPr>
                <w:rFonts w:ascii="Arial Narrow" w:hAnsi="Arial Narrow" w:cstheme="minorHAnsi"/>
                <w:sz w:val="20"/>
                <w:szCs w:val="20"/>
              </w:rPr>
              <w:t>Special Pricing Arrangements apply.</w:t>
            </w:r>
          </w:p>
        </w:tc>
      </w:tr>
    </w:tbl>
    <w:p w:rsidR="007420CE" w:rsidRPr="00F453F7" w:rsidRDefault="007420CE" w:rsidP="00B47F44">
      <w:pPr>
        <w:pStyle w:val="ListParagraph"/>
        <w:numPr>
          <w:ilvl w:val="1"/>
          <w:numId w:val="3"/>
        </w:numPr>
      </w:pPr>
      <w:r w:rsidRPr="00F453F7">
        <w:t xml:space="preserve">The requested published price is the same as the price requested for the Stage III non-small cell lung cancer (NSCLC) indication. </w:t>
      </w:r>
      <w:r w:rsidR="002A2AF4" w:rsidRPr="00F453F7">
        <w:t xml:space="preserve">The </w:t>
      </w:r>
      <w:r w:rsidR="009869DC" w:rsidRPr="00F453F7">
        <w:t>pre-sub-committee response (</w:t>
      </w:r>
      <w:r w:rsidR="002A2AF4" w:rsidRPr="00F453F7">
        <w:t>PSCR</w:t>
      </w:r>
      <w:r w:rsidR="009869DC" w:rsidRPr="00F453F7">
        <w:t>)</w:t>
      </w:r>
      <w:r w:rsidR="002A2AF4" w:rsidRPr="00F453F7">
        <w:t xml:space="preserve"> reiterated the requirement for the same published vial price as the NSCLC indication for international reference pricing purposes. </w:t>
      </w:r>
      <w:r w:rsidRPr="00F453F7">
        <w:t xml:space="preserve">The submission noted that </w:t>
      </w:r>
      <w:r w:rsidR="00EC3852" w:rsidRPr="00F453F7">
        <w:t xml:space="preserve">the comparator, </w:t>
      </w:r>
      <w:r w:rsidRPr="00F453F7">
        <w:t>pembrolizumab</w:t>
      </w:r>
      <w:r w:rsidR="00EC3852" w:rsidRPr="00F453F7">
        <w:t>,</w:t>
      </w:r>
      <w:r w:rsidRPr="00F453F7">
        <w:t xml:space="preserve"> is subject to a special pricing arrangement. The submission requested a special pricing arrangement for durvalumab with an effective price that is cost-minimised to the pembrolizumab effective price.</w:t>
      </w:r>
    </w:p>
    <w:p w:rsidR="007420CE" w:rsidRPr="00F453F7" w:rsidRDefault="007420CE" w:rsidP="00A1349E">
      <w:pPr>
        <w:pStyle w:val="ListParagraph"/>
        <w:numPr>
          <w:ilvl w:val="1"/>
          <w:numId w:val="3"/>
        </w:numPr>
      </w:pPr>
      <w:r w:rsidRPr="00F453F7">
        <w:t xml:space="preserve">The submission requested eight repeats under the proposed restriction, which would provide up to 18 weeks of treatment per prescription (compared to 21 weeks for </w:t>
      </w:r>
      <w:r w:rsidR="00CA0ABA" w:rsidRPr="00F453F7">
        <w:t>each</w:t>
      </w:r>
      <w:r w:rsidRPr="00F453F7">
        <w:t xml:space="preserve"> pembrolizumab </w:t>
      </w:r>
      <w:r w:rsidR="00CA0ABA" w:rsidRPr="00F453F7">
        <w:t>prescription</w:t>
      </w:r>
      <w:r w:rsidRPr="00F453F7">
        <w:t>)</w:t>
      </w:r>
      <w:r w:rsidR="00D12DE3" w:rsidRPr="00F453F7">
        <w:t xml:space="preserve">. </w:t>
      </w:r>
    </w:p>
    <w:p w:rsidR="00CA5F5A" w:rsidRPr="00F453F7" w:rsidRDefault="00CA5F5A" w:rsidP="00A1349E">
      <w:pPr>
        <w:pStyle w:val="ListParagraph"/>
        <w:numPr>
          <w:ilvl w:val="1"/>
          <w:numId w:val="3"/>
        </w:numPr>
      </w:pPr>
      <w:r w:rsidRPr="00F453F7">
        <w:t xml:space="preserve">The submission noted that the PBS </w:t>
      </w:r>
      <w:r w:rsidR="007420CE" w:rsidRPr="00F453F7">
        <w:t>listing of</w:t>
      </w:r>
      <w:r w:rsidRPr="00F453F7">
        <w:t xml:space="preserve"> pembrolizumab </w:t>
      </w:r>
      <w:r w:rsidR="007420CE" w:rsidRPr="00F453F7">
        <w:t xml:space="preserve">for </w:t>
      </w:r>
      <w:r w:rsidRPr="00F453F7">
        <w:t xml:space="preserve">urothelial cancer does not include criteria relating to PD-L1 status, and claimed that PD-L1 testing would not be required to determine access to treatment with durvalumab. </w:t>
      </w:r>
      <w:r w:rsidR="007420CE" w:rsidRPr="00F453F7">
        <w:t xml:space="preserve">However, PD-L1 expression appeared to be a strong predictor </w:t>
      </w:r>
      <w:r w:rsidR="00A30B80" w:rsidRPr="00F453F7">
        <w:t xml:space="preserve">of </w:t>
      </w:r>
      <w:r w:rsidR="007420CE" w:rsidRPr="00F453F7">
        <w:t xml:space="preserve">overall survival for </w:t>
      </w:r>
      <w:r w:rsidR="00865B00" w:rsidRPr="00F453F7">
        <w:t xml:space="preserve">patients treated </w:t>
      </w:r>
      <w:r w:rsidR="00865B00" w:rsidRPr="00F453F7">
        <w:lastRenderedPageBreak/>
        <w:t xml:space="preserve">with </w:t>
      </w:r>
      <w:r w:rsidR="007420CE" w:rsidRPr="00F453F7">
        <w:t>durvalumab in Study 1108.</w:t>
      </w:r>
    </w:p>
    <w:p w:rsidR="00B17983" w:rsidRPr="00F453F7" w:rsidRDefault="007420CE" w:rsidP="00A1349E">
      <w:pPr>
        <w:pStyle w:val="ListParagraph"/>
        <w:numPr>
          <w:ilvl w:val="1"/>
          <w:numId w:val="3"/>
        </w:numPr>
      </w:pPr>
      <w:r w:rsidRPr="00F453F7">
        <w:t xml:space="preserve">The proposed restriction includes patients with an ECOG score of ≤2. </w:t>
      </w:r>
      <w:r w:rsidR="00FC35FB" w:rsidRPr="00F453F7">
        <w:t>However, no clinical data was presented for patients with an ECOG score of 2. The</w:t>
      </w:r>
      <w:r w:rsidRPr="00F453F7">
        <w:t xml:space="preserve"> inclusion criteria for Study 1108 </w:t>
      </w:r>
      <w:r w:rsidR="00FC35FB" w:rsidRPr="00F453F7">
        <w:t xml:space="preserve">required patients to have an ECOG score </w:t>
      </w:r>
      <w:r w:rsidR="00C95F87" w:rsidRPr="00F453F7">
        <w:t xml:space="preserve">of </w:t>
      </w:r>
      <w:r w:rsidRPr="00F453F7">
        <w:t>≤1.</w:t>
      </w:r>
      <w:r w:rsidR="00D12DE3" w:rsidRPr="00F453F7">
        <w:t xml:space="preserve"> </w:t>
      </w:r>
    </w:p>
    <w:p w:rsidR="00A73531" w:rsidRPr="00F453F7" w:rsidRDefault="00A73531" w:rsidP="00A1349E">
      <w:pPr>
        <w:pStyle w:val="ListParagraph"/>
        <w:numPr>
          <w:ilvl w:val="1"/>
          <w:numId w:val="3"/>
        </w:numPr>
      </w:pPr>
      <w:r w:rsidRPr="00F453F7">
        <w:t>The proposed initial treatment restriction is identical to the pembrolizumab urothelial cancer restriction, apart from a difference in the maximum duration of therapy under the initial treatment restriction (18 weeks for durvalumab versus 21 weeks for pembrolizumab).</w:t>
      </w:r>
    </w:p>
    <w:p w:rsidR="00647E5F" w:rsidRPr="00F453F7" w:rsidRDefault="006113CF" w:rsidP="00A1349E">
      <w:pPr>
        <w:pStyle w:val="ListParagraph"/>
        <w:numPr>
          <w:ilvl w:val="1"/>
          <w:numId w:val="3"/>
        </w:numPr>
      </w:pPr>
      <w:r w:rsidRPr="00F453F7">
        <w:t xml:space="preserve">The proposed continuing treatment restriction </w:t>
      </w:r>
      <w:r w:rsidR="00FC35FB" w:rsidRPr="00F453F7">
        <w:t>is</w:t>
      </w:r>
      <w:r w:rsidRPr="00F453F7">
        <w:t xml:space="preserve"> identical to the pembrolizumab urothelial cancer restriction, apart from the maximum duration of therapy (54 weeks for durvalumab versus 2 years for pembrolizumab). </w:t>
      </w:r>
      <w:r w:rsidR="00FC35FB" w:rsidRPr="00F453F7">
        <w:t xml:space="preserve">The 54-week maximum treatment duration for durvalumab is consistent with the maximum planned treatment duration in Study 1108. </w:t>
      </w:r>
      <w:r w:rsidR="00647E5F" w:rsidRPr="00F453F7">
        <w:t xml:space="preserve">The proposed restriction is narrower than the TGA restriction, which states that treatment may be continued for as long as clinical benefit is observed or until unacceptable toxicity develops. </w:t>
      </w:r>
      <w:r w:rsidR="00914FF3" w:rsidRPr="00F453F7">
        <w:t xml:space="preserve">The ESC noted the sponsor’s argument in the TGA Clinical Evaluation Report (CER) that PD-L1 antibodies don’t alter the expression of PD-L1 on tumour cells, so continuous blockade is probably needed to maintain response. </w:t>
      </w:r>
      <w:r w:rsidR="008216E1" w:rsidRPr="00F453F7">
        <w:t xml:space="preserve">The PBAC noted that the submission provided no rationale for limiting the duration of treatment other than the trial design. </w:t>
      </w:r>
      <w:r w:rsidR="00A73531" w:rsidRPr="00F453F7">
        <w:t xml:space="preserve">The PBAC </w:t>
      </w:r>
      <w:r w:rsidR="007602E1">
        <w:t>were uncertain regarding the optimal duration of treatment for</w:t>
      </w:r>
      <w:r w:rsidR="008F3242" w:rsidRPr="00F453F7">
        <w:t xml:space="preserve"> </w:t>
      </w:r>
      <w:r w:rsidR="002A1176" w:rsidRPr="00F453F7">
        <w:t>patients who are responding to treatment</w:t>
      </w:r>
      <w:r w:rsidR="007602E1">
        <w:t>,</w:t>
      </w:r>
      <w:r w:rsidR="002A1176" w:rsidRPr="00F453F7">
        <w:t xml:space="preserve"> </w:t>
      </w:r>
      <w:r w:rsidR="00BD1E7E" w:rsidRPr="00F453F7">
        <w:t>given the lack of available data on clinical outcomes following durvalumab cessation.</w:t>
      </w:r>
      <w:r w:rsidR="00914FF3" w:rsidRPr="00F453F7">
        <w:t xml:space="preserve"> </w:t>
      </w:r>
    </w:p>
    <w:p w:rsidR="00666E7D" w:rsidRPr="00F453F7" w:rsidRDefault="00647E5F" w:rsidP="00A1349E">
      <w:pPr>
        <w:pStyle w:val="ListParagraph"/>
        <w:numPr>
          <w:ilvl w:val="1"/>
          <w:numId w:val="3"/>
        </w:numPr>
      </w:pPr>
      <w:r w:rsidRPr="00F453F7">
        <w:t xml:space="preserve">In Study 1108, patients with confirmed disease progression could continue to receive durvalumab in the absence of clinical deterioration if the investigator considered that </w:t>
      </w:r>
      <w:r w:rsidR="009946D3" w:rsidRPr="00F453F7">
        <w:t>the patients</w:t>
      </w:r>
      <w:r w:rsidRPr="00F453F7">
        <w:t xml:space="preserve"> were continuing to receive benefit from</w:t>
      </w:r>
      <w:r w:rsidR="009946D3" w:rsidRPr="00F453F7">
        <w:t xml:space="preserve"> the</w:t>
      </w:r>
      <w:r w:rsidRPr="00F453F7">
        <w:t xml:space="preserve"> treatment. </w:t>
      </w:r>
      <w:r w:rsidR="008D5BB6" w:rsidRPr="00F453F7">
        <w:t>P</w:t>
      </w:r>
      <w:r w:rsidR="006113CF" w:rsidRPr="00F453F7">
        <w:t xml:space="preserve">atients experiencing disease recurrence after </w:t>
      </w:r>
      <w:r w:rsidRPr="00F453F7">
        <w:t xml:space="preserve">the protocol-based cessation of </w:t>
      </w:r>
      <w:r w:rsidR="006113CF" w:rsidRPr="00F453F7">
        <w:t xml:space="preserve">treatment at 12 months were eligible to receive another 12 months of treatment. However, no data </w:t>
      </w:r>
      <w:r w:rsidR="00593157" w:rsidRPr="00F453F7">
        <w:t>are</w:t>
      </w:r>
      <w:r w:rsidR="006113CF" w:rsidRPr="00F453F7">
        <w:t xml:space="preserve"> currently available regard</w:t>
      </w:r>
      <w:r w:rsidR="00593157" w:rsidRPr="00F453F7">
        <w:t>ing treatment outcomes among re</w:t>
      </w:r>
      <w:r w:rsidR="006113CF" w:rsidRPr="00F453F7">
        <w:t>treated patients.</w:t>
      </w:r>
    </w:p>
    <w:p w:rsidR="00666E7D" w:rsidRPr="00F453F7" w:rsidRDefault="00D36C65" w:rsidP="00A1349E">
      <w:pPr>
        <w:pStyle w:val="ListParagraph"/>
        <w:numPr>
          <w:ilvl w:val="1"/>
          <w:numId w:val="3"/>
        </w:numPr>
      </w:pPr>
      <w:r w:rsidRPr="00F453F7">
        <w:t xml:space="preserve">There is </w:t>
      </w:r>
      <w:r w:rsidR="00F1418D" w:rsidRPr="00F453F7">
        <w:t xml:space="preserve">the </w:t>
      </w:r>
      <w:r w:rsidRPr="00F453F7">
        <w:t xml:space="preserve">potential for growth of the PD-1/PD-L1 inhibitor market due to </w:t>
      </w:r>
      <w:r w:rsidR="00F1418D" w:rsidRPr="00F453F7">
        <w:t xml:space="preserve">the </w:t>
      </w:r>
      <w:r w:rsidRPr="00F453F7">
        <w:t>sequential use of pembrolizumab and durvalumab.</w:t>
      </w:r>
      <w:r w:rsidR="00BA5074" w:rsidRPr="00F453F7">
        <w:t xml:space="preserve"> The current pembrolizumab restriction and the proposed durvalumab restriction do not preclude prior use of other PD-L1/PD-1 inhibitors.</w:t>
      </w:r>
      <w:r w:rsidR="002A2AF4" w:rsidRPr="00F453F7">
        <w:t xml:space="preserve"> The </w:t>
      </w:r>
      <w:r w:rsidR="00B21DE5" w:rsidRPr="00F453F7">
        <w:t>PSCR stated</w:t>
      </w:r>
      <w:r w:rsidR="00F4635D" w:rsidRPr="00F453F7">
        <w:t xml:space="preserve"> the sponsor</w:t>
      </w:r>
      <w:r w:rsidR="00E76233" w:rsidRPr="00F453F7">
        <w:t xml:space="preserve"> would be accepting of </w:t>
      </w:r>
      <w:r w:rsidR="002A2AF4" w:rsidRPr="00F453F7">
        <w:t xml:space="preserve">an amendment to the </w:t>
      </w:r>
      <w:r w:rsidR="00E76233" w:rsidRPr="00F453F7">
        <w:t xml:space="preserve">proposed </w:t>
      </w:r>
      <w:r w:rsidR="002A2AF4" w:rsidRPr="00F453F7">
        <w:t>restriction</w:t>
      </w:r>
      <w:r w:rsidR="00F4635D" w:rsidRPr="00F453F7">
        <w:t>s</w:t>
      </w:r>
      <w:r w:rsidR="002A2AF4" w:rsidRPr="00F453F7">
        <w:t xml:space="preserve"> for both pembrolizumab and durvalumab to prevent sequential use of PD-L1/PD-1 inhibitors if </w:t>
      </w:r>
      <w:r w:rsidR="006849CC" w:rsidRPr="00F453F7">
        <w:t xml:space="preserve">the </w:t>
      </w:r>
      <w:r w:rsidR="002A2AF4" w:rsidRPr="00F453F7">
        <w:t>PBAC considered this necessary</w:t>
      </w:r>
      <w:r w:rsidR="00906674" w:rsidRPr="00F453F7">
        <w:t>.</w:t>
      </w:r>
      <w:r w:rsidR="007A57CB" w:rsidRPr="00F453F7">
        <w:t xml:space="preserve"> The PBAC considered </w:t>
      </w:r>
      <w:r w:rsidR="00A73531" w:rsidRPr="00F453F7">
        <w:t xml:space="preserve">the restriction should not allow sequential use of PD-L1/PD-1 inhibitors </w:t>
      </w:r>
      <w:r w:rsidR="007A57CB" w:rsidRPr="00F453F7">
        <w:t>if durvalumab were to be listed.</w:t>
      </w:r>
    </w:p>
    <w:p w:rsidR="00B17983" w:rsidRPr="00F453F7" w:rsidRDefault="00CA5F5A" w:rsidP="00A1349E">
      <w:pPr>
        <w:pStyle w:val="ListParagraph"/>
        <w:numPr>
          <w:ilvl w:val="1"/>
          <w:numId w:val="3"/>
        </w:numPr>
      </w:pPr>
      <w:r w:rsidRPr="00F453F7">
        <w:t>The submission also requested grandfathering provisions for patients currently participating in a Patient Access Program for locally advanced or metastatic urothelial cancer post platinum-based chemotherapy</w:t>
      </w:r>
      <w:r w:rsidR="00F453F7">
        <w:t xml:space="preserve">. </w:t>
      </w:r>
    </w:p>
    <w:p w:rsidR="00160482" w:rsidRDefault="00160482" w:rsidP="00A1349E">
      <w:pPr>
        <w:rPr>
          <w:i/>
        </w:rPr>
      </w:pPr>
      <w:r w:rsidRPr="00F453F7">
        <w:rPr>
          <w:i/>
        </w:rPr>
        <w:t>For more detail on the PBAC’s view, see section 7 PBAC outcome.</w:t>
      </w:r>
    </w:p>
    <w:p w:rsidR="00A1349E" w:rsidRPr="00A1349E" w:rsidRDefault="00A1349E" w:rsidP="00A1349E">
      <w:pPr>
        <w:rPr>
          <w:i/>
        </w:rPr>
      </w:pPr>
    </w:p>
    <w:p w:rsidR="00C317F3" w:rsidRPr="00F453F7" w:rsidRDefault="00C317F3" w:rsidP="004D22DF">
      <w:pPr>
        <w:pStyle w:val="2-SectionHeading"/>
      </w:pPr>
      <w:bookmarkStart w:id="5" w:name="_Toc413139273"/>
      <w:bookmarkStart w:id="6" w:name="_Toc9428544"/>
      <w:r w:rsidRPr="00F453F7">
        <w:lastRenderedPageBreak/>
        <w:t>Background</w:t>
      </w:r>
      <w:bookmarkEnd w:id="5"/>
      <w:bookmarkEnd w:id="6"/>
    </w:p>
    <w:p w:rsidR="0017638E" w:rsidRPr="00F453F7" w:rsidRDefault="0017638E" w:rsidP="004D22DF">
      <w:pPr>
        <w:pStyle w:val="4-SubsectionHeading"/>
      </w:pPr>
      <w:r w:rsidRPr="00F453F7">
        <w:t>Registration status</w:t>
      </w:r>
    </w:p>
    <w:p w:rsidR="00F659B6" w:rsidRPr="00F453F7" w:rsidRDefault="00F659B6" w:rsidP="00A1349E">
      <w:pPr>
        <w:pStyle w:val="ListParagraph"/>
        <w:keepNext/>
        <w:keepLines/>
        <w:numPr>
          <w:ilvl w:val="1"/>
          <w:numId w:val="3"/>
        </w:numPr>
      </w:pPr>
      <w:r w:rsidRPr="00F453F7">
        <w:t xml:space="preserve">Durvalumab was registered on the </w:t>
      </w:r>
      <w:r w:rsidR="00CA060A" w:rsidRPr="00F453F7">
        <w:t>Australian Register of Therapeutic Goods (</w:t>
      </w:r>
      <w:r w:rsidRPr="00F453F7">
        <w:t>ARTG</w:t>
      </w:r>
      <w:r w:rsidR="00CA060A" w:rsidRPr="00F453F7">
        <w:t>)</w:t>
      </w:r>
      <w:r w:rsidRPr="00F453F7">
        <w:t xml:space="preserve"> on 2 October 2018 for:</w:t>
      </w:r>
    </w:p>
    <w:p w:rsidR="00F659B6" w:rsidRPr="00F453F7" w:rsidRDefault="00906674" w:rsidP="00A1349E">
      <w:pPr>
        <w:spacing w:after="120"/>
        <w:ind w:left="513" w:firstLine="207"/>
      </w:pPr>
      <w:r w:rsidRPr="00F453F7">
        <w:t>“</w:t>
      </w:r>
      <w:r w:rsidR="00F659B6" w:rsidRPr="00F453F7">
        <w:t>Treatment of patients with locally advanced or metastatic urothelial carcinoma who:</w:t>
      </w:r>
    </w:p>
    <w:p w:rsidR="00F659B6" w:rsidRPr="00F453F7" w:rsidRDefault="00F659B6" w:rsidP="00A1349E">
      <w:pPr>
        <w:pStyle w:val="ListParagraph"/>
        <w:numPr>
          <w:ilvl w:val="0"/>
          <w:numId w:val="8"/>
        </w:numPr>
        <w:ind w:left="1434" w:hanging="357"/>
        <w:jc w:val="left"/>
      </w:pPr>
      <w:r w:rsidRPr="00F453F7">
        <w:t>have disease progression during or following platinum-containing chemotherapy</w:t>
      </w:r>
      <w:r w:rsidR="00FF7788" w:rsidRPr="00F453F7">
        <w:t>.</w:t>
      </w:r>
    </w:p>
    <w:p w:rsidR="00CA060A" w:rsidRPr="00F453F7" w:rsidRDefault="00F659B6" w:rsidP="00A1349E">
      <w:pPr>
        <w:pStyle w:val="ListParagraph"/>
        <w:numPr>
          <w:ilvl w:val="0"/>
          <w:numId w:val="8"/>
        </w:numPr>
        <w:ind w:left="1434" w:hanging="357"/>
        <w:jc w:val="left"/>
      </w:pPr>
      <w:r w:rsidRPr="00F453F7">
        <w:t>have disease progression within 12 months of neoadjuvant or adjuvant treatment with platinum-containing chemotherapy.</w:t>
      </w:r>
    </w:p>
    <w:p w:rsidR="00F659B6" w:rsidRPr="00F453F7" w:rsidRDefault="00F659B6" w:rsidP="00A1349E">
      <w:pPr>
        <w:spacing w:after="120"/>
        <w:ind w:left="720"/>
      </w:pPr>
      <w:r w:rsidRPr="00F453F7">
        <w:t>This indication is approved based on</w:t>
      </w:r>
      <w:r w:rsidR="0011785D" w:rsidRPr="00F453F7">
        <w:t xml:space="preserve"> the</w:t>
      </w:r>
      <w:r w:rsidR="00CA060A" w:rsidRPr="00F453F7">
        <w:t xml:space="preserve"> </w:t>
      </w:r>
      <w:r w:rsidRPr="00F453F7">
        <w:t>objective response rate and duration of response in a single arm study</w:t>
      </w:r>
      <w:r w:rsidR="00B70E8D" w:rsidRPr="00F453F7">
        <w:t xml:space="preserve"> (Study 1108)</w:t>
      </w:r>
      <w:r w:rsidRPr="00F453F7">
        <w:t>. An improvement in survival or disease-related symptoms has not been established.</w:t>
      </w:r>
      <w:r w:rsidR="00906674" w:rsidRPr="00F453F7">
        <w:t>”</w:t>
      </w:r>
    </w:p>
    <w:p w:rsidR="009C281C" w:rsidRPr="009C281C" w:rsidRDefault="00FA67E8" w:rsidP="00ED0917">
      <w:pPr>
        <w:pStyle w:val="ListParagraph"/>
        <w:numPr>
          <w:ilvl w:val="1"/>
          <w:numId w:val="3"/>
        </w:numPr>
        <w:rPr>
          <w:i/>
        </w:rPr>
      </w:pPr>
      <w:r w:rsidRPr="00F453F7">
        <w:t>The ESC noted that the clinical evaluator recommended rejecti</w:t>
      </w:r>
      <w:r w:rsidR="00AA1EFD" w:rsidRPr="00F453F7">
        <w:t xml:space="preserve">on </w:t>
      </w:r>
      <w:r w:rsidRPr="00F453F7">
        <w:t xml:space="preserve">because of a lack of phase 3 </w:t>
      </w:r>
      <w:r w:rsidR="00D8665E" w:rsidRPr="00F453F7">
        <w:t>randomised controlled</w:t>
      </w:r>
      <w:r w:rsidRPr="00F453F7">
        <w:t xml:space="preserve"> trial</w:t>
      </w:r>
      <w:r w:rsidR="00AA1EFD" w:rsidRPr="00F453F7">
        <w:t>s</w:t>
      </w:r>
      <w:r w:rsidR="00F1418D" w:rsidRPr="00F453F7">
        <w:t xml:space="preserve"> (RCT)</w:t>
      </w:r>
      <w:r w:rsidRPr="00F453F7">
        <w:t xml:space="preserve"> comparing durvalumab with an established treatment</w:t>
      </w:r>
      <w:r w:rsidR="00AA1EFD" w:rsidRPr="00F453F7">
        <w:t xml:space="preserve">. A </w:t>
      </w:r>
      <w:r w:rsidR="00914FF3" w:rsidRPr="00F453F7">
        <w:t xml:space="preserve">note </w:t>
      </w:r>
      <w:r w:rsidR="00AA1EFD" w:rsidRPr="00F453F7">
        <w:t xml:space="preserve">on the limitations of the </w:t>
      </w:r>
      <w:r w:rsidR="00914FF3" w:rsidRPr="00F453F7">
        <w:t xml:space="preserve">clinical </w:t>
      </w:r>
      <w:r w:rsidR="00AA1EFD" w:rsidRPr="00F453F7">
        <w:t>data was included in the indication</w:t>
      </w:r>
      <w:r w:rsidR="001031C1" w:rsidRPr="00F453F7">
        <w:t xml:space="preserve"> (as above)</w:t>
      </w:r>
      <w:r w:rsidR="00AA1EFD" w:rsidRPr="00F453F7">
        <w:t xml:space="preserve">. </w:t>
      </w:r>
      <w:r w:rsidRPr="00F453F7">
        <w:t xml:space="preserve">The ESC also noted that </w:t>
      </w:r>
      <w:r w:rsidR="00DA12A0" w:rsidRPr="00F453F7">
        <w:t xml:space="preserve">the clinical evaluator advised that approval should be restricted to those with PD-L1 high disease as defined in study 1108. </w:t>
      </w:r>
      <w:r w:rsidR="001372A1" w:rsidRPr="00F453F7">
        <w:t xml:space="preserve">The delegate’s </w:t>
      </w:r>
      <w:r w:rsidR="00F453F7" w:rsidRPr="00F453F7">
        <w:t>file note</w:t>
      </w:r>
      <w:r w:rsidR="001372A1" w:rsidRPr="00F453F7">
        <w:t xml:space="preserve"> noted that there wa</w:t>
      </w:r>
      <w:r w:rsidR="00AA1EFD" w:rsidRPr="00F453F7">
        <w:t>s a &gt;10% higher incidence of gr</w:t>
      </w:r>
      <w:r w:rsidR="001372A1" w:rsidRPr="00F453F7">
        <w:t>ade 3 or 4 AEs,</w:t>
      </w:r>
      <w:r w:rsidR="00AA1EFD" w:rsidRPr="00F453F7">
        <w:t xml:space="preserve"> SAEs, and death</w:t>
      </w:r>
      <w:r w:rsidR="001372A1" w:rsidRPr="00F453F7">
        <w:t>s due to AEs in the subgroup with low PD-L1 expression, which could be attributable to poorer tumour control</w:t>
      </w:r>
      <w:r w:rsidR="005B25F1" w:rsidRPr="00F453F7">
        <w:t>,</w:t>
      </w:r>
      <w:r w:rsidR="001372A1" w:rsidRPr="00F453F7">
        <w:t xml:space="preserve"> but this can</w:t>
      </w:r>
      <w:r w:rsidR="005B25F1" w:rsidRPr="00F453F7">
        <w:t>no</w:t>
      </w:r>
      <w:r w:rsidR="001372A1" w:rsidRPr="00F453F7">
        <w:t>t be established in the absence of a control arm</w:t>
      </w:r>
      <w:r w:rsidR="004223BF" w:rsidRPr="00F453F7">
        <w:t xml:space="preserve"> to provide comparative safety data</w:t>
      </w:r>
      <w:r w:rsidR="001372A1" w:rsidRPr="00F453F7">
        <w:t>.</w:t>
      </w:r>
      <w:r w:rsidR="004223BF" w:rsidRPr="00F453F7">
        <w:t xml:space="preserve"> </w:t>
      </w:r>
      <w:r w:rsidR="000A117B" w:rsidRPr="00F453F7">
        <w:t>The PBAC noted that t</w:t>
      </w:r>
      <w:r w:rsidR="002F61A0" w:rsidRPr="00F453F7">
        <w:t>he delegate note</w:t>
      </w:r>
      <w:r w:rsidR="002C438C" w:rsidRPr="00F453F7">
        <w:t>d</w:t>
      </w:r>
      <w:r w:rsidR="002F61A0" w:rsidRPr="00F453F7">
        <w:t xml:space="preserve"> an early survival detriment with pembrolizumab</w:t>
      </w:r>
      <w:r w:rsidR="000A117B" w:rsidRPr="00F453F7">
        <w:t>, however due to the single-arm nature of study 1108 it was not possible to assess</w:t>
      </w:r>
      <w:r w:rsidR="002F61A0" w:rsidRPr="00F453F7">
        <w:t xml:space="preserve"> whether a similar risk was present for durvalumab in this setting. </w:t>
      </w:r>
      <w:r w:rsidR="004223BF" w:rsidRPr="00F453F7">
        <w:t xml:space="preserve">The pre-PBAC response </w:t>
      </w:r>
      <w:r w:rsidR="00066DAD" w:rsidRPr="00F453F7">
        <w:t>noted</w:t>
      </w:r>
      <w:r w:rsidR="004223BF" w:rsidRPr="00F453F7">
        <w:t xml:space="preserve"> that the delegate </w:t>
      </w:r>
      <w:r w:rsidR="000A117B" w:rsidRPr="00F453F7">
        <w:t>concluded</w:t>
      </w:r>
      <w:r w:rsidR="004223BF" w:rsidRPr="00F453F7">
        <w:t xml:space="preserve"> the </w:t>
      </w:r>
      <w:r w:rsidR="000A117B" w:rsidRPr="00F453F7">
        <w:t xml:space="preserve">ORR, durability of response </w:t>
      </w:r>
      <w:r w:rsidR="004223BF" w:rsidRPr="00F453F7">
        <w:t>and safety profile of durvalumab appear similar to other PD-L1/PD-1 inhibitors in the 2L post-chemotherapy setting</w:t>
      </w:r>
      <w:r w:rsidR="00056A43" w:rsidRPr="00F453F7">
        <w:t>.</w:t>
      </w:r>
      <w:r w:rsidR="001372A1" w:rsidRPr="00F453F7">
        <w:t xml:space="preserve"> </w:t>
      </w:r>
      <w:r w:rsidR="00914FF3" w:rsidRPr="00F453F7">
        <w:t>The delegate</w:t>
      </w:r>
      <w:r w:rsidR="00056A43" w:rsidRPr="00F453F7">
        <w:t xml:space="preserve"> </w:t>
      </w:r>
      <w:r w:rsidR="00914FF3" w:rsidRPr="00F453F7">
        <w:t>noted</w:t>
      </w:r>
      <w:r w:rsidR="001372A1" w:rsidRPr="00F453F7">
        <w:t xml:space="preserve"> that there was a lower ORR in patients with low/negative PD-L1 expression tumours, </w:t>
      </w:r>
      <w:r w:rsidR="00066DAD" w:rsidRPr="00F453F7">
        <w:t>but also that</w:t>
      </w:r>
      <w:r w:rsidR="00AA1EFD" w:rsidRPr="00F453F7">
        <w:t xml:space="preserve"> the confidence interval wa</w:t>
      </w:r>
      <w:r w:rsidR="001372A1" w:rsidRPr="00F453F7">
        <w:t xml:space="preserve">s wide. The delegate reasoned that the data did not warrant restricting the indication based on PD-L1 status, </w:t>
      </w:r>
      <w:r w:rsidR="001031C1" w:rsidRPr="00F453F7">
        <w:t>but that</w:t>
      </w:r>
      <w:r w:rsidR="001372A1" w:rsidRPr="00F453F7">
        <w:t xml:space="preserve"> the subgroup information should be included in the PI. </w:t>
      </w:r>
      <w:r w:rsidR="007A2599" w:rsidRPr="009C281C">
        <w:rPr>
          <w:noProof/>
          <w:color w:val="000000"/>
          <w:highlight w:val="black"/>
        </w:rPr>
        <w:t>''''''' ''''''' '''''''''''' '''''''' '''''' ''''''''''''''''' ''''' '''''''''''''''''''' '''''''' ''''''''''''''''''' '''''' ''''''' '''''''''''''''''' ''''' '''''''''''''' '''''''''' ''''''' '''''''''''' ''' ''''''' ''''''''''''''''''''' ''' '''''''' ''''''' ''''''''''''''''''''''''' '''''' '''' '''''''''''''''' '''''''''' ''''''''''''''''' '''''''''''' ''''''' '''''''''' ''''''' '''''''''''''' '''''''''''' '''' '''''''''''''''''''' '''''''' '''''''' ''''''''''''''''''' ''''''''''''''''' ''''''''''''''''' '''''''' '''''''''''' ''''''''' ''''''' '''''''' '''''' '''''''''''''''''' ''' '''''''''</w:t>
      </w:r>
      <w:r w:rsidR="0086276F" w:rsidRPr="00F453F7">
        <w:t xml:space="preserve"> and that an MSAC application for PD-L1 expression testing to allow access to durvalumab has been initiat</w:t>
      </w:r>
      <w:r w:rsidR="008216E1" w:rsidRPr="00F453F7">
        <w:t xml:space="preserve">ed, to allow a co-dependent submission </w:t>
      </w:r>
      <w:r w:rsidR="00112FE3" w:rsidRPr="00F453F7">
        <w:t>i</w:t>
      </w:r>
      <w:r w:rsidR="008216E1" w:rsidRPr="00F453F7">
        <w:t xml:space="preserve">f </w:t>
      </w:r>
      <w:r w:rsidR="0086276F" w:rsidRPr="00F453F7">
        <w:t>the</w:t>
      </w:r>
      <w:r w:rsidR="008216E1" w:rsidRPr="00F453F7">
        <w:t xml:space="preserve"> results of DANUBE indicate PD-L1 testing</w:t>
      </w:r>
      <w:r w:rsidR="0086276F" w:rsidRPr="00F453F7">
        <w:t xml:space="preserve"> is </w:t>
      </w:r>
      <w:r w:rsidR="00112FE3" w:rsidRPr="00F453F7">
        <w:t>necessary</w:t>
      </w:r>
      <w:r w:rsidR="00190B7A" w:rsidRPr="00F453F7">
        <w:t>.</w:t>
      </w:r>
    </w:p>
    <w:p w:rsidR="00160482" w:rsidRPr="009C281C" w:rsidRDefault="00160482" w:rsidP="009C281C">
      <w:pPr>
        <w:rPr>
          <w:i/>
        </w:rPr>
      </w:pPr>
      <w:r w:rsidRPr="009C281C">
        <w:rPr>
          <w:i/>
        </w:rPr>
        <w:lastRenderedPageBreak/>
        <w:t>For more detail on the PBAC’s view, see section 7 PBAC outcome.</w:t>
      </w:r>
    </w:p>
    <w:p w:rsidR="00C317F3" w:rsidRPr="00F453F7" w:rsidRDefault="00C317F3" w:rsidP="004D22DF">
      <w:pPr>
        <w:pStyle w:val="2-SectionHeading"/>
      </w:pPr>
      <w:bookmarkStart w:id="7" w:name="_Toc9428545"/>
      <w:r w:rsidRPr="00F453F7">
        <w:t>Population and disease</w:t>
      </w:r>
      <w:bookmarkEnd w:id="7"/>
    </w:p>
    <w:p w:rsidR="00F23D71" w:rsidRPr="00F453F7" w:rsidRDefault="00F23D71" w:rsidP="000C7E20">
      <w:pPr>
        <w:pStyle w:val="ListParagraph"/>
        <w:numPr>
          <w:ilvl w:val="1"/>
          <w:numId w:val="3"/>
        </w:numPr>
        <w:spacing w:after="160"/>
      </w:pPr>
      <w:r w:rsidRPr="00F453F7">
        <w:t>Urothelial cancers are cancers that arise from urothelial cells (transitional cells) lining the renal pelvis, ureter, urinary bladder, and urethra. The majority of urothelial cancers (&gt;90%) originate in the bladder. Around 8% originate in the renal pelvis, with the remainder occurring in the ureter and urethra.</w:t>
      </w:r>
    </w:p>
    <w:p w:rsidR="00F23D71" w:rsidRPr="00F453F7" w:rsidRDefault="00F23D71" w:rsidP="000C7E20">
      <w:pPr>
        <w:pStyle w:val="ListParagraph"/>
        <w:numPr>
          <w:ilvl w:val="1"/>
          <w:numId w:val="3"/>
        </w:numPr>
        <w:spacing w:after="160"/>
      </w:pPr>
      <w:r w:rsidRPr="00F453F7">
        <w:t xml:space="preserve">Bladder cancer is associated with advancing age, with over 90% of new diagnoses </w:t>
      </w:r>
      <w:r w:rsidR="00602645" w:rsidRPr="00F453F7">
        <w:t>occurring</w:t>
      </w:r>
      <w:r w:rsidRPr="00F453F7">
        <w:t xml:space="preserve"> in individuals aged over 55 years. The incidence of bladder cancer is substantially higher in males than females. The 2015 age-standardised incidence rate in Australia was 16.7 cases per 100,000 in males, compared to 4.3 cases per 100,000 in females (AIHW, 2018). Patients with advanced or metastatic disease have a poor prognosis with a median survival of approximately 14 months (Bellmunt et al., 2014).</w:t>
      </w:r>
    </w:p>
    <w:p w:rsidR="00160482" w:rsidRPr="00F453F7" w:rsidRDefault="00F23D71" w:rsidP="00160482">
      <w:pPr>
        <w:pStyle w:val="ListParagraph"/>
        <w:numPr>
          <w:ilvl w:val="1"/>
          <w:numId w:val="3"/>
        </w:numPr>
        <w:spacing w:after="160"/>
      </w:pPr>
      <w:r w:rsidRPr="00F453F7">
        <w:t>The submission positioned durvalumab as an alternative to pembrolizumab for patients with locally advanced or metastatic urothelial carcinoma who have disease progression after platinum-containing chemotherapy.</w:t>
      </w:r>
    </w:p>
    <w:p w:rsidR="002C438C" w:rsidRDefault="002C438C" w:rsidP="00A1349E">
      <w:pPr>
        <w:rPr>
          <w:i/>
        </w:rPr>
      </w:pPr>
      <w:r w:rsidRPr="00F453F7">
        <w:rPr>
          <w:i/>
        </w:rPr>
        <w:t>For more detail on the PBAC’s view, see section 7 PBAC outcome.</w:t>
      </w:r>
    </w:p>
    <w:p w:rsidR="00F23D71" w:rsidRPr="00F453F7" w:rsidRDefault="00C317F3" w:rsidP="004D22DF">
      <w:pPr>
        <w:pStyle w:val="2-SectionHeading"/>
      </w:pPr>
      <w:bookmarkStart w:id="8" w:name="_Toc413139275"/>
      <w:bookmarkStart w:id="9" w:name="_Toc9428546"/>
      <w:r w:rsidRPr="00F453F7">
        <w:t>Comparator</w:t>
      </w:r>
      <w:bookmarkEnd w:id="8"/>
      <w:bookmarkEnd w:id="9"/>
    </w:p>
    <w:p w:rsidR="00F23D71" w:rsidRPr="00F453F7" w:rsidRDefault="00F23D71" w:rsidP="00A1349E">
      <w:pPr>
        <w:pStyle w:val="ListParagraph"/>
        <w:keepNext/>
        <w:keepLines/>
        <w:numPr>
          <w:ilvl w:val="1"/>
          <w:numId w:val="3"/>
        </w:numPr>
      </w:pPr>
      <w:r w:rsidRPr="00F453F7">
        <w:t>The submission nominated pembrolizumab</w:t>
      </w:r>
      <w:r w:rsidR="00FF4EB3" w:rsidRPr="00F453F7">
        <w:t xml:space="preserve"> as the main comparator. </w:t>
      </w:r>
      <w:r w:rsidRPr="00F453F7">
        <w:t>The main arguments provided in support of this nomination were:</w:t>
      </w:r>
    </w:p>
    <w:p w:rsidR="00F23D71" w:rsidRPr="00F453F7" w:rsidRDefault="00F23D71" w:rsidP="00A1349E">
      <w:pPr>
        <w:pStyle w:val="ListParagraph"/>
        <w:numPr>
          <w:ilvl w:val="0"/>
          <w:numId w:val="8"/>
        </w:numPr>
        <w:ind w:left="1434" w:hanging="357"/>
      </w:pPr>
      <w:r w:rsidRPr="00F453F7">
        <w:t>Pembrolizumab, a monoclonal antibody that binds to PD-1 (programmed cell death 1), has a similar pharmacological action to durvalumab</w:t>
      </w:r>
      <w:r w:rsidR="000C2408" w:rsidRPr="00F453F7">
        <w:t>;</w:t>
      </w:r>
      <w:r w:rsidRPr="00F453F7">
        <w:t xml:space="preserve"> </w:t>
      </w:r>
    </w:p>
    <w:p w:rsidR="00F23D71" w:rsidRPr="00F453F7" w:rsidRDefault="00F23D71" w:rsidP="00A1349E">
      <w:pPr>
        <w:pStyle w:val="ListParagraph"/>
        <w:numPr>
          <w:ilvl w:val="0"/>
          <w:numId w:val="8"/>
        </w:numPr>
        <w:ind w:left="1434" w:hanging="357"/>
      </w:pPr>
      <w:r w:rsidRPr="00F453F7">
        <w:t xml:space="preserve">Pembrolizumab is the only PD-1/PD-L1 immune checkpoint inhibitor listed on the PBS for treatment of patients with urothelial cancer; </w:t>
      </w:r>
    </w:p>
    <w:p w:rsidR="00F23D71" w:rsidRPr="00F453F7" w:rsidRDefault="00F23D71" w:rsidP="00A1349E">
      <w:pPr>
        <w:pStyle w:val="ListParagraph"/>
        <w:numPr>
          <w:ilvl w:val="0"/>
          <w:numId w:val="8"/>
        </w:numPr>
        <w:ind w:left="1434" w:hanging="357"/>
      </w:pPr>
      <w:r w:rsidRPr="00F453F7">
        <w:t>Pembrolizumab is the treatment most likely to be replaced by durvalumab.</w:t>
      </w:r>
    </w:p>
    <w:p w:rsidR="00F23D71" w:rsidRPr="00F453F7" w:rsidRDefault="00112FE3" w:rsidP="00A1349E">
      <w:pPr>
        <w:pStyle w:val="ListParagraph"/>
        <w:numPr>
          <w:ilvl w:val="1"/>
          <w:numId w:val="3"/>
        </w:numPr>
      </w:pPr>
      <w:r w:rsidRPr="00F453F7">
        <w:t>The PBAC considered p</w:t>
      </w:r>
      <w:r w:rsidR="00F23D71" w:rsidRPr="00F453F7">
        <w:t xml:space="preserve">embrolizumab </w:t>
      </w:r>
      <w:r w:rsidRPr="00F453F7">
        <w:t>wa</w:t>
      </w:r>
      <w:r w:rsidR="00F23D71" w:rsidRPr="00F453F7">
        <w:t xml:space="preserve">s </w:t>
      </w:r>
      <w:r w:rsidR="005817E8" w:rsidRPr="00F453F7">
        <w:t xml:space="preserve">the </w:t>
      </w:r>
      <w:r w:rsidR="00F23D71" w:rsidRPr="00F453F7">
        <w:t>appropriate main comparator.</w:t>
      </w:r>
    </w:p>
    <w:p w:rsidR="00C317F3" w:rsidRPr="00F453F7" w:rsidRDefault="00C317F3" w:rsidP="004D22DF">
      <w:pPr>
        <w:pStyle w:val="2-SectionHeading"/>
      </w:pPr>
      <w:bookmarkStart w:id="10" w:name="_Toc413139276"/>
      <w:bookmarkStart w:id="11" w:name="_Toc9428547"/>
      <w:r w:rsidRPr="00F453F7">
        <w:t>Consideration of the evidence</w:t>
      </w:r>
      <w:bookmarkEnd w:id="10"/>
      <w:bookmarkEnd w:id="11"/>
    </w:p>
    <w:p w:rsidR="00DC6FDF" w:rsidRPr="00F453F7" w:rsidRDefault="00DC6FDF" w:rsidP="004D22DF">
      <w:pPr>
        <w:pStyle w:val="4-SubsectionHeading"/>
      </w:pPr>
      <w:bookmarkStart w:id="12" w:name="_Toc413139277"/>
      <w:bookmarkStart w:id="13" w:name="_Toc9428548"/>
      <w:r w:rsidRPr="00F453F7">
        <w:t>Sponsor hearing</w:t>
      </w:r>
    </w:p>
    <w:p w:rsidR="00327B3F" w:rsidRPr="00456D07" w:rsidRDefault="00DC6FDF" w:rsidP="004D22DF">
      <w:pPr>
        <w:pStyle w:val="3-BodyText"/>
        <w:rPr>
          <w:rFonts w:eastAsiaTheme="majorEastAsia" w:cstheme="majorBidi"/>
          <w:b/>
          <w:i/>
          <w:sz w:val="28"/>
          <w:szCs w:val="28"/>
        </w:rPr>
      </w:pPr>
      <w:r w:rsidRPr="004D22DF">
        <w:t>There</w:t>
      </w:r>
      <w:r w:rsidRPr="00456D07">
        <w:t xml:space="preserve"> was no </w:t>
      </w:r>
      <w:r w:rsidRPr="00F453F7">
        <w:t>hearing</w:t>
      </w:r>
      <w:r w:rsidRPr="00456D07">
        <w:t xml:space="preserve"> for this item.</w:t>
      </w:r>
    </w:p>
    <w:p w:rsidR="00160482" w:rsidRPr="00F453F7" w:rsidRDefault="00160482" w:rsidP="004D22DF">
      <w:pPr>
        <w:pStyle w:val="4-SubsectionHeading"/>
      </w:pPr>
      <w:r w:rsidRPr="00F453F7">
        <w:t>Consumer comments</w:t>
      </w:r>
    </w:p>
    <w:p w:rsidR="00160482" w:rsidRPr="00F453F7" w:rsidRDefault="00160482" w:rsidP="004D22DF">
      <w:pPr>
        <w:pStyle w:val="3-BodyText"/>
      </w:pPr>
      <w:r w:rsidRPr="00F453F7">
        <w:t>The PBAC noted and welcomed the input from individuals (</w:t>
      </w:r>
      <w:r w:rsidR="00D52404" w:rsidRPr="00F453F7">
        <w:t>1</w:t>
      </w:r>
      <w:r w:rsidRPr="00F453F7">
        <w:t>), and organisations (1) via the Consumer Comments facility on the PBS website</w:t>
      </w:r>
      <w:r w:rsidR="00F453F7">
        <w:t xml:space="preserve">. </w:t>
      </w:r>
      <w:r w:rsidRPr="00F453F7">
        <w:t xml:space="preserve">The comments described a range of benefits of treatment with </w:t>
      </w:r>
      <w:r w:rsidR="006208E4" w:rsidRPr="00F453F7">
        <w:t xml:space="preserve">durvalumab including being more energetic and </w:t>
      </w:r>
      <w:r w:rsidR="006208E4" w:rsidRPr="00F453F7">
        <w:lastRenderedPageBreak/>
        <w:t>interested in life, a significant reduction in tumour size, and considerably fewer side effects in comparison to chemotherapy.</w:t>
      </w:r>
    </w:p>
    <w:p w:rsidR="007147F4" w:rsidRPr="00F453F7" w:rsidRDefault="00160482" w:rsidP="00A1349E">
      <w:pPr>
        <w:widowControl w:val="0"/>
        <w:numPr>
          <w:ilvl w:val="1"/>
          <w:numId w:val="3"/>
        </w:numPr>
        <w:spacing w:after="120"/>
        <w:rPr>
          <w:rFonts w:cs="Arial"/>
          <w:bCs/>
          <w:snapToGrid w:val="0"/>
        </w:rPr>
      </w:pPr>
      <w:r w:rsidRPr="00F453F7">
        <w:rPr>
          <w:rFonts w:cs="Arial"/>
          <w:bCs/>
          <w:snapToGrid w:val="0"/>
        </w:rPr>
        <w:t xml:space="preserve">The PBAC noted the advice received from </w:t>
      </w:r>
      <w:r w:rsidR="006208E4" w:rsidRPr="00F453F7">
        <w:rPr>
          <w:rFonts w:cs="Arial"/>
          <w:bCs/>
          <w:snapToGrid w:val="0"/>
        </w:rPr>
        <w:t>BEAT Bladder Cancer Australia</w:t>
      </w:r>
      <w:r w:rsidRPr="00F453F7">
        <w:rPr>
          <w:rFonts w:cs="Arial"/>
          <w:bCs/>
          <w:snapToGrid w:val="0"/>
        </w:rPr>
        <w:t xml:space="preserve"> </w:t>
      </w:r>
      <w:r w:rsidR="009C281C">
        <w:rPr>
          <w:rFonts w:cs="Arial"/>
          <w:bCs/>
          <w:snapToGrid w:val="0"/>
        </w:rPr>
        <w:t xml:space="preserve">in support </w:t>
      </w:r>
      <w:r w:rsidR="00517064" w:rsidRPr="00F453F7">
        <w:rPr>
          <w:rFonts w:cs="Arial"/>
          <w:bCs/>
          <w:snapToGrid w:val="0"/>
        </w:rPr>
        <w:t>of PBS-listing of durvalumab to provide an additional treatment option for patients with bladder cancer.</w:t>
      </w:r>
    </w:p>
    <w:p w:rsidR="00A1349E" w:rsidRPr="004D22DF" w:rsidRDefault="00BD2649" w:rsidP="004D22DF">
      <w:pPr>
        <w:pStyle w:val="ListParagraph"/>
        <w:numPr>
          <w:ilvl w:val="1"/>
          <w:numId w:val="3"/>
        </w:numPr>
        <w:rPr>
          <w:bCs/>
        </w:rPr>
      </w:pPr>
      <w:r w:rsidRPr="00F453F7">
        <w:rPr>
          <w:bCs/>
        </w:rPr>
        <w:t xml:space="preserve">The PBAC noted that the Medical Oncology Group of Australia (MOGA) </w:t>
      </w:r>
      <w:r w:rsidR="00381D7C" w:rsidRPr="00F453F7">
        <w:rPr>
          <w:bCs/>
        </w:rPr>
        <w:t>did</w:t>
      </w:r>
      <w:r w:rsidR="00307108" w:rsidRPr="00F453F7">
        <w:rPr>
          <w:bCs/>
        </w:rPr>
        <w:t xml:space="preserve"> not </w:t>
      </w:r>
      <w:r w:rsidR="00381D7C" w:rsidRPr="00F453F7">
        <w:rPr>
          <w:bCs/>
        </w:rPr>
        <w:t>include</w:t>
      </w:r>
      <w:r w:rsidRPr="00F453F7">
        <w:rPr>
          <w:bCs/>
        </w:rPr>
        <w:t xml:space="preserve"> the durvalumab submission </w:t>
      </w:r>
      <w:r w:rsidRPr="00F453F7">
        <w:t xml:space="preserve">for the treatment of patients with locally advanced or metastatic urothelial cancer </w:t>
      </w:r>
      <w:r w:rsidR="00381D7C" w:rsidRPr="00F453F7">
        <w:t>in its letter to the PBAC</w:t>
      </w:r>
      <w:r w:rsidR="00517064" w:rsidRPr="00F453F7">
        <w:t xml:space="preserve"> regarding anti-cancer submissions</w:t>
      </w:r>
      <w:r w:rsidR="00CC7582" w:rsidRPr="00F453F7">
        <w:t xml:space="preserve"> considered at the July 2019 meeting</w:t>
      </w:r>
      <w:r w:rsidRPr="00F453F7">
        <w:t>.</w:t>
      </w:r>
    </w:p>
    <w:p w:rsidR="007147F4" w:rsidRPr="00F453F7" w:rsidRDefault="00C317F3" w:rsidP="004D22DF">
      <w:pPr>
        <w:pStyle w:val="4-SubsectionHeading"/>
      </w:pPr>
      <w:r w:rsidRPr="00F453F7">
        <w:t>Clinical trials</w:t>
      </w:r>
      <w:bookmarkEnd w:id="12"/>
      <w:bookmarkEnd w:id="13"/>
    </w:p>
    <w:p w:rsidR="00FF4EB3" w:rsidRPr="00F453F7" w:rsidRDefault="00FF4EB3" w:rsidP="00A1349E">
      <w:pPr>
        <w:pStyle w:val="ListParagraph"/>
        <w:numPr>
          <w:ilvl w:val="1"/>
          <w:numId w:val="3"/>
        </w:numPr>
      </w:pPr>
      <w:r w:rsidRPr="00F453F7">
        <w:t>No head-to-head trials comparing durvalumab to pembrolizumab were identified.</w:t>
      </w:r>
    </w:p>
    <w:p w:rsidR="00B00BA3" w:rsidRPr="00F453F7" w:rsidRDefault="00FF4EB3" w:rsidP="00A1349E">
      <w:pPr>
        <w:pStyle w:val="ListParagraph"/>
        <w:numPr>
          <w:ilvl w:val="1"/>
          <w:numId w:val="3"/>
        </w:numPr>
      </w:pPr>
      <w:r w:rsidRPr="00F453F7">
        <w:t>The submission was based on one single</w:t>
      </w:r>
      <w:r w:rsidR="007420CE" w:rsidRPr="00F453F7">
        <w:t>-</w:t>
      </w:r>
      <w:r w:rsidRPr="00F453F7">
        <w:t>arm study of durvalumab (Study 1108), and</w:t>
      </w:r>
      <w:r w:rsidR="00147E4C" w:rsidRPr="00F453F7">
        <w:t xml:space="preserve"> </w:t>
      </w:r>
      <w:r w:rsidRPr="00F453F7">
        <w:t>one randomised, open-label trial of pembrolizumab versus investigator’s choice of chemotherapy (Keynote-045)</w:t>
      </w:r>
      <w:r w:rsidR="00B00BA3" w:rsidRPr="00F453F7">
        <w:t>.</w:t>
      </w:r>
    </w:p>
    <w:p w:rsidR="00FF4EB3" w:rsidRPr="00F453F7" w:rsidRDefault="00FF4EB3" w:rsidP="00A1349E">
      <w:pPr>
        <w:pStyle w:val="ListParagraph"/>
        <w:numPr>
          <w:ilvl w:val="1"/>
          <w:numId w:val="3"/>
        </w:numPr>
      </w:pPr>
      <w:r w:rsidRPr="00F453F7">
        <w:t>The submission</w:t>
      </w:r>
      <w:r w:rsidR="00F035B5" w:rsidRPr="00F453F7">
        <w:t>’s</w:t>
      </w:r>
      <w:r w:rsidRPr="00F453F7">
        <w:t xml:space="preserve"> claim was based on the re</w:t>
      </w:r>
      <w:r w:rsidR="00F035B5" w:rsidRPr="00F453F7">
        <w:t xml:space="preserve">sults of an indirect comparison </w:t>
      </w:r>
      <w:r w:rsidRPr="00F453F7">
        <w:t>of durvalumab versus pembrolizumab</w:t>
      </w:r>
      <w:r w:rsidR="00F453F7">
        <w:t xml:space="preserve">. </w:t>
      </w:r>
      <w:r w:rsidR="00BE0C59" w:rsidRPr="00F453F7">
        <w:t>Evidence for durvalumab versus chemotherapy was generated using an unanchored matching adjusted indirect comparison (MAIC) of individual patient data from Study 1108</w:t>
      </w:r>
      <w:r w:rsidR="002F52D3" w:rsidRPr="00F453F7">
        <w:t>,</w:t>
      </w:r>
      <w:r w:rsidR="00BE0C59" w:rsidRPr="00F453F7">
        <w:t xml:space="preserve"> and aggregate results for the chemotherapy arm of Keynote-045. The results of the MAIC were then compared with the results of the Keynote-045 trial in an indirect comparison using chemotherapy as the common reference.</w:t>
      </w:r>
    </w:p>
    <w:p w:rsidR="00C317F3" w:rsidRPr="00F453F7" w:rsidRDefault="00C317F3" w:rsidP="00A1349E">
      <w:pPr>
        <w:pStyle w:val="ListParagraph"/>
        <w:numPr>
          <w:ilvl w:val="1"/>
          <w:numId w:val="3"/>
        </w:numPr>
      </w:pPr>
      <w:r w:rsidRPr="00F453F7">
        <w:t xml:space="preserve">Details of the </w:t>
      </w:r>
      <w:r w:rsidR="00666E7D" w:rsidRPr="00F453F7">
        <w:t>studies</w:t>
      </w:r>
      <w:r w:rsidRPr="00F453F7">
        <w:t xml:space="preserve"> presented in the submission ar</w:t>
      </w:r>
      <w:r w:rsidR="00666E7D" w:rsidRPr="00F453F7">
        <w:t xml:space="preserve">e provided in </w:t>
      </w:r>
      <w:r w:rsidR="000D388E" w:rsidRPr="00F453F7">
        <w:t xml:space="preserve">Table </w:t>
      </w:r>
      <w:r w:rsidR="008E4662" w:rsidRPr="00F453F7">
        <w:t>2</w:t>
      </w:r>
      <w:r w:rsidR="00666E7D" w:rsidRPr="00F453F7">
        <w:t xml:space="preserve">. </w:t>
      </w:r>
    </w:p>
    <w:p w:rsidR="00086C75" w:rsidRDefault="00086C75" w:rsidP="00086C75">
      <w:pPr>
        <w:pStyle w:val="TableHeading"/>
      </w:pPr>
      <w:r>
        <w:lastRenderedPageBreak/>
        <w:t xml:space="preserve">Table </w:t>
      </w:r>
      <w:r w:rsidR="00C15CB6">
        <w:fldChar w:fldCharType="begin"/>
      </w:r>
      <w:r w:rsidR="00C15CB6">
        <w:instrText xml:space="preserve"> SEQ Table \* ARABIC </w:instrText>
      </w:r>
      <w:r w:rsidR="00C15CB6">
        <w:fldChar w:fldCharType="separate"/>
      </w:r>
      <w:r w:rsidR="00E55F9F">
        <w:rPr>
          <w:noProof/>
        </w:rPr>
        <w:t>2</w:t>
      </w:r>
      <w:r w:rsidR="00C15CB6">
        <w:rPr>
          <w:noProof/>
        </w:rPr>
        <w:fldChar w:fldCharType="end"/>
      </w:r>
      <w:r w:rsidRPr="000D40C5">
        <w:t>: Studies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Studies and associated reports presented in the submission"/>
      </w:tblPr>
      <w:tblGrid>
        <w:gridCol w:w="1271"/>
        <w:gridCol w:w="5246"/>
        <w:gridCol w:w="2499"/>
      </w:tblGrid>
      <w:tr w:rsidR="00666E7D" w:rsidRPr="00F453F7" w:rsidTr="00086C75">
        <w:trPr>
          <w:tblHeader/>
        </w:trPr>
        <w:tc>
          <w:tcPr>
            <w:tcW w:w="705" w:type="pct"/>
          </w:tcPr>
          <w:p w:rsidR="00666E7D" w:rsidRPr="00F453F7" w:rsidRDefault="00666E7D" w:rsidP="008C0A6F">
            <w:pPr>
              <w:keepNext/>
              <w:rPr>
                <w:rFonts w:ascii="Arial Narrow" w:eastAsia="Calibri" w:hAnsi="Arial Narrow"/>
                <w:b/>
                <w:sz w:val="20"/>
              </w:rPr>
            </w:pPr>
            <w:r w:rsidRPr="00F453F7">
              <w:rPr>
                <w:rFonts w:ascii="Arial Narrow" w:eastAsia="Calibri" w:hAnsi="Arial Narrow"/>
                <w:b/>
                <w:sz w:val="20"/>
              </w:rPr>
              <w:t>Trial ID</w:t>
            </w:r>
          </w:p>
        </w:tc>
        <w:tc>
          <w:tcPr>
            <w:tcW w:w="2909" w:type="pct"/>
          </w:tcPr>
          <w:p w:rsidR="00666E7D" w:rsidRPr="00F453F7" w:rsidRDefault="00666E7D" w:rsidP="008C0A6F">
            <w:pPr>
              <w:keepNext/>
              <w:jc w:val="center"/>
              <w:rPr>
                <w:rFonts w:ascii="Arial Narrow" w:eastAsia="Calibri" w:hAnsi="Arial Narrow"/>
                <w:b/>
                <w:sz w:val="20"/>
              </w:rPr>
            </w:pPr>
            <w:r w:rsidRPr="00F453F7">
              <w:rPr>
                <w:rFonts w:ascii="Arial Narrow" w:eastAsia="Calibri" w:hAnsi="Arial Narrow"/>
                <w:b/>
                <w:sz w:val="20"/>
              </w:rPr>
              <w:t>Protocol title/ Publication title</w:t>
            </w:r>
          </w:p>
        </w:tc>
        <w:tc>
          <w:tcPr>
            <w:tcW w:w="1386" w:type="pct"/>
          </w:tcPr>
          <w:p w:rsidR="00666E7D" w:rsidRPr="00F453F7" w:rsidRDefault="00666E7D" w:rsidP="008C0A6F">
            <w:pPr>
              <w:keepNext/>
              <w:jc w:val="center"/>
              <w:rPr>
                <w:rFonts w:ascii="Arial Narrow" w:eastAsia="Calibri" w:hAnsi="Arial Narrow"/>
                <w:b/>
                <w:sz w:val="20"/>
              </w:rPr>
            </w:pPr>
            <w:r w:rsidRPr="00F453F7">
              <w:rPr>
                <w:rFonts w:ascii="Arial Narrow" w:eastAsia="Calibri" w:hAnsi="Arial Narrow"/>
                <w:b/>
                <w:sz w:val="20"/>
              </w:rPr>
              <w:t>Publication citation</w:t>
            </w:r>
          </w:p>
        </w:tc>
      </w:tr>
      <w:tr w:rsidR="00666E7D" w:rsidRPr="00F453F7" w:rsidTr="006A3F03">
        <w:tc>
          <w:tcPr>
            <w:tcW w:w="5000" w:type="pct"/>
            <w:gridSpan w:val="3"/>
          </w:tcPr>
          <w:p w:rsidR="00666E7D" w:rsidRPr="00F453F7" w:rsidRDefault="00666E7D" w:rsidP="008C0A6F">
            <w:pPr>
              <w:keepNext/>
              <w:rPr>
                <w:rFonts w:ascii="Arial Narrow" w:eastAsia="Calibri" w:hAnsi="Arial Narrow"/>
                <w:b/>
                <w:sz w:val="20"/>
              </w:rPr>
            </w:pPr>
            <w:r w:rsidRPr="00F453F7">
              <w:rPr>
                <w:rFonts w:ascii="Arial Narrow" w:eastAsia="Calibri" w:hAnsi="Arial Narrow"/>
                <w:b/>
                <w:sz w:val="20"/>
              </w:rPr>
              <w:t>Durvalumab studies</w:t>
            </w:r>
          </w:p>
        </w:tc>
      </w:tr>
      <w:tr w:rsidR="00666E7D" w:rsidRPr="00F453F7" w:rsidTr="006A3F03">
        <w:tc>
          <w:tcPr>
            <w:tcW w:w="705" w:type="pct"/>
            <w:vMerge w:val="restart"/>
          </w:tcPr>
          <w:p w:rsidR="00666E7D" w:rsidRPr="00F453F7" w:rsidRDefault="00666E7D" w:rsidP="008C0A6F">
            <w:pPr>
              <w:keepNext/>
              <w:rPr>
                <w:rFonts w:ascii="Arial Narrow" w:eastAsia="Calibri" w:hAnsi="Arial Narrow"/>
                <w:sz w:val="20"/>
              </w:rPr>
            </w:pPr>
            <w:r w:rsidRPr="00F453F7">
              <w:rPr>
                <w:rFonts w:ascii="Arial Narrow" w:eastAsia="Calibri" w:hAnsi="Arial Narrow"/>
                <w:sz w:val="20"/>
              </w:rPr>
              <w:t>Study 1108</w:t>
            </w:r>
          </w:p>
          <w:p w:rsidR="00666E7D" w:rsidRPr="00F453F7" w:rsidRDefault="00666E7D" w:rsidP="008C0A6F">
            <w:pPr>
              <w:keepNext/>
              <w:rPr>
                <w:rFonts w:ascii="Arial Narrow" w:eastAsia="Calibri" w:hAnsi="Arial Narrow"/>
                <w:sz w:val="20"/>
              </w:rPr>
            </w:pPr>
            <w:r w:rsidRPr="00F453F7">
              <w:rPr>
                <w:rFonts w:ascii="Arial Narrow" w:eastAsia="Calibri" w:hAnsi="Arial Narrow"/>
                <w:sz w:val="20"/>
              </w:rPr>
              <w:t>(NCT01693562)</w:t>
            </w:r>
          </w:p>
        </w:tc>
        <w:tc>
          <w:tcPr>
            <w:tcW w:w="2909" w:type="pct"/>
          </w:tcPr>
          <w:p w:rsidR="00666E7D" w:rsidRPr="00F453F7" w:rsidRDefault="00666E7D" w:rsidP="008C0A6F">
            <w:pPr>
              <w:keepNext/>
              <w:rPr>
                <w:rFonts w:ascii="Arial Narrow" w:eastAsia="Calibri" w:hAnsi="Arial Narrow"/>
                <w:sz w:val="20"/>
              </w:rPr>
            </w:pPr>
            <w:r w:rsidRPr="00F453F7">
              <w:rPr>
                <w:rFonts w:ascii="Arial Narrow" w:eastAsia="Calibri" w:hAnsi="Arial Narrow"/>
                <w:sz w:val="20"/>
              </w:rPr>
              <w:t>A Phase 1/2 Study to Evaluate the Safety, Tolerability, and Pharmacokinetics of MEDI4736 in Subjec</w:t>
            </w:r>
            <w:r w:rsidR="007420CE" w:rsidRPr="00F453F7">
              <w:rPr>
                <w:rFonts w:ascii="Arial Narrow" w:eastAsia="Calibri" w:hAnsi="Arial Narrow"/>
                <w:sz w:val="20"/>
              </w:rPr>
              <w:t xml:space="preserve">ts With Advanced Solid Tumors. </w:t>
            </w:r>
          </w:p>
        </w:tc>
        <w:tc>
          <w:tcPr>
            <w:tcW w:w="1386" w:type="pct"/>
          </w:tcPr>
          <w:p w:rsidR="00666E7D" w:rsidRPr="00F453F7" w:rsidRDefault="00666E7D" w:rsidP="008C0A6F">
            <w:pPr>
              <w:keepNext/>
              <w:rPr>
                <w:rFonts w:ascii="Arial Narrow" w:eastAsia="Calibri" w:hAnsi="Arial Narrow"/>
                <w:sz w:val="20"/>
              </w:rPr>
            </w:pPr>
            <w:r w:rsidRPr="00F453F7">
              <w:rPr>
                <w:rFonts w:ascii="Arial Narrow" w:eastAsia="Calibri" w:hAnsi="Arial Narrow"/>
                <w:sz w:val="20"/>
              </w:rPr>
              <w:t>Clinical Study Report (final), 24 May 2018.</w:t>
            </w:r>
          </w:p>
        </w:tc>
      </w:tr>
      <w:tr w:rsidR="00666E7D" w:rsidRPr="00F453F7" w:rsidTr="006A3F03">
        <w:tc>
          <w:tcPr>
            <w:tcW w:w="705" w:type="pct"/>
            <w:vMerge/>
          </w:tcPr>
          <w:p w:rsidR="00666E7D" w:rsidRPr="00F453F7" w:rsidRDefault="00666E7D" w:rsidP="008C0A6F">
            <w:pPr>
              <w:keepNext/>
              <w:rPr>
                <w:rFonts w:ascii="Arial Narrow" w:eastAsia="Calibri" w:hAnsi="Arial Narrow"/>
                <w:sz w:val="20"/>
              </w:rPr>
            </w:pPr>
          </w:p>
        </w:tc>
        <w:tc>
          <w:tcPr>
            <w:tcW w:w="2909" w:type="pct"/>
          </w:tcPr>
          <w:p w:rsidR="00666E7D" w:rsidRPr="00F453F7" w:rsidRDefault="00666E7D" w:rsidP="008C0A6F">
            <w:pPr>
              <w:keepNext/>
              <w:rPr>
                <w:rFonts w:ascii="Arial Narrow" w:eastAsia="Calibri" w:hAnsi="Arial Narrow"/>
                <w:sz w:val="20"/>
              </w:rPr>
            </w:pPr>
            <w:r w:rsidRPr="00F453F7">
              <w:rPr>
                <w:rFonts w:ascii="Arial Narrow" w:eastAsia="Calibri" w:hAnsi="Arial Narrow"/>
                <w:sz w:val="20"/>
              </w:rPr>
              <w:t>Massard, C., et al. Safety and efficacy of durvalumab (MEDI4736), an anti-programmed cell death ligand-1 immune checkpoint inhibitor, in patients with advanced urothelial bladder cancer.</w:t>
            </w:r>
          </w:p>
        </w:tc>
        <w:tc>
          <w:tcPr>
            <w:tcW w:w="1386" w:type="pct"/>
          </w:tcPr>
          <w:p w:rsidR="00666E7D" w:rsidRPr="00F453F7" w:rsidRDefault="00666E7D" w:rsidP="008C0A6F">
            <w:pPr>
              <w:keepNext/>
              <w:rPr>
                <w:rFonts w:ascii="Arial Narrow" w:eastAsia="Calibri" w:hAnsi="Arial Narrow"/>
                <w:sz w:val="20"/>
              </w:rPr>
            </w:pPr>
            <w:r w:rsidRPr="00F453F7">
              <w:rPr>
                <w:rFonts w:ascii="Arial Narrow" w:eastAsia="Calibri" w:hAnsi="Arial Narrow"/>
                <w:sz w:val="20"/>
              </w:rPr>
              <w:t>Journal of Clinical Oncology 2016; 34(26): 3119-3125.</w:t>
            </w:r>
          </w:p>
        </w:tc>
      </w:tr>
      <w:tr w:rsidR="00666E7D" w:rsidRPr="00F453F7" w:rsidTr="006A3F03">
        <w:trPr>
          <w:trHeight w:val="51"/>
        </w:trPr>
        <w:tc>
          <w:tcPr>
            <w:tcW w:w="705" w:type="pct"/>
            <w:vMerge/>
          </w:tcPr>
          <w:p w:rsidR="00666E7D" w:rsidRPr="00F453F7" w:rsidRDefault="00666E7D" w:rsidP="008C0A6F">
            <w:pPr>
              <w:keepNext/>
              <w:rPr>
                <w:rFonts w:ascii="Arial Narrow" w:eastAsia="Calibri" w:hAnsi="Arial Narrow"/>
                <w:sz w:val="20"/>
              </w:rPr>
            </w:pPr>
          </w:p>
        </w:tc>
        <w:tc>
          <w:tcPr>
            <w:tcW w:w="2909" w:type="pct"/>
          </w:tcPr>
          <w:p w:rsidR="00666E7D" w:rsidRPr="00F453F7" w:rsidRDefault="00666E7D" w:rsidP="008C0A6F">
            <w:pPr>
              <w:keepNext/>
              <w:rPr>
                <w:rFonts w:ascii="Arial Narrow" w:eastAsia="Calibri" w:hAnsi="Arial Narrow"/>
                <w:sz w:val="20"/>
              </w:rPr>
            </w:pPr>
            <w:r w:rsidRPr="00F453F7">
              <w:rPr>
                <w:rFonts w:ascii="Arial Narrow" w:eastAsia="Calibri" w:hAnsi="Arial Narrow"/>
                <w:sz w:val="20"/>
              </w:rPr>
              <w:t>Powles, T., et al. Efficacy and safety of durvalumab in locally advanced or metastatic urothelial carcinoma: Updated results from a phase 1/2 open-label study.</w:t>
            </w:r>
          </w:p>
        </w:tc>
        <w:tc>
          <w:tcPr>
            <w:tcW w:w="1386" w:type="pct"/>
          </w:tcPr>
          <w:p w:rsidR="00666E7D" w:rsidRPr="00F453F7" w:rsidRDefault="00666E7D" w:rsidP="008C0A6F">
            <w:pPr>
              <w:keepNext/>
              <w:rPr>
                <w:rFonts w:ascii="Arial Narrow" w:eastAsia="Calibri" w:hAnsi="Arial Narrow"/>
                <w:sz w:val="20"/>
              </w:rPr>
            </w:pPr>
            <w:r w:rsidRPr="00F453F7">
              <w:rPr>
                <w:rFonts w:ascii="Arial Narrow" w:eastAsia="Calibri" w:hAnsi="Arial Narrow"/>
                <w:sz w:val="20"/>
              </w:rPr>
              <w:t>JAMA Oncology 2017; 3(9): e172411.</w:t>
            </w:r>
          </w:p>
        </w:tc>
      </w:tr>
      <w:tr w:rsidR="00666E7D" w:rsidRPr="00F453F7" w:rsidTr="006A3F03">
        <w:tc>
          <w:tcPr>
            <w:tcW w:w="5000" w:type="pct"/>
            <w:gridSpan w:val="3"/>
          </w:tcPr>
          <w:p w:rsidR="00666E7D" w:rsidRPr="00F453F7" w:rsidRDefault="00666E7D" w:rsidP="008C0A6F">
            <w:pPr>
              <w:keepNext/>
              <w:rPr>
                <w:rFonts w:ascii="Arial Narrow" w:eastAsia="Calibri" w:hAnsi="Arial Narrow"/>
                <w:b/>
                <w:sz w:val="20"/>
              </w:rPr>
            </w:pPr>
            <w:r w:rsidRPr="00F453F7">
              <w:rPr>
                <w:rFonts w:ascii="Arial Narrow" w:eastAsia="Calibri" w:hAnsi="Arial Narrow"/>
                <w:b/>
                <w:sz w:val="20"/>
              </w:rPr>
              <w:t>Pembrolizumab studies</w:t>
            </w:r>
          </w:p>
        </w:tc>
      </w:tr>
      <w:tr w:rsidR="00666E7D" w:rsidRPr="00F453F7" w:rsidTr="006A3F03">
        <w:tc>
          <w:tcPr>
            <w:tcW w:w="705" w:type="pct"/>
            <w:vMerge w:val="restart"/>
          </w:tcPr>
          <w:p w:rsidR="00666E7D" w:rsidRPr="00F453F7" w:rsidRDefault="00666E7D" w:rsidP="008C0A6F">
            <w:pPr>
              <w:keepNext/>
              <w:rPr>
                <w:rFonts w:ascii="Arial Narrow" w:eastAsia="Calibri" w:hAnsi="Arial Narrow"/>
                <w:sz w:val="20"/>
              </w:rPr>
            </w:pPr>
            <w:r w:rsidRPr="00F453F7">
              <w:rPr>
                <w:rFonts w:ascii="Arial Narrow" w:eastAsia="Calibri" w:hAnsi="Arial Narrow"/>
                <w:sz w:val="20"/>
              </w:rPr>
              <w:t>Keynote-045</w:t>
            </w:r>
          </w:p>
          <w:p w:rsidR="00666E7D" w:rsidRPr="00F453F7" w:rsidRDefault="00666E7D" w:rsidP="008C0A6F">
            <w:pPr>
              <w:keepNext/>
              <w:rPr>
                <w:rFonts w:ascii="Arial Narrow" w:eastAsia="Calibri" w:hAnsi="Arial Narrow"/>
                <w:sz w:val="20"/>
              </w:rPr>
            </w:pPr>
            <w:r w:rsidRPr="00F453F7">
              <w:rPr>
                <w:rFonts w:ascii="Arial Narrow" w:eastAsia="Calibri" w:hAnsi="Arial Narrow"/>
                <w:sz w:val="20"/>
              </w:rPr>
              <w:t>(NCT02256436)</w:t>
            </w:r>
          </w:p>
        </w:tc>
        <w:tc>
          <w:tcPr>
            <w:tcW w:w="2909" w:type="pct"/>
          </w:tcPr>
          <w:p w:rsidR="00666E7D" w:rsidRPr="00F453F7" w:rsidRDefault="00666E7D" w:rsidP="008C0A6F">
            <w:pPr>
              <w:keepNext/>
              <w:rPr>
                <w:rFonts w:ascii="Arial Narrow" w:eastAsia="Calibri" w:hAnsi="Arial Narrow"/>
                <w:sz w:val="20"/>
              </w:rPr>
            </w:pPr>
            <w:r w:rsidRPr="00F453F7">
              <w:rPr>
                <w:rFonts w:ascii="Arial Narrow" w:eastAsia="Calibri" w:hAnsi="Arial Narrow"/>
                <w:sz w:val="20"/>
              </w:rPr>
              <w:t>Bellmunt, J., et al. Pembrolizumab as Second-Line Therapy for Advanced Urothelial Carcinoma.</w:t>
            </w:r>
          </w:p>
          <w:p w:rsidR="00666E7D" w:rsidRPr="00F453F7" w:rsidRDefault="00666E7D" w:rsidP="008C0A6F">
            <w:pPr>
              <w:keepNext/>
              <w:rPr>
                <w:rFonts w:ascii="Arial Narrow" w:eastAsia="Calibri" w:hAnsi="Arial Narrow"/>
                <w:sz w:val="20"/>
              </w:rPr>
            </w:pPr>
          </w:p>
        </w:tc>
        <w:tc>
          <w:tcPr>
            <w:tcW w:w="1386" w:type="pct"/>
          </w:tcPr>
          <w:p w:rsidR="00666E7D" w:rsidRPr="00F453F7" w:rsidRDefault="00666E7D" w:rsidP="008C0A6F">
            <w:pPr>
              <w:keepNext/>
              <w:rPr>
                <w:rFonts w:ascii="Arial Narrow" w:eastAsia="Calibri" w:hAnsi="Arial Narrow"/>
                <w:sz w:val="20"/>
              </w:rPr>
            </w:pPr>
            <w:r w:rsidRPr="00F453F7">
              <w:rPr>
                <w:rFonts w:ascii="Arial Narrow" w:eastAsia="Calibri" w:hAnsi="Arial Narrow"/>
                <w:sz w:val="20"/>
              </w:rPr>
              <w:t>New England Journal of Medicine 2017; 376(11): 1015</w:t>
            </w:r>
            <w:r w:rsidRPr="00F453F7">
              <w:rPr>
                <w:rFonts w:ascii="Cambria Math" w:eastAsia="Calibri" w:hAnsi="Cambria Math" w:cs="Cambria Math"/>
                <w:sz w:val="20"/>
              </w:rPr>
              <w:t>‐</w:t>
            </w:r>
            <w:r w:rsidRPr="00F453F7">
              <w:rPr>
                <w:rFonts w:ascii="Arial Narrow" w:eastAsia="Calibri" w:hAnsi="Arial Narrow"/>
                <w:sz w:val="20"/>
              </w:rPr>
              <w:t>1026 and online Supplementary Appendix and Study Protocol.</w:t>
            </w:r>
          </w:p>
        </w:tc>
      </w:tr>
      <w:tr w:rsidR="00666E7D" w:rsidRPr="00F453F7" w:rsidTr="006A3F03">
        <w:tc>
          <w:tcPr>
            <w:tcW w:w="705" w:type="pct"/>
            <w:vMerge/>
          </w:tcPr>
          <w:p w:rsidR="00666E7D" w:rsidRPr="00F453F7" w:rsidRDefault="00666E7D" w:rsidP="008C0A6F">
            <w:pPr>
              <w:keepNext/>
              <w:rPr>
                <w:rFonts w:ascii="Arial Narrow" w:eastAsia="Calibri" w:hAnsi="Arial Narrow"/>
                <w:sz w:val="20"/>
              </w:rPr>
            </w:pPr>
          </w:p>
        </w:tc>
        <w:tc>
          <w:tcPr>
            <w:tcW w:w="2909" w:type="pct"/>
          </w:tcPr>
          <w:p w:rsidR="00666E7D" w:rsidRPr="00F453F7" w:rsidRDefault="00666E7D" w:rsidP="008C0A6F">
            <w:pPr>
              <w:keepNext/>
              <w:rPr>
                <w:rFonts w:ascii="Arial Narrow" w:eastAsia="Calibri" w:hAnsi="Arial Narrow"/>
                <w:sz w:val="20"/>
              </w:rPr>
            </w:pPr>
            <w:r w:rsidRPr="00F453F7">
              <w:rPr>
                <w:rFonts w:ascii="Arial Narrow" w:eastAsia="Calibri" w:hAnsi="Arial Narrow"/>
                <w:sz w:val="20"/>
              </w:rPr>
              <w:t>Bellmunt, J., et al. Two-year follow-up from the phase 3 KEYNOTE-045 trial of pembrolizumab (pembro) vs investigator's choice (paclitaxel, docetaxel, or vinflunine) in recurrent, advanced urothelial cancer (UC).</w:t>
            </w:r>
          </w:p>
        </w:tc>
        <w:tc>
          <w:tcPr>
            <w:tcW w:w="1386" w:type="pct"/>
          </w:tcPr>
          <w:p w:rsidR="00666E7D" w:rsidRPr="00F453F7" w:rsidRDefault="00666E7D" w:rsidP="008C0A6F">
            <w:pPr>
              <w:keepNext/>
              <w:rPr>
                <w:rFonts w:ascii="Arial Narrow" w:eastAsia="Calibri" w:hAnsi="Arial Narrow"/>
                <w:sz w:val="20"/>
              </w:rPr>
            </w:pPr>
            <w:r w:rsidRPr="00F453F7">
              <w:rPr>
                <w:rFonts w:ascii="Arial Narrow" w:eastAsia="Calibri" w:hAnsi="Arial Narrow"/>
                <w:sz w:val="20"/>
              </w:rPr>
              <w:t>Journal of Clinical Oncology 2018; 36(6) Suppl. Feb 20 Abstract 410.</w:t>
            </w:r>
          </w:p>
        </w:tc>
      </w:tr>
      <w:tr w:rsidR="00666E7D" w:rsidRPr="00F453F7" w:rsidTr="006A3F03">
        <w:tc>
          <w:tcPr>
            <w:tcW w:w="705" w:type="pct"/>
            <w:vMerge/>
          </w:tcPr>
          <w:p w:rsidR="00666E7D" w:rsidRPr="00F453F7" w:rsidRDefault="00666E7D" w:rsidP="008C0A6F">
            <w:pPr>
              <w:keepNext/>
              <w:rPr>
                <w:rFonts w:ascii="Arial Narrow" w:eastAsia="Calibri" w:hAnsi="Arial Narrow"/>
                <w:sz w:val="20"/>
              </w:rPr>
            </w:pPr>
          </w:p>
        </w:tc>
        <w:tc>
          <w:tcPr>
            <w:tcW w:w="2909" w:type="pct"/>
          </w:tcPr>
          <w:p w:rsidR="00666E7D" w:rsidRPr="00F453F7" w:rsidRDefault="00666E7D" w:rsidP="008C0A6F">
            <w:pPr>
              <w:keepNext/>
              <w:rPr>
                <w:rFonts w:ascii="Arial Narrow" w:eastAsia="Calibri" w:hAnsi="Arial Narrow"/>
                <w:sz w:val="20"/>
              </w:rPr>
            </w:pPr>
            <w:r w:rsidRPr="00F453F7">
              <w:rPr>
                <w:rFonts w:ascii="Arial Narrow" w:eastAsia="Calibri" w:hAnsi="Arial Narrow"/>
                <w:sz w:val="20"/>
              </w:rPr>
              <w:t xml:space="preserve">Vaughn, D. J., et al. Health-Related Quality-of-Life Analysis From KEYNOTE-045: A Phase III Study of Pembrolizumab Versus Chemotherapy for Previously Treated Advanced Urothelial Cancer. </w:t>
            </w:r>
          </w:p>
        </w:tc>
        <w:tc>
          <w:tcPr>
            <w:tcW w:w="1386" w:type="pct"/>
          </w:tcPr>
          <w:p w:rsidR="00666E7D" w:rsidRPr="00F453F7" w:rsidRDefault="00666E7D" w:rsidP="008C0A6F">
            <w:pPr>
              <w:keepNext/>
              <w:rPr>
                <w:rFonts w:ascii="Arial Narrow" w:eastAsia="Calibri" w:hAnsi="Arial Narrow"/>
                <w:sz w:val="20"/>
              </w:rPr>
            </w:pPr>
            <w:r w:rsidRPr="00F453F7">
              <w:rPr>
                <w:rFonts w:ascii="Arial Narrow" w:eastAsia="Calibri" w:hAnsi="Arial Narrow"/>
                <w:sz w:val="20"/>
              </w:rPr>
              <w:t>Journal of Clinical Oncology 2018; 36(16):1579-1587.</w:t>
            </w:r>
          </w:p>
        </w:tc>
      </w:tr>
      <w:tr w:rsidR="00666E7D" w:rsidRPr="00F453F7" w:rsidTr="006A3F03">
        <w:tc>
          <w:tcPr>
            <w:tcW w:w="705" w:type="pct"/>
            <w:vMerge/>
          </w:tcPr>
          <w:p w:rsidR="00666E7D" w:rsidRPr="00F453F7" w:rsidRDefault="00666E7D" w:rsidP="008C0A6F">
            <w:pPr>
              <w:keepNext/>
              <w:rPr>
                <w:rFonts w:ascii="Arial Narrow" w:eastAsia="Calibri" w:hAnsi="Arial Narrow"/>
                <w:sz w:val="20"/>
              </w:rPr>
            </w:pPr>
          </w:p>
        </w:tc>
        <w:tc>
          <w:tcPr>
            <w:tcW w:w="2909" w:type="pct"/>
          </w:tcPr>
          <w:p w:rsidR="00666E7D" w:rsidRPr="00F453F7" w:rsidRDefault="00666E7D" w:rsidP="008C0A6F">
            <w:pPr>
              <w:keepNext/>
              <w:rPr>
                <w:rFonts w:ascii="Arial Narrow" w:eastAsia="Calibri" w:hAnsi="Arial Narrow"/>
                <w:sz w:val="20"/>
              </w:rPr>
            </w:pPr>
            <w:r w:rsidRPr="00F453F7">
              <w:rPr>
                <w:rFonts w:ascii="Arial Narrow" w:eastAsia="Calibri" w:hAnsi="Arial Narrow"/>
                <w:sz w:val="20"/>
              </w:rPr>
              <w:t>Bajorin, D. F., et al. Planned survival analysis from KEYNOTE-045: Phase 3, open-label study of pembrolizumab (pembro) versus paclitaxel, docetaxel, or vinflunine in recurrent, advanced urothelial cancer (UC).</w:t>
            </w:r>
          </w:p>
        </w:tc>
        <w:tc>
          <w:tcPr>
            <w:tcW w:w="1386" w:type="pct"/>
          </w:tcPr>
          <w:p w:rsidR="00666E7D" w:rsidRPr="00F453F7" w:rsidRDefault="00666E7D" w:rsidP="008C0A6F">
            <w:pPr>
              <w:keepNext/>
              <w:rPr>
                <w:rFonts w:ascii="Arial Narrow" w:eastAsia="Calibri" w:hAnsi="Arial Narrow"/>
                <w:sz w:val="20"/>
              </w:rPr>
            </w:pPr>
            <w:r w:rsidRPr="00F453F7">
              <w:rPr>
                <w:rFonts w:ascii="Arial Narrow" w:eastAsia="Calibri" w:hAnsi="Arial Narrow"/>
                <w:sz w:val="20"/>
              </w:rPr>
              <w:t>Journal of Clinical Oncology 2017; 35(15 Suppl. May 20): Abstract 4501.</w:t>
            </w:r>
          </w:p>
        </w:tc>
      </w:tr>
      <w:tr w:rsidR="00666E7D" w:rsidRPr="00F453F7" w:rsidTr="006A3F03">
        <w:tc>
          <w:tcPr>
            <w:tcW w:w="705" w:type="pct"/>
            <w:vMerge/>
          </w:tcPr>
          <w:p w:rsidR="00666E7D" w:rsidRPr="00F453F7" w:rsidRDefault="00666E7D" w:rsidP="008C0A6F">
            <w:pPr>
              <w:keepNext/>
              <w:rPr>
                <w:rFonts w:ascii="Arial Narrow" w:eastAsia="Calibri" w:hAnsi="Arial Narrow"/>
                <w:sz w:val="20"/>
              </w:rPr>
            </w:pPr>
          </w:p>
        </w:tc>
        <w:tc>
          <w:tcPr>
            <w:tcW w:w="2909" w:type="pct"/>
          </w:tcPr>
          <w:p w:rsidR="00666E7D" w:rsidRPr="00F453F7" w:rsidRDefault="00666E7D" w:rsidP="008C0A6F">
            <w:pPr>
              <w:keepNext/>
              <w:rPr>
                <w:rFonts w:ascii="Arial Narrow" w:eastAsia="Calibri" w:hAnsi="Arial Narrow"/>
                <w:sz w:val="20"/>
              </w:rPr>
            </w:pPr>
            <w:r w:rsidRPr="00F453F7">
              <w:rPr>
                <w:rFonts w:ascii="Arial Narrow" w:eastAsia="Calibri" w:hAnsi="Arial Narrow"/>
                <w:sz w:val="20"/>
              </w:rPr>
              <w:t xml:space="preserve">De Wit, R., et al. Pembrolizumab (pembro) versus paclitaxel, docetaxel, or vinflunine for recurrent, advanced urothelial cancer (UC): mature results from the phase 3 KEYNOTE-045 trial. </w:t>
            </w:r>
          </w:p>
        </w:tc>
        <w:tc>
          <w:tcPr>
            <w:tcW w:w="1386" w:type="pct"/>
          </w:tcPr>
          <w:p w:rsidR="00666E7D" w:rsidRPr="00F453F7" w:rsidRDefault="00666E7D" w:rsidP="008C0A6F">
            <w:pPr>
              <w:keepNext/>
              <w:rPr>
                <w:rFonts w:ascii="Arial Narrow" w:eastAsia="Calibri" w:hAnsi="Arial Narrow"/>
                <w:sz w:val="20"/>
              </w:rPr>
            </w:pPr>
            <w:r w:rsidRPr="00F453F7">
              <w:rPr>
                <w:rFonts w:ascii="Arial Narrow" w:eastAsia="Calibri" w:hAnsi="Arial Narrow"/>
                <w:sz w:val="20"/>
              </w:rPr>
              <w:t>Annals of Oncology 2017; 42nd ESMO Congress, 28(Supplement 5): v623.</w:t>
            </w:r>
          </w:p>
        </w:tc>
      </w:tr>
      <w:tr w:rsidR="00666E7D" w:rsidRPr="00F453F7" w:rsidTr="006A3F03">
        <w:tc>
          <w:tcPr>
            <w:tcW w:w="705" w:type="pct"/>
            <w:vMerge/>
          </w:tcPr>
          <w:p w:rsidR="00666E7D" w:rsidRPr="00F453F7" w:rsidRDefault="00666E7D" w:rsidP="008C0A6F">
            <w:pPr>
              <w:keepNext/>
              <w:rPr>
                <w:rFonts w:ascii="Arial Narrow" w:eastAsia="Calibri" w:hAnsi="Arial Narrow"/>
                <w:sz w:val="20"/>
              </w:rPr>
            </w:pPr>
          </w:p>
        </w:tc>
        <w:tc>
          <w:tcPr>
            <w:tcW w:w="2909" w:type="pct"/>
          </w:tcPr>
          <w:p w:rsidR="00666E7D" w:rsidRPr="00F453F7" w:rsidRDefault="00666E7D" w:rsidP="008C0A6F">
            <w:pPr>
              <w:keepNext/>
              <w:rPr>
                <w:rFonts w:ascii="Arial Narrow" w:eastAsia="Calibri" w:hAnsi="Arial Narrow"/>
                <w:sz w:val="20"/>
              </w:rPr>
            </w:pPr>
            <w:r w:rsidRPr="00F453F7">
              <w:rPr>
                <w:rFonts w:ascii="Arial Narrow" w:eastAsia="Calibri" w:hAnsi="Arial Narrow"/>
                <w:sz w:val="20"/>
              </w:rPr>
              <w:t>Necchi, A., et al. Pembrolizumab vs investigator-choice chemotherapy for previously treated advanced urothelial cancer: Phase 3 KEYNOTE-045 study.</w:t>
            </w:r>
          </w:p>
        </w:tc>
        <w:tc>
          <w:tcPr>
            <w:tcW w:w="1386" w:type="pct"/>
          </w:tcPr>
          <w:p w:rsidR="00666E7D" w:rsidRPr="00F453F7" w:rsidRDefault="00666E7D" w:rsidP="008C0A6F">
            <w:pPr>
              <w:keepNext/>
              <w:rPr>
                <w:rFonts w:ascii="Arial Narrow" w:eastAsia="Calibri" w:hAnsi="Arial Narrow"/>
                <w:sz w:val="20"/>
              </w:rPr>
            </w:pPr>
            <w:r w:rsidRPr="00F453F7">
              <w:rPr>
                <w:rFonts w:ascii="Arial Narrow" w:eastAsia="Calibri" w:hAnsi="Arial Narrow"/>
                <w:sz w:val="20"/>
              </w:rPr>
              <w:t>European Journal of Cancer 2017; 72 (Suppl. 1): S2 (LBA3).</w:t>
            </w:r>
          </w:p>
        </w:tc>
      </w:tr>
      <w:tr w:rsidR="00666E7D" w:rsidRPr="00F453F7" w:rsidTr="006A3F03">
        <w:trPr>
          <w:trHeight w:val="457"/>
        </w:trPr>
        <w:tc>
          <w:tcPr>
            <w:tcW w:w="705" w:type="pct"/>
            <w:vMerge/>
          </w:tcPr>
          <w:p w:rsidR="00666E7D" w:rsidRPr="00F453F7" w:rsidRDefault="00666E7D" w:rsidP="008C0A6F">
            <w:pPr>
              <w:keepNext/>
              <w:rPr>
                <w:rFonts w:ascii="Arial Narrow" w:eastAsia="Calibri" w:hAnsi="Arial Narrow"/>
                <w:sz w:val="20"/>
              </w:rPr>
            </w:pPr>
          </w:p>
        </w:tc>
        <w:tc>
          <w:tcPr>
            <w:tcW w:w="2909" w:type="pct"/>
          </w:tcPr>
          <w:p w:rsidR="00666E7D" w:rsidRPr="00F453F7" w:rsidRDefault="00666E7D" w:rsidP="008C0A6F">
            <w:pPr>
              <w:keepNext/>
              <w:rPr>
                <w:rFonts w:ascii="Arial Narrow" w:eastAsia="Calibri" w:hAnsi="Arial Narrow"/>
                <w:sz w:val="20"/>
              </w:rPr>
            </w:pPr>
            <w:r w:rsidRPr="00F453F7">
              <w:rPr>
                <w:rFonts w:ascii="Arial Narrow" w:eastAsia="Calibri" w:hAnsi="Arial Narrow"/>
                <w:sz w:val="20"/>
              </w:rPr>
              <w:t>Petrylak, D., et al. Subgroup analyses from KEYNOTE-045: pembrolizumab (pembro) versus individual investigator's choice of chemotherapy (paclitaxel, docetaxel, or vinflunine) in recurrent, advanced urothelial cancer (uc).</w:t>
            </w:r>
          </w:p>
        </w:tc>
        <w:tc>
          <w:tcPr>
            <w:tcW w:w="1386" w:type="pct"/>
          </w:tcPr>
          <w:p w:rsidR="00666E7D" w:rsidRPr="00F453F7" w:rsidRDefault="00666E7D" w:rsidP="008C0A6F">
            <w:pPr>
              <w:keepNext/>
              <w:rPr>
                <w:rFonts w:ascii="Arial Narrow" w:eastAsia="Calibri" w:hAnsi="Arial Narrow"/>
                <w:sz w:val="20"/>
              </w:rPr>
            </w:pPr>
            <w:r w:rsidRPr="00F453F7">
              <w:rPr>
                <w:rFonts w:ascii="Arial Narrow" w:eastAsia="Calibri" w:hAnsi="Arial Narrow"/>
                <w:sz w:val="20"/>
              </w:rPr>
              <w:t>Annals of Oncology 2017; Conference: 42nd ESMO congress, ESMO 2017. Spain 28(Supplement 5): v298 Abstract 851PD</w:t>
            </w:r>
          </w:p>
        </w:tc>
      </w:tr>
    </w:tbl>
    <w:p w:rsidR="00666E7D" w:rsidRPr="00F453F7" w:rsidRDefault="00666E7D" w:rsidP="00666E7D">
      <w:pPr>
        <w:rPr>
          <w:rFonts w:ascii="Arial Narrow" w:hAnsi="Arial Narrow"/>
          <w:sz w:val="18"/>
          <w:szCs w:val="20"/>
        </w:rPr>
      </w:pPr>
      <w:r w:rsidRPr="00F453F7">
        <w:rPr>
          <w:rFonts w:ascii="Arial Narrow" w:hAnsi="Arial Narrow"/>
          <w:sz w:val="18"/>
          <w:szCs w:val="20"/>
        </w:rPr>
        <w:t>Selected conference abstract citations omitted.</w:t>
      </w:r>
    </w:p>
    <w:p w:rsidR="00666E7D" w:rsidRPr="009C281C" w:rsidRDefault="00666E7D" w:rsidP="00666E7D">
      <w:pPr>
        <w:rPr>
          <w:color w:val="3366FF"/>
        </w:rPr>
      </w:pPr>
      <w:r w:rsidRPr="00F453F7">
        <w:rPr>
          <w:rFonts w:ascii="Arial Narrow" w:hAnsi="Arial Narrow"/>
          <w:sz w:val="18"/>
          <w:szCs w:val="20"/>
        </w:rPr>
        <w:t>Source: Table 2.2.2, p.35 of the submission.</w:t>
      </w:r>
    </w:p>
    <w:p w:rsidR="00B22CE0" w:rsidRPr="00F453F7" w:rsidRDefault="00C317F3" w:rsidP="000C7E20">
      <w:pPr>
        <w:pStyle w:val="ListParagraph"/>
        <w:numPr>
          <w:ilvl w:val="1"/>
          <w:numId w:val="3"/>
        </w:numPr>
        <w:spacing w:after="160"/>
      </w:pPr>
      <w:r w:rsidRPr="00F453F7">
        <w:t xml:space="preserve">The key features of the </w:t>
      </w:r>
      <w:r w:rsidR="00666E7D" w:rsidRPr="00F453F7">
        <w:t xml:space="preserve">included studies </w:t>
      </w:r>
      <w:r w:rsidRPr="00F453F7">
        <w:t xml:space="preserve">are </w:t>
      </w:r>
      <w:r w:rsidR="00666E7D" w:rsidRPr="00F453F7">
        <w:t xml:space="preserve">summarised in </w:t>
      </w:r>
      <w:r w:rsidR="000D388E" w:rsidRPr="00F453F7">
        <w:t xml:space="preserve">Table </w:t>
      </w:r>
      <w:r w:rsidR="008E4662" w:rsidRPr="00F453F7">
        <w:t>3</w:t>
      </w:r>
      <w:r w:rsidR="00666E7D" w:rsidRPr="00F453F7">
        <w:t>.</w:t>
      </w:r>
    </w:p>
    <w:p w:rsidR="00086C75" w:rsidRDefault="00086C75" w:rsidP="00086C75">
      <w:pPr>
        <w:pStyle w:val="TableHeading"/>
      </w:pPr>
      <w:r>
        <w:lastRenderedPageBreak/>
        <w:t xml:space="preserve">Table </w:t>
      </w:r>
      <w:r w:rsidR="00C15CB6">
        <w:fldChar w:fldCharType="begin"/>
      </w:r>
      <w:r w:rsidR="00C15CB6">
        <w:instrText xml:space="preserve"> SEQ Table \* ARABIC </w:instrText>
      </w:r>
      <w:r w:rsidR="00C15CB6">
        <w:fldChar w:fldCharType="separate"/>
      </w:r>
      <w:r w:rsidR="00E55F9F">
        <w:rPr>
          <w:noProof/>
        </w:rPr>
        <w:t>3</w:t>
      </w:r>
      <w:r w:rsidR="00C15CB6">
        <w:rPr>
          <w:noProof/>
        </w:rPr>
        <w:fldChar w:fldCharType="end"/>
      </w:r>
      <w:r w:rsidRPr="00FF3586">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evidence"/>
      </w:tblPr>
      <w:tblGrid>
        <w:gridCol w:w="715"/>
        <w:gridCol w:w="842"/>
        <w:gridCol w:w="1699"/>
        <w:gridCol w:w="992"/>
        <w:gridCol w:w="2835"/>
        <w:gridCol w:w="1933"/>
      </w:tblGrid>
      <w:tr w:rsidR="007420CE" w:rsidRPr="00F453F7" w:rsidTr="00086C75">
        <w:trPr>
          <w:tblHeader/>
        </w:trPr>
        <w:tc>
          <w:tcPr>
            <w:tcW w:w="397" w:type="pct"/>
            <w:shd w:val="clear" w:color="auto" w:fill="auto"/>
            <w:vAlign w:val="center"/>
          </w:tcPr>
          <w:p w:rsidR="00CA5F5A" w:rsidRPr="00F453F7" w:rsidRDefault="00CA5F5A" w:rsidP="006A3F03">
            <w:pPr>
              <w:keepNext/>
              <w:rPr>
                <w:rFonts w:ascii="Arial Narrow" w:hAnsi="Arial Narrow"/>
                <w:b/>
                <w:sz w:val="20"/>
              </w:rPr>
            </w:pPr>
            <w:r w:rsidRPr="00F453F7">
              <w:rPr>
                <w:rFonts w:ascii="Arial Narrow" w:hAnsi="Arial Narrow"/>
                <w:b/>
                <w:sz w:val="20"/>
              </w:rPr>
              <w:t>Study</w:t>
            </w:r>
          </w:p>
        </w:tc>
        <w:tc>
          <w:tcPr>
            <w:tcW w:w="467" w:type="pct"/>
            <w:shd w:val="clear" w:color="auto" w:fill="auto"/>
            <w:vAlign w:val="center"/>
          </w:tcPr>
          <w:p w:rsidR="00CA5F5A" w:rsidRPr="00F453F7" w:rsidRDefault="00CA5F5A" w:rsidP="006A3F03">
            <w:pPr>
              <w:keepNext/>
              <w:jc w:val="center"/>
              <w:rPr>
                <w:rFonts w:ascii="Arial Narrow" w:hAnsi="Arial Narrow"/>
                <w:b/>
                <w:sz w:val="20"/>
              </w:rPr>
            </w:pPr>
            <w:r w:rsidRPr="00F453F7">
              <w:rPr>
                <w:rFonts w:ascii="Arial Narrow" w:hAnsi="Arial Narrow"/>
                <w:b/>
                <w:sz w:val="20"/>
              </w:rPr>
              <w:t>N</w:t>
            </w:r>
          </w:p>
        </w:tc>
        <w:tc>
          <w:tcPr>
            <w:tcW w:w="942" w:type="pct"/>
            <w:shd w:val="clear" w:color="auto" w:fill="auto"/>
            <w:vAlign w:val="center"/>
          </w:tcPr>
          <w:p w:rsidR="00CA5F5A" w:rsidRPr="00F453F7" w:rsidRDefault="00CA5F5A" w:rsidP="006A3F03">
            <w:pPr>
              <w:keepNext/>
              <w:jc w:val="center"/>
              <w:rPr>
                <w:rFonts w:ascii="Arial Narrow" w:hAnsi="Arial Narrow"/>
                <w:b/>
                <w:sz w:val="20"/>
              </w:rPr>
            </w:pPr>
            <w:r w:rsidRPr="00F453F7">
              <w:rPr>
                <w:rFonts w:ascii="Arial Narrow" w:hAnsi="Arial Narrow"/>
                <w:b/>
                <w:sz w:val="20"/>
              </w:rPr>
              <w:t>Design/ duration</w:t>
            </w:r>
          </w:p>
        </w:tc>
        <w:tc>
          <w:tcPr>
            <w:tcW w:w="550" w:type="pct"/>
            <w:shd w:val="clear" w:color="auto" w:fill="auto"/>
            <w:vAlign w:val="center"/>
          </w:tcPr>
          <w:p w:rsidR="00CA5F5A" w:rsidRPr="00F453F7" w:rsidRDefault="00CA5F5A" w:rsidP="006A3F03">
            <w:pPr>
              <w:keepNext/>
              <w:jc w:val="center"/>
              <w:rPr>
                <w:rFonts w:ascii="Arial Narrow" w:hAnsi="Arial Narrow"/>
                <w:b/>
                <w:sz w:val="20"/>
              </w:rPr>
            </w:pPr>
            <w:r w:rsidRPr="00F453F7">
              <w:rPr>
                <w:rFonts w:ascii="Arial Narrow" w:hAnsi="Arial Narrow"/>
                <w:b/>
                <w:sz w:val="20"/>
              </w:rPr>
              <w:t>Risk of bias</w:t>
            </w:r>
          </w:p>
        </w:tc>
        <w:tc>
          <w:tcPr>
            <w:tcW w:w="1572" w:type="pct"/>
            <w:shd w:val="clear" w:color="auto" w:fill="auto"/>
            <w:vAlign w:val="center"/>
          </w:tcPr>
          <w:p w:rsidR="00CA5F5A" w:rsidRPr="00F453F7" w:rsidRDefault="00CA5F5A" w:rsidP="006A3F03">
            <w:pPr>
              <w:keepNext/>
              <w:jc w:val="center"/>
              <w:rPr>
                <w:rFonts w:ascii="Arial Narrow" w:hAnsi="Arial Narrow"/>
                <w:b/>
                <w:sz w:val="20"/>
              </w:rPr>
            </w:pPr>
            <w:r w:rsidRPr="00F453F7">
              <w:rPr>
                <w:rFonts w:ascii="Arial Narrow" w:hAnsi="Arial Narrow"/>
                <w:b/>
                <w:sz w:val="20"/>
              </w:rPr>
              <w:t>Patient population</w:t>
            </w:r>
          </w:p>
        </w:tc>
        <w:tc>
          <w:tcPr>
            <w:tcW w:w="1072" w:type="pct"/>
            <w:shd w:val="clear" w:color="auto" w:fill="auto"/>
            <w:vAlign w:val="center"/>
          </w:tcPr>
          <w:p w:rsidR="00CA5F5A" w:rsidRPr="00F453F7" w:rsidRDefault="00CA5F5A" w:rsidP="006A3F03">
            <w:pPr>
              <w:keepNext/>
              <w:jc w:val="center"/>
              <w:rPr>
                <w:rFonts w:ascii="Arial Narrow" w:hAnsi="Arial Narrow"/>
                <w:b/>
                <w:sz w:val="20"/>
              </w:rPr>
            </w:pPr>
            <w:r w:rsidRPr="00F453F7">
              <w:rPr>
                <w:rFonts w:ascii="Arial Narrow" w:hAnsi="Arial Narrow"/>
                <w:b/>
                <w:sz w:val="20"/>
              </w:rPr>
              <w:t>Outcomes</w:t>
            </w:r>
          </w:p>
        </w:tc>
      </w:tr>
      <w:tr w:rsidR="007420CE" w:rsidRPr="00F453F7" w:rsidTr="007420CE">
        <w:tc>
          <w:tcPr>
            <w:tcW w:w="397" w:type="pct"/>
            <w:shd w:val="clear" w:color="auto" w:fill="auto"/>
            <w:vAlign w:val="center"/>
          </w:tcPr>
          <w:p w:rsidR="00CA5F5A" w:rsidRPr="00F453F7" w:rsidRDefault="00CA5F5A" w:rsidP="006A3F03">
            <w:pPr>
              <w:keepNext/>
              <w:rPr>
                <w:rFonts w:ascii="Arial Narrow" w:hAnsi="Arial Narrow"/>
                <w:sz w:val="20"/>
              </w:rPr>
            </w:pPr>
            <w:r w:rsidRPr="00F453F7">
              <w:rPr>
                <w:rFonts w:ascii="Arial Narrow" w:hAnsi="Arial Narrow"/>
                <w:sz w:val="20"/>
              </w:rPr>
              <w:t>Study 1108</w:t>
            </w:r>
          </w:p>
        </w:tc>
        <w:tc>
          <w:tcPr>
            <w:tcW w:w="467" w:type="pct"/>
            <w:shd w:val="clear" w:color="auto" w:fill="auto"/>
            <w:vAlign w:val="center"/>
          </w:tcPr>
          <w:p w:rsidR="00CA11F7" w:rsidRPr="00F453F7" w:rsidRDefault="00CA11F7" w:rsidP="00CA11F7">
            <w:pPr>
              <w:keepNext/>
              <w:jc w:val="center"/>
              <w:rPr>
                <w:rFonts w:ascii="Arial Narrow" w:hAnsi="Arial Narrow"/>
                <w:sz w:val="20"/>
              </w:rPr>
            </w:pPr>
            <w:r w:rsidRPr="00F453F7">
              <w:rPr>
                <w:rFonts w:ascii="Arial Narrow" w:hAnsi="Arial Narrow"/>
                <w:sz w:val="20"/>
              </w:rPr>
              <w:t>1022 (urothelial cancer cohort: 201)</w:t>
            </w:r>
          </w:p>
        </w:tc>
        <w:tc>
          <w:tcPr>
            <w:tcW w:w="942" w:type="pct"/>
            <w:shd w:val="clear" w:color="auto" w:fill="auto"/>
            <w:vAlign w:val="center"/>
          </w:tcPr>
          <w:p w:rsidR="00CA5F5A" w:rsidRPr="00F453F7" w:rsidRDefault="00B22CE0" w:rsidP="006A3F03">
            <w:pPr>
              <w:keepNext/>
              <w:jc w:val="center"/>
              <w:rPr>
                <w:rFonts w:ascii="Arial Narrow" w:hAnsi="Arial Narrow"/>
                <w:sz w:val="20"/>
              </w:rPr>
            </w:pPr>
            <w:r w:rsidRPr="00F453F7">
              <w:rPr>
                <w:rFonts w:ascii="Arial Narrow" w:hAnsi="Arial Narrow"/>
                <w:sz w:val="20"/>
              </w:rPr>
              <w:t>Phase 1/2, multi-centre (international), open-label, single-arm study (12-month treatment phase with additional 12-month follow-up).</w:t>
            </w:r>
          </w:p>
        </w:tc>
        <w:tc>
          <w:tcPr>
            <w:tcW w:w="550" w:type="pct"/>
            <w:shd w:val="clear" w:color="auto" w:fill="auto"/>
            <w:vAlign w:val="center"/>
          </w:tcPr>
          <w:p w:rsidR="00CA5F5A" w:rsidRPr="00F453F7" w:rsidRDefault="00B22CE0" w:rsidP="006A3F03">
            <w:pPr>
              <w:keepNext/>
              <w:jc w:val="center"/>
              <w:rPr>
                <w:rFonts w:ascii="Arial Narrow" w:hAnsi="Arial Narrow"/>
                <w:sz w:val="20"/>
              </w:rPr>
            </w:pPr>
            <w:r w:rsidRPr="00F453F7">
              <w:rPr>
                <w:rFonts w:ascii="Arial Narrow" w:hAnsi="Arial Narrow"/>
                <w:sz w:val="20"/>
              </w:rPr>
              <w:t>High</w:t>
            </w:r>
          </w:p>
        </w:tc>
        <w:tc>
          <w:tcPr>
            <w:tcW w:w="1572" w:type="pct"/>
            <w:shd w:val="clear" w:color="auto" w:fill="auto"/>
            <w:vAlign w:val="center"/>
          </w:tcPr>
          <w:p w:rsidR="00CA5F5A" w:rsidRPr="00F453F7" w:rsidRDefault="00B22CE0" w:rsidP="0037678A">
            <w:pPr>
              <w:keepNext/>
              <w:jc w:val="center"/>
              <w:rPr>
                <w:rFonts w:ascii="Arial Narrow" w:hAnsi="Arial Narrow"/>
                <w:sz w:val="20"/>
              </w:rPr>
            </w:pPr>
            <w:r w:rsidRPr="00F453F7">
              <w:rPr>
                <w:rFonts w:ascii="Arial Narrow" w:hAnsi="Arial Narrow"/>
                <w:sz w:val="20"/>
              </w:rPr>
              <w:t>Adult</w:t>
            </w:r>
            <w:r w:rsidR="007420CE" w:rsidRPr="00F453F7">
              <w:rPr>
                <w:rFonts w:ascii="Arial Narrow" w:hAnsi="Arial Narrow"/>
                <w:sz w:val="20"/>
              </w:rPr>
              <w:t>s</w:t>
            </w:r>
            <w:r w:rsidRPr="00F453F7">
              <w:rPr>
                <w:rFonts w:ascii="Arial Narrow" w:hAnsi="Arial Narrow"/>
                <w:sz w:val="20"/>
              </w:rPr>
              <w:t xml:space="preserve"> with inoperable or metastatic </w:t>
            </w:r>
            <w:r w:rsidR="00CA11F7" w:rsidRPr="00F453F7">
              <w:rPr>
                <w:rFonts w:ascii="Arial Narrow" w:hAnsi="Arial Narrow"/>
                <w:sz w:val="20"/>
              </w:rPr>
              <w:t>urothelial cancer</w:t>
            </w:r>
            <w:r w:rsidRPr="00F453F7">
              <w:rPr>
                <w:rFonts w:ascii="Arial Narrow" w:hAnsi="Arial Narrow"/>
                <w:sz w:val="20"/>
              </w:rPr>
              <w:t xml:space="preserve"> who have</w:t>
            </w:r>
            <w:r w:rsidR="007420CE" w:rsidRPr="00F453F7">
              <w:rPr>
                <w:rFonts w:ascii="Arial Narrow" w:hAnsi="Arial Narrow"/>
                <w:sz w:val="20"/>
              </w:rPr>
              <w:t xml:space="preserve"> progressed on</w:t>
            </w:r>
            <w:r w:rsidRPr="00F453F7">
              <w:rPr>
                <w:rFonts w:ascii="Arial Narrow" w:hAnsi="Arial Narrow"/>
                <w:sz w:val="20"/>
              </w:rPr>
              <w:t xml:space="preserve"> or are refractory </w:t>
            </w:r>
            <w:r w:rsidR="0037678A" w:rsidRPr="00F453F7">
              <w:rPr>
                <w:rFonts w:ascii="Arial Narrow" w:hAnsi="Arial Narrow"/>
                <w:sz w:val="20"/>
              </w:rPr>
              <w:t>following 1 to 2</w:t>
            </w:r>
            <w:r w:rsidRPr="00F453F7">
              <w:rPr>
                <w:rFonts w:ascii="Arial Narrow" w:hAnsi="Arial Narrow"/>
                <w:sz w:val="20"/>
              </w:rPr>
              <w:t xml:space="preserve"> prior lines of systemic therapy</w:t>
            </w:r>
            <w:r w:rsidR="007420CE" w:rsidRPr="00F453F7">
              <w:rPr>
                <w:rFonts w:ascii="Arial Narrow" w:hAnsi="Arial Narrow"/>
                <w:sz w:val="20"/>
              </w:rPr>
              <w:t xml:space="preserve">, </w:t>
            </w:r>
            <w:r w:rsidRPr="00F453F7">
              <w:rPr>
                <w:rFonts w:ascii="Arial Narrow" w:hAnsi="Arial Narrow"/>
                <w:sz w:val="20"/>
              </w:rPr>
              <w:t>including a standard platinum-based regimen.</w:t>
            </w:r>
          </w:p>
        </w:tc>
        <w:tc>
          <w:tcPr>
            <w:tcW w:w="1072" w:type="pct"/>
            <w:shd w:val="clear" w:color="auto" w:fill="auto"/>
            <w:vAlign w:val="center"/>
          </w:tcPr>
          <w:p w:rsidR="00CA5F5A" w:rsidRPr="00F453F7" w:rsidRDefault="00B22CE0" w:rsidP="007420CE">
            <w:pPr>
              <w:keepNext/>
              <w:jc w:val="center"/>
              <w:rPr>
                <w:rFonts w:ascii="Arial Narrow" w:hAnsi="Arial Narrow"/>
                <w:sz w:val="20"/>
              </w:rPr>
            </w:pPr>
            <w:r w:rsidRPr="00F453F7">
              <w:rPr>
                <w:rFonts w:ascii="Arial Narrow" w:hAnsi="Arial Narrow"/>
                <w:sz w:val="20"/>
              </w:rPr>
              <w:t>Objec</w:t>
            </w:r>
            <w:r w:rsidR="007420CE" w:rsidRPr="00F453F7">
              <w:rPr>
                <w:rFonts w:ascii="Arial Narrow" w:hAnsi="Arial Narrow"/>
                <w:sz w:val="20"/>
              </w:rPr>
              <w:t xml:space="preserve">tive response (co-primary), safety </w:t>
            </w:r>
            <w:r w:rsidRPr="00F453F7">
              <w:rPr>
                <w:rFonts w:ascii="Arial Narrow" w:hAnsi="Arial Narrow"/>
                <w:sz w:val="20"/>
              </w:rPr>
              <w:t>(</w:t>
            </w:r>
            <w:r w:rsidR="007420CE" w:rsidRPr="00F453F7">
              <w:rPr>
                <w:rFonts w:ascii="Arial Narrow" w:hAnsi="Arial Narrow"/>
                <w:sz w:val="20"/>
              </w:rPr>
              <w:t>co-</w:t>
            </w:r>
            <w:r w:rsidRPr="00F453F7">
              <w:rPr>
                <w:rFonts w:ascii="Arial Narrow" w:hAnsi="Arial Narrow"/>
                <w:sz w:val="20"/>
              </w:rPr>
              <w:t>primary); duration of response; time to response; PFS; OS; HRQ</w:t>
            </w:r>
            <w:r w:rsidR="007420CE" w:rsidRPr="00F453F7">
              <w:rPr>
                <w:rFonts w:ascii="Arial Narrow" w:hAnsi="Arial Narrow"/>
                <w:sz w:val="20"/>
              </w:rPr>
              <w:t>O</w:t>
            </w:r>
            <w:r w:rsidRPr="00F453F7">
              <w:rPr>
                <w:rFonts w:ascii="Arial Narrow" w:hAnsi="Arial Narrow"/>
                <w:sz w:val="20"/>
              </w:rPr>
              <w:t>L.</w:t>
            </w:r>
          </w:p>
        </w:tc>
      </w:tr>
      <w:tr w:rsidR="007420CE" w:rsidRPr="00F453F7" w:rsidTr="007420CE">
        <w:tc>
          <w:tcPr>
            <w:tcW w:w="397" w:type="pct"/>
            <w:shd w:val="clear" w:color="auto" w:fill="auto"/>
            <w:vAlign w:val="center"/>
          </w:tcPr>
          <w:p w:rsidR="00CA5F5A" w:rsidRPr="00F453F7" w:rsidRDefault="00CA5F5A" w:rsidP="006A3F03">
            <w:pPr>
              <w:keepNext/>
              <w:rPr>
                <w:rFonts w:ascii="Arial Narrow" w:hAnsi="Arial Narrow"/>
                <w:sz w:val="20"/>
              </w:rPr>
            </w:pPr>
            <w:r w:rsidRPr="00F453F7">
              <w:rPr>
                <w:rFonts w:ascii="Arial Narrow" w:hAnsi="Arial Narrow"/>
                <w:sz w:val="20"/>
              </w:rPr>
              <w:t>Keynote-045</w:t>
            </w:r>
          </w:p>
        </w:tc>
        <w:tc>
          <w:tcPr>
            <w:tcW w:w="467" w:type="pct"/>
            <w:shd w:val="clear" w:color="auto" w:fill="auto"/>
            <w:vAlign w:val="center"/>
          </w:tcPr>
          <w:p w:rsidR="00CA5F5A" w:rsidRPr="00F453F7" w:rsidRDefault="00CA11F7" w:rsidP="006A3F03">
            <w:pPr>
              <w:keepNext/>
              <w:jc w:val="center"/>
              <w:rPr>
                <w:rFonts w:ascii="Arial Narrow" w:hAnsi="Arial Narrow"/>
                <w:sz w:val="20"/>
              </w:rPr>
            </w:pPr>
            <w:r w:rsidRPr="00F453F7">
              <w:rPr>
                <w:rFonts w:ascii="Arial Narrow" w:hAnsi="Arial Narrow"/>
                <w:sz w:val="20"/>
              </w:rPr>
              <w:t>542</w:t>
            </w:r>
          </w:p>
        </w:tc>
        <w:tc>
          <w:tcPr>
            <w:tcW w:w="942" w:type="pct"/>
            <w:shd w:val="clear" w:color="auto" w:fill="auto"/>
            <w:vAlign w:val="center"/>
          </w:tcPr>
          <w:p w:rsidR="00CA5F5A" w:rsidRPr="00F453F7" w:rsidRDefault="00B22CE0" w:rsidP="006A3F03">
            <w:pPr>
              <w:keepNext/>
              <w:jc w:val="center"/>
              <w:rPr>
                <w:rFonts w:ascii="Arial Narrow" w:hAnsi="Arial Narrow"/>
                <w:sz w:val="20"/>
              </w:rPr>
            </w:pPr>
            <w:r w:rsidRPr="00F453F7">
              <w:rPr>
                <w:rFonts w:ascii="Arial Narrow" w:hAnsi="Arial Narrow"/>
                <w:sz w:val="20"/>
              </w:rPr>
              <w:t>Phase 3, multi-centre (international), open-label, RCT (24-month treatment phase).</w:t>
            </w:r>
          </w:p>
        </w:tc>
        <w:tc>
          <w:tcPr>
            <w:tcW w:w="550" w:type="pct"/>
            <w:shd w:val="clear" w:color="auto" w:fill="auto"/>
            <w:vAlign w:val="center"/>
          </w:tcPr>
          <w:p w:rsidR="00CA5F5A" w:rsidRPr="00F453F7" w:rsidRDefault="00B22CE0" w:rsidP="006A3F03">
            <w:pPr>
              <w:keepNext/>
              <w:jc w:val="center"/>
              <w:rPr>
                <w:rFonts w:ascii="Arial Narrow" w:hAnsi="Arial Narrow"/>
                <w:sz w:val="20"/>
              </w:rPr>
            </w:pPr>
            <w:r w:rsidRPr="00F453F7">
              <w:rPr>
                <w:rFonts w:ascii="Arial Narrow" w:hAnsi="Arial Narrow"/>
                <w:sz w:val="20"/>
              </w:rPr>
              <w:t>Moderate</w:t>
            </w:r>
          </w:p>
        </w:tc>
        <w:tc>
          <w:tcPr>
            <w:tcW w:w="1572" w:type="pct"/>
            <w:shd w:val="clear" w:color="auto" w:fill="auto"/>
            <w:vAlign w:val="center"/>
          </w:tcPr>
          <w:p w:rsidR="00CA5F5A" w:rsidRPr="00F453F7" w:rsidRDefault="00B22CE0" w:rsidP="00CA11F7">
            <w:pPr>
              <w:keepNext/>
              <w:jc w:val="center"/>
              <w:rPr>
                <w:rFonts w:ascii="Arial Narrow" w:hAnsi="Arial Narrow"/>
                <w:sz w:val="20"/>
              </w:rPr>
            </w:pPr>
            <w:r w:rsidRPr="00F453F7">
              <w:rPr>
                <w:rFonts w:ascii="Arial Narrow" w:hAnsi="Arial Narrow"/>
                <w:sz w:val="20"/>
              </w:rPr>
              <w:t>Adult</w:t>
            </w:r>
            <w:r w:rsidR="007420CE" w:rsidRPr="00F453F7">
              <w:rPr>
                <w:rFonts w:ascii="Arial Narrow" w:hAnsi="Arial Narrow"/>
                <w:sz w:val="20"/>
              </w:rPr>
              <w:t>s</w:t>
            </w:r>
            <w:r w:rsidRPr="00F453F7">
              <w:rPr>
                <w:rFonts w:ascii="Arial Narrow" w:hAnsi="Arial Narrow"/>
                <w:sz w:val="20"/>
              </w:rPr>
              <w:t xml:space="preserve"> with urothelial </w:t>
            </w:r>
            <w:r w:rsidR="00CA11F7" w:rsidRPr="00F453F7">
              <w:rPr>
                <w:rFonts w:ascii="Arial Narrow" w:hAnsi="Arial Narrow"/>
                <w:sz w:val="20"/>
              </w:rPr>
              <w:t>cancer</w:t>
            </w:r>
            <w:r w:rsidRPr="00F453F7">
              <w:rPr>
                <w:rFonts w:ascii="Arial Narrow" w:hAnsi="Arial Narrow"/>
                <w:sz w:val="20"/>
              </w:rPr>
              <w:t xml:space="preserve"> with progression </w:t>
            </w:r>
            <w:r w:rsidR="007420CE" w:rsidRPr="00F453F7">
              <w:rPr>
                <w:rFonts w:ascii="Arial Narrow" w:hAnsi="Arial Narrow"/>
                <w:sz w:val="20"/>
              </w:rPr>
              <w:t>or recurrence following a first-</w:t>
            </w:r>
            <w:r w:rsidRPr="00F453F7">
              <w:rPr>
                <w:rFonts w:ascii="Arial Narrow" w:hAnsi="Arial Narrow"/>
                <w:sz w:val="20"/>
              </w:rPr>
              <w:t>line platinum-containing regimen (cisplatin or carboplatin). No more than two prior lines of systemic chemotherapy for urothelial cancer.</w:t>
            </w:r>
          </w:p>
        </w:tc>
        <w:tc>
          <w:tcPr>
            <w:tcW w:w="1072" w:type="pct"/>
            <w:shd w:val="clear" w:color="auto" w:fill="auto"/>
            <w:vAlign w:val="center"/>
          </w:tcPr>
          <w:p w:rsidR="00CA5F5A" w:rsidRPr="00F453F7" w:rsidRDefault="007420CE" w:rsidP="007420CE">
            <w:pPr>
              <w:keepNext/>
              <w:jc w:val="center"/>
              <w:rPr>
                <w:rFonts w:ascii="Arial Narrow" w:hAnsi="Arial Narrow"/>
                <w:sz w:val="20"/>
              </w:rPr>
            </w:pPr>
            <w:r w:rsidRPr="00F453F7">
              <w:rPr>
                <w:rFonts w:ascii="Arial Narrow" w:hAnsi="Arial Narrow"/>
                <w:sz w:val="20"/>
              </w:rPr>
              <w:t>OS</w:t>
            </w:r>
            <w:r w:rsidR="00B22CE0" w:rsidRPr="00F453F7">
              <w:rPr>
                <w:rFonts w:ascii="Arial Narrow" w:hAnsi="Arial Narrow"/>
                <w:sz w:val="20"/>
              </w:rPr>
              <w:t xml:space="preserve"> (co-primary); </w:t>
            </w:r>
            <w:r w:rsidRPr="00F453F7">
              <w:rPr>
                <w:rFonts w:ascii="Arial Narrow" w:hAnsi="Arial Narrow"/>
                <w:sz w:val="20"/>
              </w:rPr>
              <w:t xml:space="preserve">PFS </w:t>
            </w:r>
            <w:r w:rsidR="00B22CE0" w:rsidRPr="00F453F7">
              <w:rPr>
                <w:rFonts w:ascii="Arial Narrow" w:hAnsi="Arial Narrow"/>
                <w:sz w:val="20"/>
              </w:rPr>
              <w:t xml:space="preserve">(co-primary); objective response rate; duration of response; safety and tolerability; </w:t>
            </w:r>
            <w:r w:rsidRPr="00F453F7">
              <w:rPr>
                <w:rFonts w:ascii="Arial Narrow" w:hAnsi="Arial Narrow"/>
                <w:sz w:val="20"/>
              </w:rPr>
              <w:t>HRQO</w:t>
            </w:r>
            <w:r w:rsidR="00B22CE0" w:rsidRPr="00F453F7">
              <w:rPr>
                <w:rFonts w:ascii="Arial Narrow" w:hAnsi="Arial Narrow"/>
                <w:sz w:val="20"/>
              </w:rPr>
              <w:t xml:space="preserve">L. </w:t>
            </w:r>
          </w:p>
        </w:tc>
      </w:tr>
    </w:tbl>
    <w:p w:rsidR="00CA5F5A" w:rsidRPr="00F453F7" w:rsidRDefault="00CA5F5A" w:rsidP="00CA5F5A">
      <w:pPr>
        <w:pStyle w:val="TableFooter"/>
      </w:pPr>
      <w:r w:rsidRPr="00F453F7">
        <w:t xml:space="preserve">Source: </w:t>
      </w:r>
      <w:r w:rsidR="00CA11F7" w:rsidRPr="00F453F7">
        <w:t>Table 2.4.1, p.46; Table 2.4.2, p.47; Table 2.4.6, pp59-64 of the submission.</w:t>
      </w:r>
    </w:p>
    <w:p w:rsidR="00CA5F5A" w:rsidRPr="00F453F7" w:rsidRDefault="00CA5F5A" w:rsidP="009C281C">
      <w:pPr>
        <w:pStyle w:val="TableFooter"/>
      </w:pPr>
      <w:r w:rsidRPr="00F453F7">
        <w:t xml:space="preserve">Abbreviations: </w:t>
      </w:r>
      <w:r w:rsidR="00CA11F7" w:rsidRPr="00F453F7">
        <w:t>HRQ</w:t>
      </w:r>
      <w:r w:rsidR="007420CE" w:rsidRPr="00F453F7">
        <w:t>O</w:t>
      </w:r>
      <w:r w:rsidR="00CA11F7" w:rsidRPr="00F453F7">
        <w:t>L, health-related quality of life; PFS, progression-free survival; OS, overall survival; RCT, randomised controlled trial.</w:t>
      </w:r>
    </w:p>
    <w:p w:rsidR="00CA11F7" w:rsidRPr="00F453F7" w:rsidRDefault="00CA11F7" w:rsidP="00A1349E">
      <w:pPr>
        <w:pStyle w:val="ListParagraph"/>
        <w:numPr>
          <w:ilvl w:val="1"/>
          <w:numId w:val="3"/>
        </w:numPr>
      </w:pPr>
      <w:r w:rsidRPr="00F453F7">
        <w:t xml:space="preserve">Study 1108 was a </w:t>
      </w:r>
      <w:r w:rsidR="0037678A" w:rsidRPr="00F453F7">
        <w:t>P</w:t>
      </w:r>
      <w:r w:rsidRPr="00F453F7">
        <w:t>hase 1/2 dose-escalation/exploration and dose expansion study designed to evaluate the safety, tolerability, pharmacokinetics, immunogenicity, and anti-tumour activity of durvalumab in adult subjects with advanced solid tumours.</w:t>
      </w:r>
      <w:r w:rsidR="00CC0586" w:rsidRPr="00F453F7">
        <w:t xml:space="preserve"> The dose expansion phase </w:t>
      </w:r>
      <w:r w:rsidR="007420CE" w:rsidRPr="00F453F7">
        <w:t>comprised</w:t>
      </w:r>
      <w:r w:rsidR="00CC0586" w:rsidRPr="00F453F7">
        <w:t xml:space="preserve"> 980 patients across 17 different tumour-specific cohorts, </w:t>
      </w:r>
      <w:r w:rsidR="007420CE" w:rsidRPr="00F453F7">
        <w:t xml:space="preserve">and </w:t>
      </w:r>
      <w:r w:rsidR="00CC0586" w:rsidRPr="00F453F7">
        <w:t>inclu</w:t>
      </w:r>
      <w:r w:rsidR="007420CE" w:rsidRPr="00F453F7">
        <w:t>ded</w:t>
      </w:r>
      <w:r w:rsidR="00CC0586" w:rsidRPr="00F453F7">
        <w:t xml:space="preserve"> a cohort of 201 patients with urothelial cancer. Study 1108 had a high </w:t>
      </w:r>
      <w:r w:rsidR="007420CE" w:rsidRPr="00F453F7">
        <w:t>risk of bias as it was a single-</w:t>
      </w:r>
      <w:r w:rsidR="00CC0586" w:rsidRPr="00F453F7">
        <w:t>arm study.</w:t>
      </w:r>
    </w:p>
    <w:p w:rsidR="00CC0586" w:rsidRPr="00F453F7" w:rsidRDefault="00CA11F7" w:rsidP="00A1349E">
      <w:pPr>
        <w:pStyle w:val="ListParagraph"/>
        <w:numPr>
          <w:ilvl w:val="1"/>
          <w:numId w:val="3"/>
        </w:numPr>
      </w:pPr>
      <w:r w:rsidRPr="00F453F7">
        <w:t xml:space="preserve">Patients in the dose expansion phase received durvalumab 10 mg/kg administered every 2 weeks. </w:t>
      </w:r>
      <w:r w:rsidR="00CC0586" w:rsidRPr="00F453F7">
        <w:t>The submission was based on the results reported for the second-line post-platinum urothelial cancer cohort</w:t>
      </w:r>
      <w:r w:rsidR="001669BE" w:rsidRPr="00F453F7">
        <w:t>, a</w:t>
      </w:r>
      <w:r w:rsidR="007420CE" w:rsidRPr="00F453F7">
        <w:t xml:space="preserve"> subset of the urothelial cancer cohort</w:t>
      </w:r>
      <w:r w:rsidR="001669BE" w:rsidRPr="00F453F7">
        <w:t>,</w:t>
      </w:r>
      <w:r w:rsidR="007420CE" w:rsidRPr="00F453F7">
        <w:t xml:space="preserve"> which excluded</w:t>
      </w:r>
      <w:r w:rsidR="00CC0586" w:rsidRPr="00F453F7">
        <w:t xml:space="preserve"> nine patients who did not meet the inclusion criteria for prior treatments. </w:t>
      </w:r>
    </w:p>
    <w:p w:rsidR="007420CE" w:rsidRPr="00F453F7" w:rsidRDefault="002A1176" w:rsidP="00A1349E">
      <w:pPr>
        <w:pStyle w:val="ListParagraph"/>
        <w:numPr>
          <w:ilvl w:val="1"/>
          <w:numId w:val="3"/>
        </w:numPr>
      </w:pPr>
      <w:r w:rsidRPr="00F453F7">
        <w:t xml:space="preserve">Keynote-045 was a randomised, open-label </w:t>
      </w:r>
      <w:r w:rsidR="00CC0586" w:rsidRPr="00F453F7">
        <w:t>trial comparing pembrolizumab 200 mg administered every 3 weeks to investigator’s choice of chemotherapy (paclitaxel 175 mg/m</w:t>
      </w:r>
      <w:r w:rsidR="00CC0586" w:rsidRPr="00F453F7">
        <w:rPr>
          <w:vertAlign w:val="superscript"/>
        </w:rPr>
        <w:t>2</w:t>
      </w:r>
      <w:r w:rsidR="00CC0586" w:rsidRPr="00F453F7">
        <w:t>, docetaxel 75 mg/m</w:t>
      </w:r>
      <w:r w:rsidR="00CC0586" w:rsidRPr="00F453F7">
        <w:rPr>
          <w:vertAlign w:val="superscript"/>
        </w:rPr>
        <w:t>2</w:t>
      </w:r>
      <w:r w:rsidR="00CC0586" w:rsidRPr="00F453F7">
        <w:t>, or vinflunine 320 mg/m</w:t>
      </w:r>
      <w:r w:rsidR="00CC0586" w:rsidRPr="00F453F7">
        <w:rPr>
          <w:vertAlign w:val="superscript"/>
        </w:rPr>
        <w:t>2</w:t>
      </w:r>
      <w:r w:rsidR="00CC0586" w:rsidRPr="00F453F7">
        <w:t xml:space="preserve">) administered every three weeks. The data and safety monitoring committee recommended early termination of the trial at the second interim analysis because pembrolizumab </w:t>
      </w:r>
      <w:r w:rsidR="001669BE" w:rsidRPr="00F453F7">
        <w:t xml:space="preserve">had </w:t>
      </w:r>
      <w:r w:rsidR="00CC0586" w:rsidRPr="00F453F7">
        <w:t>met the superiority thresholds for overall survival in the co-primary populations.</w:t>
      </w:r>
    </w:p>
    <w:p w:rsidR="007420CE" w:rsidRPr="00F453F7" w:rsidRDefault="002B016E" w:rsidP="00A1349E">
      <w:pPr>
        <w:pStyle w:val="ListParagraph"/>
        <w:numPr>
          <w:ilvl w:val="1"/>
          <w:numId w:val="3"/>
        </w:numPr>
      </w:pPr>
      <w:r w:rsidRPr="00F453F7">
        <w:t>The submission noted that there were</w:t>
      </w:r>
      <w:r w:rsidR="00CA11F7" w:rsidRPr="00F453F7">
        <w:t xml:space="preserve"> differences between </w:t>
      </w:r>
      <w:r w:rsidR="001669BE" w:rsidRPr="00F453F7">
        <w:t xml:space="preserve">the </w:t>
      </w:r>
      <w:r w:rsidR="00CA11F7" w:rsidRPr="00F453F7">
        <w:t>Study 1108 and Keynote-045 study populatio</w:t>
      </w:r>
      <w:r w:rsidR="00CC0586" w:rsidRPr="00F453F7">
        <w:t>ns</w:t>
      </w:r>
      <w:r w:rsidRPr="00F453F7">
        <w:t xml:space="preserve"> in </w:t>
      </w:r>
      <w:r w:rsidR="00CC0586" w:rsidRPr="00F453F7">
        <w:t xml:space="preserve">geographical location, </w:t>
      </w:r>
      <w:r w:rsidR="001669BE" w:rsidRPr="00F453F7">
        <w:t xml:space="preserve">in </w:t>
      </w:r>
      <w:r w:rsidR="00CC0586" w:rsidRPr="00F453F7">
        <w:t xml:space="preserve">the proportion of patients who had received prior treatments, </w:t>
      </w:r>
      <w:r w:rsidR="001669BE" w:rsidRPr="00F453F7">
        <w:t xml:space="preserve">in </w:t>
      </w:r>
      <w:r w:rsidR="007420CE" w:rsidRPr="00F453F7">
        <w:t>the proportion of</w:t>
      </w:r>
      <w:r w:rsidR="00CC0586" w:rsidRPr="00F453F7">
        <w:t xml:space="preserve"> patients with visceral metastases, </w:t>
      </w:r>
      <w:r w:rsidR="001669BE" w:rsidRPr="00F453F7">
        <w:t xml:space="preserve">in </w:t>
      </w:r>
      <w:r w:rsidR="007420CE" w:rsidRPr="00F453F7">
        <w:t xml:space="preserve">the </w:t>
      </w:r>
      <w:r w:rsidR="00CC0586" w:rsidRPr="00F453F7">
        <w:t xml:space="preserve">primary tumour location, </w:t>
      </w:r>
      <w:r w:rsidR="001669BE" w:rsidRPr="00F453F7">
        <w:t xml:space="preserve">in </w:t>
      </w:r>
      <w:r w:rsidRPr="00F453F7">
        <w:t xml:space="preserve">the </w:t>
      </w:r>
      <w:r w:rsidR="00CC0586" w:rsidRPr="00F453F7">
        <w:t>Bellmunt risk score</w:t>
      </w:r>
      <w:r w:rsidR="00BD1E7E" w:rsidRPr="00F453F7">
        <w:t>,</w:t>
      </w:r>
      <w:r w:rsidR="001669BE" w:rsidRPr="00F453F7">
        <w:t xml:space="preserve"> in</w:t>
      </w:r>
      <w:r w:rsidR="00BD1E7E" w:rsidRPr="00F453F7">
        <w:t xml:space="preserve"> </w:t>
      </w:r>
      <w:r w:rsidR="004D50FA" w:rsidRPr="00F453F7">
        <w:t xml:space="preserve">the proportion of patients </w:t>
      </w:r>
      <w:r w:rsidR="0054582A" w:rsidRPr="00F453F7">
        <w:t xml:space="preserve">with </w:t>
      </w:r>
      <w:r w:rsidR="004D50FA" w:rsidRPr="00F453F7">
        <w:t xml:space="preserve">less than 3 months since </w:t>
      </w:r>
      <w:r w:rsidR="0054582A" w:rsidRPr="00F453F7">
        <w:t xml:space="preserve">the </w:t>
      </w:r>
      <w:r w:rsidR="004D50FA" w:rsidRPr="00F453F7">
        <w:t>completi</w:t>
      </w:r>
      <w:r w:rsidR="002A1176" w:rsidRPr="00F453F7">
        <w:t xml:space="preserve">on of </w:t>
      </w:r>
      <w:r w:rsidR="0054582A" w:rsidRPr="00F453F7">
        <w:t xml:space="preserve">their </w:t>
      </w:r>
      <w:r w:rsidR="002A1176" w:rsidRPr="00F453F7">
        <w:t>most recent prior therapy,</w:t>
      </w:r>
      <w:r w:rsidR="001669BE" w:rsidRPr="00F453F7">
        <w:t xml:space="preserve"> in</w:t>
      </w:r>
      <w:r w:rsidR="002A1176" w:rsidRPr="00F453F7">
        <w:t xml:space="preserve"> </w:t>
      </w:r>
      <w:r w:rsidR="004D50FA" w:rsidRPr="00F453F7">
        <w:t>the proportion with prior B</w:t>
      </w:r>
      <w:r w:rsidR="002A1176" w:rsidRPr="00F453F7">
        <w:t xml:space="preserve">acillus Calmette–Guérin therapy, </w:t>
      </w:r>
      <w:r w:rsidR="004D50FA" w:rsidRPr="00F453F7">
        <w:t>an</w:t>
      </w:r>
      <w:r w:rsidR="00C20403" w:rsidRPr="00F453F7">
        <w:t xml:space="preserve">d </w:t>
      </w:r>
      <w:r w:rsidR="001669BE" w:rsidRPr="00F453F7">
        <w:t xml:space="preserve">in the proportion of patients with a </w:t>
      </w:r>
      <w:r w:rsidR="00C20403" w:rsidRPr="00F453F7">
        <w:t>baseline haemoglobin</w:t>
      </w:r>
      <w:r w:rsidR="001669BE" w:rsidRPr="00F453F7">
        <w:t xml:space="preserve"> of</w:t>
      </w:r>
      <w:r w:rsidR="00C20403" w:rsidRPr="00F453F7">
        <w:t xml:space="preserve"> &lt;10 g/dL</w:t>
      </w:r>
      <w:r w:rsidR="002A1176" w:rsidRPr="00F453F7">
        <w:t>.</w:t>
      </w:r>
      <w:r w:rsidR="00C75654" w:rsidRPr="00F453F7">
        <w:t xml:space="preserve"> The PBAC considered that Study 1108 and Keynote-045 appeared to be reasonably matched with regard to demographic and disease characteristics, noting that, overall, patients in Study 1108 did not have a noticeably worse prognosis that those included in Keynote-045.</w:t>
      </w:r>
    </w:p>
    <w:p w:rsidR="00CA11F7" w:rsidRPr="00F453F7" w:rsidRDefault="00CA11F7" w:rsidP="00A1349E">
      <w:pPr>
        <w:pStyle w:val="ListParagraph"/>
        <w:keepNext/>
        <w:keepLines/>
        <w:numPr>
          <w:ilvl w:val="1"/>
          <w:numId w:val="3"/>
        </w:numPr>
      </w:pPr>
      <w:r w:rsidRPr="00F453F7">
        <w:lastRenderedPageBreak/>
        <w:t>There were differences in</w:t>
      </w:r>
      <w:r w:rsidR="002F52D3" w:rsidRPr="00F453F7">
        <w:t xml:space="preserve"> the</w:t>
      </w:r>
      <w:r w:rsidRPr="00F453F7">
        <w:t xml:space="preserve"> PD-L1 assays used in each of the studies, and </w:t>
      </w:r>
      <w:r w:rsidR="002A1176" w:rsidRPr="00F453F7">
        <w:t xml:space="preserve">in </w:t>
      </w:r>
      <w:r w:rsidRPr="00F453F7">
        <w:t xml:space="preserve">the algorithms that were used to estimate the percent PD‐L1 expression. </w:t>
      </w:r>
      <w:r w:rsidR="005B5762" w:rsidRPr="00F453F7">
        <w:t>As a result, PD-L1 expression could not be compared between the</w:t>
      </w:r>
      <w:r w:rsidRPr="00F453F7">
        <w:t xml:space="preserve"> studies.</w:t>
      </w:r>
      <w:r w:rsidR="00E22342" w:rsidRPr="00F453F7">
        <w:t xml:space="preserve"> </w:t>
      </w:r>
      <w:r w:rsidR="00591306" w:rsidRPr="00F453F7">
        <w:t>The PBAC considered that PD-L1 status</w:t>
      </w:r>
      <w:r w:rsidR="00895656" w:rsidRPr="00F453F7">
        <w:t xml:space="preserve"> was an </w:t>
      </w:r>
      <w:r w:rsidR="00147E4C" w:rsidRPr="00F453F7">
        <w:t>i</w:t>
      </w:r>
      <w:r w:rsidR="00895656" w:rsidRPr="00F453F7">
        <w:t>mportant factor</w:t>
      </w:r>
      <w:r w:rsidR="00591306" w:rsidRPr="00F453F7">
        <w:t>, and noted that the DANUBE trial that is currently underway</w:t>
      </w:r>
      <w:r w:rsidR="00895656" w:rsidRPr="00F453F7">
        <w:t xml:space="preserve"> may provide additional information regarding the impact of PD-L1 status on the safety and efficacy of durvalumab in patients with UC</w:t>
      </w:r>
      <w:r w:rsidR="00591306" w:rsidRPr="00F453F7">
        <w:t>.</w:t>
      </w:r>
    </w:p>
    <w:p w:rsidR="00804055" w:rsidRPr="00F453F7" w:rsidRDefault="00804055" w:rsidP="00A1349E">
      <w:pPr>
        <w:pStyle w:val="ListParagraph"/>
        <w:numPr>
          <w:ilvl w:val="1"/>
          <w:numId w:val="3"/>
        </w:numPr>
      </w:pPr>
      <w:r w:rsidRPr="00F453F7">
        <w:t xml:space="preserve">In Study 1108, the initial 20 patients with urothelial cancer were enrolled regardless of </w:t>
      </w:r>
      <w:r w:rsidR="0044450B" w:rsidRPr="00F453F7">
        <w:t xml:space="preserve">their </w:t>
      </w:r>
      <w:r w:rsidRPr="00F453F7">
        <w:t xml:space="preserve">PD-L1 expression. A protocol amendment required subsequent patients to have a minimum of 5% PD-L1 expression on tumour cells. A subsequent protocol amendment after a further 43 patients were recruited removed this requirement. Given the association of high PD-L1 expression with improved overall survival in Study 1108, this </w:t>
      </w:r>
      <w:r w:rsidR="005B5762" w:rsidRPr="00F453F7">
        <w:t>potential</w:t>
      </w:r>
      <w:r w:rsidRPr="00F453F7">
        <w:t xml:space="preserve"> enrichment may have</w:t>
      </w:r>
      <w:r w:rsidR="00191003" w:rsidRPr="00F453F7">
        <w:t xml:space="preserve"> positively </w:t>
      </w:r>
      <w:r w:rsidRPr="00F453F7">
        <w:t>influenced the results for Study 1108. However, the significance of the 5% tumour</w:t>
      </w:r>
      <w:r w:rsidR="0044450B" w:rsidRPr="00F453F7">
        <w:t xml:space="preserve"> cell PD-L1 expression cut-off wa</w:t>
      </w:r>
      <w:r w:rsidRPr="00F453F7">
        <w:t>s unclear.</w:t>
      </w:r>
    </w:p>
    <w:p w:rsidR="00A1349E" w:rsidRPr="00F453F7" w:rsidRDefault="00CC0586" w:rsidP="004D22DF">
      <w:pPr>
        <w:pStyle w:val="ListParagraph"/>
        <w:numPr>
          <w:ilvl w:val="1"/>
          <w:numId w:val="3"/>
        </w:numPr>
      </w:pPr>
      <w:r w:rsidRPr="00F453F7">
        <w:t xml:space="preserve">In Study 1108, subjects received durvalumab treatment for a maximum of 12 months. In the event of confirmed disease progression, subjects could continue to receive durvalumab in the absence of clinical deterioration </w:t>
      </w:r>
      <w:r w:rsidR="007420CE" w:rsidRPr="00F453F7">
        <w:t>at th</w:t>
      </w:r>
      <w:r w:rsidR="00EC4BC1" w:rsidRPr="00F453F7">
        <w:t>e discretion of the investigator</w:t>
      </w:r>
      <w:r w:rsidR="007420CE" w:rsidRPr="00F453F7">
        <w:t xml:space="preserve">. </w:t>
      </w:r>
      <w:r w:rsidRPr="00F453F7">
        <w:t xml:space="preserve">Patients </w:t>
      </w:r>
      <w:r w:rsidR="007420CE" w:rsidRPr="00F453F7">
        <w:t>treated with</w:t>
      </w:r>
      <w:r w:rsidRPr="00F453F7">
        <w:t xml:space="preserve"> pembrolizumab </w:t>
      </w:r>
      <w:r w:rsidR="007420CE" w:rsidRPr="00F453F7">
        <w:t xml:space="preserve">in Keynote-045 </w:t>
      </w:r>
      <w:r w:rsidR="00EC4BC1" w:rsidRPr="00F453F7">
        <w:t xml:space="preserve">were to receive treatment for up to 24 months. </w:t>
      </w:r>
      <w:r w:rsidR="007420CE" w:rsidRPr="00F453F7">
        <w:t>Patients with disease progression</w:t>
      </w:r>
      <w:r w:rsidR="00EC4BC1" w:rsidRPr="00F453F7">
        <w:t xml:space="preserve"> </w:t>
      </w:r>
      <w:r w:rsidR="007420CE" w:rsidRPr="00F453F7">
        <w:t xml:space="preserve">and a clinically stable status could continue to receive the therapy at the </w:t>
      </w:r>
      <w:r w:rsidR="0071032C" w:rsidRPr="00F453F7">
        <w:t>discretion of the investigator.</w:t>
      </w:r>
    </w:p>
    <w:p w:rsidR="00C317F3" w:rsidRPr="00F453F7" w:rsidRDefault="00C317F3" w:rsidP="004D22DF">
      <w:pPr>
        <w:pStyle w:val="4-SubsectionHeading"/>
      </w:pPr>
      <w:bookmarkStart w:id="14" w:name="_Toc413139278"/>
      <w:bookmarkStart w:id="15" w:name="_Toc9428549"/>
      <w:r w:rsidRPr="00F453F7">
        <w:t>Comparative effectiveness</w:t>
      </w:r>
      <w:bookmarkEnd w:id="14"/>
      <w:bookmarkEnd w:id="15"/>
    </w:p>
    <w:p w:rsidR="006A3F03" w:rsidRPr="00F453F7" w:rsidRDefault="00CC75E3" w:rsidP="000C7E20">
      <w:pPr>
        <w:pStyle w:val="ListParagraph"/>
        <w:numPr>
          <w:ilvl w:val="1"/>
          <w:numId w:val="3"/>
        </w:numPr>
        <w:spacing w:after="160"/>
      </w:pPr>
      <w:r w:rsidRPr="00F453F7">
        <w:t>Figure 1 and Ta</w:t>
      </w:r>
      <w:r w:rsidR="00F035B5" w:rsidRPr="00F453F7">
        <w:t xml:space="preserve">ble </w:t>
      </w:r>
      <w:r w:rsidR="00895656" w:rsidRPr="00F453F7">
        <w:t>4</w:t>
      </w:r>
      <w:r w:rsidRPr="00F453F7">
        <w:t xml:space="preserve"> present the results for the outcome of progression-free survival assessed by blinded independent central review for the second-line post-platinum urothelial cohort in Study 1108.</w:t>
      </w:r>
    </w:p>
    <w:p w:rsidR="00086C75" w:rsidRDefault="00086C75" w:rsidP="00086C75">
      <w:pPr>
        <w:pStyle w:val="TableHeading0"/>
      </w:pPr>
      <w:r>
        <w:lastRenderedPageBreak/>
        <w:t xml:space="preserve">Figure </w:t>
      </w:r>
      <w:r w:rsidR="00C15CB6">
        <w:fldChar w:fldCharType="begin"/>
      </w:r>
      <w:r w:rsidR="00C15CB6">
        <w:instrText xml:space="preserve"> SEQ Figure \* ARABIC </w:instrText>
      </w:r>
      <w:r w:rsidR="00C15CB6">
        <w:fldChar w:fldCharType="separate"/>
      </w:r>
      <w:r w:rsidR="00E55F9F">
        <w:rPr>
          <w:noProof/>
        </w:rPr>
        <w:t>1</w:t>
      </w:r>
      <w:r w:rsidR="00C15CB6">
        <w:rPr>
          <w:noProof/>
        </w:rPr>
        <w:fldChar w:fldCharType="end"/>
      </w:r>
      <w:r w:rsidRPr="0062426D">
        <w:t>: Kaplan Meier plot of progression-free survival for Study 1108 (second-line post-platinum urothelial cancer cohort) by PD-L1 expression level</w:t>
      </w:r>
    </w:p>
    <w:p w:rsidR="00CC75E3" w:rsidRPr="00F453F7" w:rsidRDefault="00CC75E3" w:rsidP="00CC75E3">
      <w:pPr>
        <w:pStyle w:val="V50Instructions"/>
      </w:pPr>
      <w:r w:rsidRPr="00645C92">
        <w:rPr>
          <w:noProof/>
          <w:lang w:eastAsia="en-AU"/>
        </w:rPr>
        <w:drawing>
          <wp:inline distT="0" distB="0" distL="0" distR="0" wp14:anchorId="72B268C2" wp14:editId="4169C64C">
            <wp:extent cx="5434642" cy="3320933"/>
            <wp:effectExtent l="0" t="0" r="0" b="0"/>
            <wp:docPr id="1" name="Picture 1" title="Figure 1: Kaplan Meier plot of progression-free survival for Study 1108 (second-line post-platinum urothelial cancer cohort) by PD-L1 expression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55502" cy="3394787"/>
                    </a:xfrm>
                    <a:prstGeom prst="rect">
                      <a:avLst/>
                    </a:prstGeom>
                  </pic:spPr>
                </pic:pic>
              </a:graphicData>
            </a:graphic>
          </wp:inline>
        </w:drawing>
      </w:r>
    </w:p>
    <w:p w:rsidR="00CC75E3" w:rsidRPr="00F453F7" w:rsidRDefault="00CC75E3" w:rsidP="00CC75E3">
      <w:pPr>
        <w:pStyle w:val="TableFooter"/>
      </w:pPr>
      <w:r w:rsidRPr="00F453F7">
        <w:t>Source: Figure 2.5.1, p.70 of the submission.</w:t>
      </w:r>
    </w:p>
    <w:p w:rsidR="00CC75E3" w:rsidRPr="00F453F7" w:rsidRDefault="00CC75E3" w:rsidP="00CC75E3">
      <w:pPr>
        <w:pStyle w:val="TableFooter"/>
      </w:pPr>
      <w:r w:rsidRPr="00F453F7">
        <w:t>Abbreviations: CI, confidence interval; PFS, progression-free survival.</w:t>
      </w:r>
    </w:p>
    <w:p w:rsidR="00CC75E3" w:rsidRPr="00F453F7" w:rsidRDefault="00CC75E3" w:rsidP="00052A8B"/>
    <w:p w:rsidR="00FA264F" w:rsidRDefault="00FA264F" w:rsidP="00FA264F">
      <w:pPr>
        <w:pStyle w:val="TableHeading"/>
      </w:pPr>
      <w:r>
        <w:t xml:space="preserve">Table </w:t>
      </w:r>
      <w:r w:rsidR="00C15CB6">
        <w:fldChar w:fldCharType="begin"/>
      </w:r>
      <w:r w:rsidR="00C15CB6">
        <w:instrText xml:space="preserve"> SEQ Table \* ARABIC </w:instrText>
      </w:r>
      <w:r w:rsidR="00C15CB6">
        <w:fldChar w:fldCharType="separate"/>
      </w:r>
      <w:r w:rsidR="00E55F9F">
        <w:rPr>
          <w:noProof/>
        </w:rPr>
        <w:t>4</w:t>
      </w:r>
      <w:r w:rsidR="00C15CB6">
        <w:rPr>
          <w:noProof/>
        </w:rPr>
        <w:fldChar w:fldCharType="end"/>
      </w:r>
      <w:r w:rsidRPr="00C01836">
        <w:t>: Progression-free survival results for Study 1108 (second-line post-platinum urothelial cancer cohort)</w:t>
      </w:r>
    </w:p>
    <w:tbl>
      <w:tblPr>
        <w:tblStyle w:val="AZTable"/>
        <w:tblW w:w="5000" w:type="pct"/>
        <w:tblLook w:val="04A0" w:firstRow="1" w:lastRow="0" w:firstColumn="1" w:lastColumn="0" w:noHBand="0" w:noVBand="1"/>
        <w:tblCaption w:val="Table 4: Progression-free survival results for Study 1108 (second-line post-platinum urothelial cancer cohort)"/>
      </w:tblPr>
      <w:tblGrid>
        <w:gridCol w:w="2512"/>
        <w:gridCol w:w="2169"/>
        <w:gridCol w:w="2169"/>
        <w:gridCol w:w="2166"/>
      </w:tblGrid>
      <w:tr w:rsidR="00CC75E3" w:rsidRPr="00F453F7" w:rsidTr="00461CB5">
        <w:trPr>
          <w:cnfStyle w:val="100000000000" w:firstRow="1" w:lastRow="0" w:firstColumn="0" w:lastColumn="0" w:oddVBand="0" w:evenVBand="0" w:oddHBand="0" w:evenHBand="0" w:firstRowFirstColumn="0" w:firstRowLastColumn="0" w:lastRowFirstColumn="0" w:lastRowLastColumn="0"/>
          <w:tblHeader/>
        </w:trPr>
        <w:tc>
          <w:tcPr>
            <w:tcW w:w="1393" w:type="pct"/>
            <w:vMerge w:val="restart"/>
            <w:hideMark/>
          </w:tcPr>
          <w:p w:rsidR="00CC75E3" w:rsidRPr="00F453F7" w:rsidRDefault="00CC75E3" w:rsidP="00461CB5">
            <w:pPr>
              <w:pStyle w:val="TableHeading0"/>
              <w:keepNext w:val="0"/>
            </w:pPr>
            <w:r w:rsidRPr="00F453F7">
              <w:t>Parameter</w:t>
            </w:r>
          </w:p>
        </w:tc>
        <w:tc>
          <w:tcPr>
            <w:tcW w:w="3607" w:type="pct"/>
            <w:gridSpan w:val="3"/>
            <w:vAlign w:val="top"/>
            <w:hideMark/>
          </w:tcPr>
          <w:p w:rsidR="00CC75E3" w:rsidRPr="00F453F7" w:rsidRDefault="00CC75E3" w:rsidP="00461CB5">
            <w:pPr>
              <w:pStyle w:val="TableHeading0"/>
              <w:keepNext w:val="0"/>
              <w:jc w:val="center"/>
            </w:pPr>
            <w:r w:rsidRPr="00F453F7">
              <w:t xml:space="preserve">Study 1108 </w:t>
            </w:r>
          </w:p>
          <w:p w:rsidR="00CC75E3" w:rsidRPr="00F453F7" w:rsidRDefault="00CC75E3" w:rsidP="00461CB5">
            <w:pPr>
              <w:pStyle w:val="TableHeading0"/>
              <w:keepNext w:val="0"/>
              <w:jc w:val="center"/>
            </w:pPr>
            <w:r w:rsidRPr="00F453F7">
              <w:t>(second-line post-platinum UC cohort)</w:t>
            </w:r>
          </w:p>
        </w:tc>
      </w:tr>
      <w:tr w:rsidR="00CC75E3" w:rsidRPr="00F453F7" w:rsidTr="00461CB5">
        <w:tc>
          <w:tcPr>
            <w:tcW w:w="1393" w:type="pct"/>
            <w:vMerge/>
            <w:hideMark/>
          </w:tcPr>
          <w:p w:rsidR="00CC75E3" w:rsidRPr="00F453F7" w:rsidRDefault="00CC75E3" w:rsidP="00461CB5">
            <w:pPr>
              <w:pStyle w:val="TableText"/>
            </w:pPr>
          </w:p>
        </w:tc>
        <w:tc>
          <w:tcPr>
            <w:tcW w:w="1203" w:type="pct"/>
            <w:hideMark/>
          </w:tcPr>
          <w:p w:rsidR="00CC75E3" w:rsidRPr="00F453F7" w:rsidRDefault="00CC75E3" w:rsidP="00461CB5">
            <w:pPr>
              <w:pStyle w:val="TableHeading0"/>
              <w:keepNext w:val="0"/>
              <w:jc w:val="center"/>
            </w:pPr>
            <w:r w:rsidRPr="00F453F7">
              <w:t xml:space="preserve">Durvalumab </w:t>
            </w:r>
          </w:p>
          <w:p w:rsidR="00CC75E3" w:rsidRPr="00F453F7" w:rsidRDefault="007420CE" w:rsidP="00461CB5">
            <w:pPr>
              <w:pStyle w:val="TableHeading0"/>
              <w:keepNext w:val="0"/>
              <w:jc w:val="center"/>
            </w:pPr>
            <w:r w:rsidRPr="00F453F7">
              <w:t>PD-L1 h</w:t>
            </w:r>
            <w:r w:rsidR="00CC75E3" w:rsidRPr="00F453F7">
              <w:t>igh</w:t>
            </w:r>
          </w:p>
          <w:p w:rsidR="00CC75E3" w:rsidRPr="00F453F7" w:rsidRDefault="00CC75E3" w:rsidP="00461CB5">
            <w:pPr>
              <w:pStyle w:val="TableText"/>
              <w:jc w:val="center"/>
              <w:rPr>
                <w:b/>
              </w:rPr>
            </w:pPr>
            <w:r w:rsidRPr="00F453F7">
              <w:rPr>
                <w:b/>
              </w:rPr>
              <w:t>N=99</w:t>
            </w:r>
          </w:p>
        </w:tc>
        <w:tc>
          <w:tcPr>
            <w:tcW w:w="1203" w:type="pct"/>
          </w:tcPr>
          <w:p w:rsidR="00CC75E3" w:rsidRPr="00F453F7" w:rsidRDefault="00CC75E3" w:rsidP="00461CB5">
            <w:pPr>
              <w:pStyle w:val="TableHeading0"/>
              <w:keepNext w:val="0"/>
              <w:jc w:val="center"/>
            </w:pPr>
            <w:r w:rsidRPr="00F453F7">
              <w:t xml:space="preserve">Durvalumab </w:t>
            </w:r>
          </w:p>
          <w:p w:rsidR="00CC75E3" w:rsidRPr="00F453F7" w:rsidRDefault="00CC75E3" w:rsidP="00461CB5">
            <w:pPr>
              <w:pStyle w:val="TableHeading0"/>
              <w:keepNext w:val="0"/>
              <w:jc w:val="center"/>
            </w:pPr>
            <w:r w:rsidRPr="00F453F7">
              <w:t>PD-L1 low/negative</w:t>
            </w:r>
          </w:p>
          <w:p w:rsidR="00CC75E3" w:rsidRPr="00F453F7" w:rsidRDefault="00CC75E3" w:rsidP="00461CB5">
            <w:pPr>
              <w:pStyle w:val="TableHeading0"/>
              <w:keepNext w:val="0"/>
              <w:jc w:val="center"/>
            </w:pPr>
            <w:r w:rsidRPr="00F453F7">
              <w:t>N=80</w:t>
            </w:r>
          </w:p>
        </w:tc>
        <w:tc>
          <w:tcPr>
            <w:tcW w:w="1201" w:type="pct"/>
          </w:tcPr>
          <w:p w:rsidR="00CC75E3" w:rsidRPr="00F453F7" w:rsidRDefault="00CC75E3" w:rsidP="00461CB5">
            <w:pPr>
              <w:pStyle w:val="TableHeading0"/>
              <w:keepNext w:val="0"/>
              <w:jc w:val="center"/>
            </w:pPr>
            <w:r w:rsidRPr="00F453F7">
              <w:t xml:space="preserve">Durvalumab </w:t>
            </w:r>
          </w:p>
          <w:p w:rsidR="00CC75E3" w:rsidRPr="00F453F7" w:rsidRDefault="007420CE" w:rsidP="00461CB5">
            <w:pPr>
              <w:pStyle w:val="TableHeading0"/>
              <w:keepNext w:val="0"/>
              <w:jc w:val="center"/>
            </w:pPr>
            <w:r w:rsidRPr="00F453F7">
              <w:t>a</w:t>
            </w:r>
            <w:r w:rsidR="00CC75E3" w:rsidRPr="00F453F7">
              <w:t>ll patients</w:t>
            </w:r>
          </w:p>
          <w:p w:rsidR="00CC75E3" w:rsidRPr="00F453F7" w:rsidRDefault="00CC75E3" w:rsidP="00461CB5">
            <w:pPr>
              <w:pStyle w:val="TableHeading0"/>
              <w:keepNext w:val="0"/>
              <w:jc w:val="center"/>
            </w:pPr>
            <w:r w:rsidRPr="00F453F7">
              <w:t>N=192</w:t>
            </w:r>
            <w:r w:rsidRPr="00F453F7">
              <w:rPr>
                <w:vertAlign w:val="superscript"/>
              </w:rPr>
              <w:t>1</w:t>
            </w:r>
          </w:p>
        </w:tc>
      </w:tr>
      <w:tr w:rsidR="00CC75E3" w:rsidRPr="00F453F7" w:rsidTr="00461CB5">
        <w:tc>
          <w:tcPr>
            <w:tcW w:w="1393" w:type="pct"/>
            <w:hideMark/>
          </w:tcPr>
          <w:p w:rsidR="00CC75E3" w:rsidRPr="00F453F7" w:rsidRDefault="00CC75E3" w:rsidP="00461CB5">
            <w:pPr>
              <w:pStyle w:val="TableText"/>
            </w:pPr>
            <w:r w:rsidRPr="00F453F7">
              <w:t>Events, n (%)</w:t>
            </w:r>
          </w:p>
        </w:tc>
        <w:tc>
          <w:tcPr>
            <w:tcW w:w="1203" w:type="pct"/>
          </w:tcPr>
          <w:p w:rsidR="00CC75E3" w:rsidRPr="00F453F7" w:rsidRDefault="00CC75E3" w:rsidP="00461CB5">
            <w:pPr>
              <w:pStyle w:val="TableText"/>
              <w:jc w:val="center"/>
            </w:pPr>
            <w:r w:rsidRPr="00F453F7">
              <w:t>77 (77.8)</w:t>
            </w:r>
          </w:p>
        </w:tc>
        <w:tc>
          <w:tcPr>
            <w:tcW w:w="1203" w:type="pct"/>
          </w:tcPr>
          <w:p w:rsidR="00CC75E3" w:rsidRPr="00F453F7" w:rsidRDefault="00CC75E3" w:rsidP="00461CB5">
            <w:pPr>
              <w:pStyle w:val="TableText"/>
              <w:jc w:val="center"/>
            </w:pPr>
            <w:r w:rsidRPr="00F453F7">
              <w:t>73 (91.3)</w:t>
            </w:r>
          </w:p>
        </w:tc>
        <w:tc>
          <w:tcPr>
            <w:tcW w:w="1201" w:type="pct"/>
          </w:tcPr>
          <w:p w:rsidR="00CC75E3" w:rsidRPr="00F453F7" w:rsidRDefault="00CC75E3" w:rsidP="00461CB5">
            <w:pPr>
              <w:pStyle w:val="TableText"/>
              <w:jc w:val="center"/>
            </w:pPr>
            <w:r w:rsidRPr="00F453F7">
              <w:t>159 (82.8)</w:t>
            </w:r>
          </w:p>
        </w:tc>
      </w:tr>
      <w:tr w:rsidR="00CC75E3" w:rsidRPr="00F453F7" w:rsidTr="00461CB5">
        <w:tc>
          <w:tcPr>
            <w:tcW w:w="1393" w:type="pct"/>
          </w:tcPr>
          <w:p w:rsidR="00CC75E3" w:rsidRPr="00F453F7" w:rsidRDefault="00CC75E3" w:rsidP="00461CB5">
            <w:pPr>
              <w:pStyle w:val="TableText"/>
            </w:pPr>
            <w:r w:rsidRPr="00F453F7">
              <w:t>Median PFS, months (95% CI)</w:t>
            </w:r>
          </w:p>
        </w:tc>
        <w:tc>
          <w:tcPr>
            <w:tcW w:w="1203" w:type="pct"/>
          </w:tcPr>
          <w:p w:rsidR="00CC75E3" w:rsidRPr="00F453F7" w:rsidRDefault="00CC75E3" w:rsidP="00461CB5">
            <w:pPr>
              <w:pStyle w:val="TableText"/>
              <w:jc w:val="center"/>
            </w:pPr>
            <w:r w:rsidRPr="00F453F7">
              <w:t>1.8 (1.4, 2.7)</w:t>
            </w:r>
          </w:p>
        </w:tc>
        <w:tc>
          <w:tcPr>
            <w:tcW w:w="1203" w:type="pct"/>
          </w:tcPr>
          <w:p w:rsidR="00CC75E3" w:rsidRPr="00F453F7" w:rsidRDefault="00CC75E3" w:rsidP="00461CB5">
            <w:pPr>
              <w:pStyle w:val="TableText"/>
              <w:jc w:val="center"/>
            </w:pPr>
            <w:r w:rsidRPr="00F453F7">
              <w:t>1.4 (1.3, 1.5)</w:t>
            </w:r>
          </w:p>
        </w:tc>
        <w:tc>
          <w:tcPr>
            <w:tcW w:w="1201" w:type="pct"/>
          </w:tcPr>
          <w:p w:rsidR="00CC75E3" w:rsidRPr="00F453F7" w:rsidRDefault="00CC75E3" w:rsidP="00461CB5">
            <w:pPr>
              <w:pStyle w:val="TableText"/>
              <w:jc w:val="center"/>
            </w:pPr>
            <w:r w:rsidRPr="00F453F7">
              <w:t>1.4 (1.4, 1.8)</w:t>
            </w:r>
          </w:p>
        </w:tc>
      </w:tr>
      <w:tr w:rsidR="00CC75E3" w:rsidRPr="00F453F7" w:rsidTr="00461CB5">
        <w:tc>
          <w:tcPr>
            <w:tcW w:w="1393" w:type="pct"/>
            <w:hideMark/>
          </w:tcPr>
          <w:p w:rsidR="00CC75E3" w:rsidRPr="00F453F7" w:rsidRDefault="00CC75E3" w:rsidP="00461CB5">
            <w:pPr>
              <w:pStyle w:val="TableText"/>
            </w:pPr>
            <w:r w:rsidRPr="00F453F7">
              <w:t>KM estimate of PFS</w:t>
            </w:r>
          </w:p>
          <w:p w:rsidR="00CC75E3" w:rsidRPr="00F453F7" w:rsidRDefault="00CC75E3" w:rsidP="000C7E20">
            <w:pPr>
              <w:pStyle w:val="TableText"/>
              <w:numPr>
                <w:ilvl w:val="0"/>
                <w:numId w:val="5"/>
              </w:numPr>
              <w:ind w:left="28" w:hanging="93"/>
            </w:pPr>
            <w:r w:rsidRPr="00F453F7">
              <w:t>3 months, % (95% CI)</w:t>
            </w:r>
          </w:p>
          <w:p w:rsidR="00CC75E3" w:rsidRPr="00F453F7" w:rsidRDefault="00CC75E3" w:rsidP="000C7E20">
            <w:pPr>
              <w:pStyle w:val="TableText"/>
              <w:numPr>
                <w:ilvl w:val="0"/>
                <w:numId w:val="5"/>
              </w:numPr>
              <w:ind w:left="28" w:hanging="93"/>
            </w:pPr>
            <w:r w:rsidRPr="00F453F7">
              <w:t>6 months, % (95% CI)</w:t>
            </w:r>
          </w:p>
          <w:p w:rsidR="00CC75E3" w:rsidRPr="00F453F7" w:rsidRDefault="00CC75E3" w:rsidP="000C7E20">
            <w:pPr>
              <w:pStyle w:val="TableText"/>
              <w:numPr>
                <w:ilvl w:val="0"/>
                <w:numId w:val="5"/>
              </w:numPr>
              <w:ind w:left="28" w:hanging="93"/>
            </w:pPr>
            <w:r w:rsidRPr="00F453F7">
              <w:t>9 months, % (95% CI)</w:t>
            </w:r>
          </w:p>
          <w:p w:rsidR="00CC75E3" w:rsidRPr="00F453F7" w:rsidRDefault="00CC75E3" w:rsidP="000C7E20">
            <w:pPr>
              <w:pStyle w:val="TableText"/>
              <w:numPr>
                <w:ilvl w:val="0"/>
                <w:numId w:val="5"/>
              </w:numPr>
              <w:ind w:left="28" w:hanging="93"/>
            </w:pPr>
            <w:r w:rsidRPr="00F453F7">
              <w:t>12 months, %, (95% CI)</w:t>
            </w:r>
          </w:p>
          <w:p w:rsidR="00CC75E3" w:rsidRPr="00F453F7" w:rsidRDefault="00CC75E3" w:rsidP="000C7E20">
            <w:pPr>
              <w:pStyle w:val="TableText"/>
              <w:numPr>
                <w:ilvl w:val="0"/>
                <w:numId w:val="5"/>
              </w:numPr>
              <w:ind w:left="28" w:hanging="93"/>
            </w:pPr>
            <w:r w:rsidRPr="00F453F7">
              <w:t>18 months, %, (95% CI)</w:t>
            </w:r>
          </w:p>
        </w:tc>
        <w:tc>
          <w:tcPr>
            <w:tcW w:w="1203" w:type="pct"/>
          </w:tcPr>
          <w:p w:rsidR="00CC75E3" w:rsidRPr="00F453F7" w:rsidRDefault="00CC75E3" w:rsidP="00461CB5">
            <w:pPr>
              <w:pStyle w:val="TableText"/>
              <w:jc w:val="center"/>
            </w:pPr>
          </w:p>
          <w:p w:rsidR="00CC75E3" w:rsidRPr="00F453F7" w:rsidRDefault="00CC75E3" w:rsidP="00461CB5">
            <w:pPr>
              <w:pStyle w:val="TableText"/>
              <w:jc w:val="center"/>
            </w:pPr>
            <w:r w:rsidRPr="00F453F7">
              <w:t>36.7 (27.3, 46.2)</w:t>
            </w:r>
          </w:p>
          <w:p w:rsidR="00CC75E3" w:rsidRPr="00F453F7" w:rsidRDefault="00CC75E3" w:rsidP="00461CB5">
            <w:pPr>
              <w:pStyle w:val="TableText"/>
              <w:jc w:val="center"/>
            </w:pPr>
            <w:r w:rsidRPr="00F453F7">
              <w:t>28.5 (19.9, 37.6)</w:t>
            </w:r>
          </w:p>
          <w:p w:rsidR="00CC75E3" w:rsidRPr="00F453F7" w:rsidRDefault="00CC75E3" w:rsidP="00461CB5">
            <w:pPr>
              <w:pStyle w:val="TableText"/>
              <w:jc w:val="center"/>
            </w:pPr>
            <w:r w:rsidRPr="00F453F7">
              <w:t>25.2 (17.0, 34.1)</w:t>
            </w:r>
          </w:p>
          <w:p w:rsidR="00CC75E3" w:rsidRPr="00F453F7" w:rsidRDefault="00CC75E3" w:rsidP="00461CB5">
            <w:pPr>
              <w:pStyle w:val="TableText"/>
              <w:jc w:val="center"/>
            </w:pPr>
            <w:r w:rsidRPr="00F453F7">
              <w:t>21.9 (14.2, 30.6)</w:t>
            </w:r>
          </w:p>
          <w:p w:rsidR="00CC75E3" w:rsidRPr="00F453F7" w:rsidRDefault="00CC75E3" w:rsidP="00461CB5">
            <w:pPr>
              <w:pStyle w:val="TableText"/>
              <w:jc w:val="center"/>
            </w:pPr>
            <w:r w:rsidRPr="00F453F7">
              <w:t>19.7 (12.0, 28.8)</w:t>
            </w:r>
          </w:p>
        </w:tc>
        <w:tc>
          <w:tcPr>
            <w:tcW w:w="1203" w:type="pct"/>
          </w:tcPr>
          <w:p w:rsidR="00CC75E3" w:rsidRPr="00F453F7" w:rsidRDefault="00CC75E3" w:rsidP="00461CB5">
            <w:pPr>
              <w:pStyle w:val="TableText"/>
              <w:jc w:val="center"/>
            </w:pPr>
          </w:p>
          <w:p w:rsidR="00CC75E3" w:rsidRPr="00F453F7" w:rsidRDefault="00CC75E3" w:rsidP="00461CB5">
            <w:pPr>
              <w:pStyle w:val="TableText"/>
              <w:jc w:val="center"/>
            </w:pPr>
            <w:r w:rsidRPr="00F453F7">
              <w:t>11.9 (5.8, 20.4)</w:t>
            </w:r>
          </w:p>
          <w:p w:rsidR="00CC75E3" w:rsidRPr="00F453F7" w:rsidRDefault="00CC75E3" w:rsidP="00461CB5">
            <w:pPr>
              <w:pStyle w:val="TableText"/>
              <w:jc w:val="center"/>
            </w:pPr>
            <w:r w:rsidRPr="00F453F7">
              <w:t>7.4 (2.8, 15.1)</w:t>
            </w:r>
          </w:p>
          <w:p w:rsidR="00CC75E3" w:rsidRPr="00F453F7" w:rsidRDefault="00CC75E3" w:rsidP="00461CB5">
            <w:pPr>
              <w:pStyle w:val="TableText"/>
              <w:jc w:val="center"/>
            </w:pPr>
            <w:r w:rsidRPr="00F453F7">
              <w:t>7.4 (2.8, 15.1)</w:t>
            </w:r>
          </w:p>
          <w:p w:rsidR="00CC75E3" w:rsidRPr="00F453F7" w:rsidRDefault="00CC75E3" w:rsidP="00461CB5">
            <w:pPr>
              <w:pStyle w:val="TableText"/>
              <w:jc w:val="center"/>
            </w:pPr>
            <w:r w:rsidRPr="00F453F7">
              <w:t>6.0 (2.0, 13.2)</w:t>
            </w:r>
          </w:p>
          <w:p w:rsidR="00CC75E3" w:rsidRPr="00F453F7" w:rsidRDefault="00CC75E3" w:rsidP="00461CB5">
            <w:pPr>
              <w:pStyle w:val="TableText"/>
              <w:jc w:val="center"/>
            </w:pPr>
            <w:r w:rsidRPr="00F453F7">
              <w:t>3.0 (0.6, 9.1)</w:t>
            </w:r>
          </w:p>
        </w:tc>
        <w:tc>
          <w:tcPr>
            <w:tcW w:w="1201" w:type="pct"/>
          </w:tcPr>
          <w:p w:rsidR="00CC75E3" w:rsidRPr="00F453F7" w:rsidRDefault="00CC75E3" w:rsidP="00461CB5">
            <w:pPr>
              <w:pStyle w:val="TableText"/>
              <w:jc w:val="center"/>
            </w:pPr>
          </w:p>
          <w:p w:rsidR="00CC75E3" w:rsidRPr="00F453F7" w:rsidRDefault="00CC75E3" w:rsidP="00461CB5">
            <w:pPr>
              <w:pStyle w:val="TableText"/>
              <w:jc w:val="center"/>
            </w:pPr>
            <w:r w:rsidRPr="00F453F7">
              <w:t>26.0 (19.9, 32.5)</w:t>
            </w:r>
          </w:p>
          <w:p w:rsidR="00CC75E3" w:rsidRPr="00F453F7" w:rsidRDefault="00CC75E3" w:rsidP="00461CB5">
            <w:pPr>
              <w:pStyle w:val="TableText"/>
              <w:jc w:val="center"/>
            </w:pPr>
            <w:r w:rsidRPr="00F453F7">
              <w:t>19.9 (14.5, 26.0)</w:t>
            </w:r>
          </w:p>
          <w:p w:rsidR="00CC75E3" w:rsidRPr="00F453F7" w:rsidRDefault="00CC75E3" w:rsidP="00461CB5">
            <w:pPr>
              <w:pStyle w:val="TableText"/>
              <w:jc w:val="center"/>
            </w:pPr>
            <w:r w:rsidRPr="00F453F7">
              <w:t>18.1 (12.9, 24.0)</w:t>
            </w:r>
          </w:p>
          <w:p w:rsidR="00CC75E3" w:rsidRPr="00F453F7" w:rsidRDefault="00CC75E3" w:rsidP="00461CB5">
            <w:pPr>
              <w:pStyle w:val="TableText"/>
              <w:jc w:val="center"/>
            </w:pPr>
            <w:r w:rsidRPr="00F453F7">
              <w:t>15.6 (10.7, 21.3)</w:t>
            </w:r>
          </w:p>
          <w:p w:rsidR="00CC75E3" w:rsidRPr="00F453F7" w:rsidRDefault="00CC75E3" w:rsidP="00461CB5">
            <w:pPr>
              <w:pStyle w:val="TableText"/>
              <w:jc w:val="center"/>
            </w:pPr>
            <w:r w:rsidRPr="00F453F7">
              <w:t>13.0 (8.2, 18.8)</w:t>
            </w:r>
          </w:p>
        </w:tc>
      </w:tr>
    </w:tbl>
    <w:p w:rsidR="00CC75E3" w:rsidRPr="00F453F7" w:rsidRDefault="00CC75E3" w:rsidP="00CC75E3">
      <w:pPr>
        <w:pStyle w:val="TableFooter"/>
      </w:pPr>
      <w:r w:rsidRPr="00F453F7">
        <w:t>Source: Table 2.5.3, p.69 of the submission; Table 100, p.267 of the durvalumab clinical study report.</w:t>
      </w:r>
    </w:p>
    <w:p w:rsidR="00CC75E3" w:rsidRPr="00F453F7" w:rsidRDefault="00CC75E3" w:rsidP="00CC75E3">
      <w:pPr>
        <w:pStyle w:val="TableFooter"/>
      </w:pPr>
      <w:r w:rsidRPr="00F453F7">
        <w:t>Abbreviations: CI, confidence interval; KM, Kaplan Meier; PD-L1, programmed cell death ligand-1; PFS, progression-free survival; UC, urothelial cancer.</w:t>
      </w:r>
    </w:p>
    <w:p w:rsidR="006A3F03" w:rsidRPr="009C281C" w:rsidRDefault="00CC75E3" w:rsidP="009C281C">
      <w:pPr>
        <w:pStyle w:val="TableFooter"/>
      </w:pPr>
      <w:r w:rsidRPr="00F453F7">
        <w:rPr>
          <w:vertAlign w:val="superscript"/>
        </w:rPr>
        <w:t>1</w:t>
      </w:r>
      <w:r w:rsidRPr="00F453F7">
        <w:t xml:space="preserve"> Includes 13 patients with unknown PD-L1 status.</w:t>
      </w:r>
    </w:p>
    <w:p w:rsidR="00CC75E3" w:rsidRPr="00F453F7" w:rsidRDefault="00CC75E3" w:rsidP="00A1349E">
      <w:pPr>
        <w:pStyle w:val="ListParagraph"/>
        <w:numPr>
          <w:ilvl w:val="1"/>
          <w:numId w:val="3"/>
        </w:numPr>
      </w:pPr>
      <w:r w:rsidRPr="00F453F7">
        <w:t xml:space="preserve">Treatment with durvalumab was associated with a median progression-free survival of 1.4 months (95% CI: 1.4, 1.8) across all patients in the second-line post-platinum subgroup. At 12 months, 15.6% of patients did not have disease progression. The proportion of patients who were progression-free at 12 months was numerically higher among patients with high PD-L1 expression (21.9%) compared to those with </w:t>
      </w:r>
      <w:r w:rsidRPr="00F453F7">
        <w:lastRenderedPageBreak/>
        <w:t xml:space="preserve">low/negative expression (6.0%). </w:t>
      </w:r>
    </w:p>
    <w:p w:rsidR="006A3F03" w:rsidRPr="00F453F7" w:rsidRDefault="00CC75E3" w:rsidP="00A1349E">
      <w:pPr>
        <w:pStyle w:val="ListParagraph"/>
        <w:numPr>
          <w:ilvl w:val="1"/>
          <w:numId w:val="3"/>
        </w:numPr>
      </w:pPr>
      <w:r w:rsidRPr="00F453F7">
        <w:t>The PBAC previously commented that progression-free survival may not be a meaningful surrogate for clinical benefit for the post-platinum urothelial cancer indication (Paragraph 7.6, November 2017 pembrolizumab PSD).</w:t>
      </w:r>
      <w:r w:rsidR="00B7117C" w:rsidRPr="00F453F7">
        <w:t xml:space="preserve"> </w:t>
      </w:r>
    </w:p>
    <w:p w:rsidR="006A3F03" w:rsidRPr="00F453F7" w:rsidRDefault="0094304E" w:rsidP="00A1349E">
      <w:pPr>
        <w:pStyle w:val="ListParagraph"/>
        <w:numPr>
          <w:ilvl w:val="1"/>
          <w:numId w:val="3"/>
        </w:numPr>
      </w:pPr>
      <w:r w:rsidRPr="00F453F7">
        <w:t xml:space="preserve">Figure </w:t>
      </w:r>
      <w:r w:rsidR="00CC75E3" w:rsidRPr="00F453F7">
        <w:t xml:space="preserve">2 and Table </w:t>
      </w:r>
      <w:r w:rsidR="00895656" w:rsidRPr="00F453F7">
        <w:t>5</w:t>
      </w:r>
      <w:r w:rsidR="00B7652C" w:rsidRPr="00F453F7">
        <w:t xml:space="preserve"> p</w:t>
      </w:r>
      <w:r w:rsidR="00CC75E3" w:rsidRPr="00F453F7">
        <w:t>resent the results for the outcome of overall survival for the second-line post-platinum urothelial cohort in Study 1108.</w:t>
      </w:r>
    </w:p>
    <w:p w:rsidR="00FA264F" w:rsidRDefault="00FA264F" w:rsidP="00FA264F">
      <w:pPr>
        <w:pStyle w:val="TableHeading"/>
      </w:pPr>
      <w:r>
        <w:t xml:space="preserve">Figure </w:t>
      </w:r>
      <w:r w:rsidR="00C15CB6">
        <w:fldChar w:fldCharType="begin"/>
      </w:r>
      <w:r w:rsidR="00C15CB6">
        <w:instrText xml:space="preserve"> SEQ Figure \* ARABIC </w:instrText>
      </w:r>
      <w:r w:rsidR="00C15CB6">
        <w:fldChar w:fldCharType="separate"/>
      </w:r>
      <w:r w:rsidR="00E55F9F">
        <w:rPr>
          <w:noProof/>
        </w:rPr>
        <w:t>2</w:t>
      </w:r>
      <w:r w:rsidR="00C15CB6">
        <w:rPr>
          <w:noProof/>
        </w:rPr>
        <w:fldChar w:fldCharType="end"/>
      </w:r>
      <w:r w:rsidRPr="00C8512A">
        <w:t>: Kaplan Meier plot of overall survival for Study 1108 (second-line post-platinum urothelial cancer cohort) by PD-L1 expression level</w:t>
      </w:r>
    </w:p>
    <w:p w:rsidR="0094304E" w:rsidRPr="00F453F7" w:rsidRDefault="0094304E" w:rsidP="0094304E">
      <w:pPr>
        <w:pStyle w:val="V50Instructions"/>
      </w:pPr>
      <w:r w:rsidRPr="00645C92">
        <w:rPr>
          <w:noProof/>
          <w:lang w:eastAsia="en-AU"/>
        </w:rPr>
        <w:drawing>
          <wp:inline distT="0" distB="0" distL="0" distR="0" wp14:anchorId="4FAA2BA6" wp14:editId="4E594F1A">
            <wp:extent cx="5675630" cy="3623094"/>
            <wp:effectExtent l="0" t="0" r="1270" b="0"/>
            <wp:docPr id="2" name="Picture 2" title="Figure 2: Kaplan Meier plot of overall survival for Study 1108 (second-line post-platinum urothelial cancer cohort) by PD-L1 expression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19717" cy="3651237"/>
                    </a:xfrm>
                    <a:prstGeom prst="rect">
                      <a:avLst/>
                    </a:prstGeom>
                  </pic:spPr>
                </pic:pic>
              </a:graphicData>
            </a:graphic>
          </wp:inline>
        </w:drawing>
      </w:r>
    </w:p>
    <w:p w:rsidR="0094304E" w:rsidRPr="00F453F7" w:rsidRDefault="0094304E" w:rsidP="0094304E">
      <w:pPr>
        <w:pStyle w:val="TableFooter"/>
      </w:pPr>
      <w:r w:rsidRPr="00F453F7">
        <w:t>Source: Figure2.5.3, p.72 of the submission.</w:t>
      </w:r>
    </w:p>
    <w:p w:rsidR="0094304E" w:rsidRPr="00F453F7" w:rsidRDefault="0094304E" w:rsidP="0094304E">
      <w:pPr>
        <w:pStyle w:val="TableFooter"/>
      </w:pPr>
      <w:r w:rsidRPr="00F453F7">
        <w:t>Abbreviations: CI, confidence interval; OS, overall survival.</w:t>
      </w:r>
    </w:p>
    <w:p w:rsidR="0094304E" w:rsidRPr="00F453F7" w:rsidRDefault="0094304E" w:rsidP="0094304E">
      <w:pPr>
        <w:pStyle w:val="V50Instructions"/>
        <w:rPr>
          <w:color w:val="auto"/>
        </w:rPr>
      </w:pPr>
    </w:p>
    <w:p w:rsidR="009C281C" w:rsidRDefault="009C281C">
      <w:pPr>
        <w:rPr>
          <w:rFonts w:ascii="Arial Narrow" w:hAnsi="Arial Narrow"/>
          <w:b/>
          <w:sz w:val="20"/>
          <w:szCs w:val="20"/>
        </w:rPr>
      </w:pPr>
      <w:r>
        <w:br w:type="page"/>
      </w:r>
    </w:p>
    <w:p w:rsidR="00FA264F" w:rsidRDefault="00FA264F" w:rsidP="00FA264F">
      <w:pPr>
        <w:pStyle w:val="TableHeading"/>
      </w:pPr>
      <w:r>
        <w:lastRenderedPageBreak/>
        <w:t xml:space="preserve">Table </w:t>
      </w:r>
      <w:r w:rsidR="00C15CB6">
        <w:fldChar w:fldCharType="begin"/>
      </w:r>
      <w:r w:rsidR="00C15CB6">
        <w:instrText xml:space="preserve"> SEQ Table \* ARABIC </w:instrText>
      </w:r>
      <w:r w:rsidR="00C15CB6">
        <w:fldChar w:fldCharType="separate"/>
      </w:r>
      <w:r w:rsidR="00E55F9F">
        <w:rPr>
          <w:noProof/>
        </w:rPr>
        <w:t>5</w:t>
      </w:r>
      <w:r w:rsidR="00C15CB6">
        <w:rPr>
          <w:noProof/>
        </w:rPr>
        <w:fldChar w:fldCharType="end"/>
      </w:r>
      <w:r w:rsidRPr="00125EC2">
        <w:t>: Overall survival results for Study 1108 (second-line post-platinum urothelial cancer cohort)</w:t>
      </w:r>
    </w:p>
    <w:tbl>
      <w:tblPr>
        <w:tblStyle w:val="AZTable"/>
        <w:tblW w:w="5000" w:type="pct"/>
        <w:tblLook w:val="04A0" w:firstRow="1" w:lastRow="0" w:firstColumn="1" w:lastColumn="0" w:noHBand="0" w:noVBand="1"/>
        <w:tblCaption w:val="Table 5: Overall survival results for Study 1108 (second-line post-platinum urothelial cancer cohort)"/>
      </w:tblPr>
      <w:tblGrid>
        <w:gridCol w:w="2512"/>
        <w:gridCol w:w="2169"/>
        <w:gridCol w:w="2169"/>
        <w:gridCol w:w="2166"/>
      </w:tblGrid>
      <w:tr w:rsidR="0094304E" w:rsidRPr="00F453F7" w:rsidTr="00461CB5">
        <w:trPr>
          <w:cnfStyle w:val="100000000000" w:firstRow="1" w:lastRow="0" w:firstColumn="0" w:lastColumn="0" w:oddVBand="0" w:evenVBand="0" w:oddHBand="0" w:evenHBand="0" w:firstRowFirstColumn="0" w:firstRowLastColumn="0" w:lastRowFirstColumn="0" w:lastRowLastColumn="0"/>
          <w:tblHeader/>
        </w:trPr>
        <w:tc>
          <w:tcPr>
            <w:tcW w:w="1393" w:type="pct"/>
            <w:vMerge w:val="restart"/>
            <w:hideMark/>
          </w:tcPr>
          <w:p w:rsidR="0094304E" w:rsidRPr="00F453F7" w:rsidRDefault="0094304E" w:rsidP="00461CB5">
            <w:pPr>
              <w:pStyle w:val="TableHeading0"/>
            </w:pPr>
            <w:r w:rsidRPr="00F453F7">
              <w:t>Parameter</w:t>
            </w:r>
          </w:p>
        </w:tc>
        <w:tc>
          <w:tcPr>
            <w:tcW w:w="3607" w:type="pct"/>
            <w:gridSpan w:val="3"/>
            <w:hideMark/>
          </w:tcPr>
          <w:p w:rsidR="0094304E" w:rsidRPr="00F453F7" w:rsidRDefault="0094304E" w:rsidP="00461CB5">
            <w:pPr>
              <w:pStyle w:val="TableHeading0"/>
              <w:jc w:val="center"/>
            </w:pPr>
            <w:r w:rsidRPr="00F453F7">
              <w:t xml:space="preserve">Study 1108 </w:t>
            </w:r>
          </w:p>
          <w:p w:rsidR="0094304E" w:rsidRPr="00F453F7" w:rsidRDefault="0094304E" w:rsidP="00461CB5">
            <w:pPr>
              <w:pStyle w:val="TableHeading0"/>
              <w:jc w:val="center"/>
            </w:pPr>
            <w:r w:rsidRPr="00F453F7">
              <w:t>(second-line post-platinum UC cohort)</w:t>
            </w:r>
          </w:p>
        </w:tc>
      </w:tr>
      <w:tr w:rsidR="0094304E" w:rsidRPr="00F453F7" w:rsidTr="00461CB5">
        <w:tc>
          <w:tcPr>
            <w:tcW w:w="1393" w:type="pct"/>
            <w:vMerge/>
            <w:hideMark/>
          </w:tcPr>
          <w:p w:rsidR="0094304E" w:rsidRPr="00F453F7" w:rsidRDefault="0094304E" w:rsidP="00461CB5">
            <w:pPr>
              <w:pStyle w:val="TableText"/>
            </w:pPr>
          </w:p>
        </w:tc>
        <w:tc>
          <w:tcPr>
            <w:tcW w:w="1203" w:type="pct"/>
          </w:tcPr>
          <w:p w:rsidR="0094304E" w:rsidRPr="00F453F7" w:rsidRDefault="0094304E" w:rsidP="00461CB5">
            <w:pPr>
              <w:pStyle w:val="TableHeading0"/>
              <w:jc w:val="center"/>
            </w:pPr>
            <w:r w:rsidRPr="00F453F7">
              <w:t xml:space="preserve">Durvalumab </w:t>
            </w:r>
          </w:p>
          <w:p w:rsidR="0094304E" w:rsidRPr="00F453F7" w:rsidRDefault="0094304E" w:rsidP="00461CB5">
            <w:pPr>
              <w:pStyle w:val="TableHeading0"/>
              <w:jc w:val="center"/>
            </w:pPr>
            <w:r w:rsidRPr="00F453F7">
              <w:t>PD-L1 High</w:t>
            </w:r>
          </w:p>
          <w:p w:rsidR="0094304E" w:rsidRPr="00F453F7" w:rsidRDefault="0094304E" w:rsidP="00461CB5">
            <w:pPr>
              <w:pStyle w:val="TableHeading0"/>
              <w:jc w:val="center"/>
            </w:pPr>
            <w:r w:rsidRPr="00F453F7">
              <w:t>N=99</w:t>
            </w:r>
          </w:p>
        </w:tc>
        <w:tc>
          <w:tcPr>
            <w:tcW w:w="1203" w:type="pct"/>
          </w:tcPr>
          <w:p w:rsidR="0094304E" w:rsidRPr="00F453F7" w:rsidRDefault="0094304E" w:rsidP="00461CB5">
            <w:pPr>
              <w:pStyle w:val="TableHeading0"/>
              <w:jc w:val="center"/>
            </w:pPr>
            <w:r w:rsidRPr="00F453F7">
              <w:t xml:space="preserve">Durvalumab </w:t>
            </w:r>
          </w:p>
          <w:p w:rsidR="0094304E" w:rsidRPr="00F453F7" w:rsidRDefault="0094304E" w:rsidP="00461CB5">
            <w:pPr>
              <w:pStyle w:val="TableHeading0"/>
              <w:jc w:val="center"/>
            </w:pPr>
            <w:r w:rsidRPr="00F453F7">
              <w:t>PD-L1 low/negative</w:t>
            </w:r>
          </w:p>
          <w:p w:rsidR="0094304E" w:rsidRPr="00F453F7" w:rsidRDefault="0094304E" w:rsidP="00461CB5">
            <w:pPr>
              <w:pStyle w:val="TableHeading0"/>
              <w:jc w:val="center"/>
            </w:pPr>
            <w:r w:rsidRPr="00F453F7">
              <w:t>N=80</w:t>
            </w:r>
          </w:p>
        </w:tc>
        <w:tc>
          <w:tcPr>
            <w:tcW w:w="1201" w:type="pct"/>
          </w:tcPr>
          <w:p w:rsidR="0094304E" w:rsidRPr="00F453F7" w:rsidRDefault="0094304E" w:rsidP="00461CB5">
            <w:pPr>
              <w:pStyle w:val="TableHeading0"/>
              <w:jc w:val="center"/>
            </w:pPr>
            <w:r w:rsidRPr="00F453F7">
              <w:t xml:space="preserve">Durvalumab </w:t>
            </w:r>
          </w:p>
          <w:p w:rsidR="0094304E" w:rsidRPr="00F453F7" w:rsidRDefault="0094304E" w:rsidP="00461CB5">
            <w:pPr>
              <w:pStyle w:val="TableHeading0"/>
              <w:jc w:val="center"/>
            </w:pPr>
            <w:r w:rsidRPr="00F453F7">
              <w:t>All patients</w:t>
            </w:r>
          </w:p>
          <w:p w:rsidR="0094304E" w:rsidRPr="00F453F7" w:rsidRDefault="0094304E" w:rsidP="00461CB5">
            <w:pPr>
              <w:pStyle w:val="TableHeading0"/>
              <w:jc w:val="center"/>
              <w:rPr>
                <w:vertAlign w:val="superscript"/>
              </w:rPr>
            </w:pPr>
            <w:r w:rsidRPr="00F453F7">
              <w:t>N=192</w:t>
            </w:r>
            <w:r w:rsidRPr="00F453F7">
              <w:rPr>
                <w:vertAlign w:val="superscript"/>
              </w:rPr>
              <w:t>1</w:t>
            </w:r>
          </w:p>
        </w:tc>
      </w:tr>
      <w:tr w:rsidR="0094304E" w:rsidRPr="00F453F7" w:rsidTr="00461CB5">
        <w:tc>
          <w:tcPr>
            <w:tcW w:w="1393" w:type="pct"/>
          </w:tcPr>
          <w:p w:rsidR="0094304E" w:rsidRPr="00F453F7" w:rsidRDefault="0094304E" w:rsidP="00461CB5">
            <w:pPr>
              <w:pStyle w:val="TableText"/>
            </w:pPr>
            <w:r w:rsidRPr="00F453F7">
              <w:t>Death, n (%)</w:t>
            </w:r>
          </w:p>
        </w:tc>
        <w:tc>
          <w:tcPr>
            <w:tcW w:w="1203" w:type="pct"/>
          </w:tcPr>
          <w:p w:rsidR="0094304E" w:rsidRPr="00F453F7" w:rsidRDefault="0094304E" w:rsidP="00461CB5">
            <w:pPr>
              <w:pStyle w:val="TableText"/>
              <w:jc w:val="center"/>
            </w:pPr>
            <w:r w:rsidRPr="00F453F7">
              <w:t>43 (43.4)</w:t>
            </w:r>
          </w:p>
        </w:tc>
        <w:tc>
          <w:tcPr>
            <w:tcW w:w="1203" w:type="pct"/>
          </w:tcPr>
          <w:p w:rsidR="0094304E" w:rsidRPr="00F453F7" w:rsidRDefault="0094304E" w:rsidP="00461CB5">
            <w:pPr>
              <w:pStyle w:val="TableText"/>
              <w:jc w:val="center"/>
            </w:pPr>
            <w:r w:rsidRPr="00F453F7">
              <w:t>54 (67.5)</w:t>
            </w:r>
          </w:p>
        </w:tc>
        <w:tc>
          <w:tcPr>
            <w:tcW w:w="1201" w:type="pct"/>
          </w:tcPr>
          <w:p w:rsidR="0094304E" w:rsidRPr="00F453F7" w:rsidRDefault="0094304E" w:rsidP="00461CB5">
            <w:pPr>
              <w:pStyle w:val="TableText"/>
              <w:jc w:val="center"/>
            </w:pPr>
            <w:r w:rsidRPr="00F453F7">
              <w:t>103 (53.6)</w:t>
            </w:r>
          </w:p>
        </w:tc>
      </w:tr>
      <w:tr w:rsidR="0094304E" w:rsidRPr="00F453F7" w:rsidTr="00461CB5">
        <w:tc>
          <w:tcPr>
            <w:tcW w:w="1393" w:type="pct"/>
            <w:hideMark/>
          </w:tcPr>
          <w:p w:rsidR="0094304E" w:rsidRPr="00F453F7" w:rsidRDefault="0094304E" w:rsidP="00461CB5">
            <w:pPr>
              <w:pStyle w:val="TableText"/>
            </w:pPr>
            <w:r w:rsidRPr="00F453F7">
              <w:t>Median OS, months (95% CI)</w:t>
            </w:r>
          </w:p>
        </w:tc>
        <w:tc>
          <w:tcPr>
            <w:tcW w:w="1203" w:type="pct"/>
          </w:tcPr>
          <w:p w:rsidR="0094304E" w:rsidRPr="00F453F7" w:rsidRDefault="0094304E" w:rsidP="00461CB5">
            <w:pPr>
              <w:pStyle w:val="TableText"/>
              <w:jc w:val="center"/>
            </w:pPr>
            <w:r w:rsidRPr="00F453F7">
              <w:t>19.8 (9.3, NE)</w:t>
            </w:r>
          </w:p>
        </w:tc>
        <w:tc>
          <w:tcPr>
            <w:tcW w:w="1203" w:type="pct"/>
          </w:tcPr>
          <w:p w:rsidR="0094304E" w:rsidRPr="00F453F7" w:rsidRDefault="0094304E" w:rsidP="00461CB5">
            <w:pPr>
              <w:pStyle w:val="TableText"/>
              <w:jc w:val="center"/>
            </w:pPr>
            <w:r w:rsidRPr="00F453F7">
              <w:t>4.8 (3.1, 8.1)</w:t>
            </w:r>
          </w:p>
        </w:tc>
        <w:tc>
          <w:tcPr>
            <w:tcW w:w="1201" w:type="pct"/>
          </w:tcPr>
          <w:p w:rsidR="0094304E" w:rsidRPr="00F453F7" w:rsidRDefault="0094304E" w:rsidP="00461CB5">
            <w:pPr>
              <w:pStyle w:val="TableText"/>
              <w:jc w:val="center"/>
            </w:pPr>
            <w:r w:rsidRPr="00F453F7">
              <w:t>10.5 (6.6, 15.7)</w:t>
            </w:r>
          </w:p>
        </w:tc>
      </w:tr>
      <w:tr w:rsidR="0094304E" w:rsidRPr="00F453F7" w:rsidTr="00461CB5">
        <w:trPr>
          <w:trHeight w:val="51"/>
        </w:trPr>
        <w:tc>
          <w:tcPr>
            <w:tcW w:w="1393" w:type="pct"/>
            <w:hideMark/>
          </w:tcPr>
          <w:p w:rsidR="0094304E" w:rsidRPr="00F453F7" w:rsidRDefault="0094304E" w:rsidP="00461CB5">
            <w:pPr>
              <w:pStyle w:val="TableText"/>
            </w:pPr>
            <w:r w:rsidRPr="00F453F7">
              <w:t>KM estimate of OS</w:t>
            </w:r>
          </w:p>
          <w:p w:rsidR="0094304E" w:rsidRPr="00F453F7" w:rsidRDefault="0094304E" w:rsidP="000C7E20">
            <w:pPr>
              <w:pStyle w:val="TableText"/>
              <w:numPr>
                <w:ilvl w:val="0"/>
                <w:numId w:val="5"/>
              </w:numPr>
              <w:ind w:left="28" w:hanging="93"/>
            </w:pPr>
            <w:r w:rsidRPr="00F453F7">
              <w:t>6 months, % (95% CI)</w:t>
            </w:r>
          </w:p>
          <w:p w:rsidR="0094304E" w:rsidRPr="00F453F7" w:rsidRDefault="0094304E" w:rsidP="000C7E20">
            <w:pPr>
              <w:pStyle w:val="TableText"/>
              <w:numPr>
                <w:ilvl w:val="0"/>
                <w:numId w:val="5"/>
              </w:numPr>
              <w:ind w:left="28" w:hanging="93"/>
            </w:pPr>
            <w:r w:rsidRPr="00F453F7">
              <w:t>12 months, %, (95% CI)</w:t>
            </w:r>
          </w:p>
          <w:p w:rsidR="0094304E" w:rsidRPr="00F453F7" w:rsidRDefault="0094304E" w:rsidP="000C7E20">
            <w:pPr>
              <w:pStyle w:val="TableText"/>
              <w:numPr>
                <w:ilvl w:val="0"/>
                <w:numId w:val="5"/>
              </w:numPr>
              <w:ind w:left="28" w:hanging="93"/>
            </w:pPr>
            <w:r w:rsidRPr="00F453F7">
              <w:t>24 months, %, (95% CI)</w:t>
            </w:r>
          </w:p>
        </w:tc>
        <w:tc>
          <w:tcPr>
            <w:tcW w:w="1203" w:type="pct"/>
          </w:tcPr>
          <w:p w:rsidR="0094304E" w:rsidRPr="00F453F7" w:rsidRDefault="0094304E" w:rsidP="00461CB5">
            <w:pPr>
              <w:pStyle w:val="TableText"/>
              <w:jc w:val="center"/>
            </w:pPr>
          </w:p>
          <w:p w:rsidR="00412928" w:rsidRPr="00F453F7" w:rsidRDefault="00412928" w:rsidP="00412928">
            <w:pPr>
              <w:pStyle w:val="TableText"/>
              <w:jc w:val="center"/>
            </w:pPr>
            <w:r w:rsidRPr="00F453F7">
              <w:t>67.6 (33.4, 56.9)</w:t>
            </w:r>
          </w:p>
          <w:p w:rsidR="0094304E" w:rsidRPr="00F453F7" w:rsidRDefault="0094304E" w:rsidP="00461CB5">
            <w:pPr>
              <w:pStyle w:val="TableText"/>
              <w:jc w:val="center"/>
            </w:pPr>
            <w:r w:rsidRPr="00F453F7">
              <w:t>57.3 (46.1, 66.9)</w:t>
            </w:r>
          </w:p>
          <w:p w:rsidR="0094304E" w:rsidRPr="00F453F7" w:rsidRDefault="0094304E" w:rsidP="00461CB5">
            <w:pPr>
              <w:pStyle w:val="TableText"/>
              <w:jc w:val="center"/>
            </w:pPr>
            <w:r w:rsidRPr="00F453F7">
              <w:t>43.9 (30.1, 57.0)</w:t>
            </w:r>
          </w:p>
        </w:tc>
        <w:tc>
          <w:tcPr>
            <w:tcW w:w="1203" w:type="pct"/>
          </w:tcPr>
          <w:p w:rsidR="0094304E" w:rsidRPr="00F453F7" w:rsidRDefault="0094304E" w:rsidP="00461CB5">
            <w:pPr>
              <w:pStyle w:val="TableText"/>
              <w:jc w:val="center"/>
            </w:pPr>
          </w:p>
          <w:p w:rsidR="00412928" w:rsidRPr="00F453F7" w:rsidRDefault="00412928" w:rsidP="00412928">
            <w:pPr>
              <w:pStyle w:val="TableText"/>
              <w:jc w:val="center"/>
            </w:pPr>
            <w:r w:rsidRPr="00F453F7">
              <w:t>45.6 (33.4, 56.9)</w:t>
            </w:r>
          </w:p>
          <w:p w:rsidR="0094304E" w:rsidRPr="00F453F7" w:rsidRDefault="0094304E" w:rsidP="00461CB5">
            <w:pPr>
              <w:pStyle w:val="TableText"/>
              <w:jc w:val="center"/>
            </w:pPr>
            <w:r w:rsidRPr="00F453F7">
              <w:t>28.0 (17.5, 39.6)</w:t>
            </w:r>
          </w:p>
          <w:p w:rsidR="0094304E" w:rsidRPr="00F453F7" w:rsidRDefault="0094304E" w:rsidP="00461CB5">
            <w:pPr>
              <w:pStyle w:val="TableText"/>
              <w:jc w:val="center"/>
            </w:pPr>
            <w:r w:rsidRPr="00F453F7">
              <w:t>14.2 (6.0, 25.8)</w:t>
            </w:r>
          </w:p>
        </w:tc>
        <w:tc>
          <w:tcPr>
            <w:tcW w:w="1201" w:type="pct"/>
          </w:tcPr>
          <w:p w:rsidR="0094304E" w:rsidRPr="00F453F7" w:rsidRDefault="0094304E" w:rsidP="00461CB5">
            <w:pPr>
              <w:pStyle w:val="TableText"/>
              <w:jc w:val="center"/>
            </w:pPr>
          </w:p>
          <w:p w:rsidR="0094304E" w:rsidRPr="00F453F7" w:rsidRDefault="0094304E" w:rsidP="00461CB5">
            <w:pPr>
              <w:pStyle w:val="TableText"/>
              <w:jc w:val="center"/>
            </w:pPr>
            <w:r w:rsidRPr="00F453F7">
              <w:t>58.9 (51.2, 65.9)</w:t>
            </w:r>
          </w:p>
          <w:p w:rsidR="0094304E" w:rsidRPr="00F453F7" w:rsidRDefault="0094304E" w:rsidP="00461CB5">
            <w:pPr>
              <w:pStyle w:val="TableText"/>
              <w:jc w:val="center"/>
            </w:pPr>
            <w:r w:rsidRPr="00F453F7">
              <w:t>46.1 (38.2, 53.5)</w:t>
            </w:r>
          </w:p>
          <w:p w:rsidR="0094304E" w:rsidRPr="00F453F7" w:rsidRDefault="0094304E" w:rsidP="00461CB5">
            <w:pPr>
              <w:pStyle w:val="TableText"/>
              <w:jc w:val="center"/>
            </w:pPr>
            <w:r w:rsidRPr="00F453F7">
              <w:t>32.0 (22.9, 41.4)</w:t>
            </w:r>
          </w:p>
        </w:tc>
      </w:tr>
    </w:tbl>
    <w:p w:rsidR="0094304E" w:rsidRPr="00F453F7" w:rsidRDefault="0094304E" w:rsidP="0094304E">
      <w:pPr>
        <w:pStyle w:val="TableFooter"/>
      </w:pPr>
      <w:r w:rsidRPr="00F453F7">
        <w:t>Source: Table 2.5.4, p.73 of the submission; Table 102, p.272 of the durvalumab clinical study report.</w:t>
      </w:r>
    </w:p>
    <w:p w:rsidR="0094304E" w:rsidRPr="00F453F7" w:rsidRDefault="0094304E" w:rsidP="0094304E">
      <w:pPr>
        <w:pStyle w:val="TableFooter"/>
      </w:pPr>
      <w:r w:rsidRPr="00F453F7">
        <w:t>Abbreviations: CI, confidence interval; KM, Kaplan Meier; PD-L1, programmed cell death ligand-1; OS, overall survival; UC, urothelial cancer.</w:t>
      </w:r>
    </w:p>
    <w:p w:rsidR="006A3F03" w:rsidRPr="009C281C" w:rsidRDefault="0094304E" w:rsidP="009C281C">
      <w:pPr>
        <w:pStyle w:val="TableFooter"/>
      </w:pPr>
      <w:r w:rsidRPr="00F453F7">
        <w:rPr>
          <w:vertAlign w:val="superscript"/>
        </w:rPr>
        <w:t>1</w:t>
      </w:r>
      <w:r w:rsidRPr="00F453F7">
        <w:t xml:space="preserve"> Includes 13 patients with unknown PD-L1 status.</w:t>
      </w:r>
    </w:p>
    <w:p w:rsidR="00E22342" w:rsidRPr="00F453F7" w:rsidRDefault="0094304E" w:rsidP="00A1349E">
      <w:pPr>
        <w:pStyle w:val="ListParagraph"/>
        <w:numPr>
          <w:ilvl w:val="1"/>
          <w:numId w:val="3"/>
        </w:numPr>
      </w:pPr>
      <w:r w:rsidRPr="00F453F7">
        <w:t xml:space="preserve">At the October 2017 data cut-off, with a median follow-up of 16.76 months (range, 0.4 to 37.7 months), the median overall survival in the second-line post-platinum urothelial cancer cohort was 10.5 months (95% CI: 6.6, 15.7). Median overall survival was numerically higher in the PD-L1 high subgroup (19.8 months; 95% CI: 9.3, not estimable) compared to the PD-L1 low/negative subgroup (4.8 months; 95% CI: 3.1, 8.1), suggesting that PD-L1 expression may be a predictor of </w:t>
      </w:r>
      <w:r w:rsidR="00832571" w:rsidRPr="00F453F7">
        <w:t xml:space="preserve">overall survival </w:t>
      </w:r>
      <w:r w:rsidR="001D4723" w:rsidRPr="00F453F7">
        <w:t>for</w:t>
      </w:r>
      <w:r w:rsidR="00832571" w:rsidRPr="00F453F7">
        <w:t xml:space="preserve"> patients treated with</w:t>
      </w:r>
      <w:r w:rsidRPr="00F453F7">
        <w:t xml:space="preserve"> durvalumab. The proportion of patients alive at 24 months was 43.9% in the PD-L1 high subgroup compared to 14.2% in the PD-L1 low/negative group.</w:t>
      </w:r>
      <w:r w:rsidR="00A5167D" w:rsidRPr="00F453F7">
        <w:t xml:space="preserve"> The overall survival results are likely to have been affected by the use of post-progression treatments, including post-progression use of durvalumab.</w:t>
      </w:r>
      <w:r w:rsidR="00380A2C" w:rsidRPr="00F453F7">
        <w:t xml:space="preserve"> The PSCR (p1) acknowledged the difference </w:t>
      </w:r>
      <w:r w:rsidR="00FC41E5" w:rsidRPr="00F453F7">
        <w:t xml:space="preserve">in </w:t>
      </w:r>
      <w:r w:rsidR="00380A2C" w:rsidRPr="00F453F7">
        <w:t xml:space="preserve">overall survival between the </w:t>
      </w:r>
      <w:r w:rsidR="00FC41E5" w:rsidRPr="00F453F7">
        <w:t>PD-L1 high and PD-L1 low/negative subgroups in Study 1108, but argued that pembrolizumab was listed on the PBS for use irrespective of PD-L1 status, and that the durvalumab TGA indication is also irrespective of PD-L1 status.</w:t>
      </w:r>
      <w:r w:rsidR="00BA2297" w:rsidRPr="00F453F7">
        <w:t xml:space="preserve"> </w:t>
      </w:r>
      <w:r w:rsidR="00FC41E5" w:rsidRPr="00F453F7">
        <w:t xml:space="preserve">The ESC considered that this was not sufficient justification for not addressing this apparent </w:t>
      </w:r>
      <w:r w:rsidR="00FE3F83" w:rsidRPr="00F453F7">
        <w:t xml:space="preserve">treatment </w:t>
      </w:r>
      <w:r w:rsidR="00FC41E5" w:rsidRPr="00F453F7">
        <w:t xml:space="preserve">effect modifier. </w:t>
      </w:r>
      <w:r w:rsidR="00380A2C" w:rsidRPr="00F453F7">
        <w:t xml:space="preserve">The ESC noted that the median </w:t>
      </w:r>
      <w:r w:rsidR="005F7512" w:rsidRPr="00F453F7">
        <w:t xml:space="preserve">overall survival </w:t>
      </w:r>
      <w:r w:rsidR="00380A2C" w:rsidRPr="00F453F7">
        <w:t xml:space="preserve">for patients with PD-L1 low/negative status treated with durvalumab (4.8 months) was lower than that observed in the chemotherapy arm of the Keynote-045 trial (7.4 months), </w:t>
      </w:r>
      <w:r w:rsidR="00877163" w:rsidRPr="00F453F7">
        <w:t>raising the possibility</w:t>
      </w:r>
      <w:r w:rsidR="00380A2C" w:rsidRPr="00F453F7">
        <w:t xml:space="preserve"> that chemotherapy would be a preferable treatment for these patients</w:t>
      </w:r>
      <w:r w:rsidR="00F453F7">
        <w:t xml:space="preserve">. </w:t>
      </w:r>
      <w:r w:rsidR="00712B14" w:rsidRPr="00F453F7">
        <w:t>The PBAC noted that Keynote-045 had been previously considered in November 2017 where “the PBAC concluded that, based on results stratified by PD-L1 status, there was no strong signal to consider selecting patients based on PD-1 expression” (</w:t>
      </w:r>
      <w:r w:rsidR="00147E4C" w:rsidRPr="00F453F7">
        <w:t xml:space="preserve">Paragraph 6.13, </w:t>
      </w:r>
      <w:r w:rsidR="00512946" w:rsidRPr="00F453F7">
        <w:t xml:space="preserve">July 2018 </w:t>
      </w:r>
      <w:r w:rsidR="00712B14" w:rsidRPr="00F453F7">
        <w:t xml:space="preserve">PSD for pembrolizumab). </w:t>
      </w:r>
      <w:r w:rsidR="002B24B5" w:rsidRPr="00F453F7">
        <w:rPr>
          <w:rFonts w:cstheme="minorHAnsi"/>
        </w:rPr>
        <w:t xml:space="preserve">The PBAC </w:t>
      </w:r>
      <w:r w:rsidR="00DC6FDF" w:rsidRPr="00F453F7">
        <w:rPr>
          <w:rFonts w:cstheme="minorHAnsi"/>
        </w:rPr>
        <w:t>considered that there was</w:t>
      </w:r>
      <w:r w:rsidR="00594BA1" w:rsidRPr="00F453F7">
        <w:rPr>
          <w:rFonts w:cstheme="minorHAnsi"/>
        </w:rPr>
        <w:t xml:space="preserve"> insufficient data addressing the effect modification of PD-L1 status in durvalumab treatment</w:t>
      </w:r>
      <w:r w:rsidR="00E20F9A" w:rsidRPr="00F453F7">
        <w:rPr>
          <w:rFonts w:cstheme="minorHAnsi"/>
        </w:rPr>
        <w:t>. The PBAC considered that,</w:t>
      </w:r>
      <w:r w:rsidR="00961AF6" w:rsidRPr="00F453F7">
        <w:rPr>
          <w:rFonts w:cstheme="minorHAnsi"/>
        </w:rPr>
        <w:t xml:space="preserve"> </w:t>
      </w:r>
      <w:r w:rsidR="00E20F9A" w:rsidRPr="00F453F7">
        <w:rPr>
          <w:rFonts w:cstheme="minorHAnsi"/>
        </w:rPr>
        <w:t xml:space="preserve">while it was clear that PD-L1 status was an effect modifier for durvalumab, </w:t>
      </w:r>
      <w:r w:rsidR="00961AF6" w:rsidRPr="00F453F7">
        <w:rPr>
          <w:rFonts w:cstheme="minorHAnsi"/>
        </w:rPr>
        <w:t xml:space="preserve">it was unclear </w:t>
      </w:r>
      <w:r w:rsidR="00E20F9A" w:rsidRPr="00F453F7">
        <w:rPr>
          <w:rFonts w:cstheme="minorHAnsi"/>
        </w:rPr>
        <w:t>whether patients should be selected based on PD-L1 status</w:t>
      </w:r>
      <w:r w:rsidR="00594BA1" w:rsidRPr="00F453F7">
        <w:rPr>
          <w:rFonts w:cstheme="minorHAnsi"/>
        </w:rPr>
        <w:t>.</w:t>
      </w:r>
    </w:p>
    <w:p w:rsidR="0094304E" w:rsidRPr="00F453F7" w:rsidRDefault="007420CE" w:rsidP="00A1349E">
      <w:pPr>
        <w:pStyle w:val="ListParagraph"/>
        <w:numPr>
          <w:ilvl w:val="1"/>
          <w:numId w:val="3"/>
        </w:numPr>
      </w:pPr>
      <w:r w:rsidRPr="00F453F7">
        <w:t xml:space="preserve">Based on available results for the </w:t>
      </w:r>
      <w:r w:rsidR="00B27C2E" w:rsidRPr="00F453F7">
        <w:t>European Organisation for Res</w:t>
      </w:r>
      <w:r w:rsidR="006C1011" w:rsidRPr="00F453F7">
        <w:t>e</w:t>
      </w:r>
      <w:r w:rsidR="00B27C2E" w:rsidRPr="00F453F7">
        <w:t>arch and Treatment of Cancer (</w:t>
      </w:r>
      <w:r w:rsidRPr="00F453F7">
        <w:t>EORTC</w:t>
      </w:r>
      <w:r w:rsidR="00B27C2E" w:rsidRPr="00F453F7">
        <w:t>)</w:t>
      </w:r>
      <w:r w:rsidRPr="00F453F7">
        <w:t xml:space="preserve"> QLQ-C30, p</w:t>
      </w:r>
      <w:r w:rsidR="0094304E" w:rsidRPr="00F453F7">
        <w:t xml:space="preserve">atients reported </w:t>
      </w:r>
      <w:r w:rsidR="002A1176" w:rsidRPr="00F453F7">
        <w:t xml:space="preserve">a </w:t>
      </w:r>
      <w:r w:rsidR="0094304E" w:rsidRPr="00F453F7">
        <w:t xml:space="preserve">relatively high level of functioning at </w:t>
      </w:r>
      <w:r w:rsidR="0094304E" w:rsidRPr="00F453F7">
        <w:lastRenderedPageBreak/>
        <w:t>baseline, with scores ranging from 64.4 (role functioning) to 81.1 (cognitive functioning). Subjects reported moderate levels of fatigue, pain, insomnia, dyspn</w:t>
      </w:r>
      <w:r w:rsidR="00EC4BC1" w:rsidRPr="00F453F7">
        <w:t>o</w:t>
      </w:r>
      <w:r w:rsidR="0094304E" w:rsidRPr="00F453F7">
        <w:t xml:space="preserve">ea, constipation and appetite loss. Post-baseline, functioning scores fluctuated around </w:t>
      </w:r>
      <w:r w:rsidR="0049284D" w:rsidRPr="00F453F7">
        <w:t xml:space="preserve">the </w:t>
      </w:r>
      <w:r w:rsidR="0094304E" w:rsidRPr="00F453F7">
        <w:t xml:space="preserve">baseline values, </w:t>
      </w:r>
      <w:r w:rsidR="0049284D" w:rsidRPr="00F453F7">
        <w:t>however,</w:t>
      </w:r>
      <w:r w:rsidR="0094304E" w:rsidRPr="00F453F7">
        <w:t xml:space="preserve"> some general o</w:t>
      </w:r>
      <w:r w:rsidR="00EC4BC1" w:rsidRPr="00F453F7">
        <w:t>ncology symptoms such as dyspnoe</w:t>
      </w:r>
      <w:r w:rsidR="0094304E" w:rsidRPr="00F453F7">
        <w:t>a worsened.</w:t>
      </w:r>
    </w:p>
    <w:p w:rsidR="006C1011" w:rsidRPr="00F453F7" w:rsidRDefault="00B00BA3" w:rsidP="00A1349E">
      <w:pPr>
        <w:pStyle w:val="ListParagraph"/>
        <w:numPr>
          <w:ilvl w:val="1"/>
          <w:numId w:val="3"/>
        </w:numPr>
      </w:pPr>
      <w:r w:rsidRPr="00F453F7">
        <w:t xml:space="preserve">Figure 3 and Table </w:t>
      </w:r>
      <w:r w:rsidR="00512946" w:rsidRPr="00F453F7">
        <w:t>6</w:t>
      </w:r>
      <w:r w:rsidRPr="00F453F7">
        <w:t xml:space="preserve"> present the results for the outcome of progression-free survival assessed by</w:t>
      </w:r>
      <w:r w:rsidR="0049284D" w:rsidRPr="00F453F7">
        <w:t xml:space="preserve"> a</w:t>
      </w:r>
      <w:r w:rsidRPr="00F453F7">
        <w:t xml:space="preserve"> </w:t>
      </w:r>
      <w:r w:rsidR="00A5167D" w:rsidRPr="00F453F7">
        <w:t xml:space="preserve">blinded </w:t>
      </w:r>
      <w:r w:rsidR="006C1011" w:rsidRPr="00F453F7">
        <w:t>central review for Keynote-045.</w:t>
      </w:r>
    </w:p>
    <w:p w:rsidR="00FA264F" w:rsidRDefault="00FA264F" w:rsidP="00FA264F">
      <w:pPr>
        <w:pStyle w:val="TableHeading"/>
      </w:pPr>
      <w:r>
        <w:t xml:space="preserve">Figure </w:t>
      </w:r>
      <w:r w:rsidR="00C15CB6">
        <w:fldChar w:fldCharType="begin"/>
      </w:r>
      <w:r w:rsidR="00C15CB6">
        <w:instrText xml:space="preserve"> SEQ Figure \* ARABIC </w:instrText>
      </w:r>
      <w:r w:rsidR="00C15CB6">
        <w:fldChar w:fldCharType="separate"/>
      </w:r>
      <w:r w:rsidR="00E55F9F">
        <w:rPr>
          <w:noProof/>
        </w:rPr>
        <w:t>3</w:t>
      </w:r>
      <w:r w:rsidR="00C15CB6">
        <w:rPr>
          <w:noProof/>
        </w:rPr>
        <w:fldChar w:fldCharType="end"/>
      </w:r>
      <w:r w:rsidRPr="00636E39">
        <w:t>: Kaplan Meier plot of progression-free survival for the Keynote-045 trial</w:t>
      </w:r>
    </w:p>
    <w:p w:rsidR="006C1011" w:rsidRPr="00F453F7" w:rsidRDefault="006C1011" w:rsidP="006C1011">
      <w:pPr>
        <w:pStyle w:val="V50Instructions"/>
        <w:rPr>
          <w:color w:val="auto"/>
        </w:rPr>
      </w:pPr>
      <w:r w:rsidRPr="00645C92">
        <w:rPr>
          <w:noProof/>
          <w:lang w:eastAsia="en-AU"/>
        </w:rPr>
        <w:drawing>
          <wp:inline distT="0" distB="0" distL="0" distR="0" wp14:anchorId="2A00D8F9" wp14:editId="52D6CBCF">
            <wp:extent cx="5080958" cy="3403631"/>
            <wp:effectExtent l="0" t="0" r="5715" b="6350"/>
            <wp:docPr id="5" name="Picture 5" title="Figure 3: Kaplan Meier plot of progression-free survival for the Keynote-045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26875" cy="3434390"/>
                    </a:xfrm>
                    <a:prstGeom prst="rect">
                      <a:avLst/>
                    </a:prstGeom>
                    <a:noFill/>
                    <a:ln>
                      <a:noFill/>
                    </a:ln>
                  </pic:spPr>
                </pic:pic>
              </a:graphicData>
            </a:graphic>
          </wp:inline>
        </w:drawing>
      </w:r>
    </w:p>
    <w:p w:rsidR="006C1011" w:rsidRPr="00F453F7" w:rsidRDefault="006C1011" w:rsidP="006C1011">
      <w:pPr>
        <w:pStyle w:val="TableFooter"/>
      </w:pPr>
      <w:r w:rsidRPr="00F453F7">
        <w:t>Source: Figure 2.5.2, p.70 of the submission.</w:t>
      </w:r>
    </w:p>
    <w:p w:rsidR="006C1011" w:rsidRPr="00F453F7" w:rsidRDefault="006C1011" w:rsidP="006C1011">
      <w:pPr>
        <w:pStyle w:val="TableFooter"/>
      </w:pPr>
      <w:r w:rsidRPr="00F453F7">
        <w:t>Abbreviations: CI, confidence interval.</w:t>
      </w:r>
    </w:p>
    <w:p w:rsidR="006C1011" w:rsidRPr="00F453F7" w:rsidRDefault="006C1011" w:rsidP="006C1011"/>
    <w:p w:rsidR="00FA264F" w:rsidRDefault="00FA264F" w:rsidP="00FA264F">
      <w:pPr>
        <w:pStyle w:val="TableHeading"/>
      </w:pPr>
      <w:r>
        <w:t xml:space="preserve">Table </w:t>
      </w:r>
      <w:r w:rsidR="00C15CB6">
        <w:fldChar w:fldCharType="begin"/>
      </w:r>
      <w:r w:rsidR="00C15CB6">
        <w:instrText xml:space="preserve"> SEQ Table \* ARABIC </w:instrText>
      </w:r>
      <w:r w:rsidR="00C15CB6">
        <w:fldChar w:fldCharType="separate"/>
      </w:r>
      <w:r w:rsidR="00E55F9F">
        <w:rPr>
          <w:noProof/>
        </w:rPr>
        <w:t>6</w:t>
      </w:r>
      <w:r w:rsidR="00C15CB6">
        <w:rPr>
          <w:noProof/>
        </w:rPr>
        <w:fldChar w:fldCharType="end"/>
      </w:r>
      <w:r w:rsidRPr="000519DD">
        <w:t>: Progression-free survival results for the Keynote-045 trial</w:t>
      </w:r>
    </w:p>
    <w:tbl>
      <w:tblPr>
        <w:tblStyle w:val="AZTable"/>
        <w:tblW w:w="5000" w:type="pct"/>
        <w:tblLook w:val="04A0" w:firstRow="1" w:lastRow="0" w:firstColumn="1" w:lastColumn="0" w:noHBand="0" w:noVBand="1"/>
        <w:tblCaption w:val="Table 6: Progression-free survival results for the Keynote-045 trial"/>
      </w:tblPr>
      <w:tblGrid>
        <w:gridCol w:w="4248"/>
        <w:gridCol w:w="2384"/>
        <w:gridCol w:w="2384"/>
      </w:tblGrid>
      <w:tr w:rsidR="006C1011" w:rsidRPr="00F453F7" w:rsidTr="00832571">
        <w:trPr>
          <w:cnfStyle w:val="100000000000" w:firstRow="1" w:lastRow="0" w:firstColumn="0" w:lastColumn="0" w:oddVBand="0" w:evenVBand="0" w:oddHBand="0" w:evenHBand="0" w:firstRowFirstColumn="0" w:firstRowLastColumn="0" w:lastRowFirstColumn="0" w:lastRowLastColumn="0"/>
          <w:tblHeader/>
        </w:trPr>
        <w:tc>
          <w:tcPr>
            <w:tcW w:w="2356" w:type="pct"/>
            <w:vMerge w:val="restart"/>
            <w:hideMark/>
          </w:tcPr>
          <w:p w:rsidR="006C1011" w:rsidRPr="00F453F7" w:rsidRDefault="006C1011" w:rsidP="00832571">
            <w:pPr>
              <w:pStyle w:val="TableHeading0"/>
            </w:pPr>
            <w:r w:rsidRPr="00F453F7">
              <w:t>Parameter</w:t>
            </w:r>
          </w:p>
        </w:tc>
        <w:tc>
          <w:tcPr>
            <w:tcW w:w="2644" w:type="pct"/>
            <w:gridSpan w:val="2"/>
            <w:hideMark/>
          </w:tcPr>
          <w:p w:rsidR="006C1011" w:rsidRPr="00F453F7" w:rsidRDefault="006C1011" w:rsidP="00832571">
            <w:pPr>
              <w:pStyle w:val="TableHeading0"/>
              <w:jc w:val="center"/>
            </w:pPr>
            <w:r w:rsidRPr="00F453F7">
              <w:t xml:space="preserve">Keynote-045 Study </w:t>
            </w:r>
          </w:p>
          <w:p w:rsidR="006C1011" w:rsidRPr="00F453F7" w:rsidRDefault="006C1011" w:rsidP="00832571">
            <w:pPr>
              <w:pStyle w:val="TableHeading0"/>
              <w:jc w:val="center"/>
            </w:pPr>
            <w:r w:rsidRPr="00F453F7">
              <w:t>(ITT population)</w:t>
            </w:r>
          </w:p>
        </w:tc>
      </w:tr>
      <w:tr w:rsidR="006C1011" w:rsidRPr="00F453F7" w:rsidTr="00832571">
        <w:tc>
          <w:tcPr>
            <w:tcW w:w="2356" w:type="pct"/>
            <w:vMerge/>
            <w:hideMark/>
          </w:tcPr>
          <w:p w:rsidR="006C1011" w:rsidRPr="00F453F7" w:rsidRDefault="006C1011" w:rsidP="00832571">
            <w:pPr>
              <w:pStyle w:val="TableText"/>
            </w:pPr>
          </w:p>
        </w:tc>
        <w:tc>
          <w:tcPr>
            <w:tcW w:w="1322" w:type="pct"/>
            <w:hideMark/>
          </w:tcPr>
          <w:p w:rsidR="006C1011" w:rsidRPr="00F453F7" w:rsidRDefault="006C1011" w:rsidP="00832571">
            <w:pPr>
              <w:pStyle w:val="TableHeading0"/>
              <w:jc w:val="center"/>
            </w:pPr>
            <w:r w:rsidRPr="00F453F7">
              <w:t xml:space="preserve">Pembrolizumab </w:t>
            </w:r>
          </w:p>
          <w:p w:rsidR="006C1011" w:rsidRPr="00F453F7" w:rsidRDefault="006C1011" w:rsidP="00832571">
            <w:pPr>
              <w:pStyle w:val="TableHeading0"/>
              <w:jc w:val="center"/>
            </w:pPr>
            <w:r w:rsidRPr="00F453F7">
              <w:t>200 mg every 3 weeks</w:t>
            </w:r>
          </w:p>
          <w:p w:rsidR="006C1011" w:rsidRPr="00F453F7" w:rsidRDefault="006C1011" w:rsidP="00832571">
            <w:pPr>
              <w:pStyle w:val="TableText"/>
              <w:jc w:val="center"/>
              <w:rPr>
                <w:b/>
              </w:rPr>
            </w:pPr>
            <w:r w:rsidRPr="00F453F7">
              <w:rPr>
                <w:b/>
              </w:rPr>
              <w:t>N=270</w:t>
            </w:r>
          </w:p>
        </w:tc>
        <w:tc>
          <w:tcPr>
            <w:tcW w:w="1322" w:type="pct"/>
            <w:hideMark/>
          </w:tcPr>
          <w:p w:rsidR="006C1011" w:rsidRPr="00F453F7" w:rsidRDefault="006C1011" w:rsidP="00832571">
            <w:pPr>
              <w:pStyle w:val="TableHeading0"/>
              <w:jc w:val="center"/>
            </w:pPr>
            <w:r w:rsidRPr="00F453F7">
              <w:t>Chemotherapy</w:t>
            </w:r>
          </w:p>
          <w:p w:rsidR="006C1011" w:rsidRPr="00F453F7" w:rsidRDefault="006C1011" w:rsidP="00832571">
            <w:pPr>
              <w:pStyle w:val="TableText"/>
              <w:jc w:val="center"/>
              <w:rPr>
                <w:b/>
              </w:rPr>
            </w:pPr>
            <w:r w:rsidRPr="00F453F7">
              <w:rPr>
                <w:b/>
              </w:rPr>
              <w:t>every 3 weeks</w:t>
            </w:r>
          </w:p>
          <w:p w:rsidR="006C1011" w:rsidRPr="00F453F7" w:rsidRDefault="006C1011" w:rsidP="00832571">
            <w:pPr>
              <w:pStyle w:val="TableText"/>
              <w:jc w:val="center"/>
              <w:rPr>
                <w:b/>
              </w:rPr>
            </w:pPr>
            <w:r w:rsidRPr="00F453F7">
              <w:rPr>
                <w:b/>
              </w:rPr>
              <w:t>N=272</w:t>
            </w:r>
          </w:p>
        </w:tc>
      </w:tr>
      <w:tr w:rsidR="006C1011" w:rsidRPr="00F453F7" w:rsidTr="00832571">
        <w:tc>
          <w:tcPr>
            <w:tcW w:w="2356" w:type="pct"/>
          </w:tcPr>
          <w:p w:rsidR="006C1011" w:rsidRPr="00F453F7" w:rsidRDefault="006C1011" w:rsidP="00832571">
            <w:pPr>
              <w:pStyle w:val="TableText"/>
            </w:pPr>
            <w:r w:rsidRPr="00F453F7">
              <w:t>Events, n</w:t>
            </w:r>
          </w:p>
        </w:tc>
        <w:tc>
          <w:tcPr>
            <w:tcW w:w="1322" w:type="pct"/>
          </w:tcPr>
          <w:p w:rsidR="006C1011" w:rsidRPr="00F453F7" w:rsidRDefault="006C1011" w:rsidP="00832571">
            <w:pPr>
              <w:pStyle w:val="TableText"/>
              <w:jc w:val="center"/>
            </w:pPr>
            <w:r w:rsidRPr="00F453F7">
              <w:t>218</w:t>
            </w:r>
          </w:p>
        </w:tc>
        <w:tc>
          <w:tcPr>
            <w:tcW w:w="1322" w:type="pct"/>
          </w:tcPr>
          <w:p w:rsidR="006C1011" w:rsidRPr="00F453F7" w:rsidRDefault="006C1011" w:rsidP="00832571">
            <w:pPr>
              <w:pStyle w:val="TableText"/>
              <w:jc w:val="center"/>
            </w:pPr>
            <w:r w:rsidRPr="00F453F7">
              <w:t>219</w:t>
            </w:r>
          </w:p>
        </w:tc>
      </w:tr>
      <w:tr w:rsidR="006C1011" w:rsidRPr="00F453F7" w:rsidTr="00832571">
        <w:tc>
          <w:tcPr>
            <w:tcW w:w="2356" w:type="pct"/>
            <w:hideMark/>
          </w:tcPr>
          <w:p w:rsidR="006C1011" w:rsidRPr="00F453F7" w:rsidRDefault="006C1011" w:rsidP="00832571">
            <w:pPr>
              <w:pStyle w:val="TableText"/>
            </w:pPr>
            <w:r w:rsidRPr="00F453F7">
              <w:t>Median PFS, months (95% CI)</w:t>
            </w:r>
          </w:p>
        </w:tc>
        <w:tc>
          <w:tcPr>
            <w:tcW w:w="1322" w:type="pct"/>
            <w:hideMark/>
          </w:tcPr>
          <w:p w:rsidR="006C1011" w:rsidRPr="00F453F7" w:rsidRDefault="006C1011" w:rsidP="00832571">
            <w:pPr>
              <w:pStyle w:val="TableText"/>
              <w:jc w:val="center"/>
            </w:pPr>
            <w:r w:rsidRPr="00F453F7">
              <w:t>2.1 (2.0, 2.2)</w:t>
            </w:r>
          </w:p>
        </w:tc>
        <w:tc>
          <w:tcPr>
            <w:tcW w:w="1322" w:type="pct"/>
          </w:tcPr>
          <w:p w:rsidR="006C1011" w:rsidRPr="00F453F7" w:rsidRDefault="006C1011" w:rsidP="00832571">
            <w:pPr>
              <w:pStyle w:val="TableText"/>
              <w:jc w:val="center"/>
            </w:pPr>
            <w:r w:rsidRPr="00F453F7">
              <w:t>3.3 (2.3, 3.5)</w:t>
            </w:r>
          </w:p>
        </w:tc>
      </w:tr>
      <w:tr w:rsidR="006C1011" w:rsidRPr="00F453F7" w:rsidTr="00832571">
        <w:trPr>
          <w:trHeight w:val="135"/>
        </w:trPr>
        <w:tc>
          <w:tcPr>
            <w:tcW w:w="2356" w:type="pct"/>
          </w:tcPr>
          <w:p w:rsidR="006C1011" w:rsidRPr="00F453F7" w:rsidRDefault="006C1011" w:rsidP="00832571">
            <w:pPr>
              <w:pStyle w:val="TableText"/>
            </w:pPr>
            <w:r w:rsidRPr="00F453F7">
              <w:t xml:space="preserve">Hazard ratio (95% CI) </w:t>
            </w:r>
          </w:p>
        </w:tc>
        <w:tc>
          <w:tcPr>
            <w:tcW w:w="2644" w:type="pct"/>
            <w:gridSpan w:val="2"/>
          </w:tcPr>
          <w:p w:rsidR="006C1011" w:rsidRPr="00F453F7" w:rsidRDefault="006C1011" w:rsidP="00832571">
            <w:pPr>
              <w:pStyle w:val="TableText"/>
              <w:jc w:val="center"/>
            </w:pPr>
            <w:r w:rsidRPr="00F453F7">
              <w:t>0.98 (0.81, 1.19)</w:t>
            </w:r>
          </w:p>
        </w:tc>
      </w:tr>
      <w:tr w:rsidR="006C1011" w:rsidRPr="00F453F7" w:rsidTr="00832571">
        <w:tc>
          <w:tcPr>
            <w:tcW w:w="2356" w:type="pct"/>
            <w:hideMark/>
          </w:tcPr>
          <w:p w:rsidR="006C1011" w:rsidRPr="00F453F7" w:rsidRDefault="006C1011" w:rsidP="00832571">
            <w:pPr>
              <w:pStyle w:val="TableText"/>
            </w:pPr>
            <w:r w:rsidRPr="00F453F7">
              <w:t>KM estimate of PFS 12 months, %, (95% CI)</w:t>
            </w:r>
          </w:p>
        </w:tc>
        <w:tc>
          <w:tcPr>
            <w:tcW w:w="1322" w:type="pct"/>
            <w:hideMark/>
          </w:tcPr>
          <w:p w:rsidR="006C1011" w:rsidRPr="00F453F7" w:rsidRDefault="006C1011" w:rsidP="00832571">
            <w:pPr>
              <w:pStyle w:val="TableText"/>
              <w:jc w:val="center"/>
            </w:pPr>
            <w:r w:rsidRPr="00F453F7">
              <w:t>16.8% (12.3, 22.0)</w:t>
            </w:r>
          </w:p>
        </w:tc>
        <w:tc>
          <w:tcPr>
            <w:tcW w:w="1322" w:type="pct"/>
          </w:tcPr>
          <w:p w:rsidR="006C1011" w:rsidRPr="00F453F7" w:rsidRDefault="006C1011" w:rsidP="00832571">
            <w:pPr>
              <w:pStyle w:val="TableText"/>
              <w:jc w:val="center"/>
            </w:pPr>
            <w:r w:rsidRPr="00F453F7">
              <w:t>6.2% (3.3, 10.2)</w:t>
            </w:r>
          </w:p>
        </w:tc>
      </w:tr>
    </w:tbl>
    <w:p w:rsidR="006C1011" w:rsidRPr="00F453F7" w:rsidRDefault="006C1011" w:rsidP="006C1011">
      <w:pPr>
        <w:pStyle w:val="TableFooter"/>
      </w:pPr>
      <w:r w:rsidRPr="00F453F7">
        <w:t>Hazard ratio &lt;1 favours pembrolizumab.</w:t>
      </w:r>
    </w:p>
    <w:p w:rsidR="006C1011" w:rsidRPr="00F453F7" w:rsidRDefault="006C1011" w:rsidP="006C1011">
      <w:pPr>
        <w:pStyle w:val="TableFooter"/>
      </w:pPr>
      <w:r w:rsidRPr="00F453F7">
        <w:t>Source: Table 2.5.3, p.69 of the submission; Table 1, p.1 of Necchi et al. (2017) conference abstract.</w:t>
      </w:r>
    </w:p>
    <w:p w:rsidR="006C1011" w:rsidRPr="00F453F7" w:rsidRDefault="006C1011" w:rsidP="006C1011">
      <w:pPr>
        <w:pStyle w:val="TableFooter"/>
      </w:pPr>
      <w:r w:rsidRPr="00F453F7">
        <w:t>Abbreviations: CI, confidence interval; ITT, intention-to-treat; KM, Kaplan Meier; PFS, progression-free survival.</w:t>
      </w:r>
    </w:p>
    <w:p w:rsidR="00F77192" w:rsidRPr="00F453F7" w:rsidRDefault="00F77192" w:rsidP="006C1011">
      <w:pPr>
        <w:pStyle w:val="TableFooter"/>
      </w:pPr>
    </w:p>
    <w:p w:rsidR="006C1011" w:rsidRPr="00F453F7" w:rsidRDefault="006C1011" w:rsidP="00A1349E">
      <w:pPr>
        <w:numPr>
          <w:ilvl w:val="1"/>
          <w:numId w:val="3"/>
        </w:numPr>
        <w:spacing w:after="120"/>
      </w:pPr>
      <w:r w:rsidRPr="00F453F7">
        <w:t xml:space="preserve">Treatment with pembrolizumab was associated with a median progression-free survival of 2.1 months (95% CI: 2.0, 2.2), compared with 3.3 months (95% CI: 2.3, 3.5) </w:t>
      </w:r>
      <w:r w:rsidRPr="00F453F7">
        <w:lastRenderedPageBreak/>
        <w:t>in the chemotherapy arm. Treatment with pembrolizumab did not appear to be associated with an improvement in progression-free survival compared to chemotherapy (HR 0.98; 95% CI: 0.81, 1.19). However, inspection of the Kaplan Meier curves for pembrolizumab and chemotherapy suggest that the proportional hazards assumption is violated, and therefore, the reported hazard ratio should be interpreted with caution.</w:t>
      </w:r>
    </w:p>
    <w:p w:rsidR="006C1011" w:rsidRPr="00F453F7" w:rsidRDefault="006C1011" w:rsidP="00A1349E">
      <w:pPr>
        <w:pStyle w:val="ListParagraph"/>
        <w:numPr>
          <w:ilvl w:val="1"/>
          <w:numId w:val="3"/>
        </w:numPr>
      </w:pPr>
      <w:r w:rsidRPr="00F453F7">
        <w:t xml:space="preserve">Figure 4 and Table </w:t>
      </w:r>
      <w:r w:rsidR="00512946" w:rsidRPr="00F453F7">
        <w:t xml:space="preserve">7 </w:t>
      </w:r>
      <w:r w:rsidRPr="00F453F7">
        <w:t>present the results for the outcome of overall survival for Keynote-045.</w:t>
      </w:r>
    </w:p>
    <w:p w:rsidR="00FA264F" w:rsidRDefault="00FA264F" w:rsidP="00FA264F">
      <w:pPr>
        <w:pStyle w:val="TableHeading"/>
      </w:pPr>
      <w:r>
        <w:t xml:space="preserve">Figure </w:t>
      </w:r>
      <w:r w:rsidR="00C15CB6">
        <w:fldChar w:fldCharType="begin"/>
      </w:r>
      <w:r w:rsidR="00C15CB6">
        <w:instrText xml:space="preserve"> SEQ Figure \* ARABIC </w:instrText>
      </w:r>
      <w:r w:rsidR="00C15CB6">
        <w:fldChar w:fldCharType="separate"/>
      </w:r>
      <w:r w:rsidR="00E55F9F">
        <w:rPr>
          <w:noProof/>
        </w:rPr>
        <w:t>4</w:t>
      </w:r>
      <w:r w:rsidR="00C15CB6">
        <w:rPr>
          <w:noProof/>
        </w:rPr>
        <w:fldChar w:fldCharType="end"/>
      </w:r>
      <w:r w:rsidRPr="004F2A70">
        <w:t>: Kaplan Meier plot of overall survival for the Keynote-045 trial</w:t>
      </w:r>
    </w:p>
    <w:p w:rsidR="006C1011" w:rsidRPr="00F453F7" w:rsidRDefault="006C1011" w:rsidP="006C1011">
      <w:r w:rsidRPr="00645C92">
        <w:rPr>
          <w:noProof/>
          <w:lang w:eastAsia="en-AU"/>
        </w:rPr>
        <w:drawing>
          <wp:inline distT="0" distB="0" distL="0" distR="0" wp14:anchorId="74B57807" wp14:editId="70CAA857">
            <wp:extent cx="5063706" cy="3364230"/>
            <wp:effectExtent l="0" t="0" r="3810" b="7620"/>
            <wp:docPr id="6" name="Picture 6" title="Figure 4: Kaplan Meier plot of overall survival for the Keynote-045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01833" cy="3389561"/>
                    </a:xfrm>
                    <a:prstGeom prst="rect">
                      <a:avLst/>
                    </a:prstGeom>
                    <a:noFill/>
                    <a:ln>
                      <a:noFill/>
                    </a:ln>
                  </pic:spPr>
                </pic:pic>
              </a:graphicData>
            </a:graphic>
          </wp:inline>
        </w:drawing>
      </w:r>
    </w:p>
    <w:p w:rsidR="006C1011" w:rsidRPr="00F453F7" w:rsidRDefault="006C1011" w:rsidP="006C1011">
      <w:pPr>
        <w:pStyle w:val="TableFooter"/>
      </w:pPr>
      <w:r w:rsidRPr="00F453F7">
        <w:t>Source: Figure 2.5.4, p.73 of the submission.</w:t>
      </w:r>
    </w:p>
    <w:p w:rsidR="006C1011" w:rsidRPr="00F453F7" w:rsidRDefault="006C1011" w:rsidP="006C1011">
      <w:pPr>
        <w:pStyle w:val="TableFooter"/>
      </w:pPr>
      <w:r w:rsidRPr="00F453F7">
        <w:t>Abbreviations: CI, confidence interval.</w:t>
      </w:r>
    </w:p>
    <w:p w:rsidR="006C1011" w:rsidRPr="00F453F7" w:rsidRDefault="006C1011" w:rsidP="006C1011">
      <w:pPr>
        <w:pStyle w:val="TableHeading0"/>
      </w:pPr>
    </w:p>
    <w:p w:rsidR="00FA264F" w:rsidRDefault="00FA264F" w:rsidP="00FA264F">
      <w:pPr>
        <w:pStyle w:val="TableHeading"/>
      </w:pPr>
      <w:r>
        <w:t xml:space="preserve">Table </w:t>
      </w:r>
      <w:r w:rsidR="00C15CB6">
        <w:fldChar w:fldCharType="begin"/>
      </w:r>
      <w:r w:rsidR="00C15CB6">
        <w:instrText xml:space="preserve"> SEQ Table \* ARABIC </w:instrText>
      </w:r>
      <w:r w:rsidR="00C15CB6">
        <w:fldChar w:fldCharType="separate"/>
      </w:r>
      <w:r w:rsidR="00E55F9F">
        <w:rPr>
          <w:noProof/>
        </w:rPr>
        <w:t>7</w:t>
      </w:r>
      <w:r w:rsidR="00C15CB6">
        <w:rPr>
          <w:noProof/>
        </w:rPr>
        <w:fldChar w:fldCharType="end"/>
      </w:r>
      <w:r w:rsidRPr="00BF67CB">
        <w:t>: Overall survival results for the Keynote-045 trial</w:t>
      </w:r>
    </w:p>
    <w:tbl>
      <w:tblPr>
        <w:tblStyle w:val="AZTable"/>
        <w:tblW w:w="5000" w:type="pct"/>
        <w:tblLook w:val="04A0" w:firstRow="1" w:lastRow="0" w:firstColumn="1" w:lastColumn="0" w:noHBand="0" w:noVBand="1"/>
        <w:tblCaption w:val="Table 7: Overall survival results for the Keynote-045 trial"/>
      </w:tblPr>
      <w:tblGrid>
        <w:gridCol w:w="3681"/>
        <w:gridCol w:w="2241"/>
        <w:gridCol w:w="3094"/>
      </w:tblGrid>
      <w:tr w:rsidR="006C1011" w:rsidRPr="00F453F7" w:rsidTr="00FA264F">
        <w:trPr>
          <w:cnfStyle w:val="100000000000" w:firstRow="1" w:lastRow="0" w:firstColumn="0" w:lastColumn="0" w:oddVBand="0" w:evenVBand="0" w:oddHBand="0" w:evenHBand="0" w:firstRowFirstColumn="0" w:firstRowLastColumn="0" w:lastRowFirstColumn="0" w:lastRowLastColumn="0"/>
          <w:tblHeader/>
        </w:trPr>
        <w:tc>
          <w:tcPr>
            <w:tcW w:w="2041" w:type="pct"/>
            <w:vMerge w:val="restart"/>
          </w:tcPr>
          <w:p w:rsidR="006C1011" w:rsidRPr="00F453F7" w:rsidRDefault="006C1011" w:rsidP="00832571">
            <w:pPr>
              <w:pStyle w:val="TableText"/>
              <w:rPr>
                <w:b/>
              </w:rPr>
            </w:pPr>
            <w:r w:rsidRPr="00F453F7">
              <w:rPr>
                <w:b/>
              </w:rPr>
              <w:t>Parameter</w:t>
            </w:r>
          </w:p>
        </w:tc>
        <w:tc>
          <w:tcPr>
            <w:tcW w:w="2959" w:type="pct"/>
            <w:gridSpan w:val="2"/>
          </w:tcPr>
          <w:p w:rsidR="006C1011" w:rsidRPr="00F453F7" w:rsidRDefault="006C1011" w:rsidP="00832571">
            <w:pPr>
              <w:pStyle w:val="TableHeading0"/>
              <w:jc w:val="center"/>
            </w:pPr>
            <w:r w:rsidRPr="00F453F7">
              <w:t xml:space="preserve">Keynote-045 Study </w:t>
            </w:r>
          </w:p>
          <w:p w:rsidR="006C1011" w:rsidRPr="00F453F7" w:rsidRDefault="006C1011" w:rsidP="00832571">
            <w:pPr>
              <w:pStyle w:val="TableHeading0"/>
              <w:jc w:val="center"/>
            </w:pPr>
            <w:r w:rsidRPr="00F453F7">
              <w:t>(ITT population)</w:t>
            </w:r>
          </w:p>
        </w:tc>
      </w:tr>
      <w:tr w:rsidR="006C1011" w:rsidRPr="00F453F7" w:rsidTr="00FA264F">
        <w:trPr>
          <w:cnfStyle w:val="100000000000" w:firstRow="1" w:lastRow="0" w:firstColumn="0" w:lastColumn="0" w:oddVBand="0" w:evenVBand="0" w:oddHBand="0" w:evenHBand="0" w:firstRowFirstColumn="0" w:firstRowLastColumn="0" w:lastRowFirstColumn="0" w:lastRowLastColumn="0"/>
          <w:trHeight w:val="698"/>
          <w:tblHeader/>
        </w:trPr>
        <w:tc>
          <w:tcPr>
            <w:tcW w:w="2041" w:type="pct"/>
            <w:vMerge/>
            <w:tcBorders>
              <w:bottom w:val="single" w:sz="4" w:space="0" w:color="auto"/>
            </w:tcBorders>
          </w:tcPr>
          <w:p w:rsidR="006C1011" w:rsidRPr="00F453F7" w:rsidRDefault="006C1011" w:rsidP="00832571">
            <w:pPr>
              <w:pStyle w:val="TableText"/>
            </w:pPr>
          </w:p>
        </w:tc>
        <w:tc>
          <w:tcPr>
            <w:tcW w:w="1243" w:type="pct"/>
            <w:tcBorders>
              <w:bottom w:val="single" w:sz="4" w:space="0" w:color="auto"/>
            </w:tcBorders>
          </w:tcPr>
          <w:p w:rsidR="006C1011" w:rsidRPr="00F453F7" w:rsidRDefault="006C1011" w:rsidP="00832571">
            <w:pPr>
              <w:pStyle w:val="TableHeading0"/>
              <w:jc w:val="center"/>
            </w:pPr>
            <w:r w:rsidRPr="00F453F7">
              <w:t xml:space="preserve">Pembrolizumab </w:t>
            </w:r>
          </w:p>
          <w:p w:rsidR="006C1011" w:rsidRPr="00F453F7" w:rsidRDefault="006C1011" w:rsidP="00832571">
            <w:pPr>
              <w:pStyle w:val="TableHeading0"/>
              <w:jc w:val="center"/>
            </w:pPr>
            <w:r w:rsidRPr="00F453F7">
              <w:t>200 mg every 3 weeks</w:t>
            </w:r>
          </w:p>
          <w:p w:rsidR="006C1011" w:rsidRPr="00F453F7" w:rsidRDefault="006C1011" w:rsidP="00832571">
            <w:pPr>
              <w:pStyle w:val="TableText"/>
              <w:jc w:val="center"/>
            </w:pPr>
            <w:r w:rsidRPr="00F453F7">
              <w:rPr>
                <w:b/>
              </w:rPr>
              <w:t>N=270</w:t>
            </w:r>
          </w:p>
        </w:tc>
        <w:tc>
          <w:tcPr>
            <w:tcW w:w="1716" w:type="pct"/>
            <w:tcBorders>
              <w:bottom w:val="single" w:sz="4" w:space="0" w:color="auto"/>
            </w:tcBorders>
          </w:tcPr>
          <w:p w:rsidR="006C1011" w:rsidRPr="00F453F7" w:rsidRDefault="006C1011" w:rsidP="00832571">
            <w:pPr>
              <w:pStyle w:val="TableHeading0"/>
              <w:jc w:val="center"/>
            </w:pPr>
            <w:r w:rsidRPr="00F453F7">
              <w:t>Chemotherapy</w:t>
            </w:r>
          </w:p>
          <w:p w:rsidR="006C1011" w:rsidRPr="00F453F7" w:rsidRDefault="006C1011" w:rsidP="00832571">
            <w:pPr>
              <w:pStyle w:val="TableText"/>
              <w:jc w:val="center"/>
              <w:rPr>
                <w:b/>
              </w:rPr>
            </w:pPr>
            <w:r w:rsidRPr="00F453F7">
              <w:rPr>
                <w:b/>
              </w:rPr>
              <w:t>every 3 weeks</w:t>
            </w:r>
          </w:p>
          <w:p w:rsidR="006C1011" w:rsidRPr="00F453F7" w:rsidRDefault="006C1011" w:rsidP="00832571">
            <w:pPr>
              <w:pStyle w:val="TableText"/>
              <w:jc w:val="center"/>
            </w:pPr>
            <w:r w:rsidRPr="00F453F7">
              <w:rPr>
                <w:b/>
              </w:rPr>
              <w:t>N=272</w:t>
            </w:r>
          </w:p>
        </w:tc>
      </w:tr>
      <w:tr w:rsidR="006C1011" w:rsidRPr="00F453F7" w:rsidTr="00832571">
        <w:tc>
          <w:tcPr>
            <w:tcW w:w="2041" w:type="pct"/>
          </w:tcPr>
          <w:p w:rsidR="006C1011" w:rsidRPr="00F453F7" w:rsidRDefault="006C1011" w:rsidP="00832571">
            <w:pPr>
              <w:pStyle w:val="TableText"/>
            </w:pPr>
            <w:r w:rsidRPr="00F453F7">
              <w:t>Death, n</w:t>
            </w:r>
          </w:p>
        </w:tc>
        <w:tc>
          <w:tcPr>
            <w:tcW w:w="1243" w:type="pct"/>
          </w:tcPr>
          <w:p w:rsidR="006C1011" w:rsidRPr="00F453F7" w:rsidRDefault="006C1011" w:rsidP="00832571">
            <w:pPr>
              <w:pStyle w:val="TableText"/>
              <w:jc w:val="center"/>
            </w:pPr>
            <w:r w:rsidRPr="00F453F7">
              <w:t>155</w:t>
            </w:r>
          </w:p>
        </w:tc>
        <w:tc>
          <w:tcPr>
            <w:tcW w:w="1716" w:type="pct"/>
          </w:tcPr>
          <w:p w:rsidR="006C1011" w:rsidRPr="00F453F7" w:rsidRDefault="006C1011" w:rsidP="00832571">
            <w:pPr>
              <w:pStyle w:val="TableText"/>
              <w:jc w:val="center"/>
            </w:pPr>
            <w:r w:rsidRPr="00F453F7">
              <w:t>179</w:t>
            </w:r>
          </w:p>
        </w:tc>
      </w:tr>
      <w:tr w:rsidR="006C1011" w:rsidRPr="00F453F7" w:rsidTr="00832571">
        <w:tc>
          <w:tcPr>
            <w:tcW w:w="2041" w:type="pct"/>
            <w:hideMark/>
          </w:tcPr>
          <w:p w:rsidR="006C1011" w:rsidRPr="00F453F7" w:rsidRDefault="006C1011" w:rsidP="00832571">
            <w:pPr>
              <w:pStyle w:val="TableText"/>
            </w:pPr>
            <w:r w:rsidRPr="00F453F7">
              <w:t>Median OS, months (95% CI)</w:t>
            </w:r>
          </w:p>
        </w:tc>
        <w:tc>
          <w:tcPr>
            <w:tcW w:w="1243" w:type="pct"/>
            <w:hideMark/>
          </w:tcPr>
          <w:p w:rsidR="006C1011" w:rsidRPr="00F453F7" w:rsidRDefault="006C1011" w:rsidP="00832571">
            <w:pPr>
              <w:pStyle w:val="TableText"/>
              <w:jc w:val="center"/>
            </w:pPr>
            <w:r w:rsidRPr="00F453F7">
              <w:t>10.3 (8.0, 11.8)</w:t>
            </w:r>
          </w:p>
        </w:tc>
        <w:tc>
          <w:tcPr>
            <w:tcW w:w="1716" w:type="pct"/>
          </w:tcPr>
          <w:p w:rsidR="006C1011" w:rsidRPr="00F453F7" w:rsidRDefault="006C1011" w:rsidP="00832571">
            <w:pPr>
              <w:pStyle w:val="TableText"/>
              <w:jc w:val="center"/>
            </w:pPr>
            <w:r w:rsidRPr="00F453F7">
              <w:t>7.4 (6.1, 8.3)</w:t>
            </w:r>
          </w:p>
        </w:tc>
      </w:tr>
      <w:tr w:rsidR="006C1011" w:rsidRPr="00F453F7" w:rsidTr="00832571">
        <w:trPr>
          <w:trHeight w:val="135"/>
        </w:trPr>
        <w:tc>
          <w:tcPr>
            <w:tcW w:w="2041" w:type="pct"/>
          </w:tcPr>
          <w:p w:rsidR="006C1011" w:rsidRPr="00F453F7" w:rsidRDefault="006C1011" w:rsidP="00832571">
            <w:pPr>
              <w:pStyle w:val="TableText"/>
            </w:pPr>
            <w:r w:rsidRPr="00F453F7">
              <w:t xml:space="preserve">Hazard ratio (95% CI) </w:t>
            </w:r>
          </w:p>
        </w:tc>
        <w:tc>
          <w:tcPr>
            <w:tcW w:w="2959" w:type="pct"/>
            <w:gridSpan w:val="2"/>
          </w:tcPr>
          <w:p w:rsidR="006C1011" w:rsidRPr="00F453F7" w:rsidRDefault="006C1011" w:rsidP="00832571">
            <w:pPr>
              <w:pStyle w:val="TableText"/>
              <w:jc w:val="center"/>
            </w:pPr>
            <w:r w:rsidRPr="00F453F7">
              <w:t>0.73 (0.59, 0.91)</w:t>
            </w:r>
          </w:p>
        </w:tc>
      </w:tr>
      <w:tr w:rsidR="006C1011" w:rsidRPr="00F453F7" w:rsidTr="00832571">
        <w:tc>
          <w:tcPr>
            <w:tcW w:w="2041" w:type="pct"/>
            <w:hideMark/>
          </w:tcPr>
          <w:p w:rsidR="006C1011" w:rsidRPr="00F453F7" w:rsidRDefault="006C1011" w:rsidP="00832571">
            <w:pPr>
              <w:pStyle w:val="TableText"/>
            </w:pPr>
            <w:r w:rsidRPr="00F453F7">
              <w:t>KM estimate of OS</w:t>
            </w:r>
          </w:p>
          <w:p w:rsidR="006C1011" w:rsidRPr="00F453F7" w:rsidRDefault="006C1011" w:rsidP="000C7E20">
            <w:pPr>
              <w:pStyle w:val="TableText"/>
              <w:numPr>
                <w:ilvl w:val="0"/>
                <w:numId w:val="5"/>
              </w:numPr>
              <w:ind w:left="28" w:hanging="93"/>
            </w:pPr>
            <w:r w:rsidRPr="00F453F7">
              <w:t>12 months %, (95% CI)</w:t>
            </w:r>
          </w:p>
          <w:p w:rsidR="006C1011" w:rsidRPr="00F453F7" w:rsidRDefault="006C1011" w:rsidP="000C7E20">
            <w:pPr>
              <w:pStyle w:val="TableText"/>
              <w:numPr>
                <w:ilvl w:val="0"/>
                <w:numId w:val="5"/>
              </w:numPr>
              <w:ind w:left="28" w:hanging="93"/>
            </w:pPr>
            <w:r w:rsidRPr="00F453F7">
              <w:t>18 months %, (95% CI)</w:t>
            </w:r>
          </w:p>
        </w:tc>
        <w:tc>
          <w:tcPr>
            <w:tcW w:w="1243" w:type="pct"/>
            <w:hideMark/>
          </w:tcPr>
          <w:p w:rsidR="006C1011" w:rsidRPr="00F453F7" w:rsidRDefault="006C1011" w:rsidP="00832571">
            <w:pPr>
              <w:pStyle w:val="TableText"/>
              <w:jc w:val="center"/>
            </w:pPr>
          </w:p>
          <w:p w:rsidR="006C1011" w:rsidRPr="00F453F7" w:rsidRDefault="006C1011" w:rsidP="00832571">
            <w:pPr>
              <w:pStyle w:val="TableText"/>
              <w:jc w:val="center"/>
            </w:pPr>
            <w:r w:rsidRPr="00F453F7">
              <w:t>43.9 (37.8, 49.9)</w:t>
            </w:r>
          </w:p>
          <w:p w:rsidR="006C1011" w:rsidRPr="00F453F7" w:rsidRDefault="006C1011" w:rsidP="00832571">
            <w:pPr>
              <w:pStyle w:val="TableText"/>
              <w:jc w:val="center"/>
            </w:pPr>
            <w:r w:rsidRPr="00F453F7">
              <w:t>36.1 (30.1, 42.0)</w:t>
            </w:r>
          </w:p>
        </w:tc>
        <w:tc>
          <w:tcPr>
            <w:tcW w:w="1716" w:type="pct"/>
          </w:tcPr>
          <w:p w:rsidR="006C1011" w:rsidRPr="00F453F7" w:rsidRDefault="006C1011" w:rsidP="00832571">
            <w:pPr>
              <w:pStyle w:val="TableText"/>
              <w:jc w:val="center"/>
            </w:pPr>
          </w:p>
          <w:p w:rsidR="006C1011" w:rsidRPr="00F453F7" w:rsidRDefault="006C1011" w:rsidP="00832571">
            <w:pPr>
              <w:pStyle w:val="TableText"/>
              <w:jc w:val="center"/>
            </w:pPr>
            <w:r w:rsidRPr="00F453F7">
              <w:t>30.7 (25.0, 36.7)</w:t>
            </w:r>
          </w:p>
          <w:p w:rsidR="006C1011" w:rsidRPr="00F453F7" w:rsidRDefault="006C1011" w:rsidP="00832571">
            <w:pPr>
              <w:pStyle w:val="TableText"/>
              <w:jc w:val="center"/>
            </w:pPr>
            <w:r w:rsidRPr="00F453F7">
              <w:t>20.5 (15.2, 25.8)</w:t>
            </w:r>
          </w:p>
        </w:tc>
      </w:tr>
    </w:tbl>
    <w:p w:rsidR="006C1011" w:rsidRPr="00F453F7" w:rsidRDefault="006C1011" w:rsidP="006C1011">
      <w:pPr>
        <w:pStyle w:val="TableFooter"/>
      </w:pPr>
      <w:r w:rsidRPr="00F453F7">
        <w:t>Hazard ratio &lt;1 favours pembrolizumab.</w:t>
      </w:r>
    </w:p>
    <w:p w:rsidR="006C1011" w:rsidRPr="00F453F7" w:rsidRDefault="006C1011" w:rsidP="006C1011">
      <w:pPr>
        <w:pStyle w:val="TableFooter"/>
      </w:pPr>
      <w:r w:rsidRPr="00F453F7">
        <w:t>Source: Table 2.5.4, p.73 of the submission; Table 1, p.1 of Necchi et al. (2017) and Bajorin et al. (2017) conference abstracts.</w:t>
      </w:r>
    </w:p>
    <w:p w:rsidR="006C1011" w:rsidRPr="00F453F7" w:rsidRDefault="006C1011" w:rsidP="006C1011">
      <w:pPr>
        <w:pStyle w:val="TableFooter"/>
      </w:pPr>
      <w:r w:rsidRPr="00F453F7">
        <w:t>Abbreviations: CI, confidence interval; ITT, intention-to-treat; KM, Kaplan Meier; OS, overall survival.</w:t>
      </w:r>
    </w:p>
    <w:p w:rsidR="00F77192" w:rsidRPr="00F453F7" w:rsidRDefault="00F77192" w:rsidP="006C1011">
      <w:pPr>
        <w:pStyle w:val="TableFooter"/>
      </w:pPr>
    </w:p>
    <w:p w:rsidR="006C1011" w:rsidRPr="00F453F7" w:rsidRDefault="006C1011" w:rsidP="00A1349E">
      <w:pPr>
        <w:numPr>
          <w:ilvl w:val="1"/>
          <w:numId w:val="3"/>
        </w:numPr>
        <w:spacing w:after="120"/>
      </w:pPr>
      <w:r w:rsidRPr="00F453F7">
        <w:t xml:space="preserve">At the September 2016 data cut-off, with a median duration of follow-up of 14.1 months, the median overall survival was 10.3 months (95% CI: 8.0, 11.8) in the pembrolizumab arm and 7.4 months (95% CI: 6.1, 8.3) in the chemotherapy arm. </w:t>
      </w:r>
      <w:r w:rsidR="00877163" w:rsidRPr="00F453F7">
        <w:t xml:space="preserve">The October 2017 cut-off (abstract by Bellmunt et al, 2017) with median follow-up of 27.7 months showed very similar outcomes. </w:t>
      </w:r>
      <w:r w:rsidRPr="00F453F7">
        <w:t>Treatment with pembrolizumab was associated with a statistically significant reduction in mortality compared with chemotherapy (HR: 0.73; 95% CI: 0.59, 0.91).</w:t>
      </w:r>
      <w:r w:rsidR="00B17310" w:rsidRPr="00F453F7">
        <w:t xml:space="preserve"> However, inspection of the Kaplan Meier curves for pembrolizumab and chemotherapy suggest that the proportional hazards assumption is violated, and therefore, the reported hazard ratio should be interpreted with caution.</w:t>
      </w:r>
      <w:r w:rsidRPr="00F453F7">
        <w:t xml:space="preserve"> The results are likely to have been affected by differential use of post-progression treatments between arms, including use of pembrolizumab beyond disease progression in some patients.</w:t>
      </w:r>
    </w:p>
    <w:p w:rsidR="005A78E5" w:rsidRPr="00F453F7" w:rsidRDefault="005A78E5" w:rsidP="00A1349E">
      <w:pPr>
        <w:pStyle w:val="ListParagraph"/>
        <w:numPr>
          <w:ilvl w:val="1"/>
          <w:numId w:val="3"/>
        </w:numPr>
      </w:pPr>
      <w:r w:rsidRPr="00F453F7">
        <w:t>B</w:t>
      </w:r>
      <w:r w:rsidR="00F2101F" w:rsidRPr="00F453F7">
        <w:t>aseline EORTC QLQ-C30 global health status/quality-of-life scores were similar for the pembrolizumab arm (mean: 61.5; SD: 23.1) and chemotherapy arm (mean: 59.2; SD: 22.1). The EORTC QLQ-C30 global health status/quality-of-life score was stable over time for the pembrolizumab arm, but worsened over time for the chemotherapy arm, with a mean difference in change from baseline to Week 15 of 9.05 points (95% CI: 4.61-13.50).</w:t>
      </w:r>
    </w:p>
    <w:p w:rsidR="006A3F03" w:rsidRPr="00F453F7" w:rsidRDefault="006A3F03" w:rsidP="00A1349E">
      <w:pPr>
        <w:pStyle w:val="ListParagraph"/>
        <w:numPr>
          <w:ilvl w:val="1"/>
          <w:numId w:val="3"/>
        </w:numPr>
      </w:pPr>
      <w:r w:rsidRPr="00F453F7">
        <w:t xml:space="preserve">The submission presented the results of an indirect comparison (Bucher method) of durvalumab versus pembrolizumab </w:t>
      </w:r>
      <w:r w:rsidR="00D60C6D" w:rsidRPr="00F453F7">
        <w:t xml:space="preserve">for the outcome of overall survival </w:t>
      </w:r>
      <w:r w:rsidRPr="00F453F7">
        <w:t xml:space="preserve">using chemotherapy as </w:t>
      </w:r>
      <w:r w:rsidR="00E6287D" w:rsidRPr="00F453F7">
        <w:t xml:space="preserve">a </w:t>
      </w:r>
      <w:r w:rsidRPr="00F453F7">
        <w:t>common reference. The indirect comparison was constructed using the following treatment estimates:</w:t>
      </w:r>
    </w:p>
    <w:p w:rsidR="006A3F03" w:rsidRPr="00F453F7" w:rsidRDefault="006A3F03" w:rsidP="00A1349E">
      <w:pPr>
        <w:pStyle w:val="ListParagraph"/>
        <w:numPr>
          <w:ilvl w:val="0"/>
          <w:numId w:val="8"/>
        </w:numPr>
        <w:ind w:left="1434" w:hanging="357"/>
      </w:pPr>
      <w:r w:rsidRPr="00F453F7">
        <w:t xml:space="preserve">Pembrolizumab versus chemotherapy based on the published results for pembrolizumab versus chemotherapy in Keynote-045 trial. </w:t>
      </w:r>
    </w:p>
    <w:p w:rsidR="0010236F" w:rsidRPr="00F453F7" w:rsidRDefault="006A3F03" w:rsidP="00A1349E">
      <w:pPr>
        <w:pStyle w:val="ListParagraph"/>
        <w:numPr>
          <w:ilvl w:val="0"/>
          <w:numId w:val="8"/>
        </w:numPr>
        <w:ind w:left="1434" w:hanging="357"/>
      </w:pPr>
      <w:r w:rsidRPr="00F453F7">
        <w:t xml:space="preserve">Durvalumab versus chemotherapy based on the results of an unanchored </w:t>
      </w:r>
      <w:r w:rsidR="003D0EEA" w:rsidRPr="00F453F7">
        <w:t>matching adjusted indirect comparison (</w:t>
      </w:r>
      <w:r w:rsidRPr="00F453F7">
        <w:t>MAIC</w:t>
      </w:r>
      <w:r w:rsidR="003D0EEA" w:rsidRPr="00F453F7">
        <w:t>)</w:t>
      </w:r>
      <w:r w:rsidRPr="00F453F7">
        <w:t xml:space="preserve"> </w:t>
      </w:r>
      <w:r w:rsidR="00E90B25" w:rsidRPr="00F453F7">
        <w:t xml:space="preserve">using individual level data from </w:t>
      </w:r>
      <w:r w:rsidRPr="00F453F7">
        <w:t>Study 1108</w:t>
      </w:r>
      <w:r w:rsidR="00B5354C" w:rsidRPr="00F453F7">
        <w:t xml:space="preserve"> </w:t>
      </w:r>
      <w:r w:rsidR="00E90B25" w:rsidRPr="00F453F7">
        <w:t>with aggregate data from the chemotherapy arm in</w:t>
      </w:r>
      <w:r w:rsidR="00B5354C" w:rsidRPr="00F453F7">
        <w:t xml:space="preserve"> </w:t>
      </w:r>
      <w:r w:rsidRPr="00F453F7">
        <w:t xml:space="preserve">Keynote-045. </w:t>
      </w:r>
    </w:p>
    <w:p w:rsidR="0010236F" w:rsidRPr="00F453F7" w:rsidRDefault="0010236F" w:rsidP="00A1349E">
      <w:pPr>
        <w:pStyle w:val="ListParagraph"/>
        <w:numPr>
          <w:ilvl w:val="1"/>
          <w:numId w:val="3"/>
        </w:numPr>
      </w:pPr>
      <w:r w:rsidRPr="00F453F7">
        <w:t xml:space="preserve">The approach </w:t>
      </w:r>
      <w:r w:rsidR="00FB3DA1" w:rsidRPr="00F453F7">
        <w:t xml:space="preserve">used in the submission </w:t>
      </w:r>
      <w:r w:rsidRPr="00F453F7">
        <w:t>was not based on established methods for demonstration of non-inferiority</w:t>
      </w:r>
      <w:r w:rsidR="00CE169B" w:rsidRPr="00F453F7">
        <w:t>,</w:t>
      </w:r>
      <w:r w:rsidRPr="00F453F7">
        <w:t xml:space="preserve"> and is considered highly uncertain.</w:t>
      </w:r>
      <w:r w:rsidR="00BC68BC" w:rsidRPr="00F453F7">
        <w:t xml:space="preserve"> It may be more appropriate to directly compare pembrolizumab and durvalumab using an unanchored MAIC.</w:t>
      </w:r>
      <w:r w:rsidR="00C467FC" w:rsidRPr="00F453F7">
        <w:t xml:space="preserve"> However, differences in trial design, evidence maturity, treatment durations and PD-L1 expression assessment between Study 1108 and Keynote-045 suggest that an indirect comparison with an unanchored MAIC may not be feasible.</w:t>
      </w:r>
      <w:r w:rsidR="005D0372" w:rsidRPr="00F453F7">
        <w:t xml:space="preserve"> </w:t>
      </w:r>
      <w:r w:rsidR="008205CF" w:rsidRPr="00F453F7">
        <w:t xml:space="preserve">The ESC considered that </w:t>
      </w:r>
      <w:r w:rsidR="00E44B35">
        <w:t>the submission’s</w:t>
      </w:r>
      <w:r w:rsidR="00E44B35" w:rsidRPr="00F453F7">
        <w:t xml:space="preserve"> </w:t>
      </w:r>
      <w:r w:rsidR="008205CF" w:rsidRPr="00F453F7">
        <w:t xml:space="preserve">approach was not appropriate and increased uncertainty in the estimates produced in the indirect comparison. </w:t>
      </w:r>
      <w:r w:rsidR="005D0372" w:rsidRPr="00F453F7">
        <w:t xml:space="preserve">The ESC </w:t>
      </w:r>
      <w:r w:rsidR="00F4635D" w:rsidRPr="00F453F7">
        <w:t xml:space="preserve">agreed with the evaluation that an unanchored MAIC to directly compare pembrolizumab and durvalumab is unlikely to be feasible due to the differences between the </w:t>
      </w:r>
      <w:r w:rsidR="00380A2C" w:rsidRPr="00F453F7">
        <w:t>trials</w:t>
      </w:r>
      <w:r w:rsidR="0093642D" w:rsidRPr="00F453F7">
        <w:t xml:space="preserve"> in terms of trial design</w:t>
      </w:r>
      <w:r w:rsidR="00F4635D" w:rsidRPr="00F453F7">
        <w:t xml:space="preserve">. The ESC </w:t>
      </w:r>
      <w:r w:rsidR="00E90B25" w:rsidRPr="00F453F7">
        <w:t>considered</w:t>
      </w:r>
      <w:r w:rsidR="005D0372" w:rsidRPr="00F453F7">
        <w:t xml:space="preserve"> that</w:t>
      </w:r>
      <w:r w:rsidR="00F4635D" w:rsidRPr="00F453F7">
        <w:t>, for the same reason,</w:t>
      </w:r>
      <w:r w:rsidR="005D0372" w:rsidRPr="00F453F7">
        <w:t xml:space="preserve"> the </w:t>
      </w:r>
      <w:r w:rsidR="00F4635D" w:rsidRPr="00F453F7">
        <w:t xml:space="preserve">unanchored MAIC of durvalumab versus chemotherapy is unreliable. </w:t>
      </w:r>
    </w:p>
    <w:p w:rsidR="007420CE" w:rsidRPr="00F453F7" w:rsidRDefault="007420CE" w:rsidP="00A1349E">
      <w:pPr>
        <w:pStyle w:val="ListParagraph"/>
        <w:numPr>
          <w:ilvl w:val="1"/>
          <w:numId w:val="3"/>
        </w:numPr>
      </w:pPr>
      <w:r w:rsidRPr="00F453F7">
        <w:t xml:space="preserve">The </w:t>
      </w:r>
      <w:r w:rsidR="00C537BD" w:rsidRPr="00F453F7">
        <w:t xml:space="preserve">unanchored </w:t>
      </w:r>
      <w:r w:rsidRPr="00F453F7">
        <w:t xml:space="preserve">MAIC estimate for durvalumab versus chemotherapy was </w:t>
      </w:r>
      <w:r w:rsidR="00BA5074" w:rsidRPr="00F453F7">
        <w:t>obtained</w:t>
      </w:r>
      <w:r w:rsidRPr="00F453F7">
        <w:t xml:space="preserve"> </w:t>
      </w:r>
      <w:r w:rsidRPr="00F453F7">
        <w:lastRenderedPageBreak/>
        <w:t xml:space="preserve">from a conference abstract </w:t>
      </w:r>
      <w:r w:rsidR="001F39F8" w:rsidRPr="00F453F7">
        <w:t xml:space="preserve">published </w:t>
      </w:r>
      <w:r w:rsidRPr="00F453F7">
        <w:t xml:space="preserve">by Hoyle et al. (2018). </w:t>
      </w:r>
      <w:r w:rsidR="000D0EB7" w:rsidRPr="00F453F7">
        <w:t>The submission provided a technical report outlining the methodology and results of an alternative unanchored MAIC of durvalumab versus chemotherapy, as well as an unanchored MAIC of durvalumab versus pembrolizumab. The submission stated that the results reported by Hoyle et al. were based on more mature data for durvalumab compared to the technical report. The PSCR confirmed that the analysis by Hoyle et al. used an identical methodology to that described in the technical document, but included updated survival analysis from Study 1108 (final data cut-off 16 October 2017) and the published Keynote-045 study data in Bellmunt 2017.</w:t>
      </w:r>
    </w:p>
    <w:p w:rsidR="001F39F8" w:rsidRPr="00F453F7" w:rsidRDefault="001F39F8" w:rsidP="00A1349E">
      <w:pPr>
        <w:pStyle w:val="ListParagraph"/>
        <w:numPr>
          <w:ilvl w:val="1"/>
          <w:numId w:val="3"/>
        </w:numPr>
      </w:pPr>
      <w:r w:rsidRPr="00F453F7">
        <w:t xml:space="preserve">Table </w:t>
      </w:r>
      <w:r w:rsidR="00512946" w:rsidRPr="00F453F7">
        <w:t xml:space="preserve">8 </w:t>
      </w:r>
      <w:r w:rsidRPr="00F453F7">
        <w:t>presents the results of the Bucher method indirect comparison of durvalumab and pembrolizumab, based on the naïve (unadjusted) and MAIC (adjusted) treatment estimates for durvalumab versus chemotherapy.</w:t>
      </w:r>
    </w:p>
    <w:p w:rsidR="00FA264F" w:rsidRDefault="00FA264F" w:rsidP="00FA264F">
      <w:pPr>
        <w:pStyle w:val="TableHeading"/>
      </w:pPr>
      <w:r>
        <w:t xml:space="preserve">Table </w:t>
      </w:r>
      <w:r w:rsidR="00C15CB6">
        <w:fldChar w:fldCharType="begin"/>
      </w:r>
      <w:r w:rsidR="00C15CB6">
        <w:instrText xml:space="preserve"> SEQ Table \* ARABIC </w:instrText>
      </w:r>
      <w:r w:rsidR="00C15CB6">
        <w:fldChar w:fldCharType="separate"/>
      </w:r>
      <w:r w:rsidR="00E55F9F">
        <w:rPr>
          <w:noProof/>
        </w:rPr>
        <w:t>8</w:t>
      </w:r>
      <w:r w:rsidR="00C15CB6">
        <w:rPr>
          <w:noProof/>
        </w:rPr>
        <w:fldChar w:fldCharType="end"/>
      </w:r>
      <w:r w:rsidRPr="00962A6D">
        <w:t>: Results of the indirect comparison of overall survival for durvalumab and pembrolizumab</w:t>
      </w:r>
    </w:p>
    <w:tbl>
      <w:tblPr>
        <w:tblStyle w:val="TableGrid"/>
        <w:tblW w:w="5000" w:type="pct"/>
        <w:tblLook w:val="04A0" w:firstRow="1" w:lastRow="0" w:firstColumn="1" w:lastColumn="0" w:noHBand="0" w:noVBand="1"/>
        <w:tblCaption w:val="Table 8: Results of the indirect comparison of overall survival for durvalumab and pembrolizumab"/>
      </w:tblPr>
      <w:tblGrid>
        <w:gridCol w:w="1691"/>
        <w:gridCol w:w="2127"/>
        <w:gridCol w:w="2268"/>
        <w:gridCol w:w="2920"/>
      </w:tblGrid>
      <w:tr w:rsidR="001F39F8" w:rsidRPr="00F453F7" w:rsidTr="00FA264F">
        <w:trPr>
          <w:cnfStyle w:val="100000000000" w:firstRow="1" w:lastRow="0" w:firstColumn="0" w:lastColumn="0" w:oddVBand="0" w:evenVBand="0" w:oddHBand="0" w:evenHBand="0" w:firstRowFirstColumn="0" w:firstRowLastColumn="0" w:lastRowFirstColumn="0" w:lastRowLastColumn="0"/>
          <w:trHeight w:val="117"/>
          <w:tblHeader/>
        </w:trPr>
        <w:tc>
          <w:tcPr>
            <w:tcW w:w="939" w:type="pct"/>
            <w:shd w:val="clear" w:color="auto" w:fill="auto"/>
          </w:tcPr>
          <w:p w:rsidR="001F39F8" w:rsidRPr="00F453F7" w:rsidRDefault="001F39F8" w:rsidP="000C1DF3">
            <w:pPr>
              <w:pStyle w:val="V50Instructions"/>
              <w:rPr>
                <w:rFonts w:ascii="Arial Narrow" w:hAnsi="Arial Narrow"/>
                <w:b w:val="0"/>
                <w:color w:val="auto"/>
                <w:sz w:val="20"/>
                <w:szCs w:val="20"/>
                <w:lang w:val="en-AU"/>
              </w:rPr>
            </w:pPr>
            <w:r w:rsidRPr="00F453F7">
              <w:rPr>
                <w:rFonts w:ascii="Arial Narrow" w:hAnsi="Arial Narrow"/>
                <w:color w:val="auto"/>
                <w:sz w:val="20"/>
                <w:szCs w:val="20"/>
              </w:rPr>
              <w:t>Durvalumab vs chemotherapy analysis</w:t>
            </w:r>
          </w:p>
        </w:tc>
        <w:tc>
          <w:tcPr>
            <w:tcW w:w="1181" w:type="pct"/>
            <w:shd w:val="clear" w:color="auto" w:fill="auto"/>
          </w:tcPr>
          <w:p w:rsidR="001F39F8" w:rsidRPr="00F453F7" w:rsidRDefault="001F39F8" w:rsidP="000C1DF3">
            <w:pPr>
              <w:pStyle w:val="V50Instructions"/>
              <w:jc w:val="center"/>
              <w:rPr>
                <w:rFonts w:ascii="Arial Narrow" w:hAnsi="Arial Narrow"/>
                <w:color w:val="auto"/>
                <w:sz w:val="20"/>
                <w:szCs w:val="20"/>
                <w:lang w:val="en-AU"/>
              </w:rPr>
            </w:pPr>
            <w:r w:rsidRPr="00F453F7">
              <w:rPr>
                <w:rFonts w:ascii="Arial Narrow" w:hAnsi="Arial Narrow"/>
                <w:color w:val="auto"/>
                <w:sz w:val="20"/>
                <w:szCs w:val="20"/>
              </w:rPr>
              <w:t>Durvalumab vs chemotherapy</w:t>
            </w:r>
          </w:p>
          <w:p w:rsidR="001F39F8" w:rsidRPr="00F453F7" w:rsidRDefault="001F39F8" w:rsidP="000C1DF3">
            <w:pPr>
              <w:pStyle w:val="V50Instructions"/>
              <w:jc w:val="center"/>
              <w:rPr>
                <w:rFonts w:ascii="Arial Narrow" w:hAnsi="Arial Narrow"/>
                <w:color w:val="auto"/>
                <w:sz w:val="20"/>
                <w:szCs w:val="20"/>
                <w:lang w:val="en-AU"/>
              </w:rPr>
            </w:pPr>
            <w:r w:rsidRPr="00F453F7">
              <w:rPr>
                <w:rFonts w:ascii="Arial Narrow" w:hAnsi="Arial Narrow"/>
                <w:color w:val="auto"/>
                <w:sz w:val="20"/>
                <w:szCs w:val="20"/>
              </w:rPr>
              <w:t>HR (95% CI)</w:t>
            </w:r>
          </w:p>
        </w:tc>
        <w:tc>
          <w:tcPr>
            <w:tcW w:w="1259" w:type="pct"/>
            <w:shd w:val="clear" w:color="auto" w:fill="auto"/>
          </w:tcPr>
          <w:p w:rsidR="001F39F8" w:rsidRPr="00F453F7" w:rsidRDefault="001F39F8" w:rsidP="000C1DF3">
            <w:pPr>
              <w:pStyle w:val="V50Instructions"/>
              <w:jc w:val="center"/>
              <w:rPr>
                <w:rFonts w:ascii="Arial Narrow" w:hAnsi="Arial Narrow"/>
                <w:color w:val="auto"/>
                <w:sz w:val="20"/>
                <w:szCs w:val="20"/>
                <w:lang w:val="en-AU"/>
              </w:rPr>
            </w:pPr>
            <w:r w:rsidRPr="00F453F7">
              <w:rPr>
                <w:rFonts w:ascii="Arial Narrow" w:hAnsi="Arial Narrow"/>
                <w:color w:val="auto"/>
                <w:sz w:val="20"/>
                <w:szCs w:val="20"/>
              </w:rPr>
              <w:t>Pembrolizumab vs chemotherapy</w:t>
            </w:r>
          </w:p>
          <w:p w:rsidR="001F39F8" w:rsidRPr="00F453F7" w:rsidRDefault="001F39F8" w:rsidP="000C1DF3">
            <w:pPr>
              <w:pStyle w:val="V50Instructions"/>
              <w:jc w:val="center"/>
              <w:rPr>
                <w:rFonts w:ascii="Arial Narrow" w:hAnsi="Arial Narrow"/>
                <w:b w:val="0"/>
                <w:color w:val="auto"/>
                <w:sz w:val="20"/>
                <w:szCs w:val="20"/>
                <w:lang w:val="en-AU"/>
              </w:rPr>
            </w:pPr>
            <w:r w:rsidRPr="00F453F7">
              <w:rPr>
                <w:rFonts w:ascii="Arial Narrow" w:hAnsi="Arial Narrow"/>
                <w:color w:val="auto"/>
                <w:sz w:val="20"/>
                <w:szCs w:val="20"/>
              </w:rPr>
              <w:t>HR (95% CI)</w:t>
            </w:r>
          </w:p>
        </w:tc>
        <w:tc>
          <w:tcPr>
            <w:tcW w:w="1621" w:type="pct"/>
            <w:shd w:val="clear" w:color="auto" w:fill="auto"/>
          </w:tcPr>
          <w:p w:rsidR="001F39F8" w:rsidRPr="00F453F7" w:rsidRDefault="001F39F8" w:rsidP="000C1DF3">
            <w:pPr>
              <w:pStyle w:val="V50Instructions"/>
              <w:jc w:val="center"/>
              <w:rPr>
                <w:rFonts w:ascii="Arial Narrow" w:hAnsi="Arial Narrow"/>
                <w:color w:val="auto"/>
                <w:sz w:val="20"/>
                <w:szCs w:val="20"/>
                <w:lang w:val="en-AU"/>
              </w:rPr>
            </w:pPr>
            <w:r w:rsidRPr="00F453F7">
              <w:rPr>
                <w:rFonts w:ascii="Arial Narrow" w:hAnsi="Arial Narrow"/>
                <w:color w:val="auto"/>
                <w:sz w:val="20"/>
                <w:szCs w:val="20"/>
              </w:rPr>
              <w:t xml:space="preserve">Indirect comparison of </w:t>
            </w:r>
          </w:p>
          <w:p w:rsidR="001F39F8" w:rsidRPr="00F453F7" w:rsidRDefault="001F39F8" w:rsidP="000C1DF3">
            <w:pPr>
              <w:pStyle w:val="V50Instructions"/>
              <w:jc w:val="center"/>
              <w:rPr>
                <w:rFonts w:ascii="Arial Narrow" w:hAnsi="Arial Narrow"/>
                <w:b w:val="0"/>
                <w:color w:val="auto"/>
                <w:sz w:val="20"/>
                <w:szCs w:val="20"/>
                <w:lang w:val="en-AU"/>
              </w:rPr>
            </w:pPr>
            <w:r w:rsidRPr="00F453F7">
              <w:rPr>
                <w:rFonts w:ascii="Arial Narrow" w:hAnsi="Arial Narrow"/>
                <w:color w:val="auto"/>
                <w:sz w:val="20"/>
                <w:szCs w:val="20"/>
              </w:rPr>
              <w:t>durvalumab vs pembrolizumab</w:t>
            </w:r>
          </w:p>
          <w:p w:rsidR="001F39F8" w:rsidRPr="00F453F7" w:rsidRDefault="001F39F8" w:rsidP="000C1DF3">
            <w:pPr>
              <w:pStyle w:val="V50Instructions"/>
              <w:jc w:val="center"/>
              <w:rPr>
                <w:rFonts w:ascii="Arial Narrow" w:hAnsi="Arial Narrow"/>
                <w:b w:val="0"/>
                <w:color w:val="auto"/>
                <w:sz w:val="20"/>
                <w:szCs w:val="20"/>
                <w:lang w:val="en-AU"/>
              </w:rPr>
            </w:pPr>
            <w:r w:rsidRPr="00F453F7">
              <w:rPr>
                <w:rFonts w:ascii="Arial Narrow" w:hAnsi="Arial Narrow"/>
                <w:color w:val="auto"/>
                <w:sz w:val="20"/>
                <w:szCs w:val="20"/>
              </w:rPr>
              <w:t>HR (95% CI)</w:t>
            </w:r>
          </w:p>
        </w:tc>
      </w:tr>
      <w:tr w:rsidR="001F39F8" w:rsidRPr="00F453F7" w:rsidTr="000C1DF3">
        <w:tc>
          <w:tcPr>
            <w:tcW w:w="939" w:type="pct"/>
            <w:shd w:val="clear" w:color="auto" w:fill="auto"/>
          </w:tcPr>
          <w:p w:rsidR="001F39F8" w:rsidRPr="00F453F7" w:rsidRDefault="001F39F8" w:rsidP="000C1DF3">
            <w:pPr>
              <w:pStyle w:val="V50Instructions"/>
              <w:rPr>
                <w:rFonts w:ascii="Arial Narrow" w:hAnsi="Arial Narrow"/>
                <w:color w:val="auto"/>
                <w:sz w:val="20"/>
                <w:szCs w:val="20"/>
                <w:lang w:val="en-AU"/>
              </w:rPr>
            </w:pPr>
            <w:r w:rsidRPr="00F453F7">
              <w:rPr>
                <w:rFonts w:ascii="Arial Narrow" w:hAnsi="Arial Narrow"/>
                <w:color w:val="auto"/>
                <w:sz w:val="20"/>
                <w:szCs w:val="20"/>
              </w:rPr>
              <w:t>Naïve (unadjusted)</w:t>
            </w:r>
          </w:p>
        </w:tc>
        <w:tc>
          <w:tcPr>
            <w:tcW w:w="1181" w:type="pct"/>
            <w:shd w:val="clear" w:color="auto" w:fill="auto"/>
          </w:tcPr>
          <w:p w:rsidR="001F39F8" w:rsidRPr="00F453F7" w:rsidRDefault="001F39F8" w:rsidP="000C1DF3">
            <w:pPr>
              <w:pStyle w:val="V50Instructions"/>
              <w:jc w:val="center"/>
              <w:rPr>
                <w:rFonts w:ascii="Arial Narrow" w:hAnsi="Arial Narrow"/>
                <w:color w:val="auto"/>
                <w:sz w:val="20"/>
                <w:szCs w:val="20"/>
                <w:lang w:val="en-AU"/>
              </w:rPr>
            </w:pPr>
            <w:r w:rsidRPr="00F453F7">
              <w:rPr>
                <w:rFonts w:ascii="Arial Narrow" w:hAnsi="Arial Narrow"/>
                <w:color w:val="auto"/>
                <w:sz w:val="20"/>
                <w:szCs w:val="20"/>
              </w:rPr>
              <w:t>0.73 (0.57, 0.92)</w:t>
            </w:r>
          </w:p>
        </w:tc>
        <w:tc>
          <w:tcPr>
            <w:tcW w:w="1259" w:type="pct"/>
            <w:shd w:val="clear" w:color="auto" w:fill="auto"/>
          </w:tcPr>
          <w:p w:rsidR="001F39F8" w:rsidRPr="00F453F7" w:rsidRDefault="001F39F8" w:rsidP="000C1DF3">
            <w:pPr>
              <w:pStyle w:val="V50Instructions"/>
              <w:jc w:val="center"/>
              <w:rPr>
                <w:rFonts w:ascii="Arial Narrow" w:hAnsi="Arial Narrow"/>
                <w:color w:val="auto"/>
                <w:sz w:val="20"/>
                <w:szCs w:val="20"/>
                <w:lang w:val="en-AU"/>
              </w:rPr>
            </w:pPr>
            <w:r w:rsidRPr="00F453F7">
              <w:rPr>
                <w:rFonts w:ascii="Arial Narrow" w:hAnsi="Arial Narrow"/>
                <w:color w:val="auto"/>
                <w:sz w:val="20"/>
                <w:szCs w:val="20"/>
              </w:rPr>
              <w:t>0.73 (0.59, 0.91)</w:t>
            </w:r>
          </w:p>
        </w:tc>
        <w:tc>
          <w:tcPr>
            <w:tcW w:w="1621" w:type="pct"/>
            <w:shd w:val="clear" w:color="auto" w:fill="auto"/>
          </w:tcPr>
          <w:p w:rsidR="001F39F8" w:rsidRPr="00F453F7" w:rsidRDefault="001F39F8" w:rsidP="000C1DF3">
            <w:pPr>
              <w:pStyle w:val="V50Instructions"/>
              <w:jc w:val="center"/>
              <w:rPr>
                <w:rFonts w:ascii="Arial Narrow" w:hAnsi="Arial Narrow"/>
                <w:color w:val="auto"/>
                <w:sz w:val="20"/>
                <w:szCs w:val="20"/>
                <w:vertAlign w:val="superscript"/>
                <w:lang w:val="en-AU"/>
              </w:rPr>
            </w:pPr>
            <w:r w:rsidRPr="00F453F7">
              <w:rPr>
                <w:rFonts w:ascii="Arial Narrow" w:hAnsi="Arial Narrow"/>
                <w:color w:val="auto"/>
                <w:sz w:val="20"/>
                <w:szCs w:val="20"/>
              </w:rPr>
              <w:t>1.0 (0.72, 1.38)</w:t>
            </w:r>
            <w:r w:rsidRPr="00F453F7">
              <w:rPr>
                <w:rFonts w:ascii="Arial Narrow" w:hAnsi="Arial Narrow"/>
                <w:color w:val="auto"/>
                <w:sz w:val="20"/>
                <w:szCs w:val="20"/>
                <w:vertAlign w:val="superscript"/>
              </w:rPr>
              <w:t>1</w:t>
            </w:r>
          </w:p>
        </w:tc>
      </w:tr>
      <w:tr w:rsidR="001F39F8" w:rsidRPr="00F453F7" w:rsidTr="000C1DF3">
        <w:tc>
          <w:tcPr>
            <w:tcW w:w="939" w:type="pct"/>
            <w:shd w:val="clear" w:color="auto" w:fill="auto"/>
          </w:tcPr>
          <w:p w:rsidR="001F39F8" w:rsidRPr="00F453F7" w:rsidRDefault="001F39F8" w:rsidP="000C1DF3">
            <w:pPr>
              <w:pStyle w:val="V50Instructions"/>
              <w:rPr>
                <w:rFonts w:ascii="Arial Narrow" w:hAnsi="Arial Narrow"/>
                <w:color w:val="auto"/>
                <w:sz w:val="20"/>
                <w:szCs w:val="20"/>
                <w:lang w:val="en-AU"/>
              </w:rPr>
            </w:pPr>
            <w:r w:rsidRPr="00F453F7">
              <w:rPr>
                <w:rFonts w:ascii="Arial Narrow" w:hAnsi="Arial Narrow"/>
                <w:color w:val="auto"/>
                <w:sz w:val="20"/>
                <w:szCs w:val="20"/>
              </w:rPr>
              <w:t>MAIC (adjusted)</w:t>
            </w:r>
          </w:p>
        </w:tc>
        <w:tc>
          <w:tcPr>
            <w:tcW w:w="1181" w:type="pct"/>
            <w:shd w:val="clear" w:color="auto" w:fill="auto"/>
          </w:tcPr>
          <w:p w:rsidR="001F39F8" w:rsidRPr="00F453F7" w:rsidRDefault="001F39F8" w:rsidP="000C1DF3">
            <w:pPr>
              <w:pStyle w:val="V50Instructions"/>
              <w:jc w:val="center"/>
              <w:rPr>
                <w:rFonts w:ascii="Arial Narrow" w:hAnsi="Arial Narrow"/>
                <w:color w:val="auto"/>
                <w:sz w:val="20"/>
                <w:szCs w:val="20"/>
                <w:lang w:val="en-AU"/>
              </w:rPr>
            </w:pPr>
            <w:r w:rsidRPr="00F453F7">
              <w:rPr>
                <w:rFonts w:ascii="Arial Narrow" w:hAnsi="Arial Narrow"/>
                <w:color w:val="auto"/>
                <w:sz w:val="20"/>
                <w:szCs w:val="20"/>
              </w:rPr>
              <w:t>0.68 (0.48, 0.97)</w:t>
            </w:r>
          </w:p>
        </w:tc>
        <w:tc>
          <w:tcPr>
            <w:tcW w:w="1259" w:type="pct"/>
            <w:shd w:val="clear" w:color="auto" w:fill="auto"/>
          </w:tcPr>
          <w:p w:rsidR="001F39F8" w:rsidRPr="00F453F7" w:rsidRDefault="001F39F8" w:rsidP="000C1DF3">
            <w:pPr>
              <w:pStyle w:val="V50Instructions"/>
              <w:jc w:val="center"/>
              <w:rPr>
                <w:rFonts w:ascii="Arial Narrow" w:hAnsi="Arial Narrow"/>
                <w:color w:val="auto"/>
                <w:sz w:val="20"/>
                <w:szCs w:val="20"/>
                <w:lang w:val="en-AU"/>
              </w:rPr>
            </w:pPr>
            <w:r w:rsidRPr="00F453F7">
              <w:rPr>
                <w:rFonts w:ascii="Arial Narrow" w:hAnsi="Arial Narrow"/>
                <w:color w:val="auto"/>
                <w:sz w:val="20"/>
                <w:szCs w:val="20"/>
              </w:rPr>
              <w:t>0.73 (0.59, 0.91)</w:t>
            </w:r>
          </w:p>
        </w:tc>
        <w:tc>
          <w:tcPr>
            <w:tcW w:w="1621" w:type="pct"/>
            <w:shd w:val="clear" w:color="auto" w:fill="auto"/>
          </w:tcPr>
          <w:p w:rsidR="001F39F8" w:rsidRPr="00F453F7" w:rsidRDefault="001F39F8" w:rsidP="000C1DF3">
            <w:pPr>
              <w:pStyle w:val="V50Instructions"/>
              <w:jc w:val="center"/>
              <w:rPr>
                <w:rFonts w:ascii="Arial Narrow" w:hAnsi="Arial Narrow"/>
                <w:color w:val="auto"/>
                <w:sz w:val="20"/>
                <w:szCs w:val="20"/>
                <w:vertAlign w:val="superscript"/>
                <w:lang w:val="en-AU"/>
              </w:rPr>
            </w:pPr>
            <w:r w:rsidRPr="00F453F7">
              <w:rPr>
                <w:rFonts w:ascii="Arial Narrow" w:hAnsi="Arial Narrow"/>
                <w:color w:val="auto"/>
                <w:sz w:val="20"/>
                <w:szCs w:val="20"/>
              </w:rPr>
              <w:t>0.93 (0.62, 1.41)</w:t>
            </w:r>
            <w:r w:rsidRPr="00F453F7">
              <w:rPr>
                <w:rFonts w:ascii="Arial Narrow" w:hAnsi="Arial Narrow"/>
                <w:color w:val="auto"/>
                <w:sz w:val="20"/>
                <w:szCs w:val="20"/>
                <w:vertAlign w:val="superscript"/>
              </w:rPr>
              <w:t>1</w:t>
            </w:r>
          </w:p>
        </w:tc>
      </w:tr>
    </w:tbl>
    <w:p w:rsidR="001F39F8" w:rsidRPr="00F453F7" w:rsidRDefault="001F39F8" w:rsidP="001F39F8">
      <w:pPr>
        <w:pStyle w:val="TableFooter"/>
      </w:pPr>
      <w:r w:rsidRPr="00F453F7">
        <w:t>Source: Table 2.6.1, p82 of the submission.</w:t>
      </w:r>
    </w:p>
    <w:p w:rsidR="001F39F8" w:rsidRPr="00F453F7" w:rsidRDefault="001F39F8" w:rsidP="001F39F8">
      <w:pPr>
        <w:pStyle w:val="TableFooter"/>
      </w:pPr>
      <w:r w:rsidRPr="00F453F7">
        <w:t>Abbreviations: CI, confidence interval; HR, hazard ratio.</w:t>
      </w:r>
    </w:p>
    <w:p w:rsidR="001F39F8" w:rsidRPr="009C281C" w:rsidRDefault="001F39F8" w:rsidP="009C281C">
      <w:pPr>
        <w:pStyle w:val="TableFooter"/>
      </w:pPr>
      <w:r w:rsidRPr="00F453F7">
        <w:rPr>
          <w:vertAlign w:val="superscript"/>
        </w:rPr>
        <w:t>1</w:t>
      </w:r>
      <w:r w:rsidRPr="00F453F7">
        <w:t xml:space="preserve"> Hazard ratio &lt; 0 favours durvalumab.</w:t>
      </w:r>
    </w:p>
    <w:p w:rsidR="00BB769A" w:rsidRPr="00F453F7" w:rsidRDefault="001F39F8" w:rsidP="00A1349E">
      <w:pPr>
        <w:pStyle w:val="ListParagraph"/>
        <w:numPr>
          <w:ilvl w:val="1"/>
          <w:numId w:val="3"/>
        </w:numPr>
      </w:pPr>
      <w:r w:rsidRPr="00F453F7">
        <w:t xml:space="preserve">Based on the unadjusted (naïve) result for durvalumab versus chemotherapy, </w:t>
      </w:r>
      <w:r w:rsidR="009E6DDF" w:rsidRPr="00F453F7">
        <w:t xml:space="preserve">the </w:t>
      </w:r>
      <w:r w:rsidRPr="00F453F7">
        <w:t xml:space="preserve">indirect comparison of durvalumab versus pembrolizumab was associated with a hazard ratio of 1.0 (95% CI: 0.72, 1.38). Based on the matching adjusted result for durvalumab versus chemotherapy, </w:t>
      </w:r>
      <w:r w:rsidR="009E6DDF" w:rsidRPr="00F453F7">
        <w:t xml:space="preserve">the </w:t>
      </w:r>
      <w:r w:rsidRPr="00F453F7">
        <w:t xml:space="preserve">indirect comparison of durvalumab versus pembrolizumab was associated with a hazard ratio of 0.93 (95%: CI: 0.62, 1.41). </w:t>
      </w:r>
      <w:r w:rsidR="00512946" w:rsidRPr="00F453F7">
        <w:t>The PBAC noted that the</w:t>
      </w:r>
      <w:r w:rsidR="00571B7E" w:rsidRPr="00F453F7">
        <w:t xml:space="preserve"> results of this comparison appeared to indicate that durvalumab was non-inferior to pembrolizumab, h</w:t>
      </w:r>
      <w:r w:rsidRPr="00F453F7">
        <w:t xml:space="preserve">owever, the </w:t>
      </w:r>
      <w:r w:rsidR="00571B7E" w:rsidRPr="00F453F7">
        <w:t xml:space="preserve">PBAC also considered that there was a </w:t>
      </w:r>
      <w:r w:rsidR="007A64E9">
        <w:t>high</w:t>
      </w:r>
      <w:r w:rsidR="007A64E9" w:rsidRPr="00F453F7">
        <w:t xml:space="preserve"> </w:t>
      </w:r>
      <w:r w:rsidR="00571B7E" w:rsidRPr="00F453F7">
        <w:t xml:space="preserve">level of </w:t>
      </w:r>
      <w:r w:rsidR="007A64E9">
        <w:t>un</w:t>
      </w:r>
      <w:r w:rsidR="00571B7E" w:rsidRPr="00F453F7">
        <w:t>certainty in the results of the comparison</w:t>
      </w:r>
      <w:r w:rsidRPr="00F453F7">
        <w:t>, as the statistical validity of the approach used to conduct the indirect comparisons was unclear</w:t>
      </w:r>
      <w:r w:rsidR="007C05EC" w:rsidRPr="00F453F7">
        <w:t xml:space="preserve"> </w:t>
      </w:r>
      <w:r w:rsidR="00BB769A" w:rsidRPr="00F453F7">
        <w:t>and the MAIC was unreliable.</w:t>
      </w:r>
    </w:p>
    <w:p w:rsidR="007C05EC" w:rsidRPr="00F453F7" w:rsidRDefault="00BB769A" w:rsidP="00A1349E">
      <w:pPr>
        <w:pStyle w:val="ListParagraph"/>
        <w:numPr>
          <w:ilvl w:val="1"/>
          <w:numId w:val="3"/>
        </w:numPr>
      </w:pPr>
      <w:r w:rsidRPr="00F453F7">
        <w:t>T</w:t>
      </w:r>
      <w:r w:rsidR="0060530B" w:rsidRPr="00F453F7">
        <w:t xml:space="preserve">here were </w:t>
      </w:r>
      <w:r w:rsidR="002A2AF4" w:rsidRPr="00F453F7">
        <w:t xml:space="preserve">insufficient </w:t>
      </w:r>
      <w:r w:rsidR="0060530B" w:rsidRPr="00F453F7">
        <w:t>details regarding the methodology of the MAIC</w:t>
      </w:r>
      <w:r w:rsidR="002A2AF4" w:rsidRPr="00F453F7">
        <w:t>, especially details about the prognostic factors chosen and the likely bias resulting from unobserved prognostic factors and effect modifiers that may be distributed differently in the trials. Furthermore, the distribution of weights plot to enable assessment of the extent of overlap between the trial populations was not provided</w:t>
      </w:r>
      <w:r w:rsidR="007C05EC" w:rsidRPr="00F453F7">
        <w:t>.</w:t>
      </w:r>
      <w:r w:rsidR="000E0D4A" w:rsidRPr="00F453F7">
        <w:t xml:space="preserve"> </w:t>
      </w:r>
      <w:r w:rsidR="00C537BD" w:rsidRPr="00F453F7">
        <w:t>The technical document indicated a large loss of effective sample size following matching of the chosen variables, suggesting a lack of overlap between Study 1108 and Keynote-045 patient characteristics.</w:t>
      </w:r>
      <w:r w:rsidR="00D60C6D" w:rsidRPr="00F453F7">
        <w:t xml:space="preserve"> </w:t>
      </w:r>
      <w:r w:rsidR="007C05EC" w:rsidRPr="00F453F7">
        <w:t xml:space="preserve">The ESC noted the 62% reduction in effective sample size following matching of durvalumab to the chemotherapy arm of Keynote-045, indicative of the relatively poor overlap of populations between trials. </w:t>
      </w:r>
    </w:p>
    <w:p w:rsidR="000D0EB7" w:rsidRPr="00F453F7" w:rsidRDefault="007420CE" w:rsidP="00A1349E">
      <w:pPr>
        <w:pStyle w:val="ListParagraph"/>
        <w:numPr>
          <w:ilvl w:val="1"/>
          <w:numId w:val="3"/>
        </w:numPr>
      </w:pPr>
      <w:r w:rsidRPr="00F453F7">
        <w:t xml:space="preserve">PD-L1 expression could not be compared due to </w:t>
      </w:r>
      <w:r w:rsidR="00E1115D" w:rsidRPr="00F453F7">
        <w:t xml:space="preserve">the </w:t>
      </w:r>
      <w:r w:rsidRPr="00F453F7">
        <w:t xml:space="preserve">differences in PD-L1 expression assays and scoring systems used between the studies. This was a major limitation for </w:t>
      </w:r>
      <w:r w:rsidRPr="00F453F7">
        <w:lastRenderedPageBreak/>
        <w:t>the comparison</w:t>
      </w:r>
      <w:r w:rsidR="000F5F39" w:rsidRPr="00F453F7">
        <w:t>s</w:t>
      </w:r>
      <w:r w:rsidRPr="00F453F7">
        <w:t>, given that</w:t>
      </w:r>
      <w:r w:rsidR="00F565E8" w:rsidRPr="00F453F7">
        <w:t xml:space="preserve"> all effect modifiers and prognostic variables should be adjusted for in an unanchored MAIC in order to reliably predict absolute outcomes (NICE Technical Support Document 18; Phillippo et al. 2016), yet</w:t>
      </w:r>
      <w:r w:rsidRPr="00F453F7">
        <w:t xml:space="preserve"> the results for durvalumab suggest that PD-L1 expression was a strong predictor of </w:t>
      </w:r>
      <w:r w:rsidR="001D4723" w:rsidRPr="00F453F7">
        <w:t>progression-free survival</w:t>
      </w:r>
      <w:r w:rsidR="00893633" w:rsidRPr="00F453F7">
        <w:t xml:space="preserve"> and </w:t>
      </w:r>
      <w:r w:rsidRPr="00F453F7">
        <w:t xml:space="preserve">overall survival in Study 1108. </w:t>
      </w:r>
      <w:r w:rsidR="00E90B25" w:rsidRPr="00F453F7">
        <w:t>The ESC noted that f</w:t>
      </w:r>
      <w:r w:rsidR="00F565E8" w:rsidRPr="00F453F7">
        <w:t>ailure to adjust for all prognostic and effect modifier variables leads to an unknown amount of bias in the unanchored estimate.</w:t>
      </w:r>
      <w:r w:rsidR="00E90B25" w:rsidRPr="00F453F7">
        <w:t xml:space="preserve"> </w:t>
      </w:r>
      <w:r w:rsidR="000D0EB7" w:rsidRPr="00F453F7">
        <w:t xml:space="preserve">The ESC </w:t>
      </w:r>
      <w:r w:rsidR="007C05EC" w:rsidRPr="00F453F7">
        <w:t>noted the advice in</w:t>
      </w:r>
      <w:r w:rsidR="000D0EB7" w:rsidRPr="00F453F7">
        <w:t xml:space="preserve"> the NICE technical supp</w:t>
      </w:r>
      <w:r w:rsidR="007C05EC" w:rsidRPr="00F453F7">
        <w:t>ort document for MAIC, and considered</w:t>
      </w:r>
      <w:r w:rsidR="000D0EB7" w:rsidRPr="00F453F7">
        <w:t xml:space="preserve"> that because the degree of bias due to </w:t>
      </w:r>
      <w:r w:rsidR="00867B2E" w:rsidRPr="00F453F7">
        <w:t xml:space="preserve">the </w:t>
      </w:r>
      <w:r w:rsidR="000D0EB7" w:rsidRPr="00F453F7">
        <w:t>imbalance in unaccounted</w:t>
      </w:r>
      <w:r w:rsidR="0010567A" w:rsidRPr="00F453F7">
        <w:t>-</w:t>
      </w:r>
      <w:r w:rsidR="000D0EB7" w:rsidRPr="00F453F7">
        <w:t xml:space="preserve">for covariates was not provided in the submission and </w:t>
      </w:r>
      <w:r w:rsidR="00FE3F83" w:rsidRPr="00F453F7">
        <w:t xml:space="preserve">is therefore </w:t>
      </w:r>
      <w:r w:rsidR="000D0EB7" w:rsidRPr="00F453F7">
        <w:t>unknown, the amount of systematic error is likely to be substantial and could even exceed the magnitude of treatment effects which are being estimated.</w:t>
      </w:r>
    </w:p>
    <w:p w:rsidR="00A1349E" w:rsidRPr="00F453F7" w:rsidRDefault="00061C6B" w:rsidP="004D22DF">
      <w:pPr>
        <w:pStyle w:val="ListParagraph"/>
        <w:numPr>
          <w:ilvl w:val="1"/>
          <w:numId w:val="3"/>
        </w:numPr>
      </w:pPr>
      <w:r w:rsidRPr="00F453F7">
        <w:t xml:space="preserve">Other between-trial differences that cannot be accounted for in the MAIC include differences in trial design (Phase 1/2 non-comparative versus Phase 3 randomised comparative, timing of tumour assessments), use of post-progression treatments, protocol-defined durations of treatment, duration of follow-up, and treatment beyond disease progression. The </w:t>
      </w:r>
      <w:r w:rsidR="0010567A" w:rsidRPr="00F453F7">
        <w:t xml:space="preserve">PBAC agreed with the ESC that </w:t>
      </w:r>
      <w:r w:rsidRPr="00F453F7">
        <w:t>this severely compromised the validity of the MAIC analysis and subsequent indirect comparison with pembrolizumab using chemotherapy as a common comparator.</w:t>
      </w:r>
    </w:p>
    <w:p w:rsidR="00C317F3" w:rsidRPr="00F453F7" w:rsidRDefault="00C317F3" w:rsidP="004D22DF">
      <w:pPr>
        <w:pStyle w:val="4-SubsectionHeading"/>
      </w:pPr>
      <w:bookmarkStart w:id="16" w:name="_Toc413139279"/>
      <w:bookmarkStart w:id="17" w:name="_Toc9428550"/>
      <w:r w:rsidRPr="00F453F7">
        <w:t xml:space="preserve">Comparative </w:t>
      </w:r>
      <w:r w:rsidRPr="004D22DF">
        <w:t>harms</w:t>
      </w:r>
      <w:bookmarkEnd w:id="16"/>
      <w:bookmarkEnd w:id="17"/>
    </w:p>
    <w:p w:rsidR="00C317F3" w:rsidRPr="00F453F7" w:rsidRDefault="00F035B5" w:rsidP="000C7E20">
      <w:pPr>
        <w:pStyle w:val="ListParagraph"/>
        <w:numPr>
          <w:ilvl w:val="1"/>
          <w:numId w:val="3"/>
        </w:numPr>
        <w:spacing w:after="160"/>
      </w:pPr>
      <w:r w:rsidRPr="00F453F7">
        <w:t xml:space="preserve">Table </w:t>
      </w:r>
      <w:r w:rsidR="0010567A" w:rsidRPr="00F453F7">
        <w:t xml:space="preserve">9 </w:t>
      </w:r>
      <w:r w:rsidR="0094304E" w:rsidRPr="00F453F7">
        <w:t>presents an overall summary of the adverse events associated with durvalumab, pembrolizumab and chemotherapy for Study 1108 and Keynote-045.</w:t>
      </w:r>
    </w:p>
    <w:p w:rsidR="00FA264F" w:rsidRDefault="00FA264F" w:rsidP="00FA264F">
      <w:pPr>
        <w:pStyle w:val="TableHeading"/>
      </w:pPr>
      <w:r>
        <w:t xml:space="preserve">Table </w:t>
      </w:r>
      <w:r w:rsidR="00C15CB6">
        <w:fldChar w:fldCharType="begin"/>
      </w:r>
      <w:r w:rsidR="00C15CB6">
        <w:instrText xml:space="preserve"> SEQ Table \* ARABIC </w:instrText>
      </w:r>
      <w:r w:rsidR="00C15CB6">
        <w:fldChar w:fldCharType="separate"/>
      </w:r>
      <w:r w:rsidR="00E55F9F">
        <w:rPr>
          <w:noProof/>
        </w:rPr>
        <w:t>9</w:t>
      </w:r>
      <w:r w:rsidR="00C15CB6">
        <w:rPr>
          <w:noProof/>
        </w:rPr>
        <w:fldChar w:fldCharType="end"/>
      </w:r>
      <w:r w:rsidRPr="004A5C25">
        <w:t>: Summary of adverse events across the included studies</w:t>
      </w:r>
    </w:p>
    <w:tbl>
      <w:tblPr>
        <w:tblStyle w:val="AZTable"/>
        <w:tblW w:w="5000" w:type="pct"/>
        <w:tblLook w:val="04A0" w:firstRow="1" w:lastRow="0" w:firstColumn="1" w:lastColumn="0" w:noHBand="0" w:noVBand="1"/>
        <w:tblCaption w:val="Table 9: Summary of adverse events across the included studies"/>
      </w:tblPr>
      <w:tblGrid>
        <w:gridCol w:w="2701"/>
        <w:gridCol w:w="2238"/>
        <w:gridCol w:w="2039"/>
        <w:gridCol w:w="2038"/>
      </w:tblGrid>
      <w:tr w:rsidR="0094304E" w:rsidRPr="00F453F7" w:rsidTr="0049004E">
        <w:trPr>
          <w:cnfStyle w:val="100000000000" w:firstRow="1" w:lastRow="0" w:firstColumn="0" w:lastColumn="0" w:oddVBand="0" w:evenVBand="0" w:oddHBand="0" w:evenHBand="0" w:firstRowFirstColumn="0" w:firstRowLastColumn="0" w:lastRowFirstColumn="0" w:lastRowLastColumn="0"/>
          <w:tblHeader/>
        </w:trPr>
        <w:tc>
          <w:tcPr>
            <w:tcW w:w="1498" w:type="pct"/>
            <w:vMerge w:val="restart"/>
            <w:hideMark/>
          </w:tcPr>
          <w:p w:rsidR="0094304E" w:rsidRPr="00F453F7" w:rsidRDefault="0094304E" w:rsidP="004D4152">
            <w:pPr>
              <w:pStyle w:val="TableHeading0"/>
              <w:keepLines/>
            </w:pPr>
            <w:r w:rsidRPr="00F453F7">
              <w:t>Event</w:t>
            </w:r>
          </w:p>
        </w:tc>
        <w:tc>
          <w:tcPr>
            <w:tcW w:w="1241" w:type="pct"/>
            <w:hideMark/>
          </w:tcPr>
          <w:p w:rsidR="0094304E" w:rsidRPr="00F453F7" w:rsidRDefault="0094304E" w:rsidP="004D4152">
            <w:pPr>
              <w:pStyle w:val="TableHeading0"/>
              <w:keepLines/>
              <w:jc w:val="center"/>
            </w:pPr>
            <w:r w:rsidRPr="00F453F7">
              <w:t xml:space="preserve">Study 1108 </w:t>
            </w:r>
          </w:p>
          <w:p w:rsidR="0094304E" w:rsidRPr="00F453F7" w:rsidRDefault="007420CE" w:rsidP="004D4152">
            <w:pPr>
              <w:pStyle w:val="TableHeading0"/>
              <w:keepLines/>
              <w:jc w:val="center"/>
            </w:pPr>
            <w:r w:rsidRPr="00F453F7">
              <w:t>(</w:t>
            </w:r>
            <w:r w:rsidR="0094304E" w:rsidRPr="00F453F7">
              <w:t>second-line</w:t>
            </w:r>
          </w:p>
          <w:p w:rsidR="0094304E" w:rsidRPr="00F453F7" w:rsidRDefault="0094304E" w:rsidP="004D4152">
            <w:pPr>
              <w:pStyle w:val="TableHeading0"/>
              <w:keepLines/>
              <w:jc w:val="center"/>
            </w:pPr>
            <w:r w:rsidRPr="00F453F7">
              <w:t xml:space="preserve"> post-platinum cohort</w:t>
            </w:r>
            <w:r w:rsidR="007420CE" w:rsidRPr="00F453F7">
              <w:t>)</w:t>
            </w:r>
          </w:p>
        </w:tc>
        <w:tc>
          <w:tcPr>
            <w:tcW w:w="2261" w:type="pct"/>
            <w:gridSpan w:val="2"/>
            <w:hideMark/>
          </w:tcPr>
          <w:p w:rsidR="0094304E" w:rsidRPr="00F453F7" w:rsidRDefault="0094304E" w:rsidP="004D4152">
            <w:pPr>
              <w:pStyle w:val="TableHeading0"/>
              <w:keepLines/>
              <w:jc w:val="center"/>
            </w:pPr>
            <w:r w:rsidRPr="00F453F7">
              <w:t>Keynote-045 Study</w:t>
            </w:r>
          </w:p>
          <w:p w:rsidR="0094304E" w:rsidRPr="00F453F7" w:rsidRDefault="007420CE" w:rsidP="004D4152">
            <w:pPr>
              <w:pStyle w:val="TableHeading0"/>
              <w:keepLines/>
              <w:jc w:val="center"/>
            </w:pPr>
            <w:r w:rsidRPr="00F453F7">
              <w:t>(a</w:t>
            </w:r>
            <w:r w:rsidR="0094304E" w:rsidRPr="00F453F7">
              <w:t>s treated population)</w:t>
            </w:r>
          </w:p>
        </w:tc>
      </w:tr>
      <w:tr w:rsidR="0094304E" w:rsidRPr="00F453F7" w:rsidTr="0049004E">
        <w:trPr>
          <w:cnfStyle w:val="100000000000" w:firstRow="1" w:lastRow="0" w:firstColumn="0" w:lastColumn="0" w:oddVBand="0" w:evenVBand="0" w:oddHBand="0" w:evenHBand="0" w:firstRowFirstColumn="0" w:firstRowLastColumn="0" w:lastRowFirstColumn="0" w:lastRowLastColumn="0"/>
          <w:trHeight w:val="359"/>
          <w:tblHeader/>
        </w:trPr>
        <w:tc>
          <w:tcPr>
            <w:tcW w:w="1498" w:type="pct"/>
            <w:vMerge/>
          </w:tcPr>
          <w:p w:rsidR="0094304E" w:rsidRPr="00F453F7" w:rsidRDefault="0094304E" w:rsidP="004D4152">
            <w:pPr>
              <w:pStyle w:val="TableText"/>
              <w:keepLines/>
            </w:pPr>
          </w:p>
        </w:tc>
        <w:tc>
          <w:tcPr>
            <w:tcW w:w="1241" w:type="pct"/>
          </w:tcPr>
          <w:p w:rsidR="0094304E" w:rsidRPr="00F453F7" w:rsidRDefault="0094304E" w:rsidP="004D4152">
            <w:pPr>
              <w:pStyle w:val="TableHeading0"/>
              <w:keepLines/>
              <w:jc w:val="center"/>
            </w:pPr>
            <w:r w:rsidRPr="00F453F7">
              <w:t>Durvalumab</w:t>
            </w:r>
          </w:p>
          <w:p w:rsidR="0094304E" w:rsidRPr="00F453F7" w:rsidRDefault="0094304E" w:rsidP="004D4152">
            <w:pPr>
              <w:pStyle w:val="TableHeading0"/>
              <w:keepLines/>
              <w:jc w:val="center"/>
            </w:pPr>
            <w:r w:rsidRPr="00F453F7">
              <w:t>10 mg/kg every 2 weeks</w:t>
            </w:r>
          </w:p>
          <w:p w:rsidR="0094304E" w:rsidRPr="00F453F7" w:rsidRDefault="0094304E" w:rsidP="004D4152">
            <w:pPr>
              <w:pStyle w:val="TableText"/>
              <w:keepLines/>
              <w:jc w:val="center"/>
            </w:pPr>
            <w:r w:rsidRPr="00F453F7">
              <w:rPr>
                <w:b/>
              </w:rPr>
              <w:t>N=192</w:t>
            </w:r>
          </w:p>
        </w:tc>
        <w:tc>
          <w:tcPr>
            <w:tcW w:w="1131" w:type="pct"/>
          </w:tcPr>
          <w:p w:rsidR="0094304E" w:rsidRPr="00F453F7" w:rsidRDefault="0094304E" w:rsidP="004D4152">
            <w:pPr>
              <w:pStyle w:val="TableHeading0"/>
              <w:keepLines/>
              <w:jc w:val="center"/>
            </w:pPr>
            <w:r w:rsidRPr="00F453F7">
              <w:t>Pembrolizumab 200 mg every 3 weeks</w:t>
            </w:r>
          </w:p>
          <w:p w:rsidR="0094304E" w:rsidRPr="00F453F7" w:rsidRDefault="0094304E" w:rsidP="004D4152">
            <w:pPr>
              <w:pStyle w:val="TableText"/>
              <w:keepLines/>
              <w:jc w:val="center"/>
            </w:pPr>
            <w:r w:rsidRPr="00F453F7">
              <w:rPr>
                <w:b/>
              </w:rPr>
              <w:t>N=266</w:t>
            </w:r>
          </w:p>
        </w:tc>
        <w:tc>
          <w:tcPr>
            <w:tcW w:w="1130" w:type="pct"/>
          </w:tcPr>
          <w:p w:rsidR="0094304E" w:rsidRPr="00F453F7" w:rsidRDefault="0094304E" w:rsidP="004D4152">
            <w:pPr>
              <w:pStyle w:val="TableHeading0"/>
              <w:keepLines/>
              <w:jc w:val="center"/>
            </w:pPr>
            <w:r w:rsidRPr="00F453F7">
              <w:t>Chemotherapy</w:t>
            </w:r>
          </w:p>
          <w:p w:rsidR="0094304E" w:rsidRPr="00F453F7" w:rsidRDefault="0094304E" w:rsidP="004D4152">
            <w:pPr>
              <w:pStyle w:val="TableText"/>
              <w:keepLines/>
              <w:jc w:val="center"/>
              <w:rPr>
                <w:b/>
              </w:rPr>
            </w:pPr>
            <w:r w:rsidRPr="00F453F7">
              <w:rPr>
                <w:b/>
              </w:rPr>
              <w:t>every 3 weeks</w:t>
            </w:r>
          </w:p>
          <w:p w:rsidR="0094304E" w:rsidRPr="00F453F7" w:rsidRDefault="0094304E" w:rsidP="004D4152">
            <w:pPr>
              <w:pStyle w:val="TableText"/>
              <w:keepLines/>
              <w:jc w:val="center"/>
            </w:pPr>
            <w:r w:rsidRPr="00F453F7">
              <w:rPr>
                <w:b/>
              </w:rPr>
              <w:t>N=255</w:t>
            </w:r>
          </w:p>
        </w:tc>
      </w:tr>
      <w:tr w:rsidR="00412928" w:rsidRPr="00F453F7" w:rsidTr="0049004E">
        <w:tc>
          <w:tcPr>
            <w:tcW w:w="1498" w:type="pct"/>
          </w:tcPr>
          <w:p w:rsidR="00412928" w:rsidRPr="0049004E" w:rsidRDefault="00412928" w:rsidP="004D4152">
            <w:pPr>
              <w:pStyle w:val="TableText"/>
              <w:keepLines/>
              <w:rPr>
                <w:sz w:val="20"/>
              </w:rPr>
            </w:pPr>
            <w:r w:rsidRPr="0049004E">
              <w:rPr>
                <w:sz w:val="20"/>
              </w:rPr>
              <w:t>Any AE, n (%)</w:t>
            </w:r>
          </w:p>
        </w:tc>
        <w:tc>
          <w:tcPr>
            <w:tcW w:w="1241" w:type="pct"/>
          </w:tcPr>
          <w:p w:rsidR="00412928" w:rsidRPr="0049004E" w:rsidRDefault="00412928" w:rsidP="004D4152">
            <w:pPr>
              <w:pStyle w:val="TableText"/>
              <w:keepLines/>
              <w:jc w:val="center"/>
              <w:rPr>
                <w:sz w:val="20"/>
              </w:rPr>
            </w:pPr>
            <w:r w:rsidRPr="0049004E">
              <w:rPr>
                <w:sz w:val="20"/>
              </w:rPr>
              <w:t>189 (98.4%)</w:t>
            </w:r>
          </w:p>
        </w:tc>
        <w:tc>
          <w:tcPr>
            <w:tcW w:w="1131" w:type="pct"/>
          </w:tcPr>
          <w:p w:rsidR="00412928" w:rsidRPr="0049004E" w:rsidRDefault="00412928" w:rsidP="004D4152">
            <w:pPr>
              <w:pStyle w:val="TableText"/>
              <w:keepLines/>
              <w:jc w:val="center"/>
              <w:rPr>
                <w:sz w:val="20"/>
              </w:rPr>
            </w:pPr>
            <w:r w:rsidRPr="0049004E">
              <w:rPr>
                <w:sz w:val="20"/>
              </w:rPr>
              <w:t>248 (93.2%)</w:t>
            </w:r>
          </w:p>
        </w:tc>
        <w:tc>
          <w:tcPr>
            <w:tcW w:w="1130" w:type="pct"/>
          </w:tcPr>
          <w:p w:rsidR="00412928" w:rsidRPr="0049004E" w:rsidRDefault="00412928" w:rsidP="004D4152">
            <w:pPr>
              <w:pStyle w:val="TableText"/>
              <w:keepLines/>
              <w:jc w:val="center"/>
              <w:rPr>
                <w:sz w:val="20"/>
              </w:rPr>
            </w:pPr>
            <w:r w:rsidRPr="0049004E">
              <w:rPr>
                <w:sz w:val="20"/>
              </w:rPr>
              <w:t>250 (98.0%)</w:t>
            </w:r>
          </w:p>
        </w:tc>
      </w:tr>
      <w:tr w:rsidR="00412928" w:rsidRPr="00F453F7" w:rsidTr="0049004E">
        <w:tc>
          <w:tcPr>
            <w:tcW w:w="1498" w:type="pct"/>
          </w:tcPr>
          <w:p w:rsidR="00412928" w:rsidRPr="0049004E" w:rsidRDefault="00412928" w:rsidP="004D4152">
            <w:pPr>
              <w:pStyle w:val="TableText"/>
              <w:keepLines/>
              <w:rPr>
                <w:sz w:val="20"/>
              </w:rPr>
            </w:pPr>
            <w:r w:rsidRPr="0049004E">
              <w:rPr>
                <w:sz w:val="20"/>
              </w:rPr>
              <w:t>Treatment related AE, n (%)</w:t>
            </w:r>
          </w:p>
        </w:tc>
        <w:tc>
          <w:tcPr>
            <w:tcW w:w="1241" w:type="pct"/>
          </w:tcPr>
          <w:p w:rsidR="00412928" w:rsidRPr="0049004E" w:rsidRDefault="00412928" w:rsidP="004D4152">
            <w:pPr>
              <w:pStyle w:val="TableText"/>
              <w:keepLines/>
              <w:jc w:val="center"/>
              <w:rPr>
                <w:sz w:val="20"/>
              </w:rPr>
            </w:pPr>
            <w:r w:rsidRPr="0049004E">
              <w:rPr>
                <w:sz w:val="20"/>
              </w:rPr>
              <w:t>115 (59.9%)</w:t>
            </w:r>
          </w:p>
        </w:tc>
        <w:tc>
          <w:tcPr>
            <w:tcW w:w="1131" w:type="pct"/>
          </w:tcPr>
          <w:p w:rsidR="00412928" w:rsidRPr="0049004E" w:rsidRDefault="00412928" w:rsidP="004D4152">
            <w:pPr>
              <w:pStyle w:val="TableText"/>
              <w:keepLines/>
              <w:jc w:val="center"/>
              <w:rPr>
                <w:sz w:val="20"/>
              </w:rPr>
            </w:pPr>
            <w:r w:rsidRPr="0049004E">
              <w:rPr>
                <w:sz w:val="20"/>
              </w:rPr>
              <w:t>162 (60.9%)</w:t>
            </w:r>
          </w:p>
        </w:tc>
        <w:tc>
          <w:tcPr>
            <w:tcW w:w="1130" w:type="pct"/>
          </w:tcPr>
          <w:p w:rsidR="00412928" w:rsidRPr="0049004E" w:rsidRDefault="00412928" w:rsidP="004D4152">
            <w:pPr>
              <w:pStyle w:val="TableText"/>
              <w:keepLines/>
              <w:jc w:val="center"/>
              <w:rPr>
                <w:sz w:val="20"/>
              </w:rPr>
            </w:pPr>
            <w:r w:rsidRPr="0049004E">
              <w:rPr>
                <w:sz w:val="20"/>
              </w:rPr>
              <w:t>230 (90.2%)</w:t>
            </w:r>
          </w:p>
        </w:tc>
      </w:tr>
      <w:tr w:rsidR="00412928" w:rsidRPr="00F453F7" w:rsidTr="0049004E">
        <w:tc>
          <w:tcPr>
            <w:tcW w:w="1498" w:type="pct"/>
          </w:tcPr>
          <w:p w:rsidR="00412928" w:rsidRPr="0049004E" w:rsidRDefault="00412928" w:rsidP="004D4152">
            <w:pPr>
              <w:pStyle w:val="TableText"/>
              <w:keepLines/>
              <w:rPr>
                <w:sz w:val="20"/>
              </w:rPr>
            </w:pPr>
            <w:r w:rsidRPr="0049004E">
              <w:rPr>
                <w:sz w:val="20"/>
              </w:rPr>
              <w:t>Any Grade 3 or 4 AE, n (%)</w:t>
            </w:r>
          </w:p>
        </w:tc>
        <w:tc>
          <w:tcPr>
            <w:tcW w:w="1241" w:type="pct"/>
          </w:tcPr>
          <w:p w:rsidR="00412928" w:rsidRPr="0049004E" w:rsidRDefault="00412928" w:rsidP="004D4152">
            <w:pPr>
              <w:pStyle w:val="TableText"/>
              <w:keepLines/>
              <w:jc w:val="center"/>
              <w:rPr>
                <w:sz w:val="20"/>
              </w:rPr>
            </w:pPr>
            <w:r w:rsidRPr="0049004E">
              <w:rPr>
                <w:sz w:val="20"/>
              </w:rPr>
              <w:t>114 (59.4%)</w:t>
            </w:r>
          </w:p>
        </w:tc>
        <w:tc>
          <w:tcPr>
            <w:tcW w:w="1131" w:type="pct"/>
          </w:tcPr>
          <w:p w:rsidR="00412928" w:rsidRPr="0049004E" w:rsidRDefault="00412928" w:rsidP="004D4152">
            <w:pPr>
              <w:pStyle w:val="TableText"/>
              <w:keepLines/>
              <w:jc w:val="center"/>
              <w:rPr>
                <w:sz w:val="20"/>
              </w:rPr>
            </w:pPr>
            <w:r w:rsidRPr="0049004E">
              <w:rPr>
                <w:sz w:val="20"/>
              </w:rPr>
              <w:t>NR</w:t>
            </w:r>
          </w:p>
        </w:tc>
        <w:tc>
          <w:tcPr>
            <w:tcW w:w="1130" w:type="pct"/>
          </w:tcPr>
          <w:p w:rsidR="00412928" w:rsidRPr="0049004E" w:rsidRDefault="00412928" w:rsidP="004D4152">
            <w:pPr>
              <w:pStyle w:val="TableText"/>
              <w:keepLines/>
              <w:jc w:val="center"/>
              <w:rPr>
                <w:sz w:val="20"/>
              </w:rPr>
            </w:pPr>
            <w:r w:rsidRPr="0049004E">
              <w:rPr>
                <w:sz w:val="20"/>
              </w:rPr>
              <w:t>NR</w:t>
            </w:r>
          </w:p>
        </w:tc>
      </w:tr>
      <w:tr w:rsidR="00412928" w:rsidRPr="00F453F7" w:rsidTr="0049004E">
        <w:tc>
          <w:tcPr>
            <w:tcW w:w="1498" w:type="pct"/>
          </w:tcPr>
          <w:p w:rsidR="00412928" w:rsidRPr="0049004E" w:rsidRDefault="00412928" w:rsidP="004D4152">
            <w:pPr>
              <w:pStyle w:val="TableText"/>
              <w:keepLines/>
              <w:rPr>
                <w:sz w:val="20"/>
              </w:rPr>
            </w:pPr>
            <w:r w:rsidRPr="0049004E">
              <w:rPr>
                <w:sz w:val="20"/>
              </w:rPr>
              <w:t>Any Grade 3, 4 or 5 event, n (%)</w:t>
            </w:r>
          </w:p>
        </w:tc>
        <w:tc>
          <w:tcPr>
            <w:tcW w:w="1241" w:type="pct"/>
          </w:tcPr>
          <w:p w:rsidR="00412928" w:rsidRPr="0049004E" w:rsidRDefault="00412928" w:rsidP="004D4152">
            <w:pPr>
              <w:pStyle w:val="TableText"/>
              <w:keepLines/>
              <w:jc w:val="center"/>
              <w:rPr>
                <w:sz w:val="20"/>
              </w:rPr>
            </w:pPr>
            <w:r w:rsidRPr="0049004E">
              <w:rPr>
                <w:sz w:val="20"/>
              </w:rPr>
              <w:t>NR</w:t>
            </w:r>
          </w:p>
        </w:tc>
        <w:tc>
          <w:tcPr>
            <w:tcW w:w="1131" w:type="pct"/>
          </w:tcPr>
          <w:p w:rsidR="00412928" w:rsidRPr="0049004E" w:rsidRDefault="00412928" w:rsidP="004D4152">
            <w:pPr>
              <w:pStyle w:val="TableText"/>
              <w:keepLines/>
              <w:jc w:val="center"/>
              <w:rPr>
                <w:sz w:val="20"/>
              </w:rPr>
            </w:pPr>
            <w:r w:rsidRPr="0049004E">
              <w:rPr>
                <w:sz w:val="20"/>
              </w:rPr>
              <w:t>139 (52.3%)</w:t>
            </w:r>
          </w:p>
        </w:tc>
        <w:tc>
          <w:tcPr>
            <w:tcW w:w="1130" w:type="pct"/>
          </w:tcPr>
          <w:p w:rsidR="00412928" w:rsidRPr="0049004E" w:rsidRDefault="00412928" w:rsidP="004D4152">
            <w:pPr>
              <w:pStyle w:val="TableText"/>
              <w:keepLines/>
              <w:jc w:val="center"/>
              <w:rPr>
                <w:sz w:val="20"/>
              </w:rPr>
            </w:pPr>
            <w:r w:rsidRPr="0049004E">
              <w:rPr>
                <w:sz w:val="20"/>
              </w:rPr>
              <w:t>160 (62.7%)</w:t>
            </w:r>
          </w:p>
        </w:tc>
      </w:tr>
      <w:tr w:rsidR="00412928" w:rsidRPr="00F453F7" w:rsidTr="0049004E">
        <w:tc>
          <w:tcPr>
            <w:tcW w:w="1498" w:type="pct"/>
          </w:tcPr>
          <w:p w:rsidR="00412928" w:rsidRPr="0049004E" w:rsidRDefault="00412928" w:rsidP="004D4152">
            <w:pPr>
              <w:pStyle w:val="TableText"/>
              <w:keepLines/>
              <w:rPr>
                <w:sz w:val="20"/>
              </w:rPr>
            </w:pPr>
            <w:r w:rsidRPr="0049004E">
              <w:rPr>
                <w:sz w:val="20"/>
              </w:rPr>
              <w:t>AE leading to death, n (%)</w:t>
            </w:r>
            <w:r w:rsidRPr="0049004E">
              <w:rPr>
                <w:sz w:val="20"/>
                <w:vertAlign w:val="superscript"/>
              </w:rPr>
              <w:t>1</w:t>
            </w:r>
          </w:p>
        </w:tc>
        <w:tc>
          <w:tcPr>
            <w:tcW w:w="1241" w:type="pct"/>
          </w:tcPr>
          <w:p w:rsidR="00412928" w:rsidRPr="0049004E" w:rsidRDefault="00412928" w:rsidP="004D4152">
            <w:pPr>
              <w:pStyle w:val="TableText"/>
              <w:keepLines/>
              <w:jc w:val="center"/>
              <w:rPr>
                <w:sz w:val="20"/>
              </w:rPr>
            </w:pPr>
            <w:r w:rsidRPr="0049004E">
              <w:rPr>
                <w:sz w:val="20"/>
              </w:rPr>
              <w:t>68 (35.4%)</w:t>
            </w:r>
          </w:p>
        </w:tc>
        <w:tc>
          <w:tcPr>
            <w:tcW w:w="1131" w:type="pct"/>
          </w:tcPr>
          <w:p w:rsidR="00412928" w:rsidRPr="0049004E" w:rsidRDefault="00412928" w:rsidP="004D4152">
            <w:pPr>
              <w:pStyle w:val="TableText"/>
              <w:keepLines/>
              <w:jc w:val="center"/>
              <w:rPr>
                <w:sz w:val="20"/>
              </w:rPr>
            </w:pPr>
            <w:r w:rsidRPr="0049004E">
              <w:rPr>
                <w:sz w:val="20"/>
              </w:rPr>
              <w:t>13 (3.9%)</w:t>
            </w:r>
          </w:p>
        </w:tc>
        <w:tc>
          <w:tcPr>
            <w:tcW w:w="1130" w:type="pct"/>
          </w:tcPr>
          <w:p w:rsidR="00412928" w:rsidRPr="0049004E" w:rsidRDefault="00412928" w:rsidP="004D4152">
            <w:pPr>
              <w:pStyle w:val="TableText"/>
              <w:keepLines/>
              <w:jc w:val="center"/>
              <w:rPr>
                <w:sz w:val="20"/>
              </w:rPr>
            </w:pPr>
            <w:r w:rsidRPr="0049004E">
              <w:rPr>
                <w:sz w:val="20"/>
              </w:rPr>
              <w:t>8 (3.1%)</w:t>
            </w:r>
          </w:p>
        </w:tc>
      </w:tr>
      <w:tr w:rsidR="00412928" w:rsidRPr="00F453F7" w:rsidTr="0049004E">
        <w:tc>
          <w:tcPr>
            <w:tcW w:w="1498" w:type="pct"/>
          </w:tcPr>
          <w:p w:rsidR="00412928" w:rsidRPr="0049004E" w:rsidRDefault="00412928" w:rsidP="004D4152">
            <w:pPr>
              <w:pStyle w:val="TableText"/>
              <w:keepLines/>
              <w:rPr>
                <w:sz w:val="20"/>
              </w:rPr>
            </w:pPr>
            <w:r w:rsidRPr="0049004E">
              <w:rPr>
                <w:sz w:val="20"/>
              </w:rPr>
              <w:t>Serious AE, n (%)</w:t>
            </w:r>
          </w:p>
        </w:tc>
        <w:tc>
          <w:tcPr>
            <w:tcW w:w="1241" w:type="pct"/>
          </w:tcPr>
          <w:p w:rsidR="00412928" w:rsidRPr="0049004E" w:rsidRDefault="00412928" w:rsidP="004D4152">
            <w:pPr>
              <w:pStyle w:val="TableText"/>
              <w:keepLines/>
              <w:jc w:val="center"/>
              <w:rPr>
                <w:sz w:val="20"/>
              </w:rPr>
            </w:pPr>
            <w:r w:rsidRPr="0049004E">
              <w:rPr>
                <w:sz w:val="20"/>
              </w:rPr>
              <w:t>111 (57.8%)</w:t>
            </w:r>
          </w:p>
        </w:tc>
        <w:tc>
          <w:tcPr>
            <w:tcW w:w="1131" w:type="pct"/>
          </w:tcPr>
          <w:p w:rsidR="00412928" w:rsidRPr="0049004E" w:rsidRDefault="00412928" w:rsidP="004D4152">
            <w:pPr>
              <w:pStyle w:val="TableText"/>
              <w:keepLines/>
              <w:jc w:val="center"/>
              <w:rPr>
                <w:sz w:val="20"/>
              </w:rPr>
            </w:pPr>
            <w:r w:rsidRPr="0049004E">
              <w:rPr>
                <w:sz w:val="20"/>
              </w:rPr>
              <w:t>NR</w:t>
            </w:r>
          </w:p>
        </w:tc>
        <w:tc>
          <w:tcPr>
            <w:tcW w:w="1130" w:type="pct"/>
          </w:tcPr>
          <w:p w:rsidR="00412928" w:rsidRPr="0049004E" w:rsidRDefault="00412928" w:rsidP="004D4152">
            <w:pPr>
              <w:pStyle w:val="TableText"/>
              <w:keepLines/>
              <w:jc w:val="center"/>
              <w:rPr>
                <w:sz w:val="20"/>
              </w:rPr>
            </w:pPr>
            <w:r w:rsidRPr="0049004E">
              <w:rPr>
                <w:sz w:val="20"/>
              </w:rPr>
              <w:t>NR</w:t>
            </w:r>
          </w:p>
        </w:tc>
      </w:tr>
      <w:tr w:rsidR="00412928" w:rsidRPr="00F453F7" w:rsidTr="0049004E">
        <w:tc>
          <w:tcPr>
            <w:tcW w:w="1498" w:type="pct"/>
          </w:tcPr>
          <w:p w:rsidR="00412928" w:rsidRPr="0049004E" w:rsidRDefault="00412928" w:rsidP="004D4152">
            <w:pPr>
              <w:pStyle w:val="TableText"/>
              <w:keepLines/>
              <w:rPr>
                <w:sz w:val="20"/>
              </w:rPr>
            </w:pPr>
            <w:r w:rsidRPr="0049004E">
              <w:rPr>
                <w:sz w:val="20"/>
              </w:rPr>
              <w:t>Discontinuation due to AE, n (%)</w:t>
            </w:r>
          </w:p>
        </w:tc>
        <w:tc>
          <w:tcPr>
            <w:tcW w:w="1241" w:type="pct"/>
          </w:tcPr>
          <w:p w:rsidR="00412928" w:rsidRPr="0049004E" w:rsidRDefault="00412928" w:rsidP="004D4152">
            <w:pPr>
              <w:pStyle w:val="TableText"/>
              <w:keepLines/>
              <w:jc w:val="center"/>
              <w:rPr>
                <w:sz w:val="20"/>
              </w:rPr>
            </w:pPr>
            <w:r w:rsidRPr="0049004E">
              <w:rPr>
                <w:sz w:val="20"/>
              </w:rPr>
              <w:t>12 (6.3%)</w:t>
            </w:r>
          </w:p>
        </w:tc>
        <w:tc>
          <w:tcPr>
            <w:tcW w:w="1131" w:type="pct"/>
          </w:tcPr>
          <w:p w:rsidR="00412928" w:rsidRPr="0049004E" w:rsidRDefault="00412928" w:rsidP="004D4152">
            <w:pPr>
              <w:pStyle w:val="TableText"/>
              <w:keepLines/>
              <w:jc w:val="center"/>
              <w:rPr>
                <w:sz w:val="20"/>
              </w:rPr>
            </w:pPr>
            <w:r w:rsidRPr="0049004E">
              <w:rPr>
                <w:sz w:val="20"/>
              </w:rPr>
              <w:t>22 (8.3%)</w:t>
            </w:r>
          </w:p>
        </w:tc>
        <w:tc>
          <w:tcPr>
            <w:tcW w:w="1130" w:type="pct"/>
          </w:tcPr>
          <w:p w:rsidR="00412928" w:rsidRPr="0049004E" w:rsidRDefault="00412928" w:rsidP="004D4152">
            <w:pPr>
              <w:pStyle w:val="TableText"/>
              <w:keepLines/>
              <w:jc w:val="center"/>
              <w:rPr>
                <w:sz w:val="20"/>
              </w:rPr>
            </w:pPr>
            <w:r w:rsidRPr="0049004E">
              <w:rPr>
                <w:sz w:val="20"/>
              </w:rPr>
              <w:t>32 (12.5%)</w:t>
            </w:r>
          </w:p>
        </w:tc>
      </w:tr>
      <w:tr w:rsidR="008E60F9" w:rsidRPr="00F453F7" w:rsidTr="0049004E">
        <w:trPr>
          <w:trHeight w:val="3441"/>
        </w:trPr>
        <w:tc>
          <w:tcPr>
            <w:tcW w:w="1498" w:type="pct"/>
          </w:tcPr>
          <w:p w:rsidR="008E60F9" w:rsidRPr="0049004E" w:rsidRDefault="008E60F9" w:rsidP="004D4152">
            <w:pPr>
              <w:pStyle w:val="TableText"/>
              <w:keepLines/>
              <w:rPr>
                <w:sz w:val="20"/>
                <w:szCs w:val="20"/>
              </w:rPr>
            </w:pPr>
            <w:r w:rsidRPr="0049004E">
              <w:rPr>
                <w:sz w:val="20"/>
                <w:szCs w:val="20"/>
              </w:rPr>
              <w:lastRenderedPageBreak/>
              <w:t>Any grade, incidence ≥15%</w:t>
            </w:r>
          </w:p>
          <w:p w:rsidR="008E60F9" w:rsidRPr="0049004E" w:rsidRDefault="008E60F9" w:rsidP="004D4152">
            <w:pPr>
              <w:pStyle w:val="TableText"/>
              <w:keepLines/>
              <w:rPr>
                <w:sz w:val="20"/>
                <w:szCs w:val="20"/>
              </w:rPr>
            </w:pPr>
            <w:r w:rsidRPr="0049004E">
              <w:rPr>
                <w:sz w:val="20"/>
                <w:szCs w:val="20"/>
              </w:rPr>
              <w:t>Fatigue</w:t>
            </w:r>
          </w:p>
          <w:p w:rsidR="008E60F9" w:rsidRPr="0049004E" w:rsidRDefault="008E60F9" w:rsidP="004D4152">
            <w:pPr>
              <w:pStyle w:val="TableText"/>
              <w:keepLines/>
              <w:rPr>
                <w:sz w:val="20"/>
                <w:szCs w:val="20"/>
              </w:rPr>
            </w:pPr>
            <w:r w:rsidRPr="0049004E">
              <w:rPr>
                <w:sz w:val="20"/>
                <w:szCs w:val="20"/>
              </w:rPr>
              <w:t>Constipation</w:t>
            </w:r>
          </w:p>
          <w:p w:rsidR="008E60F9" w:rsidRPr="0049004E" w:rsidRDefault="008E60F9" w:rsidP="004D4152">
            <w:pPr>
              <w:pStyle w:val="TableText"/>
              <w:keepLines/>
              <w:rPr>
                <w:sz w:val="20"/>
                <w:szCs w:val="20"/>
              </w:rPr>
            </w:pPr>
            <w:r w:rsidRPr="0049004E">
              <w:rPr>
                <w:sz w:val="20"/>
                <w:szCs w:val="20"/>
              </w:rPr>
              <w:t>Decreased appetite</w:t>
            </w:r>
          </w:p>
          <w:p w:rsidR="008E60F9" w:rsidRPr="0049004E" w:rsidRDefault="008E60F9" w:rsidP="004D4152">
            <w:pPr>
              <w:pStyle w:val="TableText"/>
              <w:keepLines/>
              <w:rPr>
                <w:sz w:val="20"/>
                <w:szCs w:val="20"/>
              </w:rPr>
            </w:pPr>
            <w:r w:rsidRPr="0049004E">
              <w:rPr>
                <w:sz w:val="20"/>
                <w:szCs w:val="20"/>
              </w:rPr>
              <w:t>Bladder cancer</w:t>
            </w:r>
          </w:p>
          <w:p w:rsidR="008E60F9" w:rsidRPr="0049004E" w:rsidRDefault="008E60F9" w:rsidP="004D4152">
            <w:pPr>
              <w:pStyle w:val="TableText"/>
              <w:keepLines/>
              <w:rPr>
                <w:sz w:val="20"/>
                <w:szCs w:val="20"/>
              </w:rPr>
            </w:pPr>
            <w:r w:rsidRPr="0049004E">
              <w:rPr>
                <w:sz w:val="20"/>
                <w:szCs w:val="20"/>
              </w:rPr>
              <w:t>Nausea</w:t>
            </w:r>
          </w:p>
          <w:p w:rsidR="008E60F9" w:rsidRPr="0049004E" w:rsidRDefault="008E60F9" w:rsidP="004D4152">
            <w:pPr>
              <w:pStyle w:val="TableText"/>
              <w:keepLines/>
              <w:rPr>
                <w:sz w:val="20"/>
                <w:szCs w:val="20"/>
              </w:rPr>
            </w:pPr>
            <w:r w:rsidRPr="0049004E">
              <w:rPr>
                <w:sz w:val="20"/>
                <w:szCs w:val="20"/>
              </w:rPr>
              <w:t>Anaemia</w:t>
            </w:r>
          </w:p>
          <w:p w:rsidR="008E60F9" w:rsidRPr="0049004E" w:rsidRDefault="008E60F9" w:rsidP="004D4152">
            <w:pPr>
              <w:pStyle w:val="TableText"/>
              <w:keepLines/>
              <w:rPr>
                <w:sz w:val="20"/>
                <w:szCs w:val="20"/>
              </w:rPr>
            </w:pPr>
            <w:r w:rsidRPr="0049004E">
              <w:rPr>
                <w:sz w:val="20"/>
                <w:szCs w:val="20"/>
              </w:rPr>
              <w:t>Urinary tract infection</w:t>
            </w:r>
          </w:p>
          <w:p w:rsidR="008E60F9" w:rsidRPr="0049004E" w:rsidRDefault="008E60F9" w:rsidP="004D4152">
            <w:pPr>
              <w:pStyle w:val="TableText"/>
              <w:keepLines/>
              <w:rPr>
                <w:sz w:val="20"/>
                <w:szCs w:val="20"/>
              </w:rPr>
            </w:pPr>
            <w:r w:rsidRPr="0049004E">
              <w:rPr>
                <w:sz w:val="20"/>
                <w:szCs w:val="20"/>
              </w:rPr>
              <w:t>Diarrhoea</w:t>
            </w:r>
          </w:p>
          <w:p w:rsidR="008E60F9" w:rsidRPr="0049004E" w:rsidRDefault="008E60F9" w:rsidP="004D4152">
            <w:pPr>
              <w:pStyle w:val="TableText"/>
              <w:keepLines/>
              <w:rPr>
                <w:sz w:val="20"/>
                <w:szCs w:val="20"/>
              </w:rPr>
            </w:pPr>
            <w:r w:rsidRPr="0049004E">
              <w:rPr>
                <w:sz w:val="20"/>
                <w:szCs w:val="20"/>
              </w:rPr>
              <w:t>Back pain</w:t>
            </w:r>
          </w:p>
          <w:p w:rsidR="008E60F9" w:rsidRPr="0049004E" w:rsidRDefault="008E60F9" w:rsidP="004D4152">
            <w:pPr>
              <w:pStyle w:val="TableText"/>
              <w:keepLines/>
              <w:rPr>
                <w:sz w:val="20"/>
                <w:szCs w:val="20"/>
              </w:rPr>
            </w:pPr>
            <w:r w:rsidRPr="0049004E">
              <w:rPr>
                <w:sz w:val="20"/>
                <w:szCs w:val="20"/>
              </w:rPr>
              <w:t>Pyrexia</w:t>
            </w:r>
          </w:p>
          <w:p w:rsidR="008E60F9" w:rsidRPr="0049004E" w:rsidRDefault="008E60F9" w:rsidP="004D4152">
            <w:pPr>
              <w:pStyle w:val="TableText"/>
              <w:keepLines/>
              <w:rPr>
                <w:sz w:val="20"/>
                <w:szCs w:val="20"/>
              </w:rPr>
            </w:pPr>
            <w:r w:rsidRPr="0049004E">
              <w:rPr>
                <w:sz w:val="20"/>
                <w:szCs w:val="20"/>
              </w:rPr>
              <w:t>Peripheral oedema</w:t>
            </w:r>
          </w:p>
          <w:p w:rsidR="008E60F9" w:rsidRPr="0049004E" w:rsidRDefault="008E60F9" w:rsidP="004D4152">
            <w:pPr>
              <w:pStyle w:val="TableText"/>
              <w:keepLines/>
              <w:rPr>
                <w:sz w:val="20"/>
                <w:szCs w:val="20"/>
              </w:rPr>
            </w:pPr>
            <w:r w:rsidRPr="0049004E">
              <w:rPr>
                <w:sz w:val="20"/>
                <w:szCs w:val="20"/>
              </w:rPr>
              <w:t>Asthenia</w:t>
            </w:r>
          </w:p>
          <w:p w:rsidR="008E60F9" w:rsidRPr="0049004E" w:rsidRDefault="008E60F9" w:rsidP="004D4152">
            <w:pPr>
              <w:pStyle w:val="TableText"/>
              <w:keepLines/>
              <w:rPr>
                <w:sz w:val="20"/>
                <w:szCs w:val="20"/>
              </w:rPr>
            </w:pPr>
            <w:r w:rsidRPr="0049004E">
              <w:rPr>
                <w:sz w:val="20"/>
                <w:szCs w:val="20"/>
              </w:rPr>
              <w:t>Pruritus</w:t>
            </w:r>
          </w:p>
          <w:p w:rsidR="008E60F9" w:rsidRPr="0049004E" w:rsidRDefault="008E60F9" w:rsidP="004D4152">
            <w:pPr>
              <w:pStyle w:val="TableText"/>
              <w:keepLines/>
              <w:rPr>
                <w:sz w:val="20"/>
                <w:szCs w:val="20"/>
              </w:rPr>
            </w:pPr>
            <w:r w:rsidRPr="0049004E">
              <w:rPr>
                <w:sz w:val="20"/>
                <w:szCs w:val="20"/>
              </w:rPr>
              <w:t>Alopecia</w:t>
            </w:r>
          </w:p>
          <w:p w:rsidR="008E60F9" w:rsidRPr="0049004E" w:rsidRDefault="008E60F9" w:rsidP="004D4152">
            <w:pPr>
              <w:pStyle w:val="TableText"/>
              <w:keepLines/>
              <w:rPr>
                <w:sz w:val="20"/>
                <w:szCs w:val="20"/>
              </w:rPr>
            </w:pPr>
            <w:r w:rsidRPr="0049004E">
              <w:rPr>
                <w:sz w:val="20"/>
                <w:szCs w:val="20"/>
              </w:rPr>
              <w:t>Neutropenia</w:t>
            </w:r>
          </w:p>
        </w:tc>
        <w:tc>
          <w:tcPr>
            <w:tcW w:w="1241" w:type="pct"/>
          </w:tcPr>
          <w:p w:rsidR="008E60F9" w:rsidRPr="0049004E" w:rsidRDefault="008E60F9" w:rsidP="004D4152">
            <w:pPr>
              <w:pStyle w:val="TableText"/>
              <w:keepLines/>
              <w:jc w:val="center"/>
              <w:rPr>
                <w:sz w:val="20"/>
                <w:szCs w:val="20"/>
              </w:rPr>
            </w:pPr>
          </w:p>
          <w:p w:rsidR="008E60F9" w:rsidRPr="0049004E" w:rsidRDefault="008E60F9" w:rsidP="004D4152">
            <w:pPr>
              <w:pStyle w:val="TableText"/>
              <w:keepLines/>
              <w:jc w:val="center"/>
              <w:rPr>
                <w:sz w:val="20"/>
                <w:szCs w:val="20"/>
              </w:rPr>
            </w:pPr>
            <w:r w:rsidRPr="0049004E">
              <w:rPr>
                <w:sz w:val="20"/>
                <w:szCs w:val="20"/>
              </w:rPr>
              <w:t>69 (35.9%)</w:t>
            </w:r>
          </w:p>
          <w:p w:rsidR="008E60F9" w:rsidRPr="0049004E" w:rsidRDefault="008E60F9" w:rsidP="004D4152">
            <w:pPr>
              <w:pStyle w:val="TableText"/>
              <w:keepLines/>
              <w:jc w:val="center"/>
              <w:rPr>
                <w:sz w:val="20"/>
                <w:szCs w:val="20"/>
              </w:rPr>
            </w:pPr>
            <w:r w:rsidRPr="0049004E">
              <w:rPr>
                <w:sz w:val="20"/>
                <w:szCs w:val="20"/>
              </w:rPr>
              <w:t>54 (28.1%)</w:t>
            </w:r>
          </w:p>
          <w:p w:rsidR="008E60F9" w:rsidRPr="0049004E" w:rsidRDefault="008E60F9" w:rsidP="004D4152">
            <w:pPr>
              <w:pStyle w:val="TableText"/>
              <w:keepLines/>
              <w:jc w:val="center"/>
              <w:rPr>
                <w:sz w:val="20"/>
                <w:szCs w:val="20"/>
              </w:rPr>
            </w:pPr>
            <w:r w:rsidRPr="0049004E">
              <w:rPr>
                <w:sz w:val="20"/>
                <w:szCs w:val="20"/>
              </w:rPr>
              <w:t>48 (25.0%)</w:t>
            </w:r>
          </w:p>
          <w:p w:rsidR="008E60F9" w:rsidRPr="0049004E" w:rsidRDefault="008E60F9" w:rsidP="004D4152">
            <w:pPr>
              <w:pStyle w:val="TableText"/>
              <w:keepLines/>
              <w:jc w:val="center"/>
              <w:rPr>
                <w:sz w:val="20"/>
                <w:szCs w:val="20"/>
              </w:rPr>
            </w:pPr>
            <w:r w:rsidRPr="0049004E">
              <w:rPr>
                <w:sz w:val="20"/>
                <w:szCs w:val="20"/>
              </w:rPr>
              <w:t>44 (22.9%)</w:t>
            </w:r>
          </w:p>
          <w:p w:rsidR="008E60F9" w:rsidRPr="0049004E" w:rsidRDefault="008E60F9" w:rsidP="004D4152">
            <w:pPr>
              <w:pStyle w:val="TableText"/>
              <w:keepLines/>
              <w:jc w:val="center"/>
              <w:rPr>
                <w:sz w:val="20"/>
                <w:szCs w:val="20"/>
              </w:rPr>
            </w:pPr>
            <w:r w:rsidRPr="0049004E">
              <w:rPr>
                <w:sz w:val="20"/>
                <w:szCs w:val="20"/>
              </w:rPr>
              <w:t>43 (22.4%)</w:t>
            </w:r>
          </w:p>
          <w:p w:rsidR="008E60F9" w:rsidRPr="0049004E" w:rsidRDefault="008E60F9" w:rsidP="004D4152">
            <w:pPr>
              <w:pStyle w:val="TableText"/>
              <w:keepLines/>
              <w:jc w:val="center"/>
              <w:rPr>
                <w:sz w:val="20"/>
                <w:szCs w:val="20"/>
              </w:rPr>
            </w:pPr>
            <w:r w:rsidRPr="0049004E">
              <w:rPr>
                <w:sz w:val="20"/>
                <w:szCs w:val="20"/>
              </w:rPr>
              <w:t>38 (19.8%)</w:t>
            </w:r>
          </w:p>
          <w:p w:rsidR="008E60F9" w:rsidRPr="0049004E" w:rsidRDefault="008E60F9" w:rsidP="004D4152">
            <w:pPr>
              <w:pStyle w:val="TableText"/>
              <w:keepLines/>
              <w:jc w:val="center"/>
              <w:rPr>
                <w:sz w:val="20"/>
                <w:szCs w:val="20"/>
              </w:rPr>
            </w:pPr>
            <w:r w:rsidRPr="0049004E">
              <w:rPr>
                <w:sz w:val="20"/>
                <w:szCs w:val="20"/>
              </w:rPr>
              <w:t>37 (18.8%)</w:t>
            </w:r>
          </w:p>
          <w:p w:rsidR="008E60F9" w:rsidRPr="0049004E" w:rsidRDefault="008E60F9" w:rsidP="004D4152">
            <w:pPr>
              <w:pStyle w:val="TableText"/>
              <w:keepLines/>
              <w:jc w:val="center"/>
              <w:rPr>
                <w:sz w:val="20"/>
                <w:szCs w:val="20"/>
              </w:rPr>
            </w:pPr>
            <w:r w:rsidRPr="0049004E">
              <w:rPr>
                <w:sz w:val="20"/>
                <w:szCs w:val="20"/>
              </w:rPr>
              <w:t>34 (17.7%)</w:t>
            </w:r>
          </w:p>
          <w:p w:rsidR="008E60F9" w:rsidRPr="0049004E" w:rsidRDefault="008E60F9" w:rsidP="004D4152">
            <w:pPr>
              <w:pStyle w:val="TableText"/>
              <w:keepLines/>
              <w:jc w:val="center"/>
              <w:rPr>
                <w:sz w:val="20"/>
                <w:szCs w:val="20"/>
              </w:rPr>
            </w:pPr>
            <w:r w:rsidRPr="0049004E">
              <w:rPr>
                <w:sz w:val="20"/>
                <w:szCs w:val="20"/>
              </w:rPr>
              <w:t>34 (17.7%)</w:t>
            </w:r>
          </w:p>
          <w:p w:rsidR="008E60F9" w:rsidRPr="0049004E" w:rsidRDefault="008E60F9" w:rsidP="004D4152">
            <w:pPr>
              <w:pStyle w:val="TableText"/>
              <w:keepLines/>
              <w:jc w:val="center"/>
              <w:rPr>
                <w:sz w:val="20"/>
                <w:szCs w:val="20"/>
              </w:rPr>
            </w:pPr>
            <w:r w:rsidRPr="0049004E">
              <w:rPr>
                <w:sz w:val="20"/>
                <w:szCs w:val="20"/>
              </w:rPr>
              <w:t>30 (15.6%)</w:t>
            </w:r>
          </w:p>
          <w:p w:rsidR="008E60F9" w:rsidRPr="0049004E" w:rsidRDefault="008E60F9" w:rsidP="004D4152">
            <w:pPr>
              <w:pStyle w:val="TableText"/>
              <w:keepLines/>
              <w:jc w:val="center"/>
              <w:rPr>
                <w:sz w:val="20"/>
                <w:szCs w:val="20"/>
              </w:rPr>
            </w:pPr>
            <w:r w:rsidRPr="0049004E">
              <w:rPr>
                <w:sz w:val="20"/>
                <w:szCs w:val="20"/>
              </w:rPr>
              <w:t>27 (14.1%)</w:t>
            </w:r>
          </w:p>
          <w:p w:rsidR="008E60F9" w:rsidRPr="0049004E" w:rsidRDefault="008E60F9" w:rsidP="004D4152">
            <w:pPr>
              <w:pStyle w:val="TableText"/>
              <w:keepLines/>
              <w:jc w:val="center"/>
              <w:rPr>
                <w:sz w:val="20"/>
                <w:szCs w:val="20"/>
              </w:rPr>
            </w:pPr>
            <w:r w:rsidRPr="0049004E">
              <w:rPr>
                <w:sz w:val="20"/>
                <w:szCs w:val="20"/>
              </w:rPr>
              <w:t>24 (12.5%)</w:t>
            </w:r>
          </w:p>
          <w:p w:rsidR="008E60F9" w:rsidRPr="0049004E" w:rsidRDefault="008E60F9" w:rsidP="004D4152">
            <w:pPr>
              <w:pStyle w:val="TableText"/>
              <w:keepLines/>
              <w:jc w:val="center"/>
              <w:rPr>
                <w:sz w:val="20"/>
                <w:szCs w:val="20"/>
              </w:rPr>
            </w:pPr>
            <w:r w:rsidRPr="0049004E">
              <w:rPr>
                <w:sz w:val="20"/>
                <w:szCs w:val="20"/>
              </w:rPr>
              <w:t>15 (7.8%)</w:t>
            </w:r>
          </w:p>
          <w:p w:rsidR="008E60F9" w:rsidRPr="0049004E" w:rsidRDefault="008E60F9" w:rsidP="004D4152">
            <w:pPr>
              <w:pStyle w:val="TableText"/>
              <w:keepLines/>
              <w:jc w:val="center"/>
              <w:rPr>
                <w:sz w:val="20"/>
                <w:szCs w:val="20"/>
              </w:rPr>
            </w:pPr>
            <w:r w:rsidRPr="0049004E">
              <w:rPr>
                <w:sz w:val="20"/>
                <w:szCs w:val="20"/>
              </w:rPr>
              <w:t>0</w:t>
            </w:r>
          </w:p>
          <w:p w:rsidR="008E60F9" w:rsidRPr="0049004E" w:rsidRDefault="008E60F9" w:rsidP="004D4152">
            <w:pPr>
              <w:pStyle w:val="TableText"/>
              <w:keepLines/>
              <w:jc w:val="center"/>
              <w:rPr>
                <w:sz w:val="20"/>
                <w:szCs w:val="20"/>
              </w:rPr>
            </w:pPr>
            <w:r w:rsidRPr="0049004E">
              <w:rPr>
                <w:sz w:val="20"/>
                <w:szCs w:val="20"/>
              </w:rPr>
              <w:t>0</w:t>
            </w:r>
          </w:p>
        </w:tc>
        <w:tc>
          <w:tcPr>
            <w:tcW w:w="1131" w:type="pct"/>
          </w:tcPr>
          <w:p w:rsidR="008E60F9" w:rsidRPr="0049004E" w:rsidRDefault="008E60F9" w:rsidP="004D4152">
            <w:pPr>
              <w:pStyle w:val="TableText"/>
              <w:keepLines/>
              <w:jc w:val="center"/>
              <w:rPr>
                <w:sz w:val="20"/>
                <w:szCs w:val="20"/>
              </w:rPr>
            </w:pPr>
          </w:p>
          <w:p w:rsidR="008E60F9" w:rsidRPr="0049004E" w:rsidRDefault="008E60F9" w:rsidP="004D4152">
            <w:pPr>
              <w:pStyle w:val="TableText"/>
              <w:keepLines/>
              <w:jc w:val="center"/>
              <w:rPr>
                <w:sz w:val="20"/>
                <w:szCs w:val="20"/>
              </w:rPr>
            </w:pPr>
            <w:r w:rsidRPr="0049004E">
              <w:rPr>
                <w:sz w:val="20"/>
                <w:szCs w:val="20"/>
              </w:rPr>
              <w:t>69 (25.9%)</w:t>
            </w:r>
          </w:p>
          <w:p w:rsidR="008E60F9" w:rsidRPr="0049004E" w:rsidRDefault="008E60F9" w:rsidP="004D4152">
            <w:pPr>
              <w:pStyle w:val="TableText"/>
              <w:keepLines/>
              <w:jc w:val="center"/>
              <w:rPr>
                <w:sz w:val="20"/>
                <w:szCs w:val="20"/>
              </w:rPr>
            </w:pPr>
            <w:r w:rsidRPr="0049004E">
              <w:rPr>
                <w:sz w:val="20"/>
                <w:szCs w:val="20"/>
              </w:rPr>
              <w:t>50 (18.8%)</w:t>
            </w:r>
          </w:p>
          <w:p w:rsidR="008E60F9" w:rsidRPr="0049004E" w:rsidRDefault="008E60F9" w:rsidP="004D4152">
            <w:pPr>
              <w:pStyle w:val="TableText"/>
              <w:keepLines/>
              <w:jc w:val="center"/>
              <w:rPr>
                <w:sz w:val="20"/>
                <w:szCs w:val="20"/>
              </w:rPr>
            </w:pPr>
            <w:r w:rsidRPr="0049004E">
              <w:rPr>
                <w:sz w:val="20"/>
                <w:szCs w:val="20"/>
              </w:rPr>
              <w:t>56 (21.1%)</w:t>
            </w:r>
          </w:p>
          <w:p w:rsidR="008E60F9" w:rsidRPr="0049004E" w:rsidRDefault="008E60F9" w:rsidP="004D4152">
            <w:pPr>
              <w:pStyle w:val="TableText"/>
              <w:keepLines/>
              <w:jc w:val="center"/>
              <w:rPr>
                <w:sz w:val="20"/>
                <w:szCs w:val="20"/>
              </w:rPr>
            </w:pPr>
            <w:r w:rsidRPr="0049004E">
              <w:rPr>
                <w:sz w:val="20"/>
                <w:szCs w:val="20"/>
              </w:rPr>
              <w:t>0</w:t>
            </w:r>
          </w:p>
          <w:p w:rsidR="008E60F9" w:rsidRPr="0049004E" w:rsidRDefault="008E60F9" w:rsidP="004D4152">
            <w:pPr>
              <w:pStyle w:val="TableText"/>
              <w:keepLines/>
              <w:jc w:val="center"/>
              <w:rPr>
                <w:sz w:val="20"/>
                <w:szCs w:val="20"/>
              </w:rPr>
            </w:pPr>
            <w:r w:rsidRPr="0049004E">
              <w:rPr>
                <w:sz w:val="20"/>
                <w:szCs w:val="20"/>
              </w:rPr>
              <w:t>55 (20.7%)</w:t>
            </w:r>
          </w:p>
          <w:p w:rsidR="008E60F9" w:rsidRPr="0049004E" w:rsidRDefault="008E60F9" w:rsidP="004D4152">
            <w:pPr>
              <w:pStyle w:val="TableText"/>
              <w:keepLines/>
              <w:jc w:val="center"/>
              <w:rPr>
                <w:sz w:val="20"/>
                <w:szCs w:val="20"/>
              </w:rPr>
            </w:pPr>
            <w:r w:rsidRPr="0049004E">
              <w:rPr>
                <w:sz w:val="20"/>
                <w:szCs w:val="20"/>
              </w:rPr>
              <w:t>46 (17.3%)</w:t>
            </w:r>
          </w:p>
          <w:p w:rsidR="008E60F9" w:rsidRPr="0049004E" w:rsidRDefault="008E60F9" w:rsidP="004D4152">
            <w:pPr>
              <w:pStyle w:val="TableText"/>
              <w:keepLines/>
              <w:jc w:val="center"/>
              <w:rPr>
                <w:sz w:val="20"/>
                <w:szCs w:val="20"/>
              </w:rPr>
            </w:pPr>
            <w:r w:rsidRPr="0049004E">
              <w:rPr>
                <w:sz w:val="20"/>
                <w:szCs w:val="20"/>
              </w:rPr>
              <w:t>39 (14.7%)</w:t>
            </w:r>
          </w:p>
          <w:p w:rsidR="008E60F9" w:rsidRPr="0049004E" w:rsidRDefault="008E60F9" w:rsidP="004D4152">
            <w:pPr>
              <w:pStyle w:val="TableText"/>
              <w:keepLines/>
              <w:jc w:val="center"/>
              <w:rPr>
                <w:sz w:val="20"/>
                <w:szCs w:val="20"/>
              </w:rPr>
            </w:pPr>
            <w:r w:rsidRPr="0049004E">
              <w:rPr>
                <w:sz w:val="20"/>
                <w:szCs w:val="20"/>
              </w:rPr>
              <w:t>43 (16.2%)</w:t>
            </w:r>
          </w:p>
          <w:p w:rsidR="008E60F9" w:rsidRPr="0049004E" w:rsidRDefault="008E60F9" w:rsidP="004D4152">
            <w:pPr>
              <w:pStyle w:val="TableText"/>
              <w:keepLines/>
              <w:jc w:val="center"/>
              <w:rPr>
                <w:sz w:val="20"/>
                <w:szCs w:val="20"/>
              </w:rPr>
            </w:pPr>
            <w:r w:rsidRPr="0049004E">
              <w:rPr>
                <w:sz w:val="20"/>
                <w:szCs w:val="20"/>
              </w:rPr>
              <w:t>37 (13.9%)</w:t>
            </w:r>
          </w:p>
          <w:p w:rsidR="008E60F9" w:rsidRPr="0049004E" w:rsidRDefault="008E60F9" w:rsidP="004D4152">
            <w:pPr>
              <w:pStyle w:val="TableText"/>
              <w:keepLines/>
              <w:jc w:val="center"/>
              <w:rPr>
                <w:sz w:val="20"/>
                <w:szCs w:val="20"/>
              </w:rPr>
            </w:pPr>
            <w:r w:rsidRPr="0049004E">
              <w:rPr>
                <w:sz w:val="20"/>
                <w:szCs w:val="20"/>
              </w:rPr>
              <w:t>36 (13.5%)</w:t>
            </w:r>
          </w:p>
          <w:p w:rsidR="008E60F9" w:rsidRPr="0049004E" w:rsidRDefault="008E60F9" w:rsidP="004D4152">
            <w:pPr>
              <w:pStyle w:val="TableText"/>
              <w:keepLines/>
              <w:jc w:val="center"/>
              <w:rPr>
                <w:sz w:val="20"/>
                <w:szCs w:val="20"/>
              </w:rPr>
            </w:pPr>
            <w:r w:rsidRPr="0049004E">
              <w:rPr>
                <w:sz w:val="20"/>
                <w:szCs w:val="20"/>
              </w:rPr>
              <w:t>26 (9.8%)</w:t>
            </w:r>
          </w:p>
          <w:p w:rsidR="008E60F9" w:rsidRPr="0049004E" w:rsidRDefault="008E60F9" w:rsidP="004D4152">
            <w:pPr>
              <w:pStyle w:val="TableText"/>
              <w:keepLines/>
              <w:jc w:val="center"/>
              <w:rPr>
                <w:sz w:val="20"/>
                <w:szCs w:val="20"/>
              </w:rPr>
            </w:pPr>
            <w:r w:rsidRPr="0049004E">
              <w:rPr>
                <w:sz w:val="20"/>
                <w:szCs w:val="20"/>
              </w:rPr>
              <w:t>30 (11.3%)</w:t>
            </w:r>
          </w:p>
          <w:p w:rsidR="008E60F9" w:rsidRPr="0049004E" w:rsidRDefault="008E60F9" w:rsidP="004D4152">
            <w:pPr>
              <w:pStyle w:val="TableText"/>
              <w:keepLines/>
              <w:jc w:val="center"/>
              <w:rPr>
                <w:sz w:val="20"/>
                <w:szCs w:val="20"/>
              </w:rPr>
            </w:pPr>
            <w:r w:rsidRPr="0049004E">
              <w:rPr>
                <w:sz w:val="20"/>
                <w:szCs w:val="20"/>
              </w:rPr>
              <w:t>62 (23.3%)</w:t>
            </w:r>
          </w:p>
          <w:p w:rsidR="008E60F9" w:rsidRPr="0049004E" w:rsidRDefault="008E60F9" w:rsidP="004D4152">
            <w:pPr>
              <w:pStyle w:val="TableText"/>
              <w:keepLines/>
              <w:jc w:val="center"/>
              <w:rPr>
                <w:sz w:val="20"/>
                <w:szCs w:val="20"/>
              </w:rPr>
            </w:pPr>
            <w:r w:rsidRPr="0049004E">
              <w:rPr>
                <w:sz w:val="20"/>
                <w:szCs w:val="20"/>
              </w:rPr>
              <w:t>2 (0.8%)</w:t>
            </w:r>
          </w:p>
          <w:p w:rsidR="008E60F9" w:rsidRPr="0049004E" w:rsidRDefault="008E60F9" w:rsidP="004D4152">
            <w:pPr>
              <w:pStyle w:val="TableText"/>
              <w:keepLines/>
              <w:jc w:val="center"/>
              <w:rPr>
                <w:sz w:val="20"/>
                <w:szCs w:val="20"/>
              </w:rPr>
            </w:pPr>
            <w:r w:rsidRPr="0049004E">
              <w:rPr>
                <w:sz w:val="20"/>
                <w:szCs w:val="20"/>
              </w:rPr>
              <w:t>0</w:t>
            </w:r>
          </w:p>
        </w:tc>
        <w:tc>
          <w:tcPr>
            <w:tcW w:w="1130" w:type="pct"/>
          </w:tcPr>
          <w:p w:rsidR="008E60F9" w:rsidRPr="0049004E" w:rsidRDefault="008E60F9" w:rsidP="004D4152">
            <w:pPr>
              <w:pStyle w:val="TableText"/>
              <w:keepLines/>
              <w:jc w:val="center"/>
              <w:rPr>
                <w:sz w:val="20"/>
                <w:szCs w:val="20"/>
              </w:rPr>
            </w:pPr>
          </w:p>
          <w:p w:rsidR="008E60F9" w:rsidRPr="0049004E" w:rsidRDefault="008E60F9" w:rsidP="004D4152">
            <w:pPr>
              <w:pStyle w:val="TableText"/>
              <w:keepLines/>
              <w:jc w:val="center"/>
              <w:rPr>
                <w:sz w:val="20"/>
                <w:szCs w:val="20"/>
              </w:rPr>
            </w:pPr>
            <w:r w:rsidRPr="0049004E">
              <w:rPr>
                <w:sz w:val="20"/>
                <w:szCs w:val="20"/>
              </w:rPr>
              <w:t>86 (33.7%)</w:t>
            </w:r>
          </w:p>
          <w:p w:rsidR="008E60F9" w:rsidRPr="0049004E" w:rsidRDefault="008E60F9" w:rsidP="004D4152">
            <w:pPr>
              <w:pStyle w:val="TableText"/>
              <w:keepLines/>
              <w:jc w:val="center"/>
              <w:rPr>
                <w:sz w:val="20"/>
                <w:szCs w:val="20"/>
              </w:rPr>
            </w:pPr>
            <w:r w:rsidRPr="0049004E">
              <w:rPr>
                <w:sz w:val="20"/>
                <w:szCs w:val="20"/>
              </w:rPr>
              <w:t>81 (31.8%)</w:t>
            </w:r>
          </w:p>
          <w:p w:rsidR="008E60F9" w:rsidRPr="0049004E" w:rsidRDefault="008E60F9" w:rsidP="004D4152">
            <w:pPr>
              <w:pStyle w:val="TableText"/>
              <w:keepLines/>
              <w:jc w:val="center"/>
              <w:rPr>
                <w:sz w:val="20"/>
                <w:szCs w:val="20"/>
              </w:rPr>
            </w:pPr>
            <w:r w:rsidRPr="0049004E">
              <w:rPr>
                <w:sz w:val="20"/>
                <w:szCs w:val="20"/>
              </w:rPr>
              <w:t>53 (20.8%)</w:t>
            </w:r>
          </w:p>
          <w:p w:rsidR="008E60F9" w:rsidRPr="0049004E" w:rsidRDefault="008E60F9" w:rsidP="004D4152">
            <w:pPr>
              <w:pStyle w:val="TableText"/>
              <w:keepLines/>
              <w:jc w:val="center"/>
              <w:rPr>
                <w:sz w:val="20"/>
                <w:szCs w:val="20"/>
              </w:rPr>
            </w:pPr>
            <w:r w:rsidRPr="0049004E">
              <w:rPr>
                <w:sz w:val="20"/>
                <w:szCs w:val="20"/>
              </w:rPr>
              <w:t>0</w:t>
            </w:r>
          </w:p>
          <w:p w:rsidR="008E60F9" w:rsidRPr="0049004E" w:rsidRDefault="008E60F9" w:rsidP="004D4152">
            <w:pPr>
              <w:pStyle w:val="TableText"/>
              <w:keepLines/>
              <w:jc w:val="center"/>
              <w:rPr>
                <w:sz w:val="20"/>
                <w:szCs w:val="20"/>
              </w:rPr>
            </w:pPr>
            <w:r w:rsidRPr="0049004E">
              <w:rPr>
                <w:sz w:val="20"/>
                <w:szCs w:val="20"/>
              </w:rPr>
              <w:t>73 (28.6%)</w:t>
            </w:r>
          </w:p>
          <w:p w:rsidR="008E60F9" w:rsidRPr="0049004E" w:rsidRDefault="008E60F9" w:rsidP="004D4152">
            <w:pPr>
              <w:pStyle w:val="TableText"/>
              <w:keepLines/>
              <w:jc w:val="center"/>
              <w:rPr>
                <w:sz w:val="20"/>
                <w:szCs w:val="20"/>
              </w:rPr>
            </w:pPr>
            <w:r w:rsidRPr="0049004E">
              <w:rPr>
                <w:sz w:val="20"/>
                <w:szCs w:val="20"/>
              </w:rPr>
              <w:t>91 (35.7%)</w:t>
            </w:r>
          </w:p>
          <w:p w:rsidR="008E60F9" w:rsidRPr="0049004E" w:rsidRDefault="008E60F9" w:rsidP="004D4152">
            <w:pPr>
              <w:pStyle w:val="TableText"/>
              <w:keepLines/>
              <w:jc w:val="center"/>
              <w:rPr>
                <w:sz w:val="20"/>
                <w:szCs w:val="20"/>
              </w:rPr>
            </w:pPr>
            <w:r w:rsidRPr="0049004E">
              <w:rPr>
                <w:sz w:val="20"/>
                <w:szCs w:val="20"/>
              </w:rPr>
              <w:t>34 (13.3%)</w:t>
            </w:r>
          </w:p>
          <w:p w:rsidR="008E60F9" w:rsidRPr="0049004E" w:rsidRDefault="008E60F9" w:rsidP="004D4152">
            <w:pPr>
              <w:pStyle w:val="TableText"/>
              <w:keepLines/>
              <w:jc w:val="center"/>
              <w:rPr>
                <w:sz w:val="20"/>
                <w:szCs w:val="20"/>
              </w:rPr>
            </w:pPr>
            <w:r w:rsidRPr="0049004E">
              <w:rPr>
                <w:sz w:val="20"/>
                <w:szCs w:val="20"/>
              </w:rPr>
              <w:t>48 (18.8%)</w:t>
            </w:r>
          </w:p>
          <w:p w:rsidR="008E60F9" w:rsidRPr="0049004E" w:rsidRDefault="008E60F9" w:rsidP="004D4152">
            <w:pPr>
              <w:pStyle w:val="TableText"/>
              <w:keepLines/>
              <w:jc w:val="center"/>
              <w:rPr>
                <w:sz w:val="20"/>
                <w:szCs w:val="20"/>
              </w:rPr>
            </w:pPr>
            <w:r w:rsidRPr="0049004E">
              <w:rPr>
                <w:sz w:val="20"/>
                <w:szCs w:val="20"/>
              </w:rPr>
              <w:t>21 (8.2%)</w:t>
            </w:r>
          </w:p>
          <w:p w:rsidR="008E60F9" w:rsidRPr="0049004E" w:rsidRDefault="008E60F9" w:rsidP="004D4152">
            <w:pPr>
              <w:pStyle w:val="TableText"/>
              <w:keepLines/>
              <w:jc w:val="center"/>
              <w:rPr>
                <w:sz w:val="20"/>
                <w:szCs w:val="20"/>
              </w:rPr>
            </w:pPr>
            <w:r w:rsidRPr="0049004E">
              <w:rPr>
                <w:sz w:val="20"/>
                <w:szCs w:val="20"/>
              </w:rPr>
              <w:t>33 (12.9%)</w:t>
            </w:r>
          </w:p>
          <w:p w:rsidR="008E60F9" w:rsidRPr="0049004E" w:rsidRDefault="008E60F9" w:rsidP="004D4152">
            <w:pPr>
              <w:pStyle w:val="TableText"/>
              <w:keepLines/>
              <w:jc w:val="center"/>
              <w:rPr>
                <w:sz w:val="20"/>
                <w:szCs w:val="20"/>
              </w:rPr>
            </w:pPr>
            <w:r w:rsidRPr="0049004E">
              <w:rPr>
                <w:sz w:val="20"/>
                <w:szCs w:val="20"/>
              </w:rPr>
              <w:t>40 (15.7%)</w:t>
            </w:r>
          </w:p>
          <w:p w:rsidR="008E60F9" w:rsidRPr="0049004E" w:rsidRDefault="008E60F9" w:rsidP="004D4152">
            <w:pPr>
              <w:pStyle w:val="TableText"/>
              <w:keepLines/>
              <w:jc w:val="center"/>
              <w:rPr>
                <w:sz w:val="20"/>
                <w:szCs w:val="20"/>
              </w:rPr>
            </w:pPr>
            <w:r w:rsidRPr="0049004E">
              <w:rPr>
                <w:sz w:val="20"/>
                <w:szCs w:val="20"/>
              </w:rPr>
              <w:t>53 (20.8%)</w:t>
            </w:r>
          </w:p>
          <w:p w:rsidR="008E60F9" w:rsidRPr="0049004E" w:rsidRDefault="008E60F9" w:rsidP="004D4152">
            <w:pPr>
              <w:pStyle w:val="TableText"/>
              <w:keepLines/>
              <w:jc w:val="center"/>
              <w:rPr>
                <w:sz w:val="20"/>
                <w:szCs w:val="20"/>
              </w:rPr>
            </w:pPr>
            <w:r w:rsidRPr="0049004E">
              <w:rPr>
                <w:sz w:val="20"/>
                <w:szCs w:val="20"/>
              </w:rPr>
              <w:t>14 (5.5%)</w:t>
            </w:r>
          </w:p>
          <w:p w:rsidR="008E60F9" w:rsidRPr="0049004E" w:rsidRDefault="008E60F9" w:rsidP="004D4152">
            <w:pPr>
              <w:pStyle w:val="TableText"/>
              <w:keepLines/>
              <w:jc w:val="center"/>
              <w:rPr>
                <w:sz w:val="20"/>
                <w:szCs w:val="20"/>
              </w:rPr>
            </w:pPr>
            <w:r w:rsidRPr="0049004E">
              <w:rPr>
                <w:sz w:val="20"/>
                <w:szCs w:val="20"/>
              </w:rPr>
              <w:t>99 (38.8%)</w:t>
            </w:r>
          </w:p>
          <w:p w:rsidR="008E60F9" w:rsidRPr="0049004E" w:rsidRDefault="008E60F9" w:rsidP="004D4152">
            <w:pPr>
              <w:pStyle w:val="TableText"/>
              <w:keepLines/>
              <w:jc w:val="center"/>
              <w:rPr>
                <w:sz w:val="20"/>
                <w:szCs w:val="20"/>
              </w:rPr>
            </w:pPr>
            <w:r w:rsidRPr="0049004E">
              <w:rPr>
                <w:sz w:val="20"/>
                <w:szCs w:val="20"/>
              </w:rPr>
              <w:t>43 (16.9%)</w:t>
            </w:r>
          </w:p>
        </w:tc>
      </w:tr>
    </w:tbl>
    <w:p w:rsidR="0094304E" w:rsidRPr="00F453F7" w:rsidRDefault="0094304E" w:rsidP="004D4152">
      <w:pPr>
        <w:pStyle w:val="TableFooter"/>
        <w:keepNext/>
        <w:keepLines/>
        <w:widowControl/>
      </w:pPr>
      <w:r w:rsidRPr="00F453F7">
        <w:t>Source: Table 2.5.6, p.76 of the submission.</w:t>
      </w:r>
    </w:p>
    <w:p w:rsidR="0094304E" w:rsidRPr="00F453F7" w:rsidRDefault="0094304E" w:rsidP="004D4152">
      <w:pPr>
        <w:pStyle w:val="TableFooter"/>
        <w:keepNext/>
        <w:keepLines/>
        <w:widowControl/>
      </w:pPr>
      <w:r w:rsidRPr="00F453F7">
        <w:t xml:space="preserve">Abbreviations: </w:t>
      </w:r>
      <w:r w:rsidR="008E60F9" w:rsidRPr="00F453F7">
        <w:t>AE, adverse event; NR, not reported.</w:t>
      </w:r>
    </w:p>
    <w:p w:rsidR="0094304E" w:rsidRPr="00F453F7" w:rsidRDefault="0094304E" w:rsidP="009C281C">
      <w:pPr>
        <w:pStyle w:val="TableFooter"/>
        <w:keepNext/>
        <w:keepLines/>
        <w:widowControl/>
      </w:pPr>
      <w:r w:rsidRPr="00F453F7">
        <w:rPr>
          <w:vertAlign w:val="superscript"/>
        </w:rPr>
        <w:t>1</w:t>
      </w:r>
      <w:r w:rsidRPr="00F453F7">
        <w:t xml:space="preserve"> </w:t>
      </w:r>
      <w:r w:rsidR="00955C81" w:rsidRPr="00F453F7">
        <w:t>Disease progression was included as an adverse event in Study 1108.</w:t>
      </w:r>
    </w:p>
    <w:p w:rsidR="0094304E" w:rsidRPr="00F453F7" w:rsidRDefault="0094304E" w:rsidP="00A1349E">
      <w:pPr>
        <w:pStyle w:val="ListParagraph"/>
        <w:numPr>
          <w:ilvl w:val="1"/>
          <w:numId w:val="3"/>
        </w:numPr>
      </w:pPr>
      <w:r w:rsidRPr="00F453F7">
        <w:t xml:space="preserve">Almost all patients </w:t>
      </w:r>
      <w:r w:rsidR="00412928" w:rsidRPr="00F453F7">
        <w:t xml:space="preserve">in the second-line post-platinum urothelial cancer cohort of </w:t>
      </w:r>
      <w:r w:rsidRPr="00F453F7">
        <w:t>Study 1108 experienced at least one adverse event. The most frequently reported adverse events (</w:t>
      </w:r>
      <w:r w:rsidRPr="00F453F7">
        <w:rPr>
          <w:rFonts w:cstheme="minorHAnsi"/>
        </w:rPr>
        <w:t>≥</w:t>
      </w:r>
      <w:r w:rsidRPr="00F453F7">
        <w:t>15%) in the urothelial cancer cohort were fatigue, constipation, decreased appetite, bladder cancer, nausea, anaemia, urinary tract infection, diarrhoea, back pain and pyrexia. The most common Grade 3-4 adverse events (</w:t>
      </w:r>
      <w:r w:rsidRPr="00F453F7">
        <w:rPr>
          <w:rFonts w:cstheme="minorHAnsi"/>
        </w:rPr>
        <w:t>≥4</w:t>
      </w:r>
      <w:r w:rsidRPr="00F453F7">
        <w:t>%) were anaemia, fatigue, general physical health deterioration, sepsis, urinary tract infection, hyponatraemia, back pain and acute kidney injury. The most common treatment related adverse events (</w:t>
      </w:r>
      <w:r w:rsidRPr="00F453F7">
        <w:rPr>
          <w:rFonts w:cstheme="minorHAnsi"/>
        </w:rPr>
        <w:t>≥</w:t>
      </w:r>
      <w:r w:rsidRPr="00F453F7">
        <w:t>5%) were hypothyroidism, diarrhoea, nausea, pyrexia, decreased appetite, arthralgia, pruritus and rash.</w:t>
      </w:r>
    </w:p>
    <w:p w:rsidR="0094304E" w:rsidRPr="00F453F7" w:rsidRDefault="0094304E" w:rsidP="00A1349E">
      <w:pPr>
        <w:pStyle w:val="ListParagraph"/>
        <w:numPr>
          <w:ilvl w:val="1"/>
          <w:numId w:val="3"/>
        </w:numPr>
      </w:pPr>
      <w:r w:rsidRPr="00F453F7">
        <w:t xml:space="preserve">In the urothelial cancer cohort, 13 (6.5%) subjects had at least one adverse event that resulted in permanent discontinuation of durvalumab. Six (3.0%) subjects had adverse events resulting in permanent discontinuation of durvalumab that were considered by the investigator to be treatment-related. </w:t>
      </w:r>
    </w:p>
    <w:p w:rsidR="0094304E" w:rsidRDefault="0094304E" w:rsidP="00A1349E">
      <w:pPr>
        <w:pStyle w:val="ListParagraph"/>
        <w:numPr>
          <w:ilvl w:val="1"/>
          <w:numId w:val="3"/>
        </w:numPr>
      </w:pPr>
      <w:r w:rsidRPr="00F453F7">
        <w:t xml:space="preserve">The submission claimed that, when comparing durvalumab and pembrolizumab, both the type and incidence of adverse events that were reported were similar. However, the results of the naïve comparison of safety results should be interpreted with caution due to differences between the </w:t>
      </w:r>
      <w:r w:rsidR="003D0EEA" w:rsidRPr="00F453F7">
        <w:t>studies</w:t>
      </w:r>
      <w:r w:rsidRPr="00F453F7">
        <w:t xml:space="preserve"> (trial design, eligibility criteria, baseline characteristics</w:t>
      </w:r>
      <w:r w:rsidR="007420CE" w:rsidRPr="00F453F7">
        <w:t>,</w:t>
      </w:r>
      <w:r w:rsidR="00D41452" w:rsidRPr="00F453F7">
        <w:t xml:space="preserve"> and</w:t>
      </w:r>
      <w:r w:rsidR="007420CE" w:rsidRPr="00F453F7">
        <w:t xml:space="preserve"> treatment durations</w:t>
      </w:r>
      <w:r w:rsidRPr="00F453F7">
        <w:t xml:space="preserve">). </w:t>
      </w:r>
      <w:r w:rsidR="00996FEC" w:rsidRPr="00F453F7">
        <w:t xml:space="preserve">The PSCR (p3) acknowledged the inability </w:t>
      </w:r>
      <w:r w:rsidR="00950968" w:rsidRPr="00F453F7">
        <w:t xml:space="preserve">to conduct </w:t>
      </w:r>
      <w:r w:rsidR="00996FEC" w:rsidRPr="00F453F7">
        <w:t>statistical comparisons of safety outcomes, but highlighted the similar findings in the nature and frequency of adverse events reported for durvalumab and pembrolizumab.</w:t>
      </w:r>
    </w:p>
    <w:p w:rsidR="00960690" w:rsidRPr="004D22DF" w:rsidRDefault="00CB7EF2" w:rsidP="004D22DF">
      <w:pPr>
        <w:pStyle w:val="4-SubsectionHeading"/>
      </w:pPr>
      <w:bookmarkStart w:id="18" w:name="_Toc9428551"/>
      <w:r w:rsidRPr="00F453F7">
        <w:lastRenderedPageBreak/>
        <w:t>Clinical claim</w:t>
      </w:r>
      <w:bookmarkEnd w:id="18"/>
    </w:p>
    <w:p w:rsidR="00A22FF2" w:rsidRPr="00F453F7" w:rsidRDefault="00A22FF2" w:rsidP="00A1349E">
      <w:pPr>
        <w:pStyle w:val="ListParagraph"/>
        <w:keepNext/>
        <w:keepLines/>
        <w:numPr>
          <w:ilvl w:val="1"/>
          <w:numId w:val="3"/>
        </w:numPr>
      </w:pPr>
      <w:r w:rsidRPr="00F453F7">
        <w:t>The submission described durvalumab 10 mg/kg every two weeks as non-inferior in terms of clinical effectiveness and safety/tolerability to pembrolizumab 200 mg every three weeks.</w:t>
      </w:r>
    </w:p>
    <w:p w:rsidR="00A22FF2" w:rsidRPr="00F453F7" w:rsidRDefault="00A22FF2" w:rsidP="00A1349E">
      <w:pPr>
        <w:pStyle w:val="ListParagraph"/>
        <w:numPr>
          <w:ilvl w:val="1"/>
          <w:numId w:val="3"/>
        </w:numPr>
      </w:pPr>
      <w:r w:rsidRPr="00F453F7">
        <w:t>The clinical claim presented in the submissi</w:t>
      </w:r>
      <w:r w:rsidR="0010236F" w:rsidRPr="00F453F7">
        <w:t>on was not adequately supported;</w:t>
      </w:r>
    </w:p>
    <w:p w:rsidR="00A22FF2" w:rsidRPr="00F453F7" w:rsidRDefault="00A22FF2" w:rsidP="00A1349E">
      <w:pPr>
        <w:pStyle w:val="ListParagraph"/>
        <w:numPr>
          <w:ilvl w:val="0"/>
          <w:numId w:val="8"/>
        </w:numPr>
        <w:ind w:left="1434" w:hanging="357"/>
      </w:pPr>
      <w:r w:rsidRPr="00F453F7">
        <w:t xml:space="preserve">There is no available head-to-head trial evidence for durvalumab versus pembrolizumab. The evidence for durvalumab was based on one, single-arm study. </w:t>
      </w:r>
      <w:r w:rsidR="00D712C6" w:rsidRPr="00F453F7">
        <w:t>In comparison</w:t>
      </w:r>
      <w:r w:rsidRPr="00F453F7">
        <w:t xml:space="preserve"> to the evidence base for pembrolizumab, </w:t>
      </w:r>
      <w:r w:rsidR="00950968" w:rsidRPr="00F453F7">
        <w:t xml:space="preserve">the PBAC considered that </w:t>
      </w:r>
      <w:r w:rsidRPr="00F453F7">
        <w:t xml:space="preserve">the clinical evidence for durvalumab was </w:t>
      </w:r>
      <w:r w:rsidR="00564898">
        <w:t>inadequate</w:t>
      </w:r>
      <w:r w:rsidRPr="00F453F7">
        <w:t>.</w:t>
      </w:r>
      <w:r w:rsidR="000041E3" w:rsidRPr="00F453F7">
        <w:t xml:space="preserve"> </w:t>
      </w:r>
    </w:p>
    <w:p w:rsidR="00415138" w:rsidRPr="00F453F7" w:rsidRDefault="00415138" w:rsidP="00A1349E">
      <w:pPr>
        <w:pStyle w:val="ListParagraph"/>
        <w:numPr>
          <w:ilvl w:val="0"/>
          <w:numId w:val="8"/>
        </w:numPr>
        <w:ind w:left="1434" w:hanging="357"/>
      </w:pPr>
      <w:r w:rsidRPr="00F453F7">
        <w:t xml:space="preserve">There was a large numerical difference in overall survival between patients with low/negative PD-L1 expression and those with high PD-L1 expression (based on the Ventana PD-L1 assay). Treatment with durvalumab appears to be less effective in patients with low/negative PD-L1 expression. </w:t>
      </w:r>
    </w:p>
    <w:p w:rsidR="002370E4" w:rsidRPr="00F453F7" w:rsidRDefault="007420CE" w:rsidP="00A1349E">
      <w:pPr>
        <w:pStyle w:val="ListParagraph"/>
        <w:numPr>
          <w:ilvl w:val="0"/>
          <w:numId w:val="8"/>
        </w:numPr>
        <w:ind w:left="1434" w:hanging="357"/>
      </w:pPr>
      <w:r w:rsidRPr="00F453F7">
        <w:t xml:space="preserve">The Bucher method indirect comparison relied upon a treatment estimate for durvalumab versus chemotherapy </w:t>
      </w:r>
      <w:r w:rsidR="002370E4" w:rsidRPr="00F453F7">
        <w:t xml:space="preserve">that </w:t>
      </w:r>
      <w:r w:rsidRPr="00F453F7">
        <w:t>was derived using an unanchored MAIC of durvalumab</w:t>
      </w:r>
      <w:r w:rsidR="002370E4" w:rsidRPr="00F453F7">
        <w:t xml:space="preserve"> (Study 1108)</w:t>
      </w:r>
      <w:r w:rsidRPr="00F453F7">
        <w:t xml:space="preserve"> versus chemotherapy</w:t>
      </w:r>
      <w:r w:rsidR="002370E4" w:rsidRPr="00F453F7">
        <w:t xml:space="preserve"> (Keynote-045)</w:t>
      </w:r>
      <w:r w:rsidRPr="00F453F7">
        <w:t xml:space="preserve">. The statistical validity of using the MAIC result as a treatment estimate for durvalumab versus the common comparator </w:t>
      </w:r>
      <w:r w:rsidR="007D3A1F" w:rsidRPr="00F453F7">
        <w:t xml:space="preserve">in the indirect comparison </w:t>
      </w:r>
      <w:r w:rsidRPr="00F453F7">
        <w:t xml:space="preserve">was not </w:t>
      </w:r>
      <w:r w:rsidR="00375B76" w:rsidRPr="00F453F7">
        <w:t>appropriate and increased uncertainty in the estimates produ</w:t>
      </w:r>
      <w:r w:rsidR="00D712C6" w:rsidRPr="00F453F7">
        <w:t>ced in the indirect comparison.</w:t>
      </w:r>
    </w:p>
    <w:p w:rsidR="002370E4" w:rsidRPr="00F453F7" w:rsidRDefault="00D712C6" w:rsidP="00A1349E">
      <w:pPr>
        <w:pStyle w:val="ListParagraph"/>
        <w:numPr>
          <w:ilvl w:val="0"/>
          <w:numId w:val="8"/>
        </w:numPr>
      </w:pPr>
      <w:r w:rsidRPr="00F453F7">
        <w:t>The c</w:t>
      </w:r>
      <w:r w:rsidR="007420CE" w:rsidRPr="00F453F7">
        <w:t>omparison between</w:t>
      </w:r>
      <w:r w:rsidRPr="00F453F7">
        <w:t xml:space="preserve"> the</w:t>
      </w:r>
      <w:r w:rsidR="007420CE" w:rsidRPr="00F453F7">
        <w:t xml:space="preserve"> studies was hampered by</w:t>
      </w:r>
      <w:r w:rsidRPr="00F453F7">
        <w:t xml:space="preserve"> the </w:t>
      </w:r>
      <w:r w:rsidR="007420CE" w:rsidRPr="00F453F7">
        <w:t>lack of a common PD-L1 expression assay to assess PD-L1 expression status</w:t>
      </w:r>
      <w:r w:rsidRPr="00F453F7">
        <w:t>,</w:t>
      </w:r>
      <w:r w:rsidR="00877163" w:rsidRPr="00F453F7">
        <w:t xml:space="preserve"> and also by changes in </w:t>
      </w:r>
      <w:r w:rsidRPr="00F453F7">
        <w:t>the S</w:t>
      </w:r>
      <w:r w:rsidR="00877163" w:rsidRPr="00F453F7">
        <w:t>tudy 1108 enrolment criteria related to PD-L1 expression</w:t>
      </w:r>
      <w:r w:rsidR="007420CE" w:rsidRPr="00F453F7">
        <w:t xml:space="preserve">. PD-L1 expression appeared to be a strong predictor </w:t>
      </w:r>
      <w:r w:rsidR="0010236F" w:rsidRPr="00F453F7">
        <w:t xml:space="preserve">of </w:t>
      </w:r>
      <w:r w:rsidR="00662F5C" w:rsidRPr="00F453F7">
        <w:t>progression-free survival</w:t>
      </w:r>
      <w:r w:rsidR="004012EF" w:rsidRPr="00F453F7">
        <w:t xml:space="preserve"> and </w:t>
      </w:r>
      <w:r w:rsidR="007420CE" w:rsidRPr="00F453F7">
        <w:t xml:space="preserve">overall survival for durvalumab in Study 1108. </w:t>
      </w:r>
    </w:p>
    <w:p w:rsidR="00375B76" w:rsidRPr="00F453F7" w:rsidRDefault="00375B76" w:rsidP="00A1349E">
      <w:pPr>
        <w:pStyle w:val="ListParagraph"/>
        <w:numPr>
          <w:ilvl w:val="0"/>
          <w:numId w:val="8"/>
        </w:numPr>
        <w:ind w:left="1434" w:hanging="357"/>
      </w:pPr>
      <w:r w:rsidRPr="00F453F7">
        <w:t xml:space="preserve">Other between-trial differences that cannot be accounted for in the MAIC include differences in trial design (Phase 1/2 non-comparative versus Phase 3 randomised comparative, timing of tumour assessments), use of post-progression treatments, protocol-defined durations of treatment, duration of follow-up, and treatment beyond disease progression. </w:t>
      </w:r>
    </w:p>
    <w:p w:rsidR="001622C8" w:rsidRPr="00F453F7" w:rsidRDefault="00A22FF2" w:rsidP="00A1349E">
      <w:pPr>
        <w:pStyle w:val="ListParagraph"/>
        <w:numPr>
          <w:ilvl w:val="0"/>
          <w:numId w:val="8"/>
        </w:numPr>
        <w:ind w:left="1434" w:hanging="357"/>
      </w:pPr>
      <w:r w:rsidRPr="00F453F7">
        <w:t xml:space="preserve">There was a lack of comparative safety data to enable </w:t>
      </w:r>
      <w:r w:rsidR="007420CE" w:rsidRPr="00F453F7">
        <w:t xml:space="preserve">comparison of </w:t>
      </w:r>
      <w:r w:rsidRPr="00F453F7">
        <w:t>safety</w:t>
      </w:r>
      <w:r w:rsidR="007420CE" w:rsidRPr="00F453F7">
        <w:t xml:space="preserve"> across the trials</w:t>
      </w:r>
      <w:r w:rsidRPr="00F453F7">
        <w:t xml:space="preserve">. The submission </w:t>
      </w:r>
      <w:r w:rsidR="007420CE" w:rsidRPr="00F453F7">
        <w:t xml:space="preserve">claim was based on the </w:t>
      </w:r>
      <w:r w:rsidRPr="00F453F7">
        <w:t>results of a naïve comparison of safety.</w:t>
      </w:r>
    </w:p>
    <w:p w:rsidR="00374DDF" w:rsidRPr="00F453F7" w:rsidRDefault="00374DDF" w:rsidP="00A1349E">
      <w:pPr>
        <w:pStyle w:val="ListParagraph"/>
        <w:keepNext/>
        <w:keepLines/>
        <w:numPr>
          <w:ilvl w:val="1"/>
          <w:numId w:val="3"/>
        </w:numPr>
      </w:pPr>
      <w:r w:rsidRPr="00F453F7">
        <w:lastRenderedPageBreak/>
        <w:t>The PBAC considered that the claim of non-inferior</w:t>
      </w:r>
      <w:r w:rsidR="00FB2E81" w:rsidRPr="00F453F7">
        <w:t xml:space="preserve"> comparative effectiveness was </w:t>
      </w:r>
      <w:r w:rsidRPr="00F453F7">
        <w:t>not adequately supported by the data.</w:t>
      </w:r>
    </w:p>
    <w:p w:rsidR="00A1349E" w:rsidRPr="00F453F7" w:rsidRDefault="00374DDF" w:rsidP="00A1349E">
      <w:pPr>
        <w:pStyle w:val="ListParagraph"/>
        <w:keepNext/>
        <w:keepLines/>
        <w:numPr>
          <w:ilvl w:val="1"/>
          <w:numId w:val="3"/>
        </w:numPr>
      </w:pPr>
      <w:r w:rsidRPr="00F453F7">
        <w:t xml:space="preserve">The PBAC considered that the claim of </w:t>
      </w:r>
      <w:r w:rsidR="00FB2E81" w:rsidRPr="00F453F7">
        <w:t xml:space="preserve">non-inferior comparative safety </w:t>
      </w:r>
      <w:r w:rsidRPr="00F453F7">
        <w:t>was not adequately supported by the data.</w:t>
      </w:r>
    </w:p>
    <w:p w:rsidR="00C317F3" w:rsidRPr="00F453F7" w:rsidRDefault="00C317F3" w:rsidP="004D22DF">
      <w:pPr>
        <w:pStyle w:val="4-SubsectionHeading"/>
      </w:pPr>
      <w:bookmarkStart w:id="19" w:name="_Toc413139282"/>
      <w:bookmarkStart w:id="20" w:name="_Toc9428552"/>
      <w:r w:rsidRPr="00F453F7">
        <w:t>Economic analysis</w:t>
      </w:r>
      <w:bookmarkEnd w:id="19"/>
      <w:bookmarkEnd w:id="20"/>
    </w:p>
    <w:p w:rsidR="00B92245" w:rsidRPr="00F453F7" w:rsidRDefault="00B92245" w:rsidP="00A1349E">
      <w:pPr>
        <w:pStyle w:val="ListParagraph"/>
        <w:keepNext/>
        <w:keepLines/>
        <w:numPr>
          <w:ilvl w:val="1"/>
          <w:numId w:val="3"/>
        </w:numPr>
      </w:pPr>
      <w:r w:rsidRPr="00F453F7">
        <w:t xml:space="preserve">The submission presented a cost-minimisation analysis of durvalumab every 2 weeks versus pembrolizumab every 3 weeks based on the claim of non-inferior efficacy and safety presented in Section </w:t>
      </w:r>
      <w:r w:rsidR="00983AA9" w:rsidRPr="00F453F7">
        <w:t>1.</w:t>
      </w:r>
      <w:r w:rsidRPr="00F453F7">
        <w:t>2 of the submission.</w:t>
      </w:r>
    </w:p>
    <w:p w:rsidR="00B92245" w:rsidRPr="00F453F7" w:rsidRDefault="00B92245" w:rsidP="00A1349E">
      <w:pPr>
        <w:pStyle w:val="ListParagraph"/>
        <w:numPr>
          <w:ilvl w:val="1"/>
          <w:numId w:val="3"/>
        </w:numPr>
      </w:pPr>
      <w:r w:rsidRPr="00F453F7">
        <w:t>The equi-effective doses were based on the administration frequency and median duration of treatment for durvalumab and pembrolizumab reported in Study 1108 and Keynote-045</w:t>
      </w:r>
      <w:r w:rsidR="008309A6" w:rsidRPr="00F453F7">
        <w:t>, respectively</w:t>
      </w:r>
      <w:r w:rsidRPr="00F453F7">
        <w:t>. The submission claimed that the median duration of treatment was the only published estimate of treatment exposure for pembrolizumab. However, during the evaluation, alternative measures of treatment duration for pembrolizumab (mean number of administrations; mean duration of treatment) were identified in the TGA AusPAR for pembrolizumab.</w:t>
      </w:r>
      <w:r w:rsidR="002A0E3C" w:rsidRPr="00F453F7">
        <w:t xml:space="preserve"> </w:t>
      </w:r>
    </w:p>
    <w:p w:rsidR="00B92245" w:rsidRPr="00F453F7" w:rsidRDefault="00B92245" w:rsidP="00A1349E">
      <w:pPr>
        <w:pStyle w:val="ListParagraph"/>
        <w:numPr>
          <w:ilvl w:val="1"/>
          <w:numId w:val="3"/>
        </w:numPr>
      </w:pPr>
      <w:r w:rsidRPr="00F453F7">
        <w:t>The submission proposed the following equi-effective doses:</w:t>
      </w:r>
    </w:p>
    <w:p w:rsidR="00B92245" w:rsidRPr="00F453F7" w:rsidRDefault="00B92245" w:rsidP="00A1349E">
      <w:pPr>
        <w:pStyle w:val="ListParagraph"/>
        <w:numPr>
          <w:ilvl w:val="0"/>
          <w:numId w:val="9"/>
        </w:numPr>
        <w:ind w:left="993" w:hanging="273"/>
      </w:pPr>
      <w:r w:rsidRPr="00F453F7">
        <w:t>Durvalumab 10 mg/kg administered every 2 weeks for a median of 12.00 weeks is equi-effective to pembrolizumab 200 mg administered every 3 weeks for a median of 15.21 weeks.</w:t>
      </w:r>
    </w:p>
    <w:p w:rsidR="00AE2EDC" w:rsidRPr="00F453F7" w:rsidRDefault="00AE2EDC" w:rsidP="00A1349E">
      <w:pPr>
        <w:pStyle w:val="ListParagraph"/>
        <w:numPr>
          <w:ilvl w:val="1"/>
          <w:numId w:val="3"/>
        </w:numPr>
      </w:pPr>
      <w:r w:rsidRPr="00F453F7">
        <w:t xml:space="preserve">Based on the median duration of treatment reported for pembrolizumab in the AusPAR (3.45 months), the median duration of treatment </w:t>
      </w:r>
      <w:r w:rsidR="00D5356C" w:rsidRPr="00F453F7">
        <w:t xml:space="preserve">for pembrolizumab in Keynote-045 </w:t>
      </w:r>
      <w:r w:rsidR="00415138" w:rsidRPr="00F453F7">
        <w:t>was</w:t>
      </w:r>
      <w:r w:rsidRPr="00F453F7">
        <w:t xml:space="preserve"> 15.00 weeks.</w:t>
      </w:r>
    </w:p>
    <w:p w:rsidR="00B92245" w:rsidRPr="00F453F7" w:rsidRDefault="00396BDC" w:rsidP="00A1349E">
      <w:pPr>
        <w:pStyle w:val="ListParagraph"/>
        <w:numPr>
          <w:ilvl w:val="1"/>
          <w:numId w:val="3"/>
        </w:numPr>
      </w:pPr>
      <w:r w:rsidRPr="00F453F7">
        <w:t xml:space="preserve">The cost-minimisation analysis </w:t>
      </w:r>
      <w:r w:rsidR="00B92245" w:rsidRPr="00F453F7">
        <w:t xml:space="preserve">includes </w:t>
      </w:r>
      <w:r w:rsidR="00E16396" w:rsidRPr="00F453F7">
        <w:t xml:space="preserve">the </w:t>
      </w:r>
      <w:r w:rsidR="00B92245" w:rsidRPr="00F453F7">
        <w:t xml:space="preserve">costs associated with </w:t>
      </w:r>
      <w:r w:rsidR="00E16396" w:rsidRPr="00F453F7">
        <w:t xml:space="preserve">the </w:t>
      </w:r>
      <w:r w:rsidR="00B92245" w:rsidRPr="00F453F7">
        <w:t xml:space="preserve">administration of durvalumab (every 2 weeks) and pembrolizumab (every 3 weeks). </w:t>
      </w:r>
      <w:r w:rsidR="00E16396" w:rsidRPr="00F453F7">
        <w:t>The a</w:t>
      </w:r>
      <w:r w:rsidR="00B92245" w:rsidRPr="00F453F7">
        <w:t>dministration costs were based on MBS item 13915 (cytotoxic chemotherapy, administration of, either by intravenous push technique or by intravenous infusion of not more than 1 hour’s duration).</w:t>
      </w:r>
    </w:p>
    <w:p w:rsidR="00B92245" w:rsidRPr="00F453F7" w:rsidRDefault="00B92245" w:rsidP="00A1349E">
      <w:pPr>
        <w:pStyle w:val="ListParagraph"/>
        <w:numPr>
          <w:ilvl w:val="1"/>
          <w:numId w:val="3"/>
        </w:numPr>
      </w:pPr>
      <w:r w:rsidRPr="00F453F7">
        <w:t xml:space="preserve">The following </w:t>
      </w:r>
      <w:r w:rsidR="009B3458" w:rsidRPr="00F453F7">
        <w:t>issues</w:t>
      </w:r>
      <w:r w:rsidRPr="00F453F7">
        <w:t xml:space="preserve"> are likely to impact the cost-minimisation:</w:t>
      </w:r>
    </w:p>
    <w:p w:rsidR="00B3542C" w:rsidRPr="00F453F7" w:rsidRDefault="00B3542C" w:rsidP="00A1349E">
      <w:pPr>
        <w:pStyle w:val="ListParagraph"/>
        <w:numPr>
          <w:ilvl w:val="0"/>
          <w:numId w:val="8"/>
        </w:numPr>
        <w:ind w:left="1434" w:hanging="357"/>
      </w:pPr>
      <w:r w:rsidRPr="00F453F7">
        <w:t>Due to the relatively short duration of progression-free survival in the studies, t</w:t>
      </w:r>
      <w:r w:rsidR="007420CE" w:rsidRPr="00F453F7">
        <w:t xml:space="preserve">he median </w:t>
      </w:r>
      <w:r w:rsidRPr="00F453F7">
        <w:t xml:space="preserve">(and mean) </w:t>
      </w:r>
      <w:r w:rsidR="007420CE" w:rsidRPr="00F453F7">
        <w:t>d</w:t>
      </w:r>
      <w:r w:rsidR="00B92245" w:rsidRPr="00F453F7">
        <w:t>uration</w:t>
      </w:r>
      <w:r w:rsidRPr="00F453F7">
        <w:t>s</w:t>
      </w:r>
      <w:r w:rsidR="00B92245" w:rsidRPr="00F453F7">
        <w:t xml:space="preserve"> of treatment </w:t>
      </w:r>
      <w:r w:rsidRPr="00F453F7">
        <w:t>are</w:t>
      </w:r>
      <w:r w:rsidR="00B92245" w:rsidRPr="00F453F7">
        <w:t xml:space="preserve"> likely to have been affected by </w:t>
      </w:r>
      <w:r w:rsidRPr="00F453F7">
        <w:t xml:space="preserve">the </w:t>
      </w:r>
      <w:r w:rsidR="00AE2EDC" w:rsidRPr="00F453F7">
        <w:t xml:space="preserve">protocol-determined </w:t>
      </w:r>
      <w:r w:rsidR="00B92245" w:rsidRPr="00F453F7">
        <w:t>timing of radiological assessments</w:t>
      </w:r>
      <w:r w:rsidRPr="00F453F7">
        <w:t>.</w:t>
      </w:r>
      <w:r w:rsidR="007420CE" w:rsidRPr="00F453F7">
        <w:t xml:space="preserve"> </w:t>
      </w:r>
      <w:r w:rsidR="003C5406" w:rsidRPr="00F453F7">
        <w:t>Scheduling of the second radiological tumour assessment at 12 weeks in Study 1108 (compared to 15 weeks in Keynote-045) is likely to have contributed to the shorter median duration of treatment reported for durvalumab.</w:t>
      </w:r>
      <w:r w:rsidR="008A570C" w:rsidRPr="00F453F7">
        <w:t xml:space="preserve"> </w:t>
      </w:r>
    </w:p>
    <w:p w:rsidR="00B92245" w:rsidRPr="00F453F7" w:rsidRDefault="00B3542C" w:rsidP="00A1349E">
      <w:pPr>
        <w:pStyle w:val="ListParagraph"/>
        <w:numPr>
          <w:ilvl w:val="0"/>
          <w:numId w:val="8"/>
        </w:numPr>
        <w:ind w:left="1434" w:hanging="357"/>
      </w:pPr>
      <w:r w:rsidRPr="00F453F7">
        <w:t xml:space="preserve">Differences in </w:t>
      </w:r>
      <w:r w:rsidR="00E16396" w:rsidRPr="00F453F7">
        <w:t xml:space="preserve">the </w:t>
      </w:r>
      <w:r w:rsidR="00461A7F" w:rsidRPr="00F453F7">
        <w:t xml:space="preserve">maximum </w:t>
      </w:r>
      <w:r w:rsidRPr="00F453F7">
        <w:t>treatment durations between the studies</w:t>
      </w:r>
      <w:r w:rsidR="001F6E57" w:rsidRPr="00F453F7">
        <w:t>;</w:t>
      </w:r>
      <w:r w:rsidRPr="00F453F7">
        <w:t xml:space="preserve"> </w:t>
      </w:r>
      <w:r w:rsidR="001F6E57" w:rsidRPr="00F453F7">
        <w:t>i</w:t>
      </w:r>
      <w:r w:rsidRPr="00F453F7">
        <w:t>n Study 1108, patients received treatment with durvalumab for a maximum of 54 weeks whereas patients received treatment with pembrolizumab for up to 2 years in Keynote-045</w:t>
      </w:r>
      <w:r w:rsidR="00E16396" w:rsidRPr="00F453F7">
        <w:t>.</w:t>
      </w:r>
    </w:p>
    <w:p w:rsidR="00B92245" w:rsidRPr="00F453F7" w:rsidRDefault="00B92245" w:rsidP="00A1349E">
      <w:pPr>
        <w:pStyle w:val="ListParagraph"/>
        <w:numPr>
          <w:ilvl w:val="0"/>
          <w:numId w:val="8"/>
        </w:numPr>
        <w:ind w:left="1434" w:hanging="357"/>
      </w:pPr>
      <w:r w:rsidRPr="00F453F7">
        <w:lastRenderedPageBreak/>
        <w:t xml:space="preserve">The </w:t>
      </w:r>
      <w:r w:rsidR="00662F5C" w:rsidRPr="00F453F7">
        <w:t>cost-</w:t>
      </w:r>
      <w:r w:rsidR="003214DE" w:rsidRPr="00F453F7">
        <w:t xml:space="preserve">minimisation analysis </w:t>
      </w:r>
      <w:r w:rsidRPr="00F453F7">
        <w:t xml:space="preserve">was based on a median duration of follow-up of 16.8 months (range: 0.4-37.7 months) for durvalumab, and a median duration of follow-up of 14.1 months for pembrolizumab (based on the results of the second interim analysis). </w:t>
      </w:r>
      <w:r w:rsidR="002B016E" w:rsidRPr="00F453F7">
        <w:t>Additional follow-up is likely to affect treatment duration parameters (mean duration of treatment; mean treatment administrations).</w:t>
      </w:r>
    </w:p>
    <w:p w:rsidR="00B92245" w:rsidRPr="00F453F7" w:rsidRDefault="00B92245" w:rsidP="00A1349E">
      <w:pPr>
        <w:pStyle w:val="ListParagraph"/>
        <w:numPr>
          <w:ilvl w:val="0"/>
          <w:numId w:val="8"/>
        </w:numPr>
        <w:ind w:left="1434" w:hanging="357"/>
      </w:pPr>
      <w:r w:rsidRPr="00F453F7">
        <w:t>The proposed PBS restriction requires continuing patients to have stable or responding disease. However, patients in the clinical studies who experienced disease progression could continue treatment beyond progression at the discretion of the investigator.</w:t>
      </w:r>
    </w:p>
    <w:p w:rsidR="00B3542C" w:rsidRPr="00F453F7" w:rsidRDefault="00B3542C" w:rsidP="00A1349E">
      <w:pPr>
        <w:pStyle w:val="ListParagraph"/>
        <w:numPr>
          <w:ilvl w:val="0"/>
          <w:numId w:val="8"/>
        </w:numPr>
        <w:ind w:left="1434" w:hanging="357"/>
      </w:pPr>
      <w:r w:rsidRPr="00F453F7">
        <w:t xml:space="preserve">Dosing for pembrolizumab is based on a fixed dose of 200 mg, whereas durvalumab treatment is a weight-based dose (10 mg/kg). The cost-minimisation analysis assumes a weight of 76.6kg based on the average patient weight in Study 1108, which would require one 500 mg and three 120 mg ampoules of durvalumab per dose (sufficient for </w:t>
      </w:r>
      <w:r w:rsidR="005949B1" w:rsidRPr="00F453F7">
        <w:t>patients weighing up to 86 kg).</w:t>
      </w:r>
    </w:p>
    <w:p w:rsidR="002B016E" w:rsidRPr="00F453F7" w:rsidRDefault="00B92245" w:rsidP="00A1349E">
      <w:pPr>
        <w:pStyle w:val="ListParagraph"/>
        <w:numPr>
          <w:ilvl w:val="0"/>
          <w:numId w:val="8"/>
        </w:numPr>
        <w:ind w:left="1434" w:hanging="357"/>
      </w:pPr>
      <w:r w:rsidRPr="00F453F7">
        <w:t>The July 2018 pembro</w:t>
      </w:r>
      <w:r w:rsidR="00AE2EDC" w:rsidRPr="00F453F7">
        <w:t>lizumab resubmission proposed a risk sharing arrangement (</w:t>
      </w:r>
      <w:r w:rsidRPr="00F453F7">
        <w:t>RSA</w:t>
      </w:r>
      <w:r w:rsidR="00AE2EDC" w:rsidRPr="00F453F7">
        <w:t>)</w:t>
      </w:r>
      <w:r w:rsidRPr="00F453F7">
        <w:t xml:space="preserve"> in the form of expenditure caps, and a rebate for a percentage of treatment costs above the annual caps. </w:t>
      </w:r>
    </w:p>
    <w:p w:rsidR="002B016E" w:rsidRPr="00F453F7" w:rsidRDefault="002B016E" w:rsidP="00A1349E">
      <w:pPr>
        <w:pStyle w:val="ListParagraph"/>
        <w:numPr>
          <w:ilvl w:val="0"/>
          <w:numId w:val="8"/>
        </w:numPr>
        <w:ind w:left="1434" w:hanging="357"/>
      </w:pPr>
      <w:r w:rsidRPr="00F453F7">
        <w:t>The proposed dose relativity does not account for potential differences in dose intensity between durvalumab and pembrolizumab. There were no available measures of dose intensity for pembrolizumab.</w:t>
      </w:r>
    </w:p>
    <w:p w:rsidR="00461A7F" w:rsidRPr="00F453F7" w:rsidRDefault="00461A7F" w:rsidP="00A1349E">
      <w:pPr>
        <w:pStyle w:val="ListParagraph"/>
        <w:numPr>
          <w:ilvl w:val="0"/>
          <w:numId w:val="8"/>
        </w:numPr>
        <w:ind w:left="1434" w:hanging="357"/>
      </w:pPr>
      <w:r w:rsidRPr="00F453F7">
        <w:t>The PBAC noted that the large number treatment discontinuations in the early stages of the trials impacted on the median durations of treatment.</w:t>
      </w:r>
    </w:p>
    <w:p w:rsidR="00642970" w:rsidRPr="00F453F7" w:rsidRDefault="00E81A92" w:rsidP="00A1349E">
      <w:pPr>
        <w:pStyle w:val="ListParagraph"/>
        <w:numPr>
          <w:ilvl w:val="1"/>
          <w:numId w:val="3"/>
        </w:numPr>
      </w:pPr>
      <w:r w:rsidRPr="00F453F7">
        <w:t xml:space="preserve">The </w:t>
      </w:r>
      <w:r w:rsidR="00B157BD" w:rsidRPr="00F453F7">
        <w:t xml:space="preserve">PBAC agreed with the </w:t>
      </w:r>
      <w:r w:rsidRPr="00F453F7">
        <w:t xml:space="preserve">ESC that the claim of non-inferiority was not well supported by the evidence which made </w:t>
      </w:r>
      <w:r w:rsidR="001F6E57" w:rsidRPr="00F453F7">
        <w:t xml:space="preserve">the </w:t>
      </w:r>
      <w:r w:rsidRPr="00F453F7">
        <w:t xml:space="preserve">calculation of equi-effective doses problematic. </w:t>
      </w:r>
      <w:r w:rsidR="00B157BD" w:rsidRPr="00F453F7">
        <w:t xml:space="preserve">The PBAC also considered that the clinical data presented did not provide a good basis for calculation of equi-effective doses due to differences between the trials and immaturity of the data. </w:t>
      </w:r>
      <w:r w:rsidRPr="00F453F7">
        <w:t xml:space="preserve">The ESC considered that there was no convincing evidence that </w:t>
      </w:r>
      <w:r w:rsidR="001F6E57" w:rsidRPr="00F453F7">
        <w:t xml:space="preserve">the </w:t>
      </w:r>
      <w:r w:rsidRPr="00F453F7">
        <w:t>treatment duration in practice would be likely to differ between durvalumab and pe</w:t>
      </w:r>
      <w:r w:rsidR="00823F50" w:rsidRPr="00F453F7">
        <w:t>m</w:t>
      </w:r>
      <w:r w:rsidR="001F6E57" w:rsidRPr="00F453F7">
        <w:t>brolizumab.</w:t>
      </w:r>
      <w:r w:rsidRPr="00F453F7">
        <w:t xml:space="preserve"> </w:t>
      </w:r>
      <w:r w:rsidR="001F6E57" w:rsidRPr="00F453F7">
        <w:t>T</w:t>
      </w:r>
      <w:r w:rsidRPr="00F453F7">
        <w:t xml:space="preserve">herefore </w:t>
      </w:r>
      <w:r w:rsidR="00B4608B" w:rsidRPr="00F453F7">
        <w:t>based on the evidence provided</w:t>
      </w:r>
      <w:r w:rsidR="001F6E57" w:rsidRPr="00F453F7">
        <w:t>,</w:t>
      </w:r>
      <w:r w:rsidR="00B4608B" w:rsidRPr="00F453F7">
        <w:t xml:space="preserve"> it</w:t>
      </w:r>
      <w:r w:rsidRPr="00F453F7">
        <w:t xml:space="preserve"> would be inappropriate to </w:t>
      </w:r>
      <w:r w:rsidR="00B4608B" w:rsidRPr="00F453F7">
        <w:t>assume</w:t>
      </w:r>
      <w:r w:rsidRPr="00F453F7">
        <w:t xml:space="preserve"> </w:t>
      </w:r>
      <w:r w:rsidR="00B4608B" w:rsidRPr="00F453F7">
        <w:t xml:space="preserve">different treatment durations in </w:t>
      </w:r>
      <w:r w:rsidR="001F6E57" w:rsidRPr="00F453F7">
        <w:t xml:space="preserve">the </w:t>
      </w:r>
      <w:r w:rsidRPr="00F453F7">
        <w:t>calcula</w:t>
      </w:r>
      <w:r w:rsidR="00B4608B" w:rsidRPr="00F453F7">
        <w:t>tion of equi-effective doses.</w:t>
      </w:r>
    </w:p>
    <w:p w:rsidR="00C1629D" w:rsidRPr="00F453F7" w:rsidRDefault="007420CE" w:rsidP="00A1349E">
      <w:pPr>
        <w:pStyle w:val="ListParagraph"/>
        <w:numPr>
          <w:ilvl w:val="1"/>
          <w:numId w:val="3"/>
        </w:numPr>
      </w:pPr>
      <w:r w:rsidRPr="00F453F7">
        <w:t>The submission did not present a cost-minimised price for durvalumab based on the published price of pembrolizuma</w:t>
      </w:r>
      <w:r w:rsidR="00935891" w:rsidRPr="00F453F7">
        <w:t>b. The proposed published price</w:t>
      </w:r>
      <w:r w:rsidR="00396BDC" w:rsidRPr="00F453F7">
        <w:t>s</w:t>
      </w:r>
      <w:r w:rsidRPr="00F453F7">
        <w:t xml:space="preserve"> for durvalumab included in the submission (AEMP </w:t>
      </w:r>
      <w:r w:rsidR="00935891" w:rsidRPr="00F453F7">
        <w:t xml:space="preserve">of </w:t>
      </w:r>
      <w:r w:rsidR="007A2599">
        <w:rPr>
          <w:noProof/>
          <w:color w:val="000000"/>
          <w:highlight w:val="black"/>
        </w:rPr>
        <w:t>'''''''''''''''''</w:t>
      </w:r>
      <w:r w:rsidR="00935891" w:rsidRPr="00F453F7">
        <w:t xml:space="preserve"> per 500 mg/mL vial</w:t>
      </w:r>
      <w:r w:rsidRPr="00F453F7">
        <w:t xml:space="preserve">; AEMP </w:t>
      </w:r>
      <w:r w:rsidR="00935891" w:rsidRPr="00F453F7">
        <w:t>of</w:t>
      </w:r>
      <w:r w:rsidRPr="00F453F7">
        <w:t xml:space="preserve"> </w:t>
      </w:r>
      <w:r w:rsidR="00935891" w:rsidRPr="00F453F7">
        <w:t>$</w:t>
      </w:r>
      <w:r w:rsidR="007A2599">
        <w:rPr>
          <w:noProof/>
          <w:color w:val="000000"/>
          <w:highlight w:val="black"/>
        </w:rPr>
        <w:t>''''''''''''''''''</w:t>
      </w:r>
      <w:r w:rsidR="00935891" w:rsidRPr="00F453F7">
        <w:t xml:space="preserve"> per </w:t>
      </w:r>
      <w:r w:rsidRPr="00F453F7">
        <w:t>120 mg/mL</w:t>
      </w:r>
      <w:r w:rsidR="00935891" w:rsidRPr="00F453F7">
        <w:t xml:space="preserve"> vial</w:t>
      </w:r>
      <w:r w:rsidRPr="00F453F7">
        <w:t xml:space="preserve">) </w:t>
      </w:r>
      <w:r w:rsidR="00396BDC" w:rsidRPr="00F453F7">
        <w:t>were</w:t>
      </w:r>
      <w:r w:rsidRPr="00F453F7">
        <w:t xml:space="preserve"> the same as </w:t>
      </w:r>
      <w:r w:rsidR="00396BDC" w:rsidRPr="00F453F7">
        <w:t xml:space="preserve">the </w:t>
      </w:r>
      <w:r w:rsidRPr="00F453F7">
        <w:t xml:space="preserve">requested </w:t>
      </w:r>
      <w:r w:rsidR="00396BDC" w:rsidRPr="00F453F7">
        <w:t xml:space="preserve">price </w:t>
      </w:r>
      <w:r w:rsidRPr="00F453F7">
        <w:t xml:space="preserve">for the durvalumab NSCLC indication. A cost-minimised price for durvalumab based on the published price of pembrolizumab was calculated during the evaluation using the </w:t>
      </w:r>
      <w:r w:rsidR="00935891" w:rsidRPr="00F453F7">
        <w:t>equi-effective doses</w:t>
      </w:r>
      <w:r w:rsidRPr="00F453F7">
        <w:t xml:space="preserve"> proposed in the submission.</w:t>
      </w:r>
      <w:r w:rsidR="00935891" w:rsidRPr="00F453F7">
        <w:t xml:space="preserve"> </w:t>
      </w:r>
      <w:r w:rsidR="00642970" w:rsidRPr="00F453F7">
        <w:t>The PSCR requested that the cost-</w:t>
      </w:r>
      <w:r w:rsidR="00642970" w:rsidRPr="00F453F7">
        <w:lastRenderedPageBreak/>
        <w:t>min</w:t>
      </w:r>
      <w:r w:rsidR="00B4608B" w:rsidRPr="00F453F7">
        <w:t>imisation</w:t>
      </w:r>
      <w:r w:rsidR="00642970" w:rsidRPr="00F453F7">
        <w:t xml:space="preserve"> analysis be used to derive the net (effective) vial prices but that published durvalumab vial prices be the same as for durvalumab for NSCLC.</w:t>
      </w:r>
    </w:p>
    <w:p w:rsidR="008547E1" w:rsidRPr="00F453F7" w:rsidRDefault="00935891" w:rsidP="00A1349E">
      <w:pPr>
        <w:pStyle w:val="ListParagraph"/>
        <w:numPr>
          <w:ilvl w:val="1"/>
          <w:numId w:val="3"/>
        </w:numPr>
      </w:pPr>
      <w:r w:rsidRPr="00F453F7">
        <w:t>A cost-minimised price was also derived using the mean number of drug administrations.</w:t>
      </w:r>
      <w:r w:rsidR="00C1629D" w:rsidRPr="00F453F7">
        <w:t xml:space="preserve"> However, </w:t>
      </w:r>
      <w:r w:rsidR="00352F90" w:rsidRPr="00F453F7">
        <w:t xml:space="preserve">the </w:t>
      </w:r>
      <w:r w:rsidR="008E4DD5" w:rsidRPr="00F453F7">
        <w:t xml:space="preserve">comparison based on </w:t>
      </w:r>
      <w:r w:rsidR="00C1629D" w:rsidRPr="00F453F7">
        <w:t>mean drug administrations</w:t>
      </w:r>
      <w:r w:rsidR="00461A7F" w:rsidRPr="00F453F7">
        <w:t xml:space="preserve"> had many of the same limitations as the comparison based on medians</w:t>
      </w:r>
      <w:r w:rsidR="00C1629D" w:rsidRPr="00F453F7">
        <w:t xml:space="preserve">. </w:t>
      </w:r>
      <w:r w:rsidR="00223CCA" w:rsidRPr="00F453F7">
        <w:t xml:space="preserve">The PSCR </w:t>
      </w:r>
      <w:r w:rsidR="00E80E41" w:rsidRPr="00F453F7">
        <w:t xml:space="preserve">(p4) </w:t>
      </w:r>
      <w:r w:rsidR="00223CCA" w:rsidRPr="00F453F7">
        <w:t>expressed a preference for this approach</w:t>
      </w:r>
      <w:r w:rsidR="00642970" w:rsidRPr="00F453F7">
        <w:t xml:space="preserve"> over the use of median duration</w:t>
      </w:r>
      <w:r w:rsidR="0079425B" w:rsidRPr="00F453F7">
        <w:t>s</w:t>
      </w:r>
      <w:r w:rsidR="00223CCA" w:rsidRPr="00F453F7">
        <w:t xml:space="preserve">. </w:t>
      </w:r>
      <w:r w:rsidR="00E80E41" w:rsidRPr="00F453F7">
        <w:t xml:space="preserve">The ESC noted that this approach resulted in a slightly higher price for durvalumab. </w:t>
      </w:r>
      <w:r w:rsidR="00E81A92" w:rsidRPr="00F453F7">
        <w:t xml:space="preserve">The </w:t>
      </w:r>
      <w:r w:rsidR="00461A7F" w:rsidRPr="00F453F7">
        <w:t xml:space="preserve">PBAC agreed with the </w:t>
      </w:r>
      <w:r w:rsidR="00E81A92" w:rsidRPr="00F453F7">
        <w:t xml:space="preserve">ESC that neither approach was well supported by the evidence as the claim of non-inferiority was not supported </w:t>
      </w:r>
      <w:r w:rsidR="00B4608B" w:rsidRPr="00F453F7">
        <w:t xml:space="preserve">and treatment duration in </w:t>
      </w:r>
      <w:r w:rsidR="00E81A92" w:rsidRPr="00F453F7">
        <w:t xml:space="preserve">both </w:t>
      </w:r>
      <w:r w:rsidR="00B4608B" w:rsidRPr="00F453F7">
        <w:t xml:space="preserve">trials </w:t>
      </w:r>
      <w:r w:rsidR="00E81A92" w:rsidRPr="00F453F7">
        <w:t>w</w:t>
      </w:r>
      <w:r w:rsidR="00B4608B" w:rsidRPr="00F453F7">
        <w:t>as</w:t>
      </w:r>
      <w:r w:rsidR="00E81A92" w:rsidRPr="00F453F7">
        <w:t xml:space="preserve"> influenced by the trial design and </w:t>
      </w:r>
      <w:r w:rsidR="00B4608B" w:rsidRPr="00F453F7">
        <w:t>duration of follow-up</w:t>
      </w:r>
      <w:r w:rsidR="00F453F7">
        <w:t xml:space="preserve">. </w:t>
      </w:r>
    </w:p>
    <w:p w:rsidR="000C7E20" w:rsidRPr="00F453F7" w:rsidRDefault="000C7E20" w:rsidP="00A1349E">
      <w:pPr>
        <w:pStyle w:val="ListParagraph"/>
        <w:numPr>
          <w:ilvl w:val="1"/>
          <w:numId w:val="3"/>
        </w:numPr>
        <w:rPr>
          <w:i/>
        </w:rPr>
      </w:pPr>
      <w:r w:rsidRPr="00F453F7">
        <w:t>Table 1</w:t>
      </w:r>
      <w:r w:rsidR="00C227BC" w:rsidRPr="00F453F7">
        <w:t>0</w:t>
      </w:r>
      <w:r w:rsidRPr="00F453F7">
        <w:t xml:space="preserve"> presents the results of the cost-minimisation analyses conducted during the evaluation</w:t>
      </w:r>
      <w:r w:rsidR="00122C21" w:rsidRPr="00F453F7">
        <w:t>, based on the published price of pembrolizumab</w:t>
      </w:r>
      <w:r w:rsidRPr="00F453F7">
        <w:t xml:space="preserve">. </w:t>
      </w:r>
    </w:p>
    <w:p w:rsidR="00FA264F" w:rsidRDefault="00FA264F" w:rsidP="00FA264F">
      <w:pPr>
        <w:pStyle w:val="TableHeading"/>
      </w:pPr>
      <w:r>
        <w:t xml:space="preserve">Table </w:t>
      </w:r>
      <w:r w:rsidR="00C15CB6">
        <w:fldChar w:fldCharType="begin"/>
      </w:r>
      <w:r w:rsidR="00C15CB6">
        <w:instrText xml:space="preserve"> SEQ Table \* ARABIC </w:instrText>
      </w:r>
      <w:r w:rsidR="00C15CB6">
        <w:fldChar w:fldCharType="separate"/>
      </w:r>
      <w:r w:rsidR="00E55F9F">
        <w:rPr>
          <w:noProof/>
        </w:rPr>
        <w:t>10</w:t>
      </w:r>
      <w:r w:rsidR="00C15CB6">
        <w:rPr>
          <w:noProof/>
        </w:rPr>
        <w:fldChar w:fldCharType="end"/>
      </w:r>
      <w:r w:rsidRPr="000B2F57">
        <w:t>: Cost-minimised price of durvalumab</w:t>
      </w:r>
    </w:p>
    <w:tbl>
      <w:tblPr>
        <w:tblStyle w:val="Summarybox8"/>
        <w:tblW w:w="5000" w:type="pct"/>
        <w:tblLayout w:type="fixed"/>
        <w:tblLook w:val="04A0" w:firstRow="1" w:lastRow="0" w:firstColumn="1" w:lastColumn="0" w:noHBand="0" w:noVBand="1"/>
        <w:tblCaption w:val="Table 10: Cost-minimised price of durvalumab"/>
      </w:tblPr>
      <w:tblGrid>
        <w:gridCol w:w="3256"/>
        <w:gridCol w:w="2880"/>
        <w:gridCol w:w="2880"/>
      </w:tblGrid>
      <w:tr w:rsidR="00DC5F03" w:rsidRPr="00F453F7" w:rsidTr="00FA264F">
        <w:trPr>
          <w:trHeight w:val="20"/>
          <w:tblHeader/>
        </w:trPr>
        <w:tc>
          <w:tcPr>
            <w:tcW w:w="1806" w:type="pct"/>
            <w:shd w:val="clear" w:color="auto" w:fill="auto"/>
            <w:noWrap/>
            <w:vAlign w:val="center"/>
          </w:tcPr>
          <w:p w:rsidR="00DC5F03" w:rsidRPr="00F453F7" w:rsidRDefault="00DC5F03" w:rsidP="00461CB5">
            <w:pPr>
              <w:keepNext/>
              <w:keepLines/>
              <w:rPr>
                <w:rFonts w:ascii="Arial Narrow" w:eastAsia="TimesNewRoman" w:hAnsi="Arial Narrow" w:cs="Calibri"/>
                <w:color w:val="000000"/>
                <w:sz w:val="20"/>
                <w:szCs w:val="20"/>
                <w:lang w:eastAsia="en-AU"/>
              </w:rPr>
            </w:pPr>
          </w:p>
        </w:tc>
        <w:tc>
          <w:tcPr>
            <w:tcW w:w="1597" w:type="pct"/>
            <w:shd w:val="clear" w:color="auto" w:fill="auto"/>
            <w:noWrap/>
            <w:vAlign w:val="center"/>
          </w:tcPr>
          <w:p w:rsidR="00DC5F03" w:rsidRPr="00F453F7" w:rsidRDefault="00897263" w:rsidP="006E6B86">
            <w:pPr>
              <w:keepNext/>
              <w:keepLines/>
              <w:jc w:val="center"/>
              <w:rPr>
                <w:rFonts w:ascii="Arial Narrow" w:eastAsia="TimesNewRoman" w:hAnsi="Arial Narrow" w:cs="Calibri"/>
                <w:b/>
                <w:color w:val="000000"/>
                <w:sz w:val="20"/>
                <w:szCs w:val="20"/>
                <w:vertAlign w:val="superscript"/>
                <w:lang w:eastAsia="en-AU"/>
              </w:rPr>
            </w:pPr>
            <w:r w:rsidRPr="00F453F7">
              <w:rPr>
                <w:rFonts w:ascii="Arial Narrow" w:eastAsia="TimesNewRoman" w:hAnsi="Arial Narrow" w:cs="Calibri"/>
                <w:b/>
                <w:color w:val="000000"/>
                <w:sz w:val="20"/>
                <w:szCs w:val="20"/>
                <w:lang w:eastAsia="en-AU"/>
              </w:rPr>
              <w:t>Cost-</w:t>
            </w:r>
            <w:r w:rsidR="00DC5F03" w:rsidRPr="00F453F7">
              <w:rPr>
                <w:rFonts w:ascii="Arial Narrow" w:eastAsia="TimesNewRoman" w:hAnsi="Arial Narrow" w:cs="Calibri"/>
                <w:b/>
                <w:color w:val="000000"/>
                <w:sz w:val="20"/>
                <w:szCs w:val="20"/>
                <w:lang w:eastAsia="en-AU"/>
              </w:rPr>
              <w:t>minimisation based on median treatment duration</w:t>
            </w:r>
            <w:r w:rsidR="006E6B86" w:rsidRPr="00F453F7">
              <w:rPr>
                <w:rFonts w:ascii="Arial Narrow" w:eastAsia="TimesNewRoman" w:hAnsi="Arial Narrow" w:cs="Calibri"/>
                <w:b/>
                <w:color w:val="000000"/>
                <w:sz w:val="20"/>
                <w:szCs w:val="20"/>
                <w:vertAlign w:val="superscript"/>
                <w:lang w:eastAsia="en-AU"/>
              </w:rPr>
              <w:t>1</w:t>
            </w:r>
          </w:p>
        </w:tc>
        <w:tc>
          <w:tcPr>
            <w:tcW w:w="1597" w:type="pct"/>
            <w:shd w:val="clear" w:color="auto" w:fill="auto"/>
            <w:vAlign w:val="center"/>
          </w:tcPr>
          <w:p w:rsidR="00DC5F03" w:rsidRPr="00F453F7" w:rsidRDefault="00DC5F03" w:rsidP="006E6B86">
            <w:pPr>
              <w:keepNext/>
              <w:keepLines/>
              <w:jc w:val="center"/>
              <w:rPr>
                <w:rFonts w:ascii="Arial Narrow" w:eastAsia="TimesNewRoman" w:hAnsi="Arial Narrow" w:cs="Calibri"/>
                <w:b/>
                <w:color w:val="000000"/>
                <w:sz w:val="20"/>
                <w:szCs w:val="20"/>
                <w:vertAlign w:val="superscript"/>
                <w:lang w:eastAsia="en-AU"/>
              </w:rPr>
            </w:pPr>
            <w:r w:rsidRPr="00F453F7">
              <w:rPr>
                <w:rFonts w:ascii="Arial Narrow" w:eastAsia="TimesNewRoman" w:hAnsi="Arial Narrow" w:cs="Calibri"/>
                <w:b/>
                <w:color w:val="000000"/>
                <w:sz w:val="20"/>
                <w:szCs w:val="20"/>
                <w:lang w:eastAsia="en-AU"/>
              </w:rPr>
              <w:t>Cost</w:t>
            </w:r>
            <w:r w:rsidR="00897263" w:rsidRPr="00F453F7">
              <w:rPr>
                <w:rFonts w:ascii="Arial Narrow" w:eastAsia="TimesNewRoman" w:hAnsi="Arial Narrow" w:cs="Calibri"/>
                <w:b/>
                <w:color w:val="000000"/>
                <w:sz w:val="20"/>
                <w:szCs w:val="20"/>
                <w:lang w:eastAsia="en-AU"/>
              </w:rPr>
              <w:t>-</w:t>
            </w:r>
            <w:r w:rsidRPr="00F453F7">
              <w:rPr>
                <w:rFonts w:ascii="Arial Narrow" w:eastAsia="TimesNewRoman" w:hAnsi="Arial Narrow" w:cs="Calibri"/>
                <w:b/>
                <w:color w:val="000000"/>
                <w:sz w:val="20"/>
                <w:szCs w:val="20"/>
                <w:lang w:eastAsia="en-AU"/>
              </w:rPr>
              <w:t>minimisation based on mean administrations</w:t>
            </w:r>
            <w:r w:rsidR="006E6B86" w:rsidRPr="00F453F7">
              <w:rPr>
                <w:rFonts w:ascii="Arial Narrow" w:eastAsia="TimesNewRoman" w:hAnsi="Arial Narrow" w:cs="Calibri"/>
                <w:b/>
                <w:color w:val="000000"/>
                <w:sz w:val="20"/>
                <w:szCs w:val="20"/>
                <w:vertAlign w:val="superscript"/>
                <w:lang w:eastAsia="en-AU"/>
              </w:rPr>
              <w:t>2</w:t>
            </w:r>
          </w:p>
        </w:tc>
      </w:tr>
      <w:tr w:rsidR="00897263" w:rsidRPr="00F453F7" w:rsidTr="00897263">
        <w:trPr>
          <w:trHeight w:val="20"/>
        </w:trPr>
        <w:tc>
          <w:tcPr>
            <w:tcW w:w="1806" w:type="pct"/>
            <w:shd w:val="clear" w:color="auto" w:fill="auto"/>
            <w:noWrap/>
            <w:vAlign w:val="center"/>
          </w:tcPr>
          <w:p w:rsidR="00897263" w:rsidRPr="00F453F7" w:rsidRDefault="00897263" w:rsidP="00897263">
            <w:pPr>
              <w:keepNext/>
              <w:keepLines/>
              <w:rPr>
                <w:rFonts w:ascii="Arial Narrow" w:eastAsia="TimesNewRoman" w:hAnsi="Arial Narrow" w:cs="Calibri"/>
                <w:color w:val="000000"/>
                <w:sz w:val="20"/>
                <w:szCs w:val="20"/>
                <w:lang w:eastAsia="en-AU"/>
              </w:rPr>
            </w:pPr>
            <w:r w:rsidRPr="00F453F7">
              <w:rPr>
                <w:rFonts w:ascii="Arial Narrow" w:eastAsia="TimesNewRoman" w:hAnsi="Arial Narrow" w:cs="Calibri"/>
                <w:color w:val="000000"/>
                <w:sz w:val="20"/>
                <w:szCs w:val="20"/>
                <w:lang w:eastAsia="en-AU"/>
              </w:rPr>
              <w:t>Pembrolizumab AEMP per 100 mg vial</w:t>
            </w:r>
          </w:p>
        </w:tc>
        <w:tc>
          <w:tcPr>
            <w:tcW w:w="1597" w:type="pct"/>
            <w:shd w:val="clear" w:color="auto" w:fill="auto"/>
            <w:noWrap/>
            <w:vAlign w:val="center"/>
          </w:tcPr>
          <w:p w:rsidR="00897263" w:rsidRPr="00F453F7" w:rsidRDefault="00897263" w:rsidP="00461CB5">
            <w:pPr>
              <w:keepNext/>
              <w:keepLines/>
              <w:jc w:val="center"/>
              <w:rPr>
                <w:rFonts w:ascii="Arial Narrow" w:hAnsi="Arial Narrow"/>
                <w:sz w:val="20"/>
                <w:szCs w:val="20"/>
              </w:rPr>
            </w:pPr>
            <w:r w:rsidRPr="00F453F7">
              <w:rPr>
                <w:rFonts w:ascii="Arial Narrow" w:hAnsi="Arial Narrow"/>
                <w:sz w:val="20"/>
                <w:szCs w:val="20"/>
              </w:rPr>
              <w:t>$4,460.00</w:t>
            </w:r>
          </w:p>
        </w:tc>
        <w:tc>
          <w:tcPr>
            <w:tcW w:w="1597" w:type="pct"/>
            <w:shd w:val="clear" w:color="auto" w:fill="auto"/>
            <w:vAlign w:val="center"/>
          </w:tcPr>
          <w:p w:rsidR="00897263" w:rsidRPr="00F453F7" w:rsidRDefault="00897263" w:rsidP="00461CB5">
            <w:pPr>
              <w:keepNext/>
              <w:keepLines/>
              <w:jc w:val="center"/>
              <w:rPr>
                <w:rFonts w:ascii="Arial Narrow" w:eastAsia="TimesNewRoman" w:hAnsi="Arial Narrow" w:cs="Calibri"/>
                <w:color w:val="000000"/>
                <w:sz w:val="20"/>
                <w:szCs w:val="20"/>
                <w:lang w:eastAsia="en-AU"/>
              </w:rPr>
            </w:pPr>
            <w:r w:rsidRPr="00F453F7">
              <w:rPr>
                <w:rFonts w:ascii="Arial Narrow" w:eastAsia="TimesNewRoman" w:hAnsi="Arial Narrow" w:cs="Calibri"/>
                <w:color w:val="000000"/>
                <w:sz w:val="20"/>
                <w:szCs w:val="20"/>
                <w:lang w:eastAsia="en-AU"/>
              </w:rPr>
              <w:t>$4,460.00</w:t>
            </w:r>
          </w:p>
        </w:tc>
      </w:tr>
      <w:tr w:rsidR="00A90CB6" w:rsidRPr="00F453F7" w:rsidTr="00897263">
        <w:trPr>
          <w:trHeight w:val="51"/>
        </w:trPr>
        <w:tc>
          <w:tcPr>
            <w:tcW w:w="1806" w:type="pct"/>
            <w:shd w:val="clear" w:color="auto" w:fill="auto"/>
            <w:noWrap/>
            <w:vAlign w:val="center"/>
          </w:tcPr>
          <w:p w:rsidR="00A90CB6" w:rsidRPr="00F453F7" w:rsidRDefault="00A90CB6" w:rsidP="00A90CB6">
            <w:pPr>
              <w:keepNext/>
              <w:keepLines/>
              <w:rPr>
                <w:rFonts w:ascii="Arial Narrow" w:eastAsia="TimesNewRoman" w:hAnsi="Arial Narrow" w:cs="Calibri"/>
                <w:color w:val="000000"/>
                <w:sz w:val="20"/>
                <w:szCs w:val="20"/>
                <w:lang w:eastAsia="en-AU"/>
              </w:rPr>
            </w:pPr>
            <w:r w:rsidRPr="00F453F7">
              <w:rPr>
                <w:rFonts w:ascii="Arial Narrow" w:eastAsia="TimesNewRoman" w:hAnsi="Arial Narrow" w:cs="Calibri"/>
                <w:color w:val="000000"/>
                <w:sz w:val="20"/>
                <w:szCs w:val="20"/>
                <w:lang w:eastAsia="en-AU"/>
              </w:rPr>
              <w:t>Pembrolizumab administration costs</w:t>
            </w:r>
          </w:p>
        </w:tc>
        <w:tc>
          <w:tcPr>
            <w:tcW w:w="1597" w:type="pct"/>
            <w:shd w:val="clear" w:color="auto" w:fill="auto"/>
            <w:noWrap/>
            <w:vAlign w:val="center"/>
          </w:tcPr>
          <w:p w:rsidR="00A90CB6" w:rsidRPr="00F453F7" w:rsidRDefault="00A90CB6" w:rsidP="00461CB5">
            <w:pPr>
              <w:keepNext/>
              <w:keepLines/>
              <w:jc w:val="center"/>
              <w:rPr>
                <w:rFonts w:ascii="Arial Narrow" w:hAnsi="Arial Narrow"/>
                <w:sz w:val="20"/>
                <w:szCs w:val="20"/>
              </w:rPr>
            </w:pPr>
            <w:r w:rsidRPr="00F453F7">
              <w:rPr>
                <w:rFonts w:ascii="Arial Narrow" w:hAnsi="Arial Narrow"/>
                <w:sz w:val="20"/>
                <w:szCs w:val="20"/>
              </w:rPr>
              <w:t>$325.28</w:t>
            </w:r>
          </w:p>
        </w:tc>
        <w:tc>
          <w:tcPr>
            <w:tcW w:w="1597" w:type="pct"/>
            <w:shd w:val="clear" w:color="auto" w:fill="auto"/>
            <w:vAlign w:val="center"/>
          </w:tcPr>
          <w:p w:rsidR="00A90CB6" w:rsidRPr="00F453F7" w:rsidRDefault="00A90CB6" w:rsidP="00461CB5">
            <w:pPr>
              <w:keepNext/>
              <w:keepLines/>
              <w:jc w:val="center"/>
              <w:rPr>
                <w:rFonts w:ascii="Arial Narrow" w:eastAsia="TimesNewRoman" w:hAnsi="Arial Narrow" w:cs="Calibri"/>
                <w:color w:val="000000"/>
                <w:sz w:val="20"/>
                <w:szCs w:val="20"/>
                <w:lang w:eastAsia="en-AU"/>
              </w:rPr>
            </w:pPr>
            <w:r w:rsidRPr="00F453F7">
              <w:rPr>
                <w:rFonts w:ascii="Arial Narrow" w:eastAsia="TimesNewRoman" w:hAnsi="Arial Narrow" w:cs="Calibri"/>
                <w:color w:val="000000"/>
                <w:sz w:val="20"/>
                <w:szCs w:val="20"/>
                <w:lang w:eastAsia="en-AU"/>
              </w:rPr>
              <w:t>$573.09</w:t>
            </w:r>
          </w:p>
        </w:tc>
      </w:tr>
      <w:tr w:rsidR="00897263" w:rsidRPr="00F453F7" w:rsidTr="00897263">
        <w:trPr>
          <w:trHeight w:val="51"/>
        </w:trPr>
        <w:tc>
          <w:tcPr>
            <w:tcW w:w="1806" w:type="pct"/>
            <w:shd w:val="clear" w:color="auto" w:fill="auto"/>
            <w:noWrap/>
            <w:vAlign w:val="center"/>
          </w:tcPr>
          <w:p w:rsidR="00897263" w:rsidRPr="00F453F7" w:rsidRDefault="00897263" w:rsidP="00897263">
            <w:pPr>
              <w:keepNext/>
              <w:keepLines/>
              <w:rPr>
                <w:rFonts w:ascii="Arial Narrow" w:eastAsia="TimesNewRoman" w:hAnsi="Arial Narrow" w:cs="Calibri"/>
                <w:color w:val="000000"/>
                <w:sz w:val="20"/>
                <w:szCs w:val="20"/>
                <w:lang w:eastAsia="en-AU"/>
              </w:rPr>
            </w:pPr>
            <w:r w:rsidRPr="00F453F7">
              <w:rPr>
                <w:rFonts w:ascii="Arial Narrow" w:eastAsia="TimesNewRoman" w:hAnsi="Arial Narrow" w:cs="Calibri"/>
                <w:color w:val="000000"/>
                <w:sz w:val="20"/>
                <w:szCs w:val="20"/>
                <w:lang w:eastAsia="en-AU"/>
              </w:rPr>
              <w:t>Total cost per treatment course</w:t>
            </w:r>
          </w:p>
        </w:tc>
        <w:tc>
          <w:tcPr>
            <w:tcW w:w="1597" w:type="pct"/>
            <w:shd w:val="clear" w:color="auto" w:fill="auto"/>
            <w:noWrap/>
            <w:vAlign w:val="center"/>
          </w:tcPr>
          <w:p w:rsidR="00897263" w:rsidRPr="00F453F7" w:rsidRDefault="00C1662E" w:rsidP="00461CB5">
            <w:pPr>
              <w:keepNext/>
              <w:keepLines/>
              <w:jc w:val="center"/>
              <w:rPr>
                <w:rFonts w:ascii="Arial Narrow" w:hAnsi="Arial Narrow"/>
                <w:sz w:val="20"/>
                <w:szCs w:val="20"/>
              </w:rPr>
            </w:pPr>
            <w:r w:rsidRPr="00F453F7">
              <w:rPr>
                <w:rFonts w:ascii="Arial Narrow" w:hAnsi="Arial Narrow"/>
                <w:sz w:val="20"/>
                <w:szCs w:val="20"/>
              </w:rPr>
              <w:t>$44,929.26</w:t>
            </w:r>
          </w:p>
        </w:tc>
        <w:tc>
          <w:tcPr>
            <w:tcW w:w="1597" w:type="pct"/>
            <w:shd w:val="clear" w:color="auto" w:fill="auto"/>
            <w:vAlign w:val="center"/>
          </w:tcPr>
          <w:p w:rsidR="00897263" w:rsidRPr="00F453F7" w:rsidRDefault="00C1662E" w:rsidP="00461CB5">
            <w:pPr>
              <w:keepNext/>
              <w:keepLines/>
              <w:jc w:val="center"/>
              <w:rPr>
                <w:rFonts w:ascii="Arial Narrow" w:eastAsia="TimesNewRoman" w:hAnsi="Arial Narrow" w:cs="Calibri"/>
                <w:color w:val="000000"/>
                <w:sz w:val="20"/>
                <w:szCs w:val="20"/>
                <w:lang w:eastAsia="en-AU"/>
              </w:rPr>
            </w:pPr>
            <w:r w:rsidRPr="00F453F7">
              <w:rPr>
                <w:rFonts w:ascii="Arial Narrow" w:eastAsia="TimesNewRoman" w:hAnsi="Arial Narrow" w:cs="Calibri"/>
                <w:color w:val="000000"/>
                <w:sz w:val="20"/>
                <w:szCs w:val="20"/>
                <w:lang w:eastAsia="en-AU"/>
              </w:rPr>
              <w:t>$79,158.29</w:t>
            </w:r>
          </w:p>
        </w:tc>
      </w:tr>
      <w:tr w:rsidR="00A90CB6" w:rsidRPr="00F453F7" w:rsidTr="00897263">
        <w:trPr>
          <w:trHeight w:val="20"/>
        </w:trPr>
        <w:tc>
          <w:tcPr>
            <w:tcW w:w="1806" w:type="pct"/>
            <w:shd w:val="clear" w:color="auto" w:fill="auto"/>
            <w:noWrap/>
            <w:vAlign w:val="center"/>
          </w:tcPr>
          <w:p w:rsidR="00A90CB6" w:rsidRPr="00F453F7" w:rsidRDefault="00A90CB6" w:rsidP="00897263">
            <w:pPr>
              <w:keepNext/>
              <w:keepLines/>
              <w:rPr>
                <w:rFonts w:ascii="Arial Narrow" w:eastAsia="TimesNewRoman" w:hAnsi="Arial Narrow" w:cs="Calibri"/>
                <w:color w:val="000000"/>
                <w:sz w:val="20"/>
                <w:szCs w:val="20"/>
                <w:lang w:eastAsia="en-AU"/>
              </w:rPr>
            </w:pPr>
            <w:r w:rsidRPr="00F453F7">
              <w:rPr>
                <w:rFonts w:ascii="Arial Narrow" w:eastAsia="TimesNewRoman" w:hAnsi="Arial Narrow" w:cs="Calibri"/>
                <w:color w:val="000000"/>
                <w:sz w:val="20"/>
                <w:szCs w:val="20"/>
                <w:lang w:eastAsia="en-AU"/>
              </w:rPr>
              <w:t>Durvalumab administration costs</w:t>
            </w:r>
          </w:p>
        </w:tc>
        <w:tc>
          <w:tcPr>
            <w:tcW w:w="1597" w:type="pct"/>
            <w:shd w:val="clear" w:color="auto" w:fill="auto"/>
            <w:noWrap/>
            <w:vAlign w:val="center"/>
          </w:tcPr>
          <w:p w:rsidR="00A90CB6" w:rsidRPr="00F453F7" w:rsidRDefault="00A90CB6" w:rsidP="00461CB5">
            <w:pPr>
              <w:keepNext/>
              <w:keepLines/>
              <w:jc w:val="center"/>
              <w:rPr>
                <w:rFonts w:ascii="Arial Narrow" w:hAnsi="Arial Narrow"/>
                <w:sz w:val="20"/>
                <w:szCs w:val="20"/>
              </w:rPr>
            </w:pPr>
            <w:r w:rsidRPr="00F453F7">
              <w:rPr>
                <w:rFonts w:ascii="Arial Narrow" w:hAnsi="Arial Narrow"/>
                <w:sz w:val="20"/>
                <w:szCs w:val="20"/>
              </w:rPr>
              <w:t>$</w:t>
            </w:r>
            <w:r w:rsidR="007A2599">
              <w:rPr>
                <w:rFonts w:ascii="Arial Narrow" w:hAnsi="Arial Narrow"/>
                <w:noProof/>
                <w:color w:val="000000"/>
                <w:sz w:val="20"/>
                <w:szCs w:val="20"/>
                <w:highlight w:val="black"/>
              </w:rPr>
              <w:t>'''''''''''''''</w:t>
            </w:r>
          </w:p>
        </w:tc>
        <w:tc>
          <w:tcPr>
            <w:tcW w:w="1597" w:type="pct"/>
            <w:shd w:val="clear" w:color="auto" w:fill="auto"/>
            <w:vAlign w:val="center"/>
          </w:tcPr>
          <w:p w:rsidR="00A90CB6" w:rsidRPr="00F453F7" w:rsidRDefault="00A90CB6" w:rsidP="00461CB5">
            <w:pPr>
              <w:keepNext/>
              <w:keepLines/>
              <w:jc w:val="center"/>
              <w:rPr>
                <w:rFonts w:ascii="Arial Narrow" w:eastAsia="TimesNewRoman" w:hAnsi="Arial Narrow" w:cs="Calibri"/>
                <w:color w:val="000000"/>
                <w:sz w:val="20"/>
                <w:szCs w:val="20"/>
                <w:lang w:eastAsia="en-AU"/>
              </w:rPr>
            </w:pPr>
            <w:r w:rsidRPr="00F453F7">
              <w:rPr>
                <w:rFonts w:ascii="Arial Narrow" w:eastAsia="TimesNewRoman" w:hAnsi="Arial Narrow" w:cs="Calibri"/>
                <w:color w:val="000000"/>
                <w:sz w:val="20"/>
                <w:szCs w:val="20"/>
                <w:lang w:eastAsia="en-AU"/>
              </w:rPr>
              <w:t>$</w:t>
            </w:r>
            <w:r w:rsidR="007A2599">
              <w:rPr>
                <w:rFonts w:ascii="Arial Narrow" w:eastAsia="TimesNewRoman" w:hAnsi="Arial Narrow" w:cs="Calibri"/>
                <w:noProof/>
                <w:color w:val="000000"/>
                <w:sz w:val="20"/>
                <w:szCs w:val="20"/>
                <w:highlight w:val="black"/>
                <w:lang w:eastAsia="en-AU"/>
              </w:rPr>
              <w:t>'''''''''''''''''</w:t>
            </w:r>
          </w:p>
        </w:tc>
      </w:tr>
      <w:tr w:rsidR="00DC5F03" w:rsidRPr="00F453F7" w:rsidTr="00897263">
        <w:trPr>
          <w:trHeight w:val="20"/>
        </w:trPr>
        <w:tc>
          <w:tcPr>
            <w:tcW w:w="1806" w:type="pct"/>
            <w:shd w:val="clear" w:color="auto" w:fill="auto"/>
            <w:noWrap/>
            <w:vAlign w:val="center"/>
          </w:tcPr>
          <w:p w:rsidR="00DC5F03" w:rsidRPr="00F453F7" w:rsidRDefault="00897263" w:rsidP="00897263">
            <w:pPr>
              <w:keepNext/>
              <w:keepLines/>
              <w:rPr>
                <w:rFonts w:ascii="Arial Narrow" w:eastAsia="TimesNewRoman" w:hAnsi="Arial Narrow" w:cs="Calibri"/>
                <w:color w:val="000000"/>
                <w:sz w:val="20"/>
                <w:szCs w:val="20"/>
                <w:lang w:eastAsia="en-AU"/>
              </w:rPr>
            </w:pPr>
            <w:r w:rsidRPr="00F453F7">
              <w:rPr>
                <w:rFonts w:ascii="Arial Narrow" w:eastAsia="TimesNewRoman" w:hAnsi="Arial Narrow" w:cs="Calibri"/>
                <w:color w:val="000000"/>
                <w:sz w:val="20"/>
                <w:szCs w:val="20"/>
                <w:lang w:eastAsia="en-AU"/>
              </w:rPr>
              <w:t>Derived durvalumab p</w:t>
            </w:r>
            <w:r w:rsidR="00DC5F03" w:rsidRPr="00F453F7">
              <w:rPr>
                <w:rFonts w:ascii="Arial Narrow" w:eastAsia="TimesNewRoman" w:hAnsi="Arial Narrow" w:cs="Calibri"/>
                <w:color w:val="000000"/>
                <w:sz w:val="20"/>
                <w:szCs w:val="20"/>
                <w:lang w:eastAsia="en-AU"/>
              </w:rPr>
              <w:t>rice per mg</w:t>
            </w:r>
          </w:p>
        </w:tc>
        <w:tc>
          <w:tcPr>
            <w:tcW w:w="1597" w:type="pct"/>
            <w:shd w:val="clear" w:color="auto" w:fill="auto"/>
            <w:noWrap/>
            <w:vAlign w:val="center"/>
          </w:tcPr>
          <w:p w:rsidR="00DC5F03" w:rsidRPr="00F453F7" w:rsidRDefault="00897263" w:rsidP="00461CB5">
            <w:pPr>
              <w:keepNext/>
              <w:keepLines/>
              <w:jc w:val="center"/>
              <w:rPr>
                <w:rFonts w:ascii="Arial Narrow" w:eastAsia="TimesNewRoman" w:hAnsi="Arial Narrow" w:cs="Calibri"/>
                <w:color w:val="000000"/>
                <w:sz w:val="20"/>
                <w:szCs w:val="20"/>
                <w:lang w:eastAsia="en-AU"/>
              </w:rPr>
            </w:pPr>
            <w:r w:rsidRPr="00F453F7">
              <w:rPr>
                <w:rFonts w:ascii="Arial Narrow" w:hAnsi="Arial Narrow"/>
                <w:sz w:val="20"/>
                <w:szCs w:val="20"/>
              </w:rPr>
              <w:t>$</w:t>
            </w:r>
            <w:r w:rsidR="007A2599">
              <w:rPr>
                <w:rFonts w:ascii="Arial Narrow" w:hAnsi="Arial Narrow"/>
                <w:noProof/>
                <w:color w:val="000000"/>
                <w:sz w:val="20"/>
                <w:szCs w:val="20"/>
                <w:highlight w:val="black"/>
              </w:rPr>
              <w:t>''''''''''''</w:t>
            </w:r>
          </w:p>
        </w:tc>
        <w:tc>
          <w:tcPr>
            <w:tcW w:w="1597" w:type="pct"/>
            <w:shd w:val="clear" w:color="auto" w:fill="auto"/>
            <w:vAlign w:val="center"/>
          </w:tcPr>
          <w:p w:rsidR="00DC5F03" w:rsidRPr="00F453F7" w:rsidRDefault="00897263" w:rsidP="00461CB5">
            <w:pPr>
              <w:keepNext/>
              <w:keepLines/>
              <w:jc w:val="center"/>
              <w:rPr>
                <w:rFonts w:ascii="Arial Narrow" w:eastAsia="TimesNewRoman" w:hAnsi="Arial Narrow" w:cs="Calibri"/>
                <w:color w:val="000000"/>
                <w:sz w:val="20"/>
                <w:szCs w:val="20"/>
                <w:lang w:eastAsia="en-AU"/>
              </w:rPr>
            </w:pPr>
            <w:r w:rsidRPr="00F453F7">
              <w:rPr>
                <w:rFonts w:ascii="Arial Narrow" w:eastAsia="TimesNewRoman" w:hAnsi="Arial Narrow" w:cs="Calibri"/>
                <w:color w:val="000000"/>
                <w:sz w:val="20"/>
                <w:szCs w:val="20"/>
                <w:lang w:eastAsia="en-AU"/>
              </w:rPr>
              <w:t>$</w:t>
            </w:r>
            <w:r w:rsidR="007A2599">
              <w:rPr>
                <w:rFonts w:ascii="Arial Narrow" w:eastAsia="TimesNewRoman" w:hAnsi="Arial Narrow" w:cs="Calibri"/>
                <w:noProof/>
                <w:color w:val="000000"/>
                <w:sz w:val="20"/>
                <w:szCs w:val="20"/>
                <w:highlight w:val="black"/>
                <w:lang w:eastAsia="en-AU"/>
              </w:rPr>
              <w:t>'''''''''''</w:t>
            </w:r>
          </w:p>
        </w:tc>
      </w:tr>
      <w:tr w:rsidR="00DC5F03" w:rsidRPr="00F453F7" w:rsidTr="00897263">
        <w:trPr>
          <w:trHeight w:val="20"/>
        </w:trPr>
        <w:tc>
          <w:tcPr>
            <w:tcW w:w="1806" w:type="pct"/>
            <w:shd w:val="clear" w:color="auto" w:fill="auto"/>
            <w:noWrap/>
            <w:vAlign w:val="center"/>
          </w:tcPr>
          <w:p w:rsidR="00DC5F03" w:rsidRPr="00F453F7" w:rsidRDefault="00897263" w:rsidP="00897263">
            <w:pPr>
              <w:keepNext/>
              <w:keepLines/>
              <w:rPr>
                <w:rFonts w:ascii="Arial Narrow" w:eastAsia="TimesNewRoman" w:hAnsi="Arial Narrow" w:cs="Calibri"/>
                <w:color w:val="000000"/>
                <w:sz w:val="20"/>
                <w:szCs w:val="20"/>
                <w:lang w:eastAsia="en-AU"/>
              </w:rPr>
            </w:pPr>
            <w:r w:rsidRPr="00F453F7">
              <w:rPr>
                <w:rFonts w:ascii="Arial Narrow" w:eastAsia="TimesNewRoman" w:hAnsi="Arial Narrow" w:cs="Calibri"/>
                <w:color w:val="000000"/>
                <w:sz w:val="20"/>
                <w:szCs w:val="20"/>
                <w:lang w:eastAsia="en-AU"/>
              </w:rPr>
              <w:t xml:space="preserve">Durvalumab AEMP per 500 mg </w:t>
            </w:r>
            <w:r w:rsidR="00DC5F03" w:rsidRPr="00F453F7">
              <w:rPr>
                <w:rFonts w:ascii="Arial Narrow" w:eastAsia="TimesNewRoman" w:hAnsi="Arial Narrow" w:cs="Calibri"/>
                <w:color w:val="000000"/>
                <w:sz w:val="20"/>
                <w:szCs w:val="20"/>
                <w:lang w:eastAsia="en-AU"/>
              </w:rPr>
              <w:t>vial</w:t>
            </w:r>
          </w:p>
        </w:tc>
        <w:tc>
          <w:tcPr>
            <w:tcW w:w="1597" w:type="pct"/>
            <w:shd w:val="clear" w:color="auto" w:fill="auto"/>
            <w:noWrap/>
            <w:vAlign w:val="center"/>
          </w:tcPr>
          <w:p w:rsidR="00DC5F03" w:rsidRPr="00F453F7" w:rsidRDefault="00DC5F03" w:rsidP="00461CB5">
            <w:pPr>
              <w:keepNext/>
              <w:keepLines/>
              <w:jc w:val="center"/>
              <w:rPr>
                <w:rFonts w:ascii="Arial Narrow" w:eastAsia="TimesNewRoman" w:hAnsi="Arial Narrow" w:cs="Calibri"/>
                <w:color w:val="000000"/>
                <w:sz w:val="20"/>
                <w:szCs w:val="20"/>
                <w:lang w:eastAsia="en-AU"/>
              </w:rPr>
            </w:pPr>
            <w:r w:rsidRPr="00F453F7">
              <w:rPr>
                <w:rFonts w:ascii="Arial Narrow" w:eastAsia="TimesNewRoman" w:hAnsi="Arial Narrow" w:cs="Calibri"/>
                <w:color w:val="000000"/>
                <w:sz w:val="20"/>
                <w:szCs w:val="20"/>
                <w:lang w:eastAsia="en-AU"/>
              </w:rPr>
              <w:t>$</w:t>
            </w:r>
            <w:r w:rsidR="007A2599">
              <w:rPr>
                <w:rFonts w:ascii="Arial Narrow" w:eastAsia="TimesNewRoman" w:hAnsi="Arial Narrow" w:cs="Calibri"/>
                <w:noProof/>
                <w:color w:val="000000"/>
                <w:sz w:val="20"/>
                <w:szCs w:val="20"/>
                <w:highlight w:val="black"/>
                <w:lang w:eastAsia="en-AU"/>
              </w:rPr>
              <w:t>''''''''''''''''''''''</w:t>
            </w:r>
          </w:p>
        </w:tc>
        <w:tc>
          <w:tcPr>
            <w:tcW w:w="1597" w:type="pct"/>
            <w:shd w:val="clear" w:color="auto" w:fill="auto"/>
            <w:vAlign w:val="center"/>
          </w:tcPr>
          <w:p w:rsidR="00DC5F03" w:rsidRPr="00F453F7" w:rsidRDefault="00897263" w:rsidP="00461CB5">
            <w:pPr>
              <w:keepNext/>
              <w:keepLines/>
              <w:jc w:val="center"/>
              <w:rPr>
                <w:rFonts w:ascii="Arial Narrow" w:eastAsia="TimesNewRoman" w:hAnsi="Arial Narrow" w:cs="Calibri"/>
                <w:color w:val="000000"/>
                <w:sz w:val="20"/>
                <w:szCs w:val="20"/>
                <w:lang w:eastAsia="en-AU"/>
              </w:rPr>
            </w:pPr>
            <w:r w:rsidRPr="00F453F7">
              <w:rPr>
                <w:rFonts w:ascii="Arial Narrow" w:eastAsia="TimesNewRoman" w:hAnsi="Arial Narrow" w:cs="Calibri"/>
                <w:color w:val="000000"/>
                <w:sz w:val="20"/>
                <w:szCs w:val="20"/>
                <w:lang w:eastAsia="en-AU"/>
              </w:rPr>
              <w:t>$</w:t>
            </w:r>
            <w:r w:rsidR="007A2599">
              <w:rPr>
                <w:rFonts w:ascii="Arial Narrow" w:eastAsia="TimesNewRoman" w:hAnsi="Arial Narrow" w:cs="Calibri"/>
                <w:noProof/>
                <w:color w:val="000000"/>
                <w:sz w:val="20"/>
                <w:szCs w:val="20"/>
                <w:highlight w:val="black"/>
                <w:lang w:eastAsia="en-AU"/>
              </w:rPr>
              <w:t>'''''''''''''''''''''</w:t>
            </w:r>
          </w:p>
        </w:tc>
      </w:tr>
      <w:tr w:rsidR="00897263" w:rsidRPr="00F453F7" w:rsidTr="00461CB5">
        <w:trPr>
          <w:trHeight w:val="20"/>
        </w:trPr>
        <w:tc>
          <w:tcPr>
            <w:tcW w:w="1806" w:type="pct"/>
            <w:shd w:val="clear" w:color="auto" w:fill="auto"/>
            <w:noWrap/>
          </w:tcPr>
          <w:p w:rsidR="00897263" w:rsidRPr="00F453F7" w:rsidRDefault="00897263" w:rsidP="00897263">
            <w:pPr>
              <w:keepNext/>
              <w:keepLines/>
              <w:rPr>
                <w:rFonts w:ascii="Arial Narrow" w:eastAsia="TimesNewRoman" w:hAnsi="Arial Narrow" w:cs="Calibri"/>
                <w:color w:val="000000"/>
                <w:sz w:val="20"/>
                <w:szCs w:val="20"/>
                <w:lang w:eastAsia="en-AU"/>
              </w:rPr>
            </w:pPr>
            <w:r w:rsidRPr="00F453F7">
              <w:rPr>
                <w:rFonts w:ascii="Arial Narrow" w:eastAsia="TimesNewRoman" w:hAnsi="Arial Narrow" w:cs="Calibri"/>
                <w:color w:val="000000"/>
                <w:sz w:val="20"/>
                <w:szCs w:val="20"/>
                <w:lang w:eastAsia="en-AU"/>
              </w:rPr>
              <w:t>Durvalumab AEMP per 120 mg vial</w:t>
            </w:r>
          </w:p>
        </w:tc>
        <w:tc>
          <w:tcPr>
            <w:tcW w:w="1597" w:type="pct"/>
            <w:shd w:val="clear" w:color="auto" w:fill="auto"/>
            <w:noWrap/>
            <w:vAlign w:val="center"/>
          </w:tcPr>
          <w:p w:rsidR="00897263" w:rsidRPr="00F453F7" w:rsidRDefault="00897263" w:rsidP="00897263">
            <w:pPr>
              <w:keepNext/>
              <w:keepLines/>
              <w:jc w:val="center"/>
              <w:rPr>
                <w:rFonts w:ascii="Arial Narrow" w:eastAsia="TimesNewRoman" w:hAnsi="Arial Narrow" w:cs="Calibri"/>
                <w:color w:val="000000"/>
                <w:sz w:val="20"/>
                <w:szCs w:val="20"/>
                <w:lang w:eastAsia="en-AU"/>
              </w:rPr>
            </w:pPr>
            <w:r w:rsidRPr="00F453F7">
              <w:rPr>
                <w:rFonts w:ascii="Arial Narrow" w:eastAsia="TimesNewRoman" w:hAnsi="Arial Narrow" w:cs="Calibri"/>
                <w:color w:val="000000"/>
                <w:sz w:val="20"/>
                <w:szCs w:val="20"/>
                <w:lang w:eastAsia="en-AU"/>
              </w:rPr>
              <w:t>$</w:t>
            </w:r>
            <w:r w:rsidR="007A2599">
              <w:rPr>
                <w:rFonts w:ascii="Arial Narrow" w:eastAsia="TimesNewRoman" w:hAnsi="Arial Narrow" w:cs="Calibri"/>
                <w:noProof/>
                <w:color w:val="000000"/>
                <w:sz w:val="20"/>
                <w:szCs w:val="20"/>
                <w:highlight w:val="black"/>
                <w:lang w:eastAsia="en-AU"/>
              </w:rPr>
              <w:t>'''''''''''''''''''</w:t>
            </w:r>
          </w:p>
        </w:tc>
        <w:tc>
          <w:tcPr>
            <w:tcW w:w="1597" w:type="pct"/>
            <w:shd w:val="clear" w:color="auto" w:fill="auto"/>
            <w:vAlign w:val="center"/>
          </w:tcPr>
          <w:p w:rsidR="00897263" w:rsidRPr="00F453F7" w:rsidRDefault="00897263" w:rsidP="00897263">
            <w:pPr>
              <w:keepNext/>
              <w:keepLines/>
              <w:jc w:val="center"/>
              <w:rPr>
                <w:rFonts w:ascii="Arial Narrow" w:eastAsia="TimesNewRoman" w:hAnsi="Arial Narrow" w:cs="Calibri"/>
                <w:color w:val="000000"/>
                <w:sz w:val="20"/>
                <w:szCs w:val="20"/>
                <w:lang w:eastAsia="en-AU"/>
              </w:rPr>
            </w:pPr>
            <w:r w:rsidRPr="00F453F7">
              <w:rPr>
                <w:rFonts w:ascii="Arial Narrow" w:eastAsia="TimesNewRoman" w:hAnsi="Arial Narrow" w:cs="Calibri"/>
                <w:color w:val="000000"/>
                <w:sz w:val="20"/>
                <w:szCs w:val="20"/>
                <w:lang w:eastAsia="en-AU"/>
              </w:rPr>
              <w:t>$</w:t>
            </w:r>
            <w:r w:rsidR="007A2599">
              <w:rPr>
                <w:rFonts w:ascii="Arial Narrow" w:eastAsia="TimesNewRoman" w:hAnsi="Arial Narrow" w:cs="Calibri"/>
                <w:noProof/>
                <w:color w:val="000000"/>
                <w:sz w:val="20"/>
                <w:szCs w:val="20"/>
                <w:highlight w:val="black"/>
                <w:lang w:eastAsia="en-AU"/>
              </w:rPr>
              <w:t>'''''''''''''''''''''''</w:t>
            </w:r>
          </w:p>
        </w:tc>
      </w:tr>
    </w:tbl>
    <w:p w:rsidR="00DC5F03" w:rsidRPr="00F453F7" w:rsidRDefault="00DC5F03" w:rsidP="00DC5F03">
      <w:pPr>
        <w:pStyle w:val="TableFooter"/>
      </w:pPr>
      <w:r w:rsidRPr="00F453F7">
        <w:t xml:space="preserve">Source: </w:t>
      </w:r>
      <w:r w:rsidR="006E6B86" w:rsidRPr="00F453F7">
        <w:t>Constructed during the evaluation with reference to ‘2019_03_05 Imfinzi (durvalumab) 2L UC Section 4 model FINAL’ excel workbook.</w:t>
      </w:r>
    </w:p>
    <w:p w:rsidR="006E6B86" w:rsidRPr="00F453F7" w:rsidRDefault="006E6B86" w:rsidP="00DC5F03">
      <w:pPr>
        <w:pStyle w:val="TableFooter"/>
      </w:pPr>
      <w:r w:rsidRPr="00F453F7">
        <w:t>Abbreviations: AEMP, approved ex-manufacturer price.</w:t>
      </w:r>
    </w:p>
    <w:p w:rsidR="006E6B86" w:rsidRPr="00F453F7" w:rsidRDefault="006E6B86" w:rsidP="006E6B86">
      <w:pPr>
        <w:pStyle w:val="TableFooter"/>
      </w:pPr>
      <w:r w:rsidRPr="00F453F7">
        <w:rPr>
          <w:vertAlign w:val="superscript"/>
        </w:rPr>
        <w:t>1</w:t>
      </w:r>
      <w:r w:rsidRPr="00F453F7">
        <w:t xml:space="preserve"> Calculated using median treatment duration of 15.00 weeks for pembrolizumab and 12.00 weeks for durvalumab. Median duration of treatment reported in the pembrolizumab AusPAR (3.45 months), converted from months to weeks assuming 365.25 days per year.</w:t>
      </w:r>
    </w:p>
    <w:p w:rsidR="00A22FF2" w:rsidRPr="004D22DF" w:rsidRDefault="006E6B86" w:rsidP="004D22DF">
      <w:pPr>
        <w:pStyle w:val="TableFooter"/>
      </w:pPr>
      <w:r w:rsidRPr="00F453F7">
        <w:rPr>
          <w:vertAlign w:val="superscript"/>
        </w:rPr>
        <w:t>2</w:t>
      </w:r>
      <w:r w:rsidRPr="00F453F7">
        <w:t xml:space="preserve"> Calculated using mean administrations of 8.81 for pembrolizumab and 10.05 for durvalumab.</w:t>
      </w:r>
    </w:p>
    <w:p w:rsidR="00C317F3" w:rsidRPr="00F453F7" w:rsidRDefault="00C317F3" w:rsidP="004D22DF">
      <w:pPr>
        <w:pStyle w:val="4-SubsectionHeading"/>
      </w:pPr>
      <w:bookmarkStart w:id="21" w:name="_Toc413139283"/>
      <w:bookmarkStart w:id="22" w:name="_Toc9428553"/>
      <w:r w:rsidRPr="00F453F7">
        <w:t>Drug cost/patient/</w:t>
      </w:r>
      <w:bookmarkEnd w:id="21"/>
      <w:r w:rsidR="00856D32" w:rsidRPr="00F453F7">
        <w:t>course</w:t>
      </w:r>
      <w:r w:rsidR="00D447D4" w:rsidRPr="00F453F7">
        <w:t xml:space="preserve">: </w:t>
      </w:r>
      <w:r w:rsidR="0057415D" w:rsidRPr="00F453F7">
        <w:t>$</w:t>
      </w:r>
      <w:bookmarkEnd w:id="22"/>
      <w:r w:rsidR="007A2599">
        <w:rPr>
          <w:noProof/>
          <w:color w:val="000000"/>
          <w:highlight w:val="black"/>
        </w:rPr>
        <w:t>'''''''''''''</w:t>
      </w:r>
    </w:p>
    <w:p w:rsidR="00B24C2B" w:rsidRPr="00F453F7" w:rsidRDefault="00B24C2B" w:rsidP="000C7E20">
      <w:pPr>
        <w:pStyle w:val="ListParagraph"/>
        <w:keepNext/>
        <w:numPr>
          <w:ilvl w:val="1"/>
          <w:numId w:val="3"/>
        </w:numPr>
        <w:snapToGrid w:val="0"/>
        <w:spacing w:after="160"/>
        <w:rPr>
          <w:sz w:val="20"/>
        </w:rPr>
      </w:pPr>
      <w:r w:rsidRPr="00F453F7">
        <w:t xml:space="preserve">The drug cost per patient for durvalumab and pembrolizumab is summarised in </w:t>
      </w:r>
      <w:r w:rsidR="00B0419F" w:rsidRPr="00F453F7">
        <w:t>Table 1</w:t>
      </w:r>
      <w:r w:rsidR="00C227BC" w:rsidRPr="00F453F7">
        <w:t>1</w:t>
      </w:r>
      <w:r w:rsidRPr="00F453F7">
        <w:t>.</w:t>
      </w:r>
    </w:p>
    <w:p w:rsidR="00FA264F" w:rsidRDefault="00FA264F" w:rsidP="00FA264F">
      <w:pPr>
        <w:pStyle w:val="TableHeading"/>
      </w:pPr>
      <w:r>
        <w:t xml:space="preserve">Table </w:t>
      </w:r>
      <w:r w:rsidR="00C15CB6">
        <w:fldChar w:fldCharType="begin"/>
      </w:r>
      <w:r w:rsidR="00C15CB6">
        <w:instrText xml:space="preserve"> SEQ Table \* ARABIC </w:instrText>
      </w:r>
      <w:r w:rsidR="00C15CB6">
        <w:fldChar w:fldCharType="separate"/>
      </w:r>
      <w:r w:rsidR="00E55F9F">
        <w:rPr>
          <w:noProof/>
        </w:rPr>
        <w:t>11</w:t>
      </w:r>
      <w:r w:rsidR="00C15CB6">
        <w:rPr>
          <w:noProof/>
        </w:rPr>
        <w:fldChar w:fldCharType="end"/>
      </w:r>
      <w:r w:rsidRPr="00FE71DD">
        <w:t>: Drug cost per patient for durvalumab and pembrolizumab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Table 11: Drug cost per patient for durvalumab and pembrolizumab"/>
      </w:tblPr>
      <w:tblGrid>
        <w:gridCol w:w="2444"/>
        <w:gridCol w:w="3222"/>
        <w:gridCol w:w="3350"/>
      </w:tblGrid>
      <w:tr w:rsidR="00B24C2B" w:rsidRPr="00F453F7" w:rsidTr="00FA264F">
        <w:trPr>
          <w:tblHeader/>
          <w:jc w:val="center"/>
        </w:trPr>
        <w:tc>
          <w:tcPr>
            <w:tcW w:w="1355" w:type="pct"/>
            <w:tcMar>
              <w:top w:w="0" w:type="dxa"/>
              <w:left w:w="28" w:type="dxa"/>
              <w:bottom w:w="0" w:type="dxa"/>
              <w:right w:w="28" w:type="dxa"/>
            </w:tcMar>
            <w:vAlign w:val="center"/>
          </w:tcPr>
          <w:p w:rsidR="00B24C2B" w:rsidRPr="00F453F7" w:rsidRDefault="00B24C2B">
            <w:pPr>
              <w:keepNext/>
              <w:spacing w:line="252" w:lineRule="auto"/>
              <w:rPr>
                <w:sz w:val="22"/>
              </w:rPr>
            </w:pPr>
          </w:p>
        </w:tc>
        <w:tc>
          <w:tcPr>
            <w:tcW w:w="1787" w:type="pct"/>
            <w:tcMar>
              <w:top w:w="0" w:type="dxa"/>
              <w:left w:w="28" w:type="dxa"/>
              <w:bottom w:w="0" w:type="dxa"/>
              <w:right w:w="28" w:type="dxa"/>
            </w:tcMar>
            <w:vAlign w:val="center"/>
            <w:hideMark/>
          </w:tcPr>
          <w:p w:rsidR="00B24C2B" w:rsidRPr="00F453F7" w:rsidRDefault="00B24C2B">
            <w:pPr>
              <w:keepNext/>
              <w:spacing w:line="252" w:lineRule="auto"/>
              <w:jc w:val="center"/>
              <w:rPr>
                <w:rFonts w:ascii="Arial Narrow" w:hAnsi="Arial Narrow"/>
                <w:b/>
                <w:bCs/>
                <w:sz w:val="20"/>
                <w:szCs w:val="20"/>
              </w:rPr>
            </w:pPr>
            <w:r w:rsidRPr="00F453F7">
              <w:rPr>
                <w:rFonts w:ascii="Arial Narrow" w:hAnsi="Arial Narrow"/>
                <w:b/>
                <w:bCs/>
                <w:sz w:val="20"/>
                <w:szCs w:val="20"/>
              </w:rPr>
              <w:t>Durvalumab</w:t>
            </w:r>
          </w:p>
        </w:tc>
        <w:tc>
          <w:tcPr>
            <w:tcW w:w="1858" w:type="pct"/>
            <w:tcMar>
              <w:top w:w="0" w:type="dxa"/>
              <w:left w:w="28" w:type="dxa"/>
              <w:bottom w:w="0" w:type="dxa"/>
              <w:right w:w="28" w:type="dxa"/>
            </w:tcMar>
            <w:vAlign w:val="center"/>
            <w:hideMark/>
          </w:tcPr>
          <w:p w:rsidR="00B24C2B" w:rsidRPr="00F453F7" w:rsidRDefault="00B24C2B">
            <w:pPr>
              <w:keepNext/>
              <w:spacing w:line="252" w:lineRule="auto"/>
              <w:jc w:val="center"/>
              <w:rPr>
                <w:rFonts w:ascii="Arial Narrow" w:hAnsi="Arial Narrow"/>
                <w:b/>
                <w:bCs/>
                <w:sz w:val="20"/>
                <w:szCs w:val="20"/>
              </w:rPr>
            </w:pPr>
            <w:r w:rsidRPr="00F453F7">
              <w:rPr>
                <w:rFonts w:ascii="Arial Narrow" w:hAnsi="Arial Narrow"/>
                <w:b/>
                <w:bCs/>
                <w:sz w:val="20"/>
                <w:szCs w:val="20"/>
              </w:rPr>
              <w:t>Pembrolizumab</w:t>
            </w:r>
          </w:p>
        </w:tc>
      </w:tr>
      <w:tr w:rsidR="00B24C2B" w:rsidRPr="00F453F7" w:rsidTr="00B24C2B">
        <w:trPr>
          <w:jc w:val="center"/>
        </w:trPr>
        <w:tc>
          <w:tcPr>
            <w:tcW w:w="1355" w:type="pct"/>
            <w:tcMar>
              <w:top w:w="0" w:type="dxa"/>
              <w:left w:w="28" w:type="dxa"/>
              <w:bottom w:w="0" w:type="dxa"/>
              <w:right w:w="28" w:type="dxa"/>
            </w:tcMar>
            <w:vAlign w:val="center"/>
            <w:hideMark/>
          </w:tcPr>
          <w:p w:rsidR="00B24C2B" w:rsidRPr="00F453F7" w:rsidRDefault="00B24C2B">
            <w:pPr>
              <w:keepNext/>
              <w:spacing w:line="252" w:lineRule="auto"/>
              <w:rPr>
                <w:rFonts w:ascii="Arial Narrow" w:hAnsi="Arial Narrow"/>
                <w:sz w:val="20"/>
                <w:szCs w:val="20"/>
              </w:rPr>
            </w:pPr>
            <w:r w:rsidRPr="00F453F7">
              <w:rPr>
                <w:rFonts w:ascii="Arial Narrow" w:hAnsi="Arial Narrow"/>
                <w:sz w:val="20"/>
                <w:szCs w:val="20"/>
              </w:rPr>
              <w:t>Treatment regimen</w:t>
            </w:r>
          </w:p>
        </w:tc>
        <w:tc>
          <w:tcPr>
            <w:tcW w:w="1787" w:type="pct"/>
            <w:tcMar>
              <w:top w:w="0" w:type="dxa"/>
              <w:left w:w="28" w:type="dxa"/>
              <w:bottom w:w="0" w:type="dxa"/>
              <w:right w:w="28" w:type="dxa"/>
            </w:tcMar>
            <w:vAlign w:val="center"/>
            <w:hideMark/>
          </w:tcPr>
          <w:p w:rsidR="00B24C2B" w:rsidRPr="00F453F7" w:rsidRDefault="00B24C2B">
            <w:pPr>
              <w:keepNext/>
              <w:spacing w:line="252" w:lineRule="auto"/>
              <w:jc w:val="center"/>
              <w:rPr>
                <w:rFonts w:ascii="Arial Narrow" w:hAnsi="Arial Narrow"/>
                <w:sz w:val="20"/>
                <w:szCs w:val="20"/>
              </w:rPr>
            </w:pPr>
            <w:r w:rsidRPr="00F453F7">
              <w:rPr>
                <w:rFonts w:ascii="Arial Narrow" w:hAnsi="Arial Narrow"/>
                <w:sz w:val="20"/>
                <w:szCs w:val="20"/>
              </w:rPr>
              <w:t>10 mg/kg every 2 weeks</w:t>
            </w:r>
          </w:p>
        </w:tc>
        <w:tc>
          <w:tcPr>
            <w:tcW w:w="1858" w:type="pct"/>
            <w:tcMar>
              <w:top w:w="0" w:type="dxa"/>
              <w:left w:w="28" w:type="dxa"/>
              <w:bottom w:w="0" w:type="dxa"/>
              <w:right w:w="28" w:type="dxa"/>
            </w:tcMar>
            <w:vAlign w:val="center"/>
            <w:hideMark/>
          </w:tcPr>
          <w:p w:rsidR="00B24C2B" w:rsidRPr="00F453F7" w:rsidRDefault="00B24C2B">
            <w:pPr>
              <w:keepNext/>
              <w:spacing w:line="252" w:lineRule="auto"/>
              <w:jc w:val="center"/>
              <w:rPr>
                <w:rFonts w:ascii="Arial Narrow" w:hAnsi="Arial Narrow"/>
                <w:sz w:val="20"/>
                <w:szCs w:val="20"/>
              </w:rPr>
            </w:pPr>
            <w:r w:rsidRPr="00F453F7">
              <w:rPr>
                <w:rFonts w:ascii="Arial Narrow" w:hAnsi="Arial Narrow"/>
                <w:sz w:val="20"/>
                <w:szCs w:val="20"/>
              </w:rPr>
              <w:t>200 mg every 3 weeks</w:t>
            </w:r>
          </w:p>
        </w:tc>
      </w:tr>
      <w:tr w:rsidR="00B24C2B" w:rsidRPr="00F453F7" w:rsidTr="00B24C2B">
        <w:trPr>
          <w:jc w:val="center"/>
        </w:trPr>
        <w:tc>
          <w:tcPr>
            <w:tcW w:w="1355" w:type="pct"/>
            <w:tcMar>
              <w:top w:w="0" w:type="dxa"/>
              <w:left w:w="28" w:type="dxa"/>
              <w:bottom w:w="0" w:type="dxa"/>
              <w:right w:w="28" w:type="dxa"/>
            </w:tcMar>
            <w:vAlign w:val="center"/>
            <w:hideMark/>
          </w:tcPr>
          <w:p w:rsidR="00B24C2B" w:rsidRPr="00F453F7" w:rsidRDefault="00B24C2B">
            <w:pPr>
              <w:keepNext/>
              <w:spacing w:line="252" w:lineRule="auto"/>
              <w:rPr>
                <w:rFonts w:ascii="Arial Narrow" w:hAnsi="Arial Narrow"/>
                <w:sz w:val="20"/>
                <w:szCs w:val="20"/>
              </w:rPr>
            </w:pPr>
            <w:r w:rsidRPr="00F453F7">
              <w:rPr>
                <w:rFonts w:ascii="Arial Narrow" w:hAnsi="Arial Narrow"/>
                <w:sz w:val="20"/>
                <w:szCs w:val="20"/>
              </w:rPr>
              <w:t>Median duration of treatment</w:t>
            </w:r>
          </w:p>
        </w:tc>
        <w:tc>
          <w:tcPr>
            <w:tcW w:w="1787" w:type="pct"/>
            <w:tcMar>
              <w:top w:w="0" w:type="dxa"/>
              <w:left w:w="28" w:type="dxa"/>
              <w:bottom w:w="0" w:type="dxa"/>
              <w:right w:w="28" w:type="dxa"/>
            </w:tcMar>
            <w:vAlign w:val="center"/>
            <w:hideMark/>
          </w:tcPr>
          <w:p w:rsidR="00B24C2B" w:rsidRPr="00F453F7" w:rsidRDefault="00B24C2B">
            <w:pPr>
              <w:keepNext/>
              <w:spacing w:line="252" w:lineRule="auto"/>
              <w:jc w:val="center"/>
              <w:rPr>
                <w:rFonts w:ascii="Arial Narrow" w:hAnsi="Arial Narrow"/>
                <w:sz w:val="20"/>
                <w:szCs w:val="20"/>
              </w:rPr>
            </w:pPr>
            <w:r w:rsidRPr="00F453F7">
              <w:rPr>
                <w:rFonts w:ascii="Arial Narrow" w:hAnsi="Arial Narrow"/>
                <w:sz w:val="20"/>
                <w:szCs w:val="20"/>
              </w:rPr>
              <w:t>12 weeks</w:t>
            </w:r>
          </w:p>
        </w:tc>
        <w:tc>
          <w:tcPr>
            <w:tcW w:w="1858" w:type="pct"/>
            <w:tcMar>
              <w:top w:w="0" w:type="dxa"/>
              <w:left w:w="28" w:type="dxa"/>
              <w:bottom w:w="0" w:type="dxa"/>
              <w:right w:w="28" w:type="dxa"/>
            </w:tcMar>
            <w:vAlign w:val="center"/>
            <w:hideMark/>
          </w:tcPr>
          <w:p w:rsidR="00B24C2B" w:rsidRPr="00F453F7" w:rsidRDefault="00B24C2B">
            <w:pPr>
              <w:keepNext/>
              <w:spacing w:line="252" w:lineRule="auto"/>
              <w:jc w:val="center"/>
              <w:rPr>
                <w:rFonts w:ascii="Arial Narrow" w:hAnsi="Arial Narrow"/>
                <w:sz w:val="20"/>
                <w:szCs w:val="20"/>
              </w:rPr>
            </w:pPr>
            <w:r w:rsidRPr="00F453F7">
              <w:rPr>
                <w:rFonts w:ascii="Arial Narrow" w:hAnsi="Arial Narrow"/>
                <w:sz w:val="20"/>
                <w:szCs w:val="20"/>
              </w:rPr>
              <w:t>15 weeks</w:t>
            </w:r>
            <w:r w:rsidRPr="00F453F7">
              <w:rPr>
                <w:rFonts w:ascii="Arial Narrow" w:hAnsi="Arial Narrow"/>
                <w:sz w:val="20"/>
                <w:szCs w:val="20"/>
                <w:vertAlign w:val="superscript"/>
              </w:rPr>
              <w:t>1</w:t>
            </w:r>
          </w:p>
        </w:tc>
      </w:tr>
      <w:tr w:rsidR="00B24C2B" w:rsidRPr="00F453F7" w:rsidTr="00B24C2B">
        <w:trPr>
          <w:jc w:val="center"/>
        </w:trPr>
        <w:tc>
          <w:tcPr>
            <w:tcW w:w="1355" w:type="pct"/>
            <w:tcMar>
              <w:top w:w="0" w:type="dxa"/>
              <w:left w:w="28" w:type="dxa"/>
              <w:bottom w:w="0" w:type="dxa"/>
              <w:right w:w="28" w:type="dxa"/>
            </w:tcMar>
            <w:vAlign w:val="center"/>
            <w:hideMark/>
          </w:tcPr>
          <w:p w:rsidR="00B24C2B" w:rsidRPr="00F453F7" w:rsidRDefault="00B24C2B">
            <w:pPr>
              <w:keepNext/>
              <w:spacing w:line="252" w:lineRule="auto"/>
              <w:rPr>
                <w:rFonts w:ascii="Arial Narrow" w:hAnsi="Arial Narrow"/>
                <w:sz w:val="20"/>
                <w:szCs w:val="20"/>
              </w:rPr>
            </w:pPr>
            <w:r w:rsidRPr="00F453F7">
              <w:rPr>
                <w:rFonts w:ascii="Arial Narrow" w:hAnsi="Arial Narrow"/>
                <w:sz w:val="20"/>
                <w:szCs w:val="20"/>
              </w:rPr>
              <w:t>Cost/patient/dose</w:t>
            </w:r>
          </w:p>
        </w:tc>
        <w:tc>
          <w:tcPr>
            <w:tcW w:w="1787" w:type="pct"/>
            <w:tcMar>
              <w:top w:w="0" w:type="dxa"/>
              <w:left w:w="28" w:type="dxa"/>
              <w:bottom w:w="0" w:type="dxa"/>
              <w:right w:w="28" w:type="dxa"/>
            </w:tcMar>
            <w:vAlign w:val="center"/>
            <w:hideMark/>
          </w:tcPr>
          <w:p w:rsidR="00B24C2B" w:rsidRPr="00F453F7" w:rsidRDefault="00B24C2B">
            <w:pPr>
              <w:keepNext/>
              <w:spacing w:line="252" w:lineRule="auto"/>
              <w:jc w:val="center"/>
              <w:rPr>
                <w:rFonts w:ascii="Arial Narrow" w:hAnsi="Arial Narrow"/>
                <w:sz w:val="20"/>
                <w:szCs w:val="20"/>
                <w:vertAlign w:val="superscript"/>
              </w:rPr>
            </w:pPr>
            <w:r w:rsidRPr="00F453F7">
              <w:rPr>
                <w:rFonts w:ascii="Arial Narrow" w:hAnsi="Arial Narrow"/>
                <w:sz w:val="20"/>
                <w:szCs w:val="20"/>
              </w:rPr>
              <w:t>$</w:t>
            </w:r>
            <w:r w:rsidR="007A2599">
              <w:rPr>
                <w:rFonts w:ascii="Arial Narrow" w:hAnsi="Arial Narrow"/>
                <w:noProof/>
                <w:color w:val="000000"/>
                <w:sz w:val="20"/>
                <w:szCs w:val="20"/>
                <w:highlight w:val="black"/>
              </w:rPr>
              <w:t>''''''''''''''''''''</w:t>
            </w:r>
            <w:r w:rsidRPr="00F453F7">
              <w:rPr>
                <w:rFonts w:ascii="Arial Narrow" w:hAnsi="Arial Narrow"/>
                <w:sz w:val="20"/>
                <w:szCs w:val="20"/>
                <w:vertAlign w:val="superscript"/>
              </w:rPr>
              <w:t>2</w:t>
            </w:r>
          </w:p>
        </w:tc>
        <w:tc>
          <w:tcPr>
            <w:tcW w:w="1858" w:type="pct"/>
            <w:tcMar>
              <w:top w:w="0" w:type="dxa"/>
              <w:left w:w="28" w:type="dxa"/>
              <w:bottom w:w="0" w:type="dxa"/>
              <w:right w:w="28" w:type="dxa"/>
            </w:tcMar>
            <w:vAlign w:val="center"/>
            <w:hideMark/>
          </w:tcPr>
          <w:p w:rsidR="00B24C2B" w:rsidRPr="00F453F7" w:rsidRDefault="00B24C2B">
            <w:pPr>
              <w:keepNext/>
              <w:spacing w:line="252" w:lineRule="auto"/>
              <w:jc w:val="center"/>
              <w:rPr>
                <w:rFonts w:ascii="Arial Narrow" w:hAnsi="Arial Narrow"/>
                <w:sz w:val="20"/>
                <w:szCs w:val="20"/>
              </w:rPr>
            </w:pPr>
            <w:r w:rsidRPr="00F453F7">
              <w:rPr>
                <w:rFonts w:ascii="Arial Narrow" w:hAnsi="Arial Narrow"/>
                <w:sz w:val="20"/>
                <w:szCs w:val="20"/>
              </w:rPr>
              <w:t>$9,055.06</w:t>
            </w:r>
            <w:r w:rsidRPr="00F453F7">
              <w:rPr>
                <w:rFonts w:ascii="Arial Narrow" w:hAnsi="Arial Narrow"/>
                <w:sz w:val="20"/>
                <w:szCs w:val="20"/>
                <w:vertAlign w:val="superscript"/>
              </w:rPr>
              <w:t>3</w:t>
            </w:r>
          </w:p>
        </w:tc>
      </w:tr>
      <w:tr w:rsidR="00B24C2B" w:rsidRPr="00F453F7" w:rsidTr="00B24C2B">
        <w:trPr>
          <w:jc w:val="center"/>
        </w:trPr>
        <w:tc>
          <w:tcPr>
            <w:tcW w:w="1355" w:type="pct"/>
            <w:tcMar>
              <w:top w:w="0" w:type="dxa"/>
              <w:left w:w="28" w:type="dxa"/>
              <w:bottom w:w="0" w:type="dxa"/>
              <w:right w:w="28" w:type="dxa"/>
            </w:tcMar>
            <w:vAlign w:val="center"/>
            <w:hideMark/>
          </w:tcPr>
          <w:p w:rsidR="00B24C2B" w:rsidRPr="00F453F7" w:rsidRDefault="00B24C2B">
            <w:pPr>
              <w:keepNext/>
              <w:spacing w:line="252" w:lineRule="auto"/>
              <w:rPr>
                <w:rFonts w:ascii="Arial Narrow" w:hAnsi="Arial Narrow"/>
                <w:sz w:val="20"/>
                <w:szCs w:val="20"/>
              </w:rPr>
            </w:pPr>
            <w:r w:rsidRPr="00F453F7">
              <w:rPr>
                <w:rFonts w:ascii="Arial Narrow" w:hAnsi="Arial Narrow"/>
                <w:sz w:val="20"/>
                <w:szCs w:val="20"/>
              </w:rPr>
              <w:t>Cost/patient/course</w:t>
            </w:r>
          </w:p>
        </w:tc>
        <w:tc>
          <w:tcPr>
            <w:tcW w:w="1787" w:type="pct"/>
            <w:tcMar>
              <w:top w:w="0" w:type="dxa"/>
              <w:left w:w="28" w:type="dxa"/>
              <w:bottom w:w="0" w:type="dxa"/>
              <w:right w:w="28" w:type="dxa"/>
            </w:tcMar>
            <w:vAlign w:val="center"/>
            <w:hideMark/>
          </w:tcPr>
          <w:p w:rsidR="00B24C2B" w:rsidRPr="00F453F7" w:rsidRDefault="00B24C2B">
            <w:pPr>
              <w:keepNext/>
              <w:spacing w:line="252" w:lineRule="auto"/>
              <w:jc w:val="center"/>
              <w:rPr>
                <w:rFonts w:ascii="Arial Narrow" w:hAnsi="Arial Narrow"/>
                <w:iCs/>
                <w:sz w:val="20"/>
                <w:szCs w:val="20"/>
                <w:vertAlign w:val="superscript"/>
              </w:rPr>
            </w:pPr>
            <w:r w:rsidRPr="00F453F7">
              <w:rPr>
                <w:rFonts w:ascii="Arial Narrow" w:hAnsi="Arial Narrow"/>
                <w:sz w:val="20"/>
                <w:szCs w:val="20"/>
              </w:rPr>
              <w:t>$</w:t>
            </w:r>
            <w:r w:rsidR="007A2599">
              <w:rPr>
                <w:rFonts w:ascii="Arial Narrow" w:hAnsi="Arial Narrow"/>
                <w:noProof/>
                <w:color w:val="000000"/>
                <w:sz w:val="20"/>
                <w:szCs w:val="20"/>
                <w:highlight w:val="black"/>
              </w:rPr>
              <w:t>'''''''''''''''''</w:t>
            </w:r>
          </w:p>
        </w:tc>
        <w:tc>
          <w:tcPr>
            <w:tcW w:w="1858" w:type="pct"/>
            <w:tcMar>
              <w:top w:w="0" w:type="dxa"/>
              <w:left w:w="28" w:type="dxa"/>
              <w:bottom w:w="0" w:type="dxa"/>
              <w:right w:w="28" w:type="dxa"/>
            </w:tcMar>
            <w:vAlign w:val="center"/>
            <w:hideMark/>
          </w:tcPr>
          <w:p w:rsidR="00B24C2B" w:rsidRPr="00F453F7" w:rsidRDefault="00B24C2B">
            <w:pPr>
              <w:keepNext/>
              <w:spacing w:line="252" w:lineRule="auto"/>
              <w:jc w:val="center"/>
              <w:rPr>
                <w:rFonts w:ascii="Arial Narrow" w:hAnsi="Arial Narrow"/>
                <w:iCs/>
                <w:sz w:val="20"/>
                <w:szCs w:val="20"/>
              </w:rPr>
            </w:pPr>
            <w:r w:rsidRPr="00F453F7">
              <w:rPr>
                <w:rFonts w:ascii="Arial Narrow" w:hAnsi="Arial Narrow"/>
                <w:sz w:val="20"/>
                <w:szCs w:val="20"/>
              </w:rPr>
              <w:t>$45,275</w:t>
            </w:r>
          </w:p>
        </w:tc>
      </w:tr>
    </w:tbl>
    <w:p w:rsidR="00B24C2B" w:rsidRPr="00F453F7" w:rsidRDefault="00B24C2B" w:rsidP="00B24C2B">
      <w:pPr>
        <w:pStyle w:val="TableFooter"/>
        <w:rPr>
          <w:rFonts w:eastAsiaTheme="minorHAnsi" w:cs="Times New Roman"/>
          <w:szCs w:val="18"/>
        </w:rPr>
      </w:pPr>
      <w:r w:rsidRPr="00F453F7">
        <w:t>Source: Section 3B.4.1, p.96 of the submission.</w:t>
      </w:r>
    </w:p>
    <w:p w:rsidR="00B24C2B" w:rsidRPr="00F453F7" w:rsidRDefault="00B24C2B" w:rsidP="00B24C2B">
      <w:pPr>
        <w:rPr>
          <w:rFonts w:ascii="Arial Narrow" w:hAnsi="Arial Narrow"/>
          <w:sz w:val="18"/>
          <w:szCs w:val="18"/>
        </w:rPr>
      </w:pPr>
      <w:r w:rsidRPr="00F453F7">
        <w:rPr>
          <w:rFonts w:ascii="Arial Narrow" w:hAnsi="Arial Narrow"/>
          <w:sz w:val="18"/>
          <w:szCs w:val="18"/>
          <w:vertAlign w:val="superscript"/>
        </w:rPr>
        <w:t>1</w:t>
      </w:r>
      <w:r w:rsidRPr="00F453F7">
        <w:rPr>
          <w:rFonts w:ascii="Arial Narrow" w:hAnsi="Arial Narrow"/>
          <w:sz w:val="18"/>
          <w:szCs w:val="18"/>
        </w:rPr>
        <w:t xml:space="preserve"> Calculated using the median duration of treatment reported in the pembrolizumab AusPAR (3.45 months), converted from months to weeks assuming 365.25 days per year.</w:t>
      </w:r>
    </w:p>
    <w:p w:rsidR="00B24C2B" w:rsidRPr="00F453F7" w:rsidRDefault="00B24C2B" w:rsidP="00B24C2B">
      <w:pPr>
        <w:rPr>
          <w:rFonts w:ascii="Arial Narrow" w:hAnsi="Arial Narrow"/>
          <w:sz w:val="18"/>
          <w:szCs w:val="18"/>
        </w:rPr>
      </w:pPr>
      <w:r w:rsidRPr="00F453F7">
        <w:rPr>
          <w:rFonts w:ascii="Arial Narrow" w:hAnsi="Arial Narrow"/>
          <w:sz w:val="18"/>
          <w:szCs w:val="18"/>
          <w:vertAlign w:val="superscript"/>
        </w:rPr>
        <w:t>2</w:t>
      </w:r>
      <w:r w:rsidRPr="00F453F7">
        <w:rPr>
          <w:rFonts w:ascii="Arial Narrow" w:hAnsi="Arial Narrow"/>
          <w:sz w:val="18"/>
          <w:szCs w:val="18"/>
        </w:rPr>
        <w:t xml:space="preserve"> Based on an average patient weight of 76.6 kg, requiring 1×500 mg vial and 3×120 mg vials every 2 weeks and accounting for a split of 69.2% for private hospitals and 30.8% for public hospitals</w:t>
      </w:r>
    </w:p>
    <w:p w:rsidR="00856D32" w:rsidRPr="004D22DF" w:rsidRDefault="00B24C2B" w:rsidP="000C1DF3">
      <w:pPr>
        <w:rPr>
          <w:rFonts w:ascii="Arial Narrow" w:hAnsi="Arial Narrow"/>
          <w:sz w:val="18"/>
          <w:szCs w:val="18"/>
        </w:rPr>
      </w:pPr>
      <w:r w:rsidRPr="00F453F7">
        <w:rPr>
          <w:rFonts w:ascii="Arial Narrow" w:hAnsi="Arial Narrow"/>
          <w:sz w:val="18"/>
          <w:szCs w:val="18"/>
          <w:vertAlign w:val="superscript"/>
        </w:rPr>
        <w:t>3</w:t>
      </w:r>
      <w:r w:rsidRPr="00F453F7">
        <w:rPr>
          <w:rFonts w:ascii="Arial Narrow" w:hAnsi="Arial Narrow"/>
          <w:sz w:val="18"/>
          <w:szCs w:val="18"/>
        </w:rPr>
        <w:t xml:space="preserve"> Based on 2×100 mg vials per patient every 3 weeks and accounting for a split of 69.2% for private hospitals and 30.8% for public hospitals</w:t>
      </w:r>
    </w:p>
    <w:p w:rsidR="003828DB" w:rsidRPr="00F453F7" w:rsidRDefault="003828DB" w:rsidP="004D22DF">
      <w:pPr>
        <w:pStyle w:val="4-SubsectionHeading"/>
      </w:pPr>
      <w:bookmarkStart w:id="23" w:name="_Toc371170712"/>
      <w:bookmarkStart w:id="24" w:name="_Toc9428554"/>
      <w:r w:rsidRPr="00F453F7">
        <w:lastRenderedPageBreak/>
        <w:t>Estimated PBS usage &amp; financial implications</w:t>
      </w:r>
      <w:bookmarkEnd w:id="23"/>
      <w:bookmarkEnd w:id="24"/>
    </w:p>
    <w:p w:rsidR="001040AD" w:rsidRPr="00F453F7" w:rsidRDefault="003828DB" w:rsidP="00A1349E">
      <w:pPr>
        <w:pStyle w:val="ListParagraph"/>
        <w:numPr>
          <w:ilvl w:val="1"/>
          <w:numId w:val="3"/>
        </w:numPr>
      </w:pPr>
      <w:r w:rsidRPr="00F453F7">
        <w:t xml:space="preserve">This submission </w:t>
      </w:r>
      <w:r w:rsidR="00E176C3" w:rsidRPr="00F453F7">
        <w:t>was not considered</w:t>
      </w:r>
      <w:r w:rsidRPr="00F453F7">
        <w:t xml:space="preserve"> by DUSC. The submission used an epidemiological approach to estimate the eligible patient population with locally advanced or metastatic urothelial cancer after platinum-based therapy.</w:t>
      </w:r>
    </w:p>
    <w:p w:rsidR="003828DB" w:rsidRPr="00F453F7" w:rsidRDefault="001040AD" w:rsidP="00A1349E">
      <w:pPr>
        <w:pStyle w:val="ListParagraph"/>
        <w:numPr>
          <w:ilvl w:val="1"/>
          <w:numId w:val="3"/>
        </w:numPr>
      </w:pPr>
      <w:r w:rsidRPr="00F453F7">
        <w:t>The estimated utilisation and budget impact estimates are summarised in Table 1</w:t>
      </w:r>
      <w:r w:rsidR="00C227BC" w:rsidRPr="00F453F7">
        <w:t>2</w:t>
      </w:r>
      <w:r w:rsidRPr="00F453F7">
        <w:t xml:space="preserve">. </w:t>
      </w:r>
      <w:r w:rsidR="00C227BC" w:rsidRPr="00F453F7">
        <w:t>These b</w:t>
      </w:r>
      <w:r w:rsidRPr="00F453F7">
        <w:t xml:space="preserve">udget impact estimates </w:t>
      </w:r>
      <w:r w:rsidR="00C227BC" w:rsidRPr="00F453F7">
        <w:t xml:space="preserve">are based on the published prices </w:t>
      </w:r>
      <w:r w:rsidRPr="00F453F7">
        <w:t xml:space="preserve">for </w:t>
      </w:r>
      <w:r w:rsidR="00C227BC" w:rsidRPr="00F453F7">
        <w:t xml:space="preserve">both </w:t>
      </w:r>
      <w:r w:rsidRPr="00F453F7">
        <w:t>durvalumab and pembrolizumab</w:t>
      </w:r>
      <w:r w:rsidR="00A00B75" w:rsidRPr="00F453F7">
        <w:t>,</w:t>
      </w:r>
      <w:r w:rsidR="00C227BC" w:rsidRPr="00F453F7">
        <w:t xml:space="preserve"> and therefore may not reflect the effective budget impact.</w:t>
      </w:r>
    </w:p>
    <w:p w:rsidR="00FA264F" w:rsidRDefault="00FA264F" w:rsidP="00FA264F">
      <w:pPr>
        <w:pStyle w:val="Caption"/>
      </w:pPr>
      <w:r>
        <w:t xml:space="preserve">Table </w:t>
      </w:r>
      <w:r w:rsidR="00C15CB6">
        <w:fldChar w:fldCharType="begin"/>
      </w:r>
      <w:r w:rsidR="00C15CB6">
        <w:instrText xml:space="preserve"> SEQ T</w:instrText>
      </w:r>
      <w:r w:rsidR="00C15CB6">
        <w:instrText xml:space="preserve">able \* ARABIC </w:instrText>
      </w:r>
      <w:r w:rsidR="00C15CB6">
        <w:fldChar w:fldCharType="separate"/>
      </w:r>
      <w:r w:rsidR="00E55F9F">
        <w:rPr>
          <w:noProof/>
        </w:rPr>
        <w:t>12</w:t>
      </w:r>
      <w:r w:rsidR="00C15CB6">
        <w:rPr>
          <w:noProof/>
        </w:rPr>
        <w:fldChar w:fldCharType="end"/>
      </w:r>
      <w:r w:rsidRPr="007B45B6">
        <w:t>: Estimated utilisation and cost (published prices) of durvalumab to the PBS/RPBS in the first six years of listing for locally advanced or metastatic urothelial cancer after platinum-based therapy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2: Estimated utilisation and cost (published prices) of durvalumab to the PBS/RPBS in the first six years of listing for locally advanced or metastatic urothelial cancer after platinum-based therapy"/>
      </w:tblPr>
      <w:tblGrid>
        <w:gridCol w:w="2159"/>
        <w:gridCol w:w="1144"/>
        <w:gridCol w:w="1143"/>
        <w:gridCol w:w="1143"/>
        <w:gridCol w:w="1143"/>
        <w:gridCol w:w="1143"/>
        <w:gridCol w:w="1141"/>
      </w:tblGrid>
      <w:tr w:rsidR="003828DB" w:rsidRPr="00F453F7" w:rsidTr="00346264">
        <w:trPr>
          <w:tblHeader/>
        </w:trPr>
        <w:tc>
          <w:tcPr>
            <w:tcW w:w="1197" w:type="pct"/>
            <w:tcBorders>
              <w:left w:val="single" w:sz="4" w:space="0" w:color="auto"/>
              <w:bottom w:val="single" w:sz="4" w:space="0" w:color="auto"/>
            </w:tcBorders>
            <w:shd w:val="clear" w:color="auto" w:fill="auto"/>
            <w:vAlign w:val="center"/>
          </w:tcPr>
          <w:p w:rsidR="003828DB" w:rsidRPr="00F453F7" w:rsidRDefault="003828DB" w:rsidP="008C0A6F">
            <w:pPr>
              <w:keepNext/>
              <w:rPr>
                <w:rFonts w:ascii="Arial Narrow" w:eastAsia="Calibri" w:hAnsi="Arial Narrow"/>
                <w:sz w:val="20"/>
                <w:szCs w:val="20"/>
                <w:lang w:eastAsia="en-AU"/>
              </w:rPr>
            </w:pPr>
          </w:p>
        </w:tc>
        <w:tc>
          <w:tcPr>
            <w:tcW w:w="634" w:type="pct"/>
            <w:tcBorders>
              <w:bottom w:val="single" w:sz="4" w:space="0" w:color="auto"/>
            </w:tcBorders>
            <w:shd w:val="clear" w:color="auto" w:fill="auto"/>
            <w:vAlign w:val="center"/>
          </w:tcPr>
          <w:p w:rsidR="003828DB" w:rsidRPr="00F453F7" w:rsidRDefault="003828DB" w:rsidP="008C0A6F">
            <w:pPr>
              <w:keepNext/>
              <w:jc w:val="center"/>
              <w:rPr>
                <w:rFonts w:ascii="Arial Narrow" w:eastAsia="Calibri" w:hAnsi="Arial Narrow"/>
                <w:b/>
                <w:bCs/>
                <w:sz w:val="20"/>
                <w:szCs w:val="20"/>
                <w:lang w:eastAsia="en-AU"/>
              </w:rPr>
            </w:pPr>
            <w:r w:rsidRPr="00F453F7">
              <w:rPr>
                <w:rFonts w:ascii="Arial Narrow" w:eastAsia="Calibri" w:hAnsi="Arial Narrow"/>
                <w:b/>
                <w:bCs/>
                <w:sz w:val="20"/>
                <w:szCs w:val="20"/>
                <w:lang w:eastAsia="en-AU"/>
              </w:rPr>
              <w:t>Year 1</w:t>
            </w:r>
          </w:p>
          <w:p w:rsidR="003828DB" w:rsidRPr="00F453F7" w:rsidRDefault="003828DB" w:rsidP="008C0A6F">
            <w:pPr>
              <w:keepNext/>
              <w:jc w:val="center"/>
              <w:rPr>
                <w:rFonts w:ascii="Arial Narrow" w:eastAsia="Calibri" w:hAnsi="Arial Narrow"/>
                <w:b/>
                <w:bCs/>
                <w:sz w:val="20"/>
                <w:szCs w:val="20"/>
                <w:lang w:eastAsia="en-AU"/>
              </w:rPr>
            </w:pPr>
            <w:r w:rsidRPr="00F453F7">
              <w:rPr>
                <w:rFonts w:ascii="Arial Narrow" w:eastAsia="Calibri" w:hAnsi="Arial Narrow"/>
                <w:b/>
                <w:bCs/>
                <w:sz w:val="20"/>
                <w:szCs w:val="20"/>
                <w:lang w:eastAsia="en-AU"/>
              </w:rPr>
              <w:t>(2019)</w:t>
            </w:r>
          </w:p>
        </w:tc>
        <w:tc>
          <w:tcPr>
            <w:tcW w:w="634" w:type="pct"/>
            <w:tcBorders>
              <w:bottom w:val="single" w:sz="4" w:space="0" w:color="auto"/>
            </w:tcBorders>
            <w:shd w:val="clear" w:color="auto" w:fill="auto"/>
            <w:vAlign w:val="center"/>
          </w:tcPr>
          <w:p w:rsidR="003828DB" w:rsidRPr="00F453F7" w:rsidRDefault="003828DB" w:rsidP="008C0A6F">
            <w:pPr>
              <w:keepNext/>
              <w:jc w:val="center"/>
              <w:rPr>
                <w:rFonts w:ascii="Arial Narrow" w:eastAsia="Calibri" w:hAnsi="Arial Narrow"/>
                <w:b/>
                <w:bCs/>
                <w:sz w:val="20"/>
                <w:szCs w:val="20"/>
                <w:lang w:eastAsia="en-AU"/>
              </w:rPr>
            </w:pPr>
            <w:r w:rsidRPr="00F453F7">
              <w:rPr>
                <w:rFonts w:ascii="Arial Narrow" w:eastAsia="Calibri" w:hAnsi="Arial Narrow"/>
                <w:b/>
                <w:bCs/>
                <w:sz w:val="20"/>
                <w:szCs w:val="20"/>
                <w:lang w:eastAsia="en-AU"/>
              </w:rPr>
              <w:t>Year 2</w:t>
            </w:r>
          </w:p>
          <w:p w:rsidR="003828DB" w:rsidRPr="00F453F7" w:rsidRDefault="003828DB" w:rsidP="008C0A6F">
            <w:pPr>
              <w:keepNext/>
              <w:jc w:val="center"/>
              <w:rPr>
                <w:rFonts w:ascii="Arial Narrow" w:eastAsia="Calibri" w:hAnsi="Arial Narrow"/>
                <w:b/>
                <w:bCs/>
                <w:sz w:val="20"/>
                <w:szCs w:val="20"/>
                <w:lang w:eastAsia="en-AU"/>
              </w:rPr>
            </w:pPr>
            <w:r w:rsidRPr="00F453F7">
              <w:rPr>
                <w:rFonts w:ascii="Arial Narrow" w:eastAsia="Calibri" w:hAnsi="Arial Narrow"/>
                <w:b/>
                <w:bCs/>
                <w:sz w:val="20"/>
                <w:szCs w:val="20"/>
                <w:lang w:eastAsia="en-AU"/>
              </w:rPr>
              <w:t>(2020)</w:t>
            </w:r>
          </w:p>
        </w:tc>
        <w:tc>
          <w:tcPr>
            <w:tcW w:w="634" w:type="pct"/>
            <w:tcBorders>
              <w:bottom w:val="single" w:sz="4" w:space="0" w:color="auto"/>
            </w:tcBorders>
            <w:shd w:val="clear" w:color="auto" w:fill="auto"/>
            <w:vAlign w:val="center"/>
          </w:tcPr>
          <w:p w:rsidR="003828DB" w:rsidRPr="00F453F7" w:rsidRDefault="003828DB" w:rsidP="008C0A6F">
            <w:pPr>
              <w:keepNext/>
              <w:jc w:val="center"/>
              <w:rPr>
                <w:rFonts w:ascii="Arial Narrow" w:eastAsia="Calibri" w:hAnsi="Arial Narrow"/>
                <w:b/>
                <w:bCs/>
                <w:sz w:val="20"/>
                <w:szCs w:val="20"/>
                <w:lang w:eastAsia="en-AU"/>
              </w:rPr>
            </w:pPr>
            <w:r w:rsidRPr="00F453F7">
              <w:rPr>
                <w:rFonts w:ascii="Arial Narrow" w:eastAsia="Calibri" w:hAnsi="Arial Narrow"/>
                <w:b/>
                <w:bCs/>
                <w:sz w:val="20"/>
                <w:szCs w:val="20"/>
                <w:lang w:eastAsia="en-AU"/>
              </w:rPr>
              <w:t>Year 3</w:t>
            </w:r>
          </w:p>
          <w:p w:rsidR="003828DB" w:rsidRPr="00F453F7" w:rsidRDefault="003828DB" w:rsidP="008C0A6F">
            <w:pPr>
              <w:keepNext/>
              <w:jc w:val="center"/>
              <w:rPr>
                <w:rFonts w:ascii="Arial Narrow" w:eastAsia="Calibri" w:hAnsi="Arial Narrow"/>
                <w:b/>
                <w:bCs/>
                <w:sz w:val="20"/>
                <w:szCs w:val="20"/>
                <w:lang w:eastAsia="en-AU"/>
              </w:rPr>
            </w:pPr>
            <w:r w:rsidRPr="00F453F7">
              <w:rPr>
                <w:rFonts w:ascii="Arial Narrow" w:eastAsia="Calibri" w:hAnsi="Arial Narrow"/>
                <w:b/>
                <w:bCs/>
                <w:sz w:val="20"/>
                <w:szCs w:val="20"/>
                <w:lang w:eastAsia="en-AU"/>
              </w:rPr>
              <w:t>(2021)</w:t>
            </w:r>
          </w:p>
        </w:tc>
        <w:tc>
          <w:tcPr>
            <w:tcW w:w="634" w:type="pct"/>
            <w:tcBorders>
              <w:bottom w:val="single" w:sz="4" w:space="0" w:color="auto"/>
            </w:tcBorders>
            <w:shd w:val="clear" w:color="auto" w:fill="auto"/>
            <w:vAlign w:val="center"/>
          </w:tcPr>
          <w:p w:rsidR="003828DB" w:rsidRPr="00F453F7" w:rsidRDefault="003828DB" w:rsidP="008C0A6F">
            <w:pPr>
              <w:keepNext/>
              <w:jc w:val="center"/>
              <w:rPr>
                <w:rFonts w:ascii="Arial Narrow" w:eastAsia="Calibri" w:hAnsi="Arial Narrow"/>
                <w:b/>
                <w:bCs/>
                <w:sz w:val="20"/>
                <w:szCs w:val="20"/>
                <w:lang w:eastAsia="en-AU"/>
              </w:rPr>
            </w:pPr>
            <w:r w:rsidRPr="00F453F7">
              <w:rPr>
                <w:rFonts w:ascii="Arial Narrow" w:eastAsia="Calibri" w:hAnsi="Arial Narrow"/>
                <w:b/>
                <w:bCs/>
                <w:sz w:val="20"/>
                <w:szCs w:val="20"/>
                <w:lang w:eastAsia="en-AU"/>
              </w:rPr>
              <w:t>Year 4</w:t>
            </w:r>
          </w:p>
          <w:p w:rsidR="003828DB" w:rsidRPr="00F453F7" w:rsidRDefault="003828DB" w:rsidP="008C0A6F">
            <w:pPr>
              <w:keepNext/>
              <w:jc w:val="center"/>
              <w:rPr>
                <w:rFonts w:ascii="Arial Narrow" w:eastAsia="Calibri" w:hAnsi="Arial Narrow"/>
                <w:b/>
                <w:bCs/>
                <w:sz w:val="20"/>
                <w:szCs w:val="20"/>
                <w:lang w:eastAsia="en-AU"/>
              </w:rPr>
            </w:pPr>
            <w:r w:rsidRPr="00F453F7">
              <w:rPr>
                <w:rFonts w:ascii="Arial Narrow" w:eastAsia="Calibri" w:hAnsi="Arial Narrow"/>
                <w:b/>
                <w:bCs/>
                <w:sz w:val="20"/>
                <w:szCs w:val="20"/>
                <w:lang w:eastAsia="en-AU"/>
              </w:rPr>
              <w:t>(2022)</w:t>
            </w:r>
          </w:p>
        </w:tc>
        <w:tc>
          <w:tcPr>
            <w:tcW w:w="634" w:type="pct"/>
            <w:tcBorders>
              <w:bottom w:val="single" w:sz="4" w:space="0" w:color="auto"/>
              <w:right w:val="single" w:sz="4" w:space="0" w:color="auto"/>
            </w:tcBorders>
            <w:shd w:val="clear" w:color="auto" w:fill="auto"/>
            <w:vAlign w:val="center"/>
          </w:tcPr>
          <w:p w:rsidR="003828DB" w:rsidRPr="00F453F7" w:rsidRDefault="003828DB" w:rsidP="008C0A6F">
            <w:pPr>
              <w:keepNext/>
              <w:jc w:val="center"/>
              <w:rPr>
                <w:rFonts w:ascii="Arial Narrow" w:eastAsia="Calibri" w:hAnsi="Arial Narrow"/>
                <w:b/>
                <w:bCs/>
                <w:sz w:val="20"/>
                <w:szCs w:val="20"/>
                <w:lang w:eastAsia="en-AU"/>
              </w:rPr>
            </w:pPr>
            <w:r w:rsidRPr="00F453F7">
              <w:rPr>
                <w:rFonts w:ascii="Arial Narrow" w:eastAsia="Calibri" w:hAnsi="Arial Narrow"/>
                <w:b/>
                <w:bCs/>
                <w:sz w:val="20"/>
                <w:szCs w:val="20"/>
                <w:lang w:eastAsia="en-AU"/>
              </w:rPr>
              <w:t xml:space="preserve">Year 5 </w:t>
            </w:r>
          </w:p>
          <w:p w:rsidR="003828DB" w:rsidRPr="00F453F7" w:rsidRDefault="003828DB" w:rsidP="008C0A6F">
            <w:pPr>
              <w:keepNext/>
              <w:jc w:val="center"/>
              <w:rPr>
                <w:rFonts w:ascii="Arial Narrow" w:eastAsia="Calibri" w:hAnsi="Arial Narrow"/>
                <w:b/>
                <w:bCs/>
                <w:sz w:val="20"/>
                <w:szCs w:val="20"/>
                <w:lang w:eastAsia="en-AU"/>
              </w:rPr>
            </w:pPr>
            <w:r w:rsidRPr="00F453F7">
              <w:rPr>
                <w:rFonts w:ascii="Arial Narrow" w:eastAsia="Calibri" w:hAnsi="Arial Narrow"/>
                <w:b/>
                <w:bCs/>
                <w:sz w:val="20"/>
                <w:szCs w:val="20"/>
                <w:lang w:eastAsia="en-AU"/>
              </w:rPr>
              <w:t>(2023)</w:t>
            </w:r>
          </w:p>
        </w:tc>
        <w:tc>
          <w:tcPr>
            <w:tcW w:w="633" w:type="pct"/>
            <w:tcBorders>
              <w:bottom w:val="single" w:sz="4" w:space="0" w:color="auto"/>
              <w:right w:val="single" w:sz="4" w:space="0" w:color="auto"/>
            </w:tcBorders>
            <w:vAlign w:val="center"/>
          </w:tcPr>
          <w:p w:rsidR="003828DB" w:rsidRPr="00F453F7" w:rsidRDefault="003828DB" w:rsidP="008C0A6F">
            <w:pPr>
              <w:keepNext/>
              <w:jc w:val="center"/>
              <w:rPr>
                <w:rFonts w:ascii="Arial Narrow" w:eastAsia="Calibri" w:hAnsi="Arial Narrow"/>
                <w:b/>
                <w:bCs/>
                <w:sz w:val="20"/>
                <w:szCs w:val="20"/>
                <w:lang w:eastAsia="en-AU"/>
              </w:rPr>
            </w:pPr>
            <w:r w:rsidRPr="00F453F7">
              <w:rPr>
                <w:rFonts w:ascii="Arial Narrow" w:eastAsia="Calibri" w:hAnsi="Arial Narrow"/>
                <w:b/>
                <w:bCs/>
                <w:sz w:val="20"/>
                <w:szCs w:val="20"/>
                <w:lang w:eastAsia="en-AU"/>
              </w:rPr>
              <w:t xml:space="preserve">Year 6 </w:t>
            </w:r>
          </w:p>
          <w:p w:rsidR="003828DB" w:rsidRPr="00F453F7" w:rsidRDefault="003828DB" w:rsidP="008C0A6F">
            <w:pPr>
              <w:keepNext/>
              <w:jc w:val="center"/>
              <w:rPr>
                <w:rFonts w:ascii="Arial Narrow" w:eastAsia="Calibri" w:hAnsi="Arial Narrow"/>
                <w:b/>
                <w:bCs/>
                <w:sz w:val="20"/>
                <w:szCs w:val="20"/>
                <w:lang w:eastAsia="en-AU"/>
              </w:rPr>
            </w:pPr>
            <w:r w:rsidRPr="00F453F7">
              <w:rPr>
                <w:rFonts w:ascii="Arial Narrow" w:eastAsia="Calibri" w:hAnsi="Arial Narrow"/>
                <w:b/>
                <w:bCs/>
                <w:sz w:val="20"/>
                <w:szCs w:val="20"/>
                <w:lang w:eastAsia="en-AU"/>
              </w:rPr>
              <w:t>(2024)</w:t>
            </w:r>
          </w:p>
        </w:tc>
      </w:tr>
      <w:tr w:rsidR="003828DB" w:rsidRPr="00F453F7" w:rsidTr="00346264">
        <w:tc>
          <w:tcPr>
            <w:tcW w:w="1197" w:type="pct"/>
            <w:tcBorders>
              <w:left w:val="single" w:sz="4" w:space="0" w:color="auto"/>
              <w:bottom w:val="single" w:sz="4" w:space="0" w:color="auto"/>
            </w:tcBorders>
            <w:shd w:val="clear" w:color="auto" w:fill="auto"/>
            <w:vAlign w:val="center"/>
          </w:tcPr>
          <w:p w:rsidR="003828DB" w:rsidRPr="00F453F7" w:rsidRDefault="003828DB" w:rsidP="008C0A6F">
            <w:pPr>
              <w:keepNext/>
              <w:rPr>
                <w:rFonts w:ascii="Arial Narrow" w:eastAsia="Calibri" w:hAnsi="Arial Narrow"/>
                <w:sz w:val="20"/>
                <w:szCs w:val="20"/>
                <w:lang w:eastAsia="en-AU"/>
              </w:rPr>
            </w:pPr>
            <w:r w:rsidRPr="00F453F7">
              <w:rPr>
                <w:rFonts w:ascii="Arial Narrow" w:eastAsia="Calibri" w:hAnsi="Arial Narrow"/>
                <w:sz w:val="20"/>
                <w:szCs w:val="20"/>
                <w:lang w:eastAsia="en-AU"/>
              </w:rPr>
              <w:t>Patients with locally advanced or metastatic urothelial cancer</w:t>
            </w:r>
          </w:p>
        </w:tc>
        <w:tc>
          <w:tcPr>
            <w:tcW w:w="634" w:type="pct"/>
            <w:shd w:val="clear" w:color="auto" w:fill="auto"/>
            <w:vAlign w:val="center"/>
          </w:tcPr>
          <w:p w:rsidR="003828DB" w:rsidRPr="007A2599" w:rsidRDefault="007A2599" w:rsidP="008C0A6F">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vAlign w:val="center"/>
          </w:tcPr>
          <w:p w:rsidR="003828DB" w:rsidRPr="007A2599" w:rsidRDefault="007A2599" w:rsidP="008C0A6F">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vAlign w:val="center"/>
          </w:tcPr>
          <w:p w:rsidR="003828DB" w:rsidRPr="007A2599" w:rsidRDefault="007A2599" w:rsidP="008C0A6F">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vAlign w:val="center"/>
          </w:tcPr>
          <w:p w:rsidR="003828DB" w:rsidRPr="007A2599" w:rsidRDefault="007A2599" w:rsidP="008C0A6F">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tcBorders>
              <w:right w:val="single" w:sz="4" w:space="0" w:color="auto"/>
            </w:tcBorders>
            <w:shd w:val="clear" w:color="auto" w:fill="auto"/>
            <w:vAlign w:val="center"/>
          </w:tcPr>
          <w:p w:rsidR="003828DB" w:rsidRPr="007A2599" w:rsidRDefault="007A2599" w:rsidP="008C0A6F">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3" w:type="pct"/>
            <w:tcBorders>
              <w:right w:val="single" w:sz="4" w:space="0" w:color="auto"/>
            </w:tcBorders>
            <w:vAlign w:val="center"/>
          </w:tcPr>
          <w:p w:rsidR="003828DB" w:rsidRPr="007A2599" w:rsidRDefault="007A2599" w:rsidP="008C0A6F">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3828DB" w:rsidRPr="00F453F7" w:rsidTr="00346264">
        <w:tc>
          <w:tcPr>
            <w:tcW w:w="1197" w:type="pct"/>
            <w:tcBorders>
              <w:left w:val="single" w:sz="4" w:space="0" w:color="auto"/>
              <w:bottom w:val="single" w:sz="4" w:space="0" w:color="auto"/>
            </w:tcBorders>
            <w:shd w:val="clear" w:color="auto" w:fill="auto"/>
            <w:vAlign w:val="center"/>
          </w:tcPr>
          <w:p w:rsidR="003828DB" w:rsidRPr="00F453F7" w:rsidRDefault="003828DB" w:rsidP="008C0A6F">
            <w:pPr>
              <w:keepNext/>
              <w:rPr>
                <w:rFonts w:ascii="Arial Narrow" w:eastAsia="Calibri" w:hAnsi="Arial Narrow"/>
                <w:sz w:val="20"/>
                <w:szCs w:val="20"/>
                <w:lang w:eastAsia="en-AU"/>
              </w:rPr>
            </w:pPr>
            <w:r w:rsidRPr="00F453F7">
              <w:rPr>
                <w:rFonts w:ascii="Arial Narrow" w:eastAsia="Calibri" w:hAnsi="Arial Narrow"/>
                <w:sz w:val="20"/>
                <w:szCs w:val="20"/>
                <w:lang w:eastAsia="en-AU"/>
              </w:rPr>
              <w:t>Patients with prior platinum based therapy (54%)</w:t>
            </w:r>
          </w:p>
        </w:tc>
        <w:tc>
          <w:tcPr>
            <w:tcW w:w="634" w:type="pct"/>
            <w:shd w:val="clear" w:color="auto" w:fill="auto"/>
            <w:vAlign w:val="center"/>
          </w:tcPr>
          <w:p w:rsidR="003828DB" w:rsidRPr="007A2599" w:rsidRDefault="007A2599" w:rsidP="008C0A6F">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vAlign w:val="center"/>
          </w:tcPr>
          <w:p w:rsidR="003828DB" w:rsidRPr="007A2599" w:rsidRDefault="007A2599" w:rsidP="008C0A6F">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vAlign w:val="center"/>
          </w:tcPr>
          <w:p w:rsidR="003828DB" w:rsidRPr="007A2599" w:rsidRDefault="007A2599" w:rsidP="008C0A6F">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vAlign w:val="center"/>
          </w:tcPr>
          <w:p w:rsidR="003828DB" w:rsidRPr="007A2599" w:rsidRDefault="007A2599" w:rsidP="008C0A6F">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tcBorders>
              <w:right w:val="single" w:sz="4" w:space="0" w:color="auto"/>
            </w:tcBorders>
            <w:shd w:val="clear" w:color="auto" w:fill="auto"/>
            <w:vAlign w:val="center"/>
          </w:tcPr>
          <w:p w:rsidR="003828DB" w:rsidRPr="007A2599" w:rsidRDefault="007A2599" w:rsidP="008C0A6F">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3" w:type="pct"/>
            <w:tcBorders>
              <w:right w:val="single" w:sz="4" w:space="0" w:color="auto"/>
            </w:tcBorders>
            <w:vAlign w:val="center"/>
          </w:tcPr>
          <w:p w:rsidR="003828DB" w:rsidRPr="007A2599" w:rsidRDefault="007A2599" w:rsidP="008C0A6F">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3828DB" w:rsidRPr="00F453F7" w:rsidTr="00346264">
        <w:tc>
          <w:tcPr>
            <w:tcW w:w="1197" w:type="pct"/>
            <w:tcBorders>
              <w:left w:val="single" w:sz="4" w:space="0" w:color="auto"/>
              <w:bottom w:val="single" w:sz="4" w:space="0" w:color="auto"/>
            </w:tcBorders>
            <w:shd w:val="clear" w:color="auto" w:fill="auto"/>
            <w:vAlign w:val="center"/>
          </w:tcPr>
          <w:p w:rsidR="003828DB" w:rsidRPr="00F453F7" w:rsidRDefault="003828DB" w:rsidP="008C0A6F">
            <w:pPr>
              <w:keepNext/>
              <w:rPr>
                <w:rFonts w:ascii="Arial Narrow" w:eastAsia="Calibri" w:hAnsi="Arial Narrow"/>
                <w:b/>
                <w:sz w:val="20"/>
                <w:szCs w:val="20"/>
                <w:lang w:eastAsia="en-AU"/>
              </w:rPr>
            </w:pPr>
            <w:r w:rsidRPr="00F453F7">
              <w:rPr>
                <w:rFonts w:ascii="Arial Narrow" w:eastAsia="Calibri" w:hAnsi="Arial Narrow"/>
                <w:b/>
                <w:sz w:val="20"/>
                <w:szCs w:val="20"/>
                <w:lang w:eastAsia="en-AU"/>
              </w:rPr>
              <w:t>Patients eligible for PD-1 treatment (81%)</w:t>
            </w:r>
          </w:p>
        </w:tc>
        <w:tc>
          <w:tcPr>
            <w:tcW w:w="634" w:type="pct"/>
            <w:shd w:val="clear" w:color="auto" w:fill="auto"/>
            <w:vAlign w:val="center"/>
          </w:tcPr>
          <w:p w:rsidR="003828DB" w:rsidRPr="007A2599" w:rsidRDefault="007A2599" w:rsidP="008C0A6F">
            <w:pPr>
              <w:keepNext/>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634" w:type="pct"/>
            <w:shd w:val="clear" w:color="auto" w:fill="auto"/>
            <w:vAlign w:val="center"/>
          </w:tcPr>
          <w:p w:rsidR="003828DB" w:rsidRPr="007A2599" w:rsidRDefault="007A2599" w:rsidP="008C0A6F">
            <w:pPr>
              <w:keepNext/>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634" w:type="pct"/>
            <w:shd w:val="clear" w:color="auto" w:fill="auto"/>
            <w:vAlign w:val="center"/>
          </w:tcPr>
          <w:p w:rsidR="003828DB" w:rsidRPr="007A2599" w:rsidRDefault="007A2599" w:rsidP="008C0A6F">
            <w:pPr>
              <w:keepNext/>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634" w:type="pct"/>
            <w:shd w:val="clear" w:color="auto" w:fill="auto"/>
            <w:vAlign w:val="center"/>
          </w:tcPr>
          <w:p w:rsidR="003828DB" w:rsidRPr="007A2599" w:rsidRDefault="007A2599" w:rsidP="008C0A6F">
            <w:pPr>
              <w:keepNext/>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634" w:type="pct"/>
            <w:tcBorders>
              <w:right w:val="single" w:sz="4" w:space="0" w:color="auto"/>
            </w:tcBorders>
            <w:shd w:val="clear" w:color="auto" w:fill="auto"/>
            <w:vAlign w:val="center"/>
          </w:tcPr>
          <w:p w:rsidR="003828DB" w:rsidRPr="007A2599" w:rsidRDefault="007A2599" w:rsidP="008C0A6F">
            <w:pPr>
              <w:keepNext/>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633" w:type="pct"/>
            <w:tcBorders>
              <w:right w:val="single" w:sz="4" w:space="0" w:color="auto"/>
            </w:tcBorders>
            <w:vAlign w:val="center"/>
          </w:tcPr>
          <w:p w:rsidR="003828DB" w:rsidRPr="007A2599" w:rsidRDefault="007A2599" w:rsidP="008C0A6F">
            <w:pPr>
              <w:keepNext/>
              <w:jc w:val="center"/>
              <w:rPr>
                <w:rFonts w:ascii="Arial Narrow" w:hAnsi="Arial Narrow"/>
                <w:b/>
                <w:sz w:val="20"/>
                <w:szCs w:val="20"/>
                <w:highlight w:val="black"/>
              </w:rPr>
            </w:pPr>
            <w:r>
              <w:rPr>
                <w:rFonts w:ascii="Arial Narrow" w:hAnsi="Arial Narrow"/>
                <w:b/>
                <w:noProof/>
                <w:color w:val="000000"/>
                <w:sz w:val="20"/>
                <w:szCs w:val="20"/>
                <w:highlight w:val="black"/>
              </w:rPr>
              <w:t>''''''''</w:t>
            </w:r>
          </w:p>
        </w:tc>
      </w:tr>
      <w:tr w:rsidR="003828DB" w:rsidRPr="00F453F7" w:rsidTr="00346264">
        <w:tc>
          <w:tcPr>
            <w:tcW w:w="1197" w:type="pct"/>
            <w:tcBorders>
              <w:left w:val="single" w:sz="4" w:space="0" w:color="auto"/>
              <w:bottom w:val="single" w:sz="4" w:space="0" w:color="auto"/>
            </w:tcBorders>
            <w:shd w:val="clear" w:color="auto" w:fill="auto"/>
            <w:vAlign w:val="center"/>
          </w:tcPr>
          <w:p w:rsidR="003828DB" w:rsidRPr="00F453F7" w:rsidRDefault="003828DB" w:rsidP="008C0A6F">
            <w:pPr>
              <w:keepNext/>
              <w:rPr>
                <w:rFonts w:ascii="Arial Narrow" w:eastAsia="Calibri" w:hAnsi="Arial Narrow"/>
                <w:sz w:val="20"/>
                <w:szCs w:val="20"/>
                <w:lang w:eastAsia="en-AU"/>
              </w:rPr>
            </w:pPr>
            <w:r w:rsidRPr="00F453F7">
              <w:rPr>
                <w:rFonts w:ascii="Arial Narrow" w:eastAsia="Calibri" w:hAnsi="Arial Narrow"/>
                <w:sz w:val="20"/>
                <w:szCs w:val="20"/>
                <w:lang w:eastAsia="en-AU"/>
              </w:rPr>
              <w:t>Eligible patients treated with PD-1</w:t>
            </w:r>
            <w:r w:rsidR="00AD3961" w:rsidRPr="00F453F7">
              <w:rPr>
                <w:rFonts w:ascii="Arial Narrow" w:eastAsia="Calibri" w:hAnsi="Arial Narrow"/>
                <w:sz w:val="20"/>
                <w:szCs w:val="20"/>
                <w:lang w:eastAsia="en-AU"/>
              </w:rPr>
              <w:t>/PD-L1</w:t>
            </w:r>
            <w:r w:rsidRPr="00F453F7">
              <w:rPr>
                <w:rFonts w:ascii="Arial Narrow" w:eastAsia="Calibri" w:hAnsi="Arial Narrow"/>
                <w:sz w:val="20"/>
                <w:szCs w:val="20"/>
                <w:lang w:eastAsia="en-AU"/>
              </w:rPr>
              <w:t xml:space="preserve"> inhibitors (100%)</w:t>
            </w:r>
          </w:p>
        </w:tc>
        <w:tc>
          <w:tcPr>
            <w:tcW w:w="634" w:type="pct"/>
            <w:shd w:val="clear" w:color="auto" w:fill="auto"/>
            <w:vAlign w:val="center"/>
          </w:tcPr>
          <w:p w:rsidR="003828DB" w:rsidRPr="007A2599" w:rsidRDefault="007A2599" w:rsidP="008C0A6F">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vAlign w:val="center"/>
          </w:tcPr>
          <w:p w:rsidR="003828DB" w:rsidRPr="007A2599" w:rsidRDefault="007A2599" w:rsidP="008C0A6F">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vAlign w:val="center"/>
          </w:tcPr>
          <w:p w:rsidR="003828DB" w:rsidRPr="007A2599" w:rsidRDefault="007A2599" w:rsidP="008C0A6F">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vAlign w:val="center"/>
          </w:tcPr>
          <w:p w:rsidR="003828DB" w:rsidRPr="007A2599" w:rsidRDefault="007A2599" w:rsidP="008C0A6F">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tcBorders>
              <w:right w:val="single" w:sz="4" w:space="0" w:color="auto"/>
            </w:tcBorders>
            <w:shd w:val="clear" w:color="auto" w:fill="auto"/>
            <w:vAlign w:val="center"/>
          </w:tcPr>
          <w:p w:rsidR="003828DB" w:rsidRPr="007A2599" w:rsidRDefault="007A2599" w:rsidP="008C0A6F">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3" w:type="pct"/>
            <w:tcBorders>
              <w:right w:val="single" w:sz="4" w:space="0" w:color="auto"/>
            </w:tcBorders>
            <w:vAlign w:val="center"/>
          </w:tcPr>
          <w:p w:rsidR="003828DB" w:rsidRPr="007A2599" w:rsidRDefault="007A2599" w:rsidP="008C0A6F">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3828DB" w:rsidRPr="00F453F7" w:rsidTr="00346264">
        <w:tc>
          <w:tcPr>
            <w:tcW w:w="1197" w:type="pct"/>
            <w:tcBorders>
              <w:left w:val="single" w:sz="4" w:space="0" w:color="auto"/>
            </w:tcBorders>
            <w:shd w:val="clear" w:color="auto" w:fill="auto"/>
            <w:vAlign w:val="center"/>
          </w:tcPr>
          <w:p w:rsidR="003828DB" w:rsidRPr="00F453F7" w:rsidRDefault="003828DB" w:rsidP="008C0A6F">
            <w:pPr>
              <w:keepNext/>
              <w:rPr>
                <w:rFonts w:ascii="Arial Narrow" w:eastAsia="Calibri" w:hAnsi="Arial Narrow"/>
                <w:sz w:val="20"/>
                <w:szCs w:val="20"/>
                <w:lang w:eastAsia="en-AU"/>
              </w:rPr>
            </w:pPr>
            <w:r w:rsidRPr="00F453F7">
              <w:rPr>
                <w:rFonts w:ascii="Arial Narrow" w:eastAsia="Calibri" w:hAnsi="Arial Narrow"/>
                <w:sz w:val="20"/>
                <w:szCs w:val="20"/>
                <w:lang w:eastAsia="en-AU"/>
              </w:rPr>
              <w:t>Durvalumab uptake rate</w:t>
            </w:r>
          </w:p>
        </w:tc>
        <w:tc>
          <w:tcPr>
            <w:tcW w:w="634" w:type="pct"/>
            <w:shd w:val="clear" w:color="auto" w:fill="auto"/>
            <w:vAlign w:val="center"/>
          </w:tcPr>
          <w:p w:rsidR="003828DB" w:rsidRPr="00F453F7" w:rsidRDefault="003828DB" w:rsidP="008C0A6F">
            <w:pPr>
              <w:keepNext/>
              <w:jc w:val="center"/>
              <w:rPr>
                <w:rFonts w:ascii="Arial Narrow" w:hAnsi="Arial Narrow"/>
                <w:sz w:val="20"/>
                <w:szCs w:val="20"/>
              </w:rPr>
            </w:pPr>
            <w:r w:rsidRPr="00F453F7">
              <w:rPr>
                <w:rFonts w:ascii="Arial Narrow" w:hAnsi="Arial Narrow"/>
                <w:sz w:val="20"/>
                <w:szCs w:val="20"/>
              </w:rPr>
              <w:t>20%</w:t>
            </w:r>
          </w:p>
        </w:tc>
        <w:tc>
          <w:tcPr>
            <w:tcW w:w="634" w:type="pct"/>
            <w:shd w:val="clear" w:color="auto" w:fill="auto"/>
            <w:vAlign w:val="center"/>
          </w:tcPr>
          <w:p w:rsidR="003828DB" w:rsidRPr="00F453F7" w:rsidRDefault="003828DB" w:rsidP="008C0A6F">
            <w:pPr>
              <w:keepNext/>
              <w:jc w:val="center"/>
              <w:rPr>
                <w:rFonts w:ascii="Arial Narrow" w:hAnsi="Arial Narrow"/>
                <w:sz w:val="20"/>
                <w:szCs w:val="20"/>
              </w:rPr>
            </w:pPr>
            <w:r w:rsidRPr="00F453F7">
              <w:rPr>
                <w:rFonts w:ascii="Arial Narrow" w:hAnsi="Arial Narrow"/>
                <w:sz w:val="20"/>
                <w:szCs w:val="20"/>
              </w:rPr>
              <w:t>30%</w:t>
            </w:r>
          </w:p>
        </w:tc>
        <w:tc>
          <w:tcPr>
            <w:tcW w:w="634" w:type="pct"/>
            <w:shd w:val="clear" w:color="auto" w:fill="auto"/>
            <w:vAlign w:val="center"/>
          </w:tcPr>
          <w:p w:rsidR="003828DB" w:rsidRPr="00F453F7" w:rsidRDefault="003828DB" w:rsidP="008C0A6F">
            <w:pPr>
              <w:keepNext/>
              <w:jc w:val="center"/>
              <w:rPr>
                <w:rFonts w:ascii="Arial Narrow" w:hAnsi="Arial Narrow"/>
                <w:sz w:val="20"/>
                <w:szCs w:val="20"/>
              </w:rPr>
            </w:pPr>
            <w:r w:rsidRPr="00F453F7">
              <w:rPr>
                <w:rFonts w:ascii="Arial Narrow" w:hAnsi="Arial Narrow"/>
                <w:sz w:val="20"/>
                <w:szCs w:val="20"/>
              </w:rPr>
              <w:t>40%</w:t>
            </w:r>
          </w:p>
        </w:tc>
        <w:tc>
          <w:tcPr>
            <w:tcW w:w="634" w:type="pct"/>
            <w:shd w:val="clear" w:color="auto" w:fill="auto"/>
            <w:vAlign w:val="center"/>
          </w:tcPr>
          <w:p w:rsidR="003828DB" w:rsidRPr="00F453F7" w:rsidRDefault="003828DB" w:rsidP="008C0A6F">
            <w:pPr>
              <w:keepNext/>
              <w:jc w:val="center"/>
              <w:rPr>
                <w:rFonts w:ascii="Arial Narrow" w:hAnsi="Arial Narrow"/>
                <w:sz w:val="20"/>
                <w:szCs w:val="20"/>
              </w:rPr>
            </w:pPr>
            <w:r w:rsidRPr="00F453F7">
              <w:rPr>
                <w:rFonts w:ascii="Arial Narrow" w:hAnsi="Arial Narrow"/>
                <w:sz w:val="20"/>
                <w:szCs w:val="20"/>
              </w:rPr>
              <w:t>50%</w:t>
            </w:r>
          </w:p>
        </w:tc>
        <w:tc>
          <w:tcPr>
            <w:tcW w:w="634" w:type="pct"/>
            <w:tcBorders>
              <w:right w:val="single" w:sz="4" w:space="0" w:color="auto"/>
            </w:tcBorders>
            <w:shd w:val="clear" w:color="auto" w:fill="auto"/>
            <w:vAlign w:val="center"/>
          </w:tcPr>
          <w:p w:rsidR="003828DB" w:rsidRPr="00F453F7" w:rsidRDefault="003828DB" w:rsidP="008C0A6F">
            <w:pPr>
              <w:keepNext/>
              <w:jc w:val="center"/>
              <w:rPr>
                <w:rFonts w:ascii="Arial Narrow" w:hAnsi="Arial Narrow"/>
                <w:sz w:val="20"/>
                <w:szCs w:val="20"/>
              </w:rPr>
            </w:pPr>
            <w:r w:rsidRPr="00203921">
              <w:rPr>
                <w:rFonts w:ascii="Arial Narrow" w:hAnsi="Arial Narrow"/>
                <w:sz w:val="20"/>
                <w:szCs w:val="20"/>
              </w:rPr>
              <w:t>50</w:t>
            </w:r>
            <w:r w:rsidRPr="00F453F7">
              <w:rPr>
                <w:rFonts w:ascii="Arial Narrow" w:hAnsi="Arial Narrow"/>
                <w:sz w:val="20"/>
                <w:szCs w:val="20"/>
              </w:rPr>
              <w:t>%</w:t>
            </w:r>
          </w:p>
        </w:tc>
        <w:tc>
          <w:tcPr>
            <w:tcW w:w="633" w:type="pct"/>
            <w:tcBorders>
              <w:right w:val="single" w:sz="4" w:space="0" w:color="auto"/>
            </w:tcBorders>
            <w:vAlign w:val="center"/>
          </w:tcPr>
          <w:p w:rsidR="003828DB" w:rsidRPr="00F453F7" w:rsidRDefault="003828DB" w:rsidP="008C0A6F">
            <w:pPr>
              <w:keepNext/>
              <w:jc w:val="center"/>
              <w:rPr>
                <w:rFonts w:ascii="Arial Narrow" w:hAnsi="Arial Narrow"/>
                <w:sz w:val="20"/>
                <w:szCs w:val="20"/>
              </w:rPr>
            </w:pPr>
            <w:r w:rsidRPr="00F453F7">
              <w:rPr>
                <w:rFonts w:ascii="Arial Narrow" w:hAnsi="Arial Narrow"/>
                <w:sz w:val="20"/>
                <w:szCs w:val="20"/>
              </w:rPr>
              <w:t>50%</w:t>
            </w:r>
          </w:p>
        </w:tc>
      </w:tr>
      <w:tr w:rsidR="003828DB" w:rsidRPr="00F453F7" w:rsidTr="00346264">
        <w:tc>
          <w:tcPr>
            <w:tcW w:w="1197" w:type="pct"/>
            <w:tcBorders>
              <w:left w:val="single" w:sz="4" w:space="0" w:color="auto"/>
            </w:tcBorders>
            <w:shd w:val="clear" w:color="auto" w:fill="auto"/>
            <w:vAlign w:val="center"/>
          </w:tcPr>
          <w:p w:rsidR="003828DB" w:rsidRPr="00F453F7" w:rsidRDefault="003828DB" w:rsidP="008C0A6F">
            <w:pPr>
              <w:keepNext/>
              <w:rPr>
                <w:rFonts w:ascii="Arial Narrow" w:eastAsia="Calibri" w:hAnsi="Arial Narrow"/>
                <w:b/>
                <w:sz w:val="20"/>
                <w:szCs w:val="20"/>
                <w:lang w:eastAsia="en-AU"/>
              </w:rPr>
            </w:pPr>
            <w:r w:rsidRPr="00F453F7">
              <w:rPr>
                <w:rFonts w:ascii="Arial Narrow" w:eastAsia="Calibri" w:hAnsi="Arial Narrow"/>
                <w:b/>
                <w:sz w:val="20"/>
                <w:szCs w:val="20"/>
                <w:lang w:eastAsia="en-AU"/>
              </w:rPr>
              <w:t xml:space="preserve">Durvalumab patients </w:t>
            </w:r>
          </w:p>
        </w:tc>
        <w:tc>
          <w:tcPr>
            <w:tcW w:w="634" w:type="pct"/>
            <w:shd w:val="clear" w:color="auto" w:fill="auto"/>
            <w:vAlign w:val="center"/>
          </w:tcPr>
          <w:p w:rsidR="003828DB" w:rsidRPr="007A2599" w:rsidRDefault="007A2599" w:rsidP="008C0A6F">
            <w:pPr>
              <w:keepNext/>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634" w:type="pct"/>
            <w:shd w:val="clear" w:color="auto" w:fill="auto"/>
            <w:vAlign w:val="center"/>
          </w:tcPr>
          <w:p w:rsidR="003828DB" w:rsidRPr="007A2599" w:rsidRDefault="007A2599" w:rsidP="008C0A6F">
            <w:pPr>
              <w:keepNext/>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634" w:type="pct"/>
            <w:shd w:val="clear" w:color="auto" w:fill="auto"/>
            <w:vAlign w:val="center"/>
          </w:tcPr>
          <w:p w:rsidR="003828DB" w:rsidRPr="007A2599" w:rsidRDefault="007A2599" w:rsidP="008C0A6F">
            <w:pPr>
              <w:keepNext/>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634" w:type="pct"/>
            <w:shd w:val="clear" w:color="auto" w:fill="auto"/>
            <w:vAlign w:val="center"/>
          </w:tcPr>
          <w:p w:rsidR="003828DB" w:rsidRPr="007A2599" w:rsidRDefault="007A2599" w:rsidP="008C0A6F">
            <w:pPr>
              <w:keepNext/>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634" w:type="pct"/>
            <w:tcBorders>
              <w:right w:val="single" w:sz="4" w:space="0" w:color="auto"/>
            </w:tcBorders>
            <w:shd w:val="clear" w:color="auto" w:fill="auto"/>
            <w:vAlign w:val="center"/>
          </w:tcPr>
          <w:p w:rsidR="003828DB" w:rsidRPr="007A2599" w:rsidRDefault="007A2599" w:rsidP="008C0A6F">
            <w:pPr>
              <w:keepNext/>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633" w:type="pct"/>
            <w:tcBorders>
              <w:right w:val="single" w:sz="4" w:space="0" w:color="auto"/>
            </w:tcBorders>
            <w:vAlign w:val="center"/>
          </w:tcPr>
          <w:p w:rsidR="003828DB" w:rsidRPr="007A2599" w:rsidRDefault="007A2599" w:rsidP="008C0A6F">
            <w:pPr>
              <w:keepNext/>
              <w:jc w:val="center"/>
              <w:rPr>
                <w:rFonts w:ascii="Arial Narrow" w:hAnsi="Arial Narrow"/>
                <w:b/>
                <w:sz w:val="20"/>
                <w:szCs w:val="20"/>
                <w:highlight w:val="black"/>
              </w:rPr>
            </w:pPr>
            <w:r>
              <w:rPr>
                <w:rFonts w:ascii="Arial Narrow" w:hAnsi="Arial Narrow"/>
                <w:b/>
                <w:noProof/>
                <w:color w:val="000000"/>
                <w:sz w:val="20"/>
                <w:szCs w:val="20"/>
                <w:highlight w:val="black"/>
              </w:rPr>
              <w:t>'''''''</w:t>
            </w:r>
          </w:p>
        </w:tc>
      </w:tr>
      <w:tr w:rsidR="003828DB" w:rsidRPr="00F453F7" w:rsidTr="00346264">
        <w:tc>
          <w:tcPr>
            <w:tcW w:w="1197" w:type="pct"/>
            <w:tcBorders>
              <w:left w:val="single" w:sz="4" w:space="0" w:color="auto"/>
            </w:tcBorders>
            <w:shd w:val="clear" w:color="auto" w:fill="auto"/>
            <w:vAlign w:val="center"/>
          </w:tcPr>
          <w:p w:rsidR="003828DB" w:rsidRPr="00F453F7" w:rsidRDefault="003828DB" w:rsidP="008C0A6F">
            <w:pPr>
              <w:keepNext/>
              <w:rPr>
                <w:rFonts w:ascii="Arial Narrow" w:eastAsia="Calibri" w:hAnsi="Arial Narrow"/>
                <w:sz w:val="20"/>
                <w:szCs w:val="20"/>
                <w:lang w:eastAsia="en-AU"/>
              </w:rPr>
            </w:pPr>
            <w:r w:rsidRPr="00F453F7">
              <w:rPr>
                <w:rFonts w:ascii="Arial Narrow" w:eastAsia="Calibri" w:hAnsi="Arial Narrow"/>
                <w:sz w:val="20"/>
                <w:szCs w:val="20"/>
                <w:lang w:eastAsia="en-AU"/>
              </w:rPr>
              <w:t xml:space="preserve">Durvalumab scripts </w:t>
            </w:r>
            <w:r w:rsidRPr="00F453F7">
              <w:rPr>
                <w:rFonts w:ascii="Arial Narrow" w:eastAsia="Calibri" w:hAnsi="Arial Narrow"/>
                <w:sz w:val="20"/>
                <w:szCs w:val="20"/>
                <w:lang w:eastAsia="en-AU"/>
              </w:rPr>
              <w:br/>
              <w:t>(6.00 / patient)</w:t>
            </w:r>
          </w:p>
        </w:tc>
        <w:tc>
          <w:tcPr>
            <w:tcW w:w="634" w:type="pct"/>
            <w:shd w:val="clear" w:color="auto" w:fill="auto"/>
            <w:vAlign w:val="center"/>
          </w:tcPr>
          <w:p w:rsidR="003828DB" w:rsidRPr="007A2599" w:rsidRDefault="007A2599" w:rsidP="008C0A6F">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vAlign w:val="center"/>
          </w:tcPr>
          <w:p w:rsidR="003828DB" w:rsidRPr="007A2599" w:rsidRDefault="007A2599" w:rsidP="008C0A6F">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vAlign w:val="center"/>
          </w:tcPr>
          <w:p w:rsidR="003828DB" w:rsidRPr="007A2599" w:rsidRDefault="007A2599" w:rsidP="008C0A6F">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vAlign w:val="center"/>
          </w:tcPr>
          <w:p w:rsidR="003828DB" w:rsidRPr="007A2599" w:rsidRDefault="007A2599" w:rsidP="008C0A6F">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tcBorders>
              <w:right w:val="single" w:sz="4" w:space="0" w:color="auto"/>
            </w:tcBorders>
            <w:shd w:val="clear" w:color="auto" w:fill="auto"/>
            <w:vAlign w:val="center"/>
          </w:tcPr>
          <w:p w:rsidR="003828DB" w:rsidRPr="007A2599" w:rsidRDefault="007A2599" w:rsidP="008C0A6F">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3" w:type="pct"/>
            <w:tcBorders>
              <w:right w:val="single" w:sz="4" w:space="0" w:color="auto"/>
            </w:tcBorders>
            <w:vAlign w:val="center"/>
          </w:tcPr>
          <w:p w:rsidR="003828DB" w:rsidRPr="007A2599" w:rsidRDefault="007A2599" w:rsidP="008C0A6F">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3828DB" w:rsidRPr="00F453F7" w:rsidTr="00346264">
        <w:tc>
          <w:tcPr>
            <w:tcW w:w="1197" w:type="pct"/>
            <w:tcBorders>
              <w:left w:val="single" w:sz="4" w:space="0" w:color="auto"/>
            </w:tcBorders>
            <w:shd w:val="clear" w:color="auto" w:fill="auto"/>
            <w:vAlign w:val="center"/>
          </w:tcPr>
          <w:p w:rsidR="003828DB" w:rsidRPr="00F453F7" w:rsidRDefault="003828DB" w:rsidP="008C0A6F">
            <w:pPr>
              <w:keepNext/>
              <w:rPr>
                <w:rFonts w:ascii="Arial Narrow" w:eastAsia="Calibri" w:hAnsi="Arial Narrow"/>
                <w:sz w:val="20"/>
                <w:szCs w:val="20"/>
                <w:lang w:eastAsia="en-AU"/>
              </w:rPr>
            </w:pPr>
            <w:r w:rsidRPr="00F453F7">
              <w:rPr>
                <w:rFonts w:ascii="Arial Narrow" w:eastAsia="Calibri" w:hAnsi="Arial Narrow"/>
                <w:sz w:val="20"/>
                <w:szCs w:val="20"/>
                <w:lang w:eastAsia="en-AU"/>
              </w:rPr>
              <w:t>Published cost of durvalumab scripts</w:t>
            </w:r>
            <w:r w:rsidRPr="00F453F7">
              <w:rPr>
                <w:rFonts w:ascii="Arial Narrow" w:eastAsia="Calibri" w:hAnsi="Arial Narrow"/>
                <w:sz w:val="20"/>
                <w:szCs w:val="20"/>
                <w:lang w:eastAsia="en-AU"/>
              </w:rPr>
              <w:br/>
              <w:t>($</w:t>
            </w:r>
            <w:r w:rsidR="007A2599">
              <w:rPr>
                <w:rFonts w:ascii="Arial Narrow" w:eastAsia="Calibri" w:hAnsi="Arial Narrow"/>
                <w:noProof/>
                <w:color w:val="000000"/>
                <w:sz w:val="20"/>
                <w:szCs w:val="20"/>
                <w:highlight w:val="black"/>
                <w:lang w:eastAsia="en-AU"/>
              </w:rPr>
              <w:t>''''''''''''''</w:t>
            </w:r>
            <w:r w:rsidRPr="00F453F7">
              <w:rPr>
                <w:rFonts w:ascii="Arial Narrow" w:eastAsia="Calibri" w:hAnsi="Arial Narrow"/>
                <w:sz w:val="20"/>
                <w:szCs w:val="20"/>
                <w:lang w:eastAsia="en-AU"/>
              </w:rPr>
              <w:t xml:space="preserve"> / script) less co-pay </w:t>
            </w:r>
          </w:p>
        </w:tc>
        <w:tc>
          <w:tcPr>
            <w:tcW w:w="634" w:type="pct"/>
            <w:shd w:val="clear" w:color="auto" w:fill="auto"/>
            <w:vAlign w:val="center"/>
          </w:tcPr>
          <w:p w:rsidR="003828DB" w:rsidRPr="00F453F7" w:rsidRDefault="003828DB" w:rsidP="008C0A6F">
            <w:pPr>
              <w:keepNext/>
              <w:jc w:val="center"/>
              <w:rPr>
                <w:rFonts w:ascii="Arial Narrow" w:hAnsi="Arial Narrow"/>
                <w:sz w:val="20"/>
                <w:szCs w:val="20"/>
              </w:rPr>
            </w:pPr>
            <w:r w:rsidRPr="00F453F7">
              <w:rPr>
                <w:rFonts w:ascii="Arial Narrow" w:hAnsi="Arial Narrow"/>
                <w:b/>
                <w:sz w:val="20"/>
                <w:szCs w:val="20"/>
              </w:rPr>
              <w:t>$</w:t>
            </w:r>
            <w:r w:rsidR="007A2599">
              <w:rPr>
                <w:rFonts w:ascii="Arial Narrow" w:hAnsi="Arial Narrow"/>
                <w:b/>
                <w:noProof/>
                <w:color w:val="000000"/>
                <w:sz w:val="20"/>
                <w:szCs w:val="20"/>
                <w:highlight w:val="black"/>
              </w:rPr>
              <w:t>''''''''''''''''''</w:t>
            </w:r>
          </w:p>
        </w:tc>
        <w:tc>
          <w:tcPr>
            <w:tcW w:w="634" w:type="pct"/>
            <w:shd w:val="clear" w:color="auto" w:fill="auto"/>
            <w:vAlign w:val="center"/>
          </w:tcPr>
          <w:p w:rsidR="003828DB" w:rsidRPr="00F453F7" w:rsidRDefault="003828DB" w:rsidP="008C0A6F">
            <w:pPr>
              <w:keepNext/>
              <w:jc w:val="center"/>
              <w:rPr>
                <w:rFonts w:ascii="Arial Narrow" w:hAnsi="Arial Narrow"/>
                <w:sz w:val="20"/>
                <w:szCs w:val="20"/>
              </w:rPr>
            </w:pPr>
            <w:r w:rsidRPr="00F453F7">
              <w:rPr>
                <w:rFonts w:ascii="Arial Narrow" w:hAnsi="Arial Narrow"/>
                <w:b/>
                <w:sz w:val="20"/>
                <w:szCs w:val="20"/>
              </w:rPr>
              <w:t>$</w:t>
            </w:r>
            <w:r w:rsidR="007A2599">
              <w:rPr>
                <w:rFonts w:ascii="Arial Narrow" w:hAnsi="Arial Narrow"/>
                <w:b/>
                <w:noProof/>
                <w:color w:val="000000"/>
                <w:sz w:val="20"/>
                <w:szCs w:val="20"/>
                <w:highlight w:val="black"/>
              </w:rPr>
              <w:t>''''''''''''''''''</w:t>
            </w:r>
          </w:p>
        </w:tc>
        <w:tc>
          <w:tcPr>
            <w:tcW w:w="634" w:type="pct"/>
            <w:shd w:val="clear" w:color="auto" w:fill="auto"/>
            <w:vAlign w:val="center"/>
          </w:tcPr>
          <w:p w:rsidR="003828DB" w:rsidRPr="00F453F7" w:rsidRDefault="003828DB" w:rsidP="008C0A6F">
            <w:pPr>
              <w:keepNext/>
              <w:jc w:val="center"/>
              <w:rPr>
                <w:rFonts w:ascii="Arial Narrow" w:hAnsi="Arial Narrow"/>
                <w:sz w:val="20"/>
                <w:szCs w:val="20"/>
              </w:rPr>
            </w:pPr>
            <w:r w:rsidRPr="00F453F7">
              <w:rPr>
                <w:rFonts w:ascii="Arial Narrow" w:hAnsi="Arial Narrow"/>
                <w:b/>
                <w:sz w:val="20"/>
                <w:szCs w:val="20"/>
              </w:rPr>
              <w:t>$</w:t>
            </w:r>
            <w:r w:rsidR="007A2599">
              <w:rPr>
                <w:rFonts w:ascii="Arial Narrow" w:hAnsi="Arial Narrow"/>
                <w:b/>
                <w:noProof/>
                <w:color w:val="000000"/>
                <w:sz w:val="20"/>
                <w:szCs w:val="20"/>
                <w:highlight w:val="black"/>
              </w:rPr>
              <w:t>''''''''''''''''''</w:t>
            </w:r>
          </w:p>
        </w:tc>
        <w:tc>
          <w:tcPr>
            <w:tcW w:w="634" w:type="pct"/>
            <w:shd w:val="clear" w:color="auto" w:fill="auto"/>
            <w:vAlign w:val="center"/>
          </w:tcPr>
          <w:p w:rsidR="003828DB" w:rsidRPr="00F453F7" w:rsidRDefault="003828DB" w:rsidP="008C0A6F">
            <w:pPr>
              <w:keepNext/>
              <w:jc w:val="center"/>
              <w:rPr>
                <w:rFonts w:ascii="Arial Narrow" w:hAnsi="Arial Narrow"/>
                <w:sz w:val="20"/>
                <w:szCs w:val="20"/>
              </w:rPr>
            </w:pPr>
            <w:r w:rsidRPr="00F453F7">
              <w:rPr>
                <w:rFonts w:ascii="Arial Narrow" w:hAnsi="Arial Narrow"/>
                <w:b/>
                <w:sz w:val="20"/>
                <w:szCs w:val="20"/>
              </w:rPr>
              <w:t>$</w:t>
            </w:r>
            <w:r w:rsidR="007A2599">
              <w:rPr>
                <w:rFonts w:ascii="Arial Narrow" w:hAnsi="Arial Narrow"/>
                <w:b/>
                <w:noProof/>
                <w:color w:val="000000"/>
                <w:sz w:val="20"/>
                <w:szCs w:val="20"/>
                <w:highlight w:val="black"/>
              </w:rPr>
              <w:t>''''''''''''''''''</w:t>
            </w:r>
          </w:p>
        </w:tc>
        <w:tc>
          <w:tcPr>
            <w:tcW w:w="634" w:type="pct"/>
            <w:tcBorders>
              <w:right w:val="single" w:sz="4" w:space="0" w:color="auto"/>
            </w:tcBorders>
            <w:shd w:val="clear" w:color="auto" w:fill="auto"/>
            <w:vAlign w:val="center"/>
          </w:tcPr>
          <w:p w:rsidR="003828DB" w:rsidRPr="00F453F7" w:rsidRDefault="003828DB" w:rsidP="008C0A6F">
            <w:pPr>
              <w:keepNext/>
              <w:jc w:val="center"/>
              <w:rPr>
                <w:rFonts w:ascii="Arial Narrow" w:hAnsi="Arial Narrow"/>
                <w:sz w:val="20"/>
                <w:szCs w:val="20"/>
              </w:rPr>
            </w:pPr>
            <w:r w:rsidRPr="00F453F7">
              <w:rPr>
                <w:rFonts w:ascii="Arial Narrow" w:hAnsi="Arial Narrow"/>
                <w:b/>
                <w:sz w:val="20"/>
                <w:szCs w:val="20"/>
              </w:rPr>
              <w:t>$</w:t>
            </w:r>
            <w:r w:rsidR="007A2599">
              <w:rPr>
                <w:rFonts w:ascii="Arial Narrow" w:hAnsi="Arial Narrow"/>
                <w:b/>
                <w:noProof/>
                <w:color w:val="000000"/>
                <w:sz w:val="20"/>
                <w:szCs w:val="20"/>
                <w:highlight w:val="black"/>
              </w:rPr>
              <w:t>''''''''''''''''''''</w:t>
            </w:r>
          </w:p>
        </w:tc>
        <w:tc>
          <w:tcPr>
            <w:tcW w:w="633" w:type="pct"/>
            <w:tcBorders>
              <w:right w:val="single" w:sz="4" w:space="0" w:color="auto"/>
            </w:tcBorders>
            <w:vAlign w:val="center"/>
          </w:tcPr>
          <w:p w:rsidR="003828DB" w:rsidRPr="00F453F7" w:rsidRDefault="003828DB" w:rsidP="008C0A6F">
            <w:pPr>
              <w:keepNext/>
              <w:jc w:val="center"/>
              <w:rPr>
                <w:rFonts w:ascii="Arial Narrow" w:hAnsi="Arial Narrow"/>
                <w:sz w:val="20"/>
                <w:szCs w:val="20"/>
              </w:rPr>
            </w:pPr>
            <w:r w:rsidRPr="00F453F7">
              <w:rPr>
                <w:rFonts w:ascii="Arial Narrow" w:hAnsi="Arial Narrow"/>
                <w:b/>
                <w:sz w:val="20"/>
                <w:szCs w:val="20"/>
              </w:rPr>
              <w:t>$</w:t>
            </w:r>
            <w:r w:rsidR="007A2599">
              <w:rPr>
                <w:rFonts w:ascii="Arial Narrow" w:hAnsi="Arial Narrow"/>
                <w:b/>
                <w:noProof/>
                <w:color w:val="000000"/>
                <w:sz w:val="20"/>
                <w:szCs w:val="20"/>
                <w:highlight w:val="black"/>
              </w:rPr>
              <w:t>''''''''''''''''''''</w:t>
            </w:r>
          </w:p>
        </w:tc>
      </w:tr>
      <w:tr w:rsidR="003828DB" w:rsidRPr="00F453F7" w:rsidTr="00346264">
        <w:tc>
          <w:tcPr>
            <w:tcW w:w="1197" w:type="pct"/>
            <w:tcBorders>
              <w:left w:val="single" w:sz="4" w:space="0" w:color="auto"/>
            </w:tcBorders>
            <w:shd w:val="clear" w:color="auto" w:fill="auto"/>
            <w:vAlign w:val="bottom"/>
          </w:tcPr>
          <w:p w:rsidR="003828DB" w:rsidRPr="00F453F7" w:rsidRDefault="003828DB" w:rsidP="008C0A6F">
            <w:pPr>
              <w:keepNext/>
              <w:rPr>
                <w:rFonts w:ascii="Arial Narrow" w:hAnsi="Arial Narrow"/>
                <w:sz w:val="20"/>
                <w:szCs w:val="20"/>
                <w:lang w:eastAsia="en-AU"/>
              </w:rPr>
            </w:pPr>
            <w:r w:rsidRPr="00F453F7">
              <w:rPr>
                <w:rFonts w:ascii="Arial Narrow" w:hAnsi="Arial Narrow"/>
                <w:sz w:val="20"/>
                <w:szCs w:val="20"/>
                <w:lang w:eastAsia="en-AU"/>
              </w:rPr>
              <w:t>Substituted pembrolizumab scripts (5.07 / patient)</w:t>
            </w:r>
          </w:p>
        </w:tc>
        <w:tc>
          <w:tcPr>
            <w:tcW w:w="634" w:type="pct"/>
            <w:shd w:val="clear" w:color="auto" w:fill="auto"/>
            <w:vAlign w:val="center"/>
          </w:tcPr>
          <w:p w:rsidR="003828DB" w:rsidRPr="007A2599" w:rsidRDefault="007A2599" w:rsidP="008C0A6F">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vAlign w:val="center"/>
          </w:tcPr>
          <w:p w:rsidR="003828DB" w:rsidRPr="007A2599" w:rsidRDefault="007A2599" w:rsidP="008C0A6F">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vAlign w:val="center"/>
          </w:tcPr>
          <w:p w:rsidR="003828DB" w:rsidRPr="007A2599" w:rsidRDefault="007A2599" w:rsidP="008C0A6F">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vAlign w:val="center"/>
          </w:tcPr>
          <w:p w:rsidR="003828DB" w:rsidRPr="007A2599" w:rsidRDefault="007A2599" w:rsidP="008C0A6F">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tcBorders>
              <w:right w:val="single" w:sz="4" w:space="0" w:color="auto"/>
            </w:tcBorders>
            <w:shd w:val="clear" w:color="auto" w:fill="auto"/>
            <w:vAlign w:val="center"/>
          </w:tcPr>
          <w:p w:rsidR="003828DB" w:rsidRPr="007A2599" w:rsidRDefault="007A2599" w:rsidP="008C0A6F">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3" w:type="pct"/>
            <w:tcBorders>
              <w:right w:val="single" w:sz="4" w:space="0" w:color="auto"/>
            </w:tcBorders>
            <w:vAlign w:val="center"/>
          </w:tcPr>
          <w:p w:rsidR="003828DB" w:rsidRPr="007A2599" w:rsidRDefault="007A2599" w:rsidP="008C0A6F">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C9217E" w:rsidRPr="00F453F7" w:rsidTr="00346264">
        <w:tc>
          <w:tcPr>
            <w:tcW w:w="1197" w:type="pct"/>
            <w:tcBorders>
              <w:left w:val="single" w:sz="4" w:space="0" w:color="auto"/>
            </w:tcBorders>
            <w:shd w:val="clear" w:color="auto" w:fill="auto"/>
            <w:vAlign w:val="bottom"/>
          </w:tcPr>
          <w:p w:rsidR="00C9217E" w:rsidRPr="00F453F7" w:rsidRDefault="00C9217E" w:rsidP="008C0A6F">
            <w:pPr>
              <w:keepNext/>
              <w:rPr>
                <w:rFonts w:ascii="Arial Narrow" w:eastAsia="Calibri" w:hAnsi="Arial Narrow"/>
                <w:sz w:val="20"/>
                <w:szCs w:val="20"/>
                <w:vertAlign w:val="superscript"/>
                <w:lang w:eastAsia="en-AU"/>
              </w:rPr>
            </w:pPr>
            <w:r w:rsidRPr="00F453F7">
              <w:rPr>
                <w:rFonts w:ascii="Arial Narrow" w:eastAsia="Calibri" w:hAnsi="Arial Narrow"/>
                <w:sz w:val="20"/>
                <w:szCs w:val="20"/>
                <w:lang w:eastAsia="en-AU"/>
              </w:rPr>
              <w:t>Published cost of pembrolizumab scripts</w:t>
            </w:r>
            <w:r w:rsidRPr="00F453F7">
              <w:rPr>
                <w:rFonts w:ascii="Arial Narrow" w:eastAsia="Calibri" w:hAnsi="Arial Narrow"/>
                <w:sz w:val="20"/>
                <w:szCs w:val="20"/>
                <w:lang w:eastAsia="en-AU"/>
              </w:rPr>
              <w:br/>
              <w:t>($9,055 / script) less co-pay</w:t>
            </w:r>
          </w:p>
        </w:tc>
        <w:tc>
          <w:tcPr>
            <w:tcW w:w="634" w:type="pct"/>
            <w:shd w:val="clear" w:color="auto" w:fill="auto"/>
            <w:vAlign w:val="center"/>
          </w:tcPr>
          <w:p w:rsidR="00C9217E" w:rsidRPr="00F453F7" w:rsidRDefault="00C9217E" w:rsidP="008C0A6F">
            <w:pPr>
              <w:keepNext/>
              <w:jc w:val="center"/>
              <w:rPr>
                <w:rFonts w:ascii="Arial Narrow" w:hAnsi="Arial Narrow"/>
                <w:sz w:val="20"/>
                <w:szCs w:val="20"/>
              </w:rPr>
            </w:pPr>
            <w:r w:rsidRPr="00F453F7">
              <w:rPr>
                <w:rFonts w:ascii="Arial Narrow" w:hAnsi="Arial Narrow"/>
                <w:sz w:val="20"/>
                <w:szCs w:val="20"/>
              </w:rPr>
              <w:t>-$</w:t>
            </w:r>
            <w:r w:rsidR="007A2599">
              <w:rPr>
                <w:rFonts w:ascii="Arial Narrow" w:hAnsi="Arial Narrow"/>
                <w:noProof/>
                <w:color w:val="000000"/>
                <w:sz w:val="20"/>
                <w:szCs w:val="20"/>
                <w:highlight w:val="black"/>
              </w:rPr>
              <w:t>'''''''''''''''''''''''</w:t>
            </w:r>
          </w:p>
        </w:tc>
        <w:tc>
          <w:tcPr>
            <w:tcW w:w="634" w:type="pct"/>
            <w:shd w:val="clear" w:color="auto" w:fill="auto"/>
            <w:vAlign w:val="center"/>
          </w:tcPr>
          <w:p w:rsidR="00C9217E" w:rsidRPr="00F453F7" w:rsidRDefault="00C9217E" w:rsidP="008C0A6F">
            <w:pPr>
              <w:keepNext/>
              <w:jc w:val="center"/>
              <w:rPr>
                <w:rFonts w:ascii="Arial Narrow" w:hAnsi="Arial Narrow"/>
                <w:sz w:val="20"/>
                <w:szCs w:val="20"/>
              </w:rPr>
            </w:pPr>
            <w:r w:rsidRPr="00F453F7">
              <w:rPr>
                <w:rFonts w:ascii="Arial Narrow" w:hAnsi="Arial Narrow"/>
                <w:sz w:val="20"/>
                <w:szCs w:val="20"/>
              </w:rPr>
              <w:t>-$</w:t>
            </w:r>
            <w:r w:rsidR="007A2599">
              <w:rPr>
                <w:rFonts w:ascii="Arial Narrow" w:hAnsi="Arial Narrow"/>
                <w:noProof/>
                <w:color w:val="000000"/>
                <w:sz w:val="20"/>
                <w:szCs w:val="20"/>
                <w:highlight w:val="black"/>
              </w:rPr>
              <w:t>'''''''''''''''''''''''</w:t>
            </w:r>
          </w:p>
        </w:tc>
        <w:tc>
          <w:tcPr>
            <w:tcW w:w="634" w:type="pct"/>
            <w:shd w:val="clear" w:color="auto" w:fill="auto"/>
            <w:vAlign w:val="center"/>
          </w:tcPr>
          <w:p w:rsidR="00C9217E" w:rsidRPr="00F453F7" w:rsidRDefault="00C9217E" w:rsidP="008C0A6F">
            <w:pPr>
              <w:keepNext/>
              <w:jc w:val="center"/>
              <w:rPr>
                <w:rFonts w:ascii="Arial Narrow" w:hAnsi="Arial Narrow"/>
                <w:sz w:val="20"/>
                <w:szCs w:val="20"/>
              </w:rPr>
            </w:pPr>
            <w:r w:rsidRPr="00F453F7">
              <w:rPr>
                <w:rFonts w:ascii="Arial Narrow" w:hAnsi="Arial Narrow"/>
                <w:sz w:val="20"/>
                <w:szCs w:val="20"/>
              </w:rPr>
              <w:t>-$</w:t>
            </w:r>
            <w:r w:rsidR="007A2599">
              <w:rPr>
                <w:rFonts w:ascii="Arial Narrow" w:hAnsi="Arial Narrow"/>
                <w:noProof/>
                <w:color w:val="000000"/>
                <w:sz w:val="20"/>
                <w:szCs w:val="20"/>
                <w:highlight w:val="black"/>
              </w:rPr>
              <w:t>'''''''''''''''''''''''</w:t>
            </w:r>
          </w:p>
        </w:tc>
        <w:tc>
          <w:tcPr>
            <w:tcW w:w="634" w:type="pct"/>
            <w:shd w:val="clear" w:color="auto" w:fill="auto"/>
            <w:vAlign w:val="center"/>
          </w:tcPr>
          <w:p w:rsidR="00C9217E" w:rsidRPr="00F453F7" w:rsidRDefault="00C9217E" w:rsidP="008C0A6F">
            <w:pPr>
              <w:keepNext/>
              <w:jc w:val="center"/>
              <w:rPr>
                <w:rFonts w:ascii="Arial Narrow" w:hAnsi="Arial Narrow"/>
                <w:sz w:val="20"/>
                <w:szCs w:val="20"/>
              </w:rPr>
            </w:pPr>
            <w:r w:rsidRPr="00F453F7">
              <w:rPr>
                <w:rFonts w:ascii="Arial Narrow" w:hAnsi="Arial Narrow"/>
                <w:sz w:val="20"/>
                <w:szCs w:val="20"/>
              </w:rPr>
              <w:t>-$</w:t>
            </w:r>
            <w:r w:rsidR="007A2599">
              <w:rPr>
                <w:rFonts w:ascii="Arial Narrow" w:hAnsi="Arial Narrow"/>
                <w:noProof/>
                <w:color w:val="000000"/>
                <w:sz w:val="20"/>
                <w:szCs w:val="20"/>
                <w:highlight w:val="black"/>
              </w:rPr>
              <w:t>'''''''''''''''''''''''</w:t>
            </w:r>
          </w:p>
        </w:tc>
        <w:tc>
          <w:tcPr>
            <w:tcW w:w="634" w:type="pct"/>
            <w:tcBorders>
              <w:right w:val="single" w:sz="4" w:space="0" w:color="auto"/>
            </w:tcBorders>
            <w:shd w:val="clear" w:color="auto" w:fill="auto"/>
            <w:vAlign w:val="center"/>
          </w:tcPr>
          <w:p w:rsidR="00C9217E" w:rsidRPr="00F453F7" w:rsidRDefault="00C9217E" w:rsidP="008C0A6F">
            <w:pPr>
              <w:keepNext/>
              <w:jc w:val="center"/>
              <w:rPr>
                <w:rFonts w:ascii="Arial Narrow" w:hAnsi="Arial Narrow"/>
                <w:sz w:val="20"/>
                <w:szCs w:val="20"/>
              </w:rPr>
            </w:pPr>
            <w:r w:rsidRPr="00F453F7">
              <w:rPr>
                <w:rFonts w:ascii="Arial Narrow" w:hAnsi="Arial Narrow"/>
                <w:sz w:val="20"/>
                <w:szCs w:val="20"/>
              </w:rPr>
              <w:t>-$</w:t>
            </w:r>
            <w:r w:rsidR="007A2599">
              <w:rPr>
                <w:rFonts w:ascii="Arial Narrow" w:hAnsi="Arial Narrow"/>
                <w:noProof/>
                <w:color w:val="000000"/>
                <w:sz w:val="20"/>
                <w:szCs w:val="20"/>
                <w:highlight w:val="black"/>
              </w:rPr>
              <w:t>''''''''''''''''''''''''''</w:t>
            </w:r>
          </w:p>
        </w:tc>
        <w:tc>
          <w:tcPr>
            <w:tcW w:w="633" w:type="pct"/>
            <w:tcBorders>
              <w:right w:val="single" w:sz="4" w:space="0" w:color="auto"/>
            </w:tcBorders>
            <w:vAlign w:val="center"/>
          </w:tcPr>
          <w:p w:rsidR="00C9217E" w:rsidRPr="00F453F7" w:rsidRDefault="00C9217E" w:rsidP="008C0A6F">
            <w:pPr>
              <w:keepNext/>
              <w:jc w:val="center"/>
              <w:rPr>
                <w:rFonts w:ascii="Arial Narrow" w:hAnsi="Arial Narrow"/>
                <w:sz w:val="20"/>
                <w:szCs w:val="20"/>
              </w:rPr>
            </w:pPr>
            <w:r w:rsidRPr="00F453F7">
              <w:rPr>
                <w:rFonts w:ascii="Arial Narrow" w:hAnsi="Arial Narrow"/>
                <w:sz w:val="20"/>
                <w:szCs w:val="20"/>
              </w:rPr>
              <w:t>-$</w:t>
            </w:r>
            <w:r w:rsidR="007A2599">
              <w:rPr>
                <w:rFonts w:ascii="Arial Narrow" w:hAnsi="Arial Narrow"/>
                <w:noProof/>
                <w:color w:val="000000"/>
                <w:sz w:val="20"/>
                <w:szCs w:val="20"/>
                <w:highlight w:val="black"/>
              </w:rPr>
              <w:t>'''''''''''''''''''''</w:t>
            </w:r>
          </w:p>
        </w:tc>
      </w:tr>
      <w:tr w:rsidR="003828DB" w:rsidRPr="00F453F7" w:rsidTr="00346264">
        <w:tc>
          <w:tcPr>
            <w:tcW w:w="1197" w:type="pct"/>
            <w:tcBorders>
              <w:left w:val="single" w:sz="4" w:space="0" w:color="auto"/>
            </w:tcBorders>
            <w:shd w:val="clear" w:color="auto" w:fill="auto"/>
            <w:vAlign w:val="center"/>
          </w:tcPr>
          <w:p w:rsidR="003828DB" w:rsidRPr="00F453F7" w:rsidRDefault="003828DB" w:rsidP="008C0A6F">
            <w:pPr>
              <w:keepNext/>
              <w:rPr>
                <w:rFonts w:ascii="Arial Narrow" w:hAnsi="Arial Narrow"/>
                <w:b/>
                <w:sz w:val="20"/>
                <w:szCs w:val="20"/>
                <w:lang w:eastAsia="en-AU"/>
              </w:rPr>
            </w:pPr>
            <w:r w:rsidRPr="00F453F7">
              <w:rPr>
                <w:rFonts w:ascii="Arial Narrow" w:hAnsi="Arial Narrow"/>
                <w:b/>
                <w:sz w:val="20"/>
                <w:szCs w:val="20"/>
                <w:lang w:eastAsia="en-AU"/>
              </w:rPr>
              <w:t>Net cost to PBS/RPBS</w:t>
            </w:r>
          </w:p>
        </w:tc>
        <w:tc>
          <w:tcPr>
            <w:tcW w:w="634" w:type="pct"/>
            <w:shd w:val="clear" w:color="auto" w:fill="auto"/>
            <w:vAlign w:val="center"/>
          </w:tcPr>
          <w:p w:rsidR="003828DB" w:rsidRPr="00F453F7" w:rsidRDefault="003828DB" w:rsidP="008C0A6F">
            <w:pPr>
              <w:keepNext/>
              <w:jc w:val="center"/>
              <w:rPr>
                <w:rFonts w:ascii="Arial Narrow" w:hAnsi="Arial Narrow"/>
                <w:b/>
                <w:sz w:val="20"/>
                <w:szCs w:val="20"/>
              </w:rPr>
            </w:pPr>
            <w:r w:rsidRPr="00F453F7">
              <w:rPr>
                <w:rFonts w:ascii="Arial Narrow" w:hAnsi="Arial Narrow"/>
                <w:b/>
                <w:sz w:val="20"/>
                <w:szCs w:val="20"/>
              </w:rPr>
              <w:t>-$</w:t>
            </w:r>
            <w:r w:rsidR="007A2599">
              <w:rPr>
                <w:rFonts w:ascii="Arial Narrow" w:hAnsi="Arial Narrow"/>
                <w:b/>
                <w:noProof/>
                <w:color w:val="000000"/>
                <w:sz w:val="20"/>
                <w:szCs w:val="20"/>
                <w:highlight w:val="black"/>
              </w:rPr>
              <w:t>''''''''''''''''</w:t>
            </w:r>
          </w:p>
        </w:tc>
        <w:tc>
          <w:tcPr>
            <w:tcW w:w="634" w:type="pct"/>
            <w:shd w:val="clear" w:color="auto" w:fill="auto"/>
            <w:vAlign w:val="center"/>
          </w:tcPr>
          <w:p w:rsidR="003828DB" w:rsidRPr="00F453F7" w:rsidRDefault="003828DB" w:rsidP="008C0A6F">
            <w:pPr>
              <w:keepNext/>
              <w:jc w:val="center"/>
              <w:rPr>
                <w:rFonts w:ascii="Arial Narrow" w:hAnsi="Arial Narrow"/>
                <w:b/>
                <w:sz w:val="20"/>
                <w:szCs w:val="20"/>
              </w:rPr>
            </w:pPr>
            <w:r w:rsidRPr="00F453F7">
              <w:rPr>
                <w:rFonts w:ascii="Arial Narrow" w:hAnsi="Arial Narrow"/>
                <w:b/>
                <w:sz w:val="20"/>
                <w:szCs w:val="20"/>
              </w:rPr>
              <w:t>-$</w:t>
            </w:r>
            <w:r w:rsidR="007A2599">
              <w:rPr>
                <w:rFonts w:ascii="Arial Narrow" w:hAnsi="Arial Narrow"/>
                <w:b/>
                <w:noProof/>
                <w:color w:val="000000"/>
                <w:sz w:val="20"/>
                <w:szCs w:val="20"/>
                <w:highlight w:val="black"/>
              </w:rPr>
              <w:t>'''''''''''''''''</w:t>
            </w:r>
          </w:p>
        </w:tc>
        <w:tc>
          <w:tcPr>
            <w:tcW w:w="634" w:type="pct"/>
            <w:shd w:val="clear" w:color="auto" w:fill="auto"/>
            <w:vAlign w:val="center"/>
          </w:tcPr>
          <w:p w:rsidR="003828DB" w:rsidRPr="00F453F7" w:rsidRDefault="003828DB" w:rsidP="008C0A6F">
            <w:pPr>
              <w:keepNext/>
              <w:jc w:val="center"/>
              <w:rPr>
                <w:rFonts w:ascii="Arial Narrow" w:hAnsi="Arial Narrow"/>
                <w:b/>
                <w:sz w:val="20"/>
                <w:szCs w:val="20"/>
              </w:rPr>
            </w:pPr>
            <w:r w:rsidRPr="00F453F7">
              <w:rPr>
                <w:rFonts w:ascii="Arial Narrow" w:hAnsi="Arial Narrow"/>
                <w:b/>
                <w:sz w:val="20"/>
                <w:szCs w:val="20"/>
              </w:rPr>
              <w:t>-$</w:t>
            </w:r>
            <w:r w:rsidR="007A2599">
              <w:rPr>
                <w:rFonts w:ascii="Arial Narrow" w:hAnsi="Arial Narrow"/>
                <w:b/>
                <w:noProof/>
                <w:color w:val="000000"/>
                <w:sz w:val="20"/>
                <w:szCs w:val="20"/>
                <w:highlight w:val="black"/>
              </w:rPr>
              <w:t>'''''''''''''''</w:t>
            </w:r>
          </w:p>
        </w:tc>
        <w:tc>
          <w:tcPr>
            <w:tcW w:w="634" w:type="pct"/>
            <w:shd w:val="clear" w:color="auto" w:fill="auto"/>
            <w:vAlign w:val="center"/>
          </w:tcPr>
          <w:p w:rsidR="003828DB" w:rsidRPr="00F453F7" w:rsidRDefault="003828DB" w:rsidP="008C0A6F">
            <w:pPr>
              <w:keepNext/>
              <w:jc w:val="center"/>
              <w:rPr>
                <w:rFonts w:ascii="Arial Narrow" w:hAnsi="Arial Narrow"/>
                <w:b/>
                <w:sz w:val="20"/>
                <w:szCs w:val="20"/>
              </w:rPr>
            </w:pPr>
            <w:r w:rsidRPr="00F453F7">
              <w:rPr>
                <w:rFonts w:ascii="Arial Narrow" w:hAnsi="Arial Narrow"/>
                <w:b/>
                <w:sz w:val="20"/>
                <w:szCs w:val="20"/>
              </w:rPr>
              <w:t>-$</w:t>
            </w:r>
            <w:r w:rsidR="007A2599">
              <w:rPr>
                <w:rFonts w:ascii="Arial Narrow" w:hAnsi="Arial Narrow"/>
                <w:b/>
                <w:noProof/>
                <w:color w:val="000000"/>
                <w:sz w:val="20"/>
                <w:szCs w:val="20"/>
                <w:highlight w:val="black"/>
              </w:rPr>
              <w:t>'''''''''''''''</w:t>
            </w:r>
          </w:p>
        </w:tc>
        <w:tc>
          <w:tcPr>
            <w:tcW w:w="634" w:type="pct"/>
            <w:tcBorders>
              <w:right w:val="single" w:sz="4" w:space="0" w:color="auto"/>
            </w:tcBorders>
            <w:shd w:val="clear" w:color="auto" w:fill="auto"/>
            <w:vAlign w:val="center"/>
          </w:tcPr>
          <w:p w:rsidR="003828DB" w:rsidRPr="00F453F7" w:rsidRDefault="003828DB" w:rsidP="008C0A6F">
            <w:pPr>
              <w:keepNext/>
              <w:jc w:val="center"/>
              <w:rPr>
                <w:rFonts w:ascii="Arial Narrow" w:hAnsi="Arial Narrow"/>
                <w:b/>
                <w:sz w:val="20"/>
                <w:szCs w:val="20"/>
              </w:rPr>
            </w:pPr>
            <w:r w:rsidRPr="00F453F7">
              <w:rPr>
                <w:rFonts w:ascii="Arial Narrow" w:hAnsi="Arial Narrow"/>
                <w:b/>
                <w:sz w:val="20"/>
                <w:szCs w:val="20"/>
              </w:rPr>
              <w:t>-$</w:t>
            </w:r>
            <w:r w:rsidR="007A2599">
              <w:rPr>
                <w:rFonts w:ascii="Arial Narrow" w:hAnsi="Arial Narrow"/>
                <w:b/>
                <w:noProof/>
                <w:color w:val="000000"/>
                <w:sz w:val="20"/>
                <w:szCs w:val="20"/>
                <w:highlight w:val="black"/>
              </w:rPr>
              <w:t>'''''''''''''''''</w:t>
            </w:r>
          </w:p>
        </w:tc>
        <w:tc>
          <w:tcPr>
            <w:tcW w:w="633" w:type="pct"/>
            <w:tcBorders>
              <w:right w:val="single" w:sz="4" w:space="0" w:color="auto"/>
            </w:tcBorders>
            <w:vAlign w:val="center"/>
          </w:tcPr>
          <w:p w:rsidR="003828DB" w:rsidRPr="00F453F7" w:rsidRDefault="003828DB" w:rsidP="008C0A6F">
            <w:pPr>
              <w:keepNext/>
              <w:jc w:val="center"/>
              <w:rPr>
                <w:rFonts w:ascii="Arial Narrow" w:hAnsi="Arial Narrow"/>
                <w:b/>
                <w:sz w:val="20"/>
                <w:szCs w:val="20"/>
              </w:rPr>
            </w:pPr>
            <w:r w:rsidRPr="00F453F7">
              <w:rPr>
                <w:rFonts w:ascii="Arial Narrow" w:hAnsi="Arial Narrow"/>
                <w:b/>
                <w:sz w:val="20"/>
                <w:szCs w:val="20"/>
              </w:rPr>
              <w:t>-$</w:t>
            </w:r>
            <w:r w:rsidR="007A2599">
              <w:rPr>
                <w:rFonts w:ascii="Arial Narrow" w:hAnsi="Arial Narrow"/>
                <w:b/>
                <w:noProof/>
                <w:color w:val="000000"/>
                <w:sz w:val="20"/>
                <w:szCs w:val="20"/>
                <w:highlight w:val="black"/>
              </w:rPr>
              <w:t>''''''''''''''''</w:t>
            </w:r>
          </w:p>
        </w:tc>
      </w:tr>
      <w:tr w:rsidR="003828DB" w:rsidRPr="00F453F7" w:rsidTr="00346264">
        <w:tc>
          <w:tcPr>
            <w:tcW w:w="1197" w:type="pct"/>
            <w:tcBorders>
              <w:left w:val="single" w:sz="4" w:space="0" w:color="auto"/>
            </w:tcBorders>
            <w:shd w:val="clear" w:color="auto" w:fill="auto"/>
            <w:vAlign w:val="center"/>
          </w:tcPr>
          <w:p w:rsidR="003828DB" w:rsidRPr="00F453F7" w:rsidRDefault="003828DB" w:rsidP="008C0A6F">
            <w:pPr>
              <w:keepNext/>
              <w:rPr>
                <w:rFonts w:ascii="Arial Narrow" w:hAnsi="Arial Narrow"/>
                <w:sz w:val="20"/>
                <w:szCs w:val="20"/>
                <w:vertAlign w:val="superscript"/>
                <w:lang w:eastAsia="en-AU"/>
              </w:rPr>
            </w:pPr>
            <w:r w:rsidRPr="00F453F7">
              <w:rPr>
                <w:rFonts w:ascii="Arial Narrow" w:hAnsi="Arial Narrow"/>
                <w:sz w:val="20"/>
                <w:szCs w:val="20"/>
                <w:lang w:eastAsia="en-AU"/>
              </w:rPr>
              <w:t xml:space="preserve">Additional cost for durvalumab administration </w:t>
            </w:r>
            <w:r w:rsidRPr="00F453F7">
              <w:rPr>
                <w:rFonts w:ascii="Arial Narrow" w:hAnsi="Arial Narrow"/>
                <w:sz w:val="20"/>
                <w:szCs w:val="20"/>
                <w:lang w:eastAsia="en-AU"/>
              </w:rPr>
              <w:br/>
              <w:t>($65.05 / patient)</w:t>
            </w:r>
          </w:p>
        </w:tc>
        <w:tc>
          <w:tcPr>
            <w:tcW w:w="634" w:type="pct"/>
            <w:shd w:val="clear" w:color="auto" w:fill="auto"/>
            <w:vAlign w:val="center"/>
          </w:tcPr>
          <w:p w:rsidR="003828DB" w:rsidRPr="00F453F7" w:rsidRDefault="003828DB" w:rsidP="008C0A6F">
            <w:pPr>
              <w:keepNext/>
              <w:jc w:val="center"/>
              <w:rPr>
                <w:rFonts w:ascii="Arial Narrow" w:hAnsi="Arial Narrow"/>
                <w:sz w:val="20"/>
                <w:szCs w:val="20"/>
              </w:rPr>
            </w:pPr>
            <w:r w:rsidRPr="00F453F7">
              <w:rPr>
                <w:rFonts w:ascii="Arial Narrow" w:hAnsi="Arial Narrow"/>
                <w:sz w:val="20"/>
                <w:szCs w:val="20"/>
              </w:rPr>
              <w:t>$</w:t>
            </w:r>
            <w:r w:rsidR="007A2599">
              <w:rPr>
                <w:rFonts w:ascii="Arial Narrow" w:hAnsi="Arial Narrow"/>
                <w:noProof/>
                <w:color w:val="000000"/>
                <w:sz w:val="20"/>
                <w:szCs w:val="20"/>
                <w:highlight w:val="black"/>
              </w:rPr>
              <w:t>''''''''''''</w:t>
            </w:r>
          </w:p>
        </w:tc>
        <w:tc>
          <w:tcPr>
            <w:tcW w:w="634" w:type="pct"/>
            <w:shd w:val="clear" w:color="auto" w:fill="auto"/>
            <w:vAlign w:val="center"/>
          </w:tcPr>
          <w:p w:rsidR="003828DB" w:rsidRPr="00F453F7" w:rsidRDefault="003828DB" w:rsidP="008C0A6F">
            <w:pPr>
              <w:keepNext/>
              <w:jc w:val="center"/>
              <w:rPr>
                <w:rFonts w:ascii="Arial Narrow" w:hAnsi="Arial Narrow"/>
                <w:sz w:val="20"/>
                <w:szCs w:val="20"/>
              </w:rPr>
            </w:pPr>
            <w:r w:rsidRPr="00F453F7">
              <w:rPr>
                <w:rFonts w:ascii="Arial Narrow" w:hAnsi="Arial Narrow"/>
                <w:sz w:val="20"/>
                <w:szCs w:val="20"/>
              </w:rPr>
              <w:t>$</w:t>
            </w:r>
            <w:r w:rsidR="007A2599">
              <w:rPr>
                <w:rFonts w:ascii="Arial Narrow" w:hAnsi="Arial Narrow"/>
                <w:noProof/>
                <w:color w:val="000000"/>
                <w:sz w:val="20"/>
                <w:szCs w:val="20"/>
                <w:highlight w:val="black"/>
              </w:rPr>
              <w:t>''''''''''''</w:t>
            </w:r>
          </w:p>
        </w:tc>
        <w:tc>
          <w:tcPr>
            <w:tcW w:w="634" w:type="pct"/>
            <w:shd w:val="clear" w:color="auto" w:fill="auto"/>
            <w:vAlign w:val="center"/>
          </w:tcPr>
          <w:p w:rsidR="003828DB" w:rsidRPr="00F453F7" w:rsidRDefault="003828DB" w:rsidP="008C0A6F">
            <w:pPr>
              <w:keepNext/>
              <w:jc w:val="center"/>
              <w:rPr>
                <w:rFonts w:ascii="Arial Narrow" w:hAnsi="Arial Narrow"/>
                <w:sz w:val="20"/>
                <w:szCs w:val="20"/>
              </w:rPr>
            </w:pPr>
            <w:r w:rsidRPr="00F453F7">
              <w:rPr>
                <w:rFonts w:ascii="Arial Narrow" w:hAnsi="Arial Narrow"/>
                <w:sz w:val="20"/>
                <w:szCs w:val="20"/>
              </w:rPr>
              <w:t>$</w:t>
            </w:r>
            <w:r w:rsidR="007A2599">
              <w:rPr>
                <w:rFonts w:ascii="Arial Narrow" w:hAnsi="Arial Narrow"/>
                <w:noProof/>
                <w:color w:val="000000"/>
                <w:sz w:val="20"/>
                <w:szCs w:val="20"/>
                <w:highlight w:val="black"/>
              </w:rPr>
              <w:t>''''''''''''''</w:t>
            </w:r>
          </w:p>
        </w:tc>
        <w:tc>
          <w:tcPr>
            <w:tcW w:w="634" w:type="pct"/>
            <w:shd w:val="clear" w:color="auto" w:fill="auto"/>
            <w:vAlign w:val="center"/>
          </w:tcPr>
          <w:p w:rsidR="003828DB" w:rsidRPr="00F453F7" w:rsidRDefault="003828DB" w:rsidP="008C0A6F">
            <w:pPr>
              <w:keepNext/>
              <w:jc w:val="center"/>
              <w:rPr>
                <w:rFonts w:ascii="Arial Narrow" w:hAnsi="Arial Narrow"/>
                <w:sz w:val="20"/>
                <w:szCs w:val="20"/>
              </w:rPr>
            </w:pPr>
            <w:r w:rsidRPr="00F453F7">
              <w:rPr>
                <w:rFonts w:ascii="Arial Narrow" w:hAnsi="Arial Narrow"/>
                <w:sz w:val="20"/>
                <w:szCs w:val="20"/>
              </w:rPr>
              <w:t>$</w:t>
            </w:r>
            <w:r w:rsidR="007A2599">
              <w:rPr>
                <w:rFonts w:ascii="Arial Narrow" w:hAnsi="Arial Narrow"/>
                <w:noProof/>
                <w:color w:val="000000"/>
                <w:sz w:val="20"/>
                <w:szCs w:val="20"/>
                <w:highlight w:val="black"/>
              </w:rPr>
              <w:t>''''''''''''''''</w:t>
            </w:r>
          </w:p>
        </w:tc>
        <w:tc>
          <w:tcPr>
            <w:tcW w:w="634" w:type="pct"/>
            <w:tcBorders>
              <w:right w:val="single" w:sz="4" w:space="0" w:color="auto"/>
            </w:tcBorders>
            <w:shd w:val="clear" w:color="auto" w:fill="auto"/>
            <w:vAlign w:val="center"/>
          </w:tcPr>
          <w:p w:rsidR="003828DB" w:rsidRPr="00F453F7" w:rsidRDefault="003828DB" w:rsidP="008C0A6F">
            <w:pPr>
              <w:keepNext/>
              <w:jc w:val="center"/>
              <w:rPr>
                <w:rFonts w:ascii="Arial Narrow" w:hAnsi="Arial Narrow"/>
                <w:sz w:val="20"/>
                <w:szCs w:val="20"/>
              </w:rPr>
            </w:pPr>
            <w:r w:rsidRPr="00F453F7">
              <w:rPr>
                <w:rFonts w:ascii="Arial Narrow" w:hAnsi="Arial Narrow"/>
                <w:sz w:val="20"/>
                <w:szCs w:val="20"/>
              </w:rPr>
              <w:t>$</w:t>
            </w:r>
            <w:r w:rsidR="007A2599">
              <w:rPr>
                <w:rFonts w:ascii="Arial Narrow" w:hAnsi="Arial Narrow"/>
                <w:noProof/>
                <w:color w:val="000000"/>
                <w:sz w:val="20"/>
                <w:szCs w:val="20"/>
                <w:highlight w:val="black"/>
              </w:rPr>
              <w:t>'''''''''''''''</w:t>
            </w:r>
          </w:p>
        </w:tc>
        <w:tc>
          <w:tcPr>
            <w:tcW w:w="633" w:type="pct"/>
            <w:tcBorders>
              <w:right w:val="single" w:sz="4" w:space="0" w:color="auto"/>
            </w:tcBorders>
            <w:vAlign w:val="center"/>
          </w:tcPr>
          <w:p w:rsidR="003828DB" w:rsidRPr="00F453F7" w:rsidRDefault="003828DB" w:rsidP="008C0A6F">
            <w:pPr>
              <w:keepNext/>
              <w:jc w:val="center"/>
              <w:rPr>
                <w:rFonts w:ascii="Arial Narrow" w:hAnsi="Arial Narrow"/>
                <w:sz w:val="20"/>
                <w:szCs w:val="20"/>
              </w:rPr>
            </w:pPr>
            <w:r w:rsidRPr="00F453F7">
              <w:rPr>
                <w:rFonts w:ascii="Arial Narrow" w:hAnsi="Arial Narrow"/>
                <w:sz w:val="20"/>
                <w:szCs w:val="20"/>
              </w:rPr>
              <w:t>$</w:t>
            </w:r>
            <w:r w:rsidR="007A2599">
              <w:rPr>
                <w:rFonts w:ascii="Arial Narrow" w:hAnsi="Arial Narrow"/>
                <w:noProof/>
                <w:color w:val="000000"/>
                <w:sz w:val="20"/>
                <w:szCs w:val="20"/>
                <w:highlight w:val="black"/>
              </w:rPr>
              <w:t>'''''''''''''''''</w:t>
            </w:r>
          </w:p>
        </w:tc>
      </w:tr>
      <w:tr w:rsidR="003828DB" w:rsidRPr="00F453F7" w:rsidTr="00346264">
        <w:tc>
          <w:tcPr>
            <w:tcW w:w="1197" w:type="pct"/>
            <w:tcBorders>
              <w:left w:val="single" w:sz="4" w:space="0" w:color="auto"/>
              <w:bottom w:val="single" w:sz="4" w:space="0" w:color="auto"/>
            </w:tcBorders>
            <w:shd w:val="clear" w:color="auto" w:fill="auto"/>
            <w:vAlign w:val="center"/>
          </w:tcPr>
          <w:p w:rsidR="003828DB" w:rsidRPr="00F453F7" w:rsidRDefault="003828DB" w:rsidP="008C0A6F">
            <w:pPr>
              <w:keepNext/>
              <w:rPr>
                <w:rFonts w:ascii="Arial Narrow" w:hAnsi="Arial Narrow"/>
                <w:sz w:val="20"/>
                <w:szCs w:val="20"/>
                <w:lang w:eastAsia="en-AU"/>
              </w:rPr>
            </w:pPr>
            <w:r w:rsidRPr="00F453F7">
              <w:rPr>
                <w:rFonts w:ascii="Arial Narrow" w:hAnsi="Arial Narrow"/>
                <w:b/>
                <w:sz w:val="20"/>
                <w:szCs w:val="20"/>
                <w:lang w:eastAsia="en-AU"/>
              </w:rPr>
              <w:t>Net cost to government</w:t>
            </w:r>
          </w:p>
        </w:tc>
        <w:tc>
          <w:tcPr>
            <w:tcW w:w="634" w:type="pct"/>
            <w:shd w:val="clear" w:color="auto" w:fill="auto"/>
            <w:vAlign w:val="center"/>
          </w:tcPr>
          <w:p w:rsidR="003828DB" w:rsidRPr="00F453F7" w:rsidRDefault="003828DB" w:rsidP="008C0A6F">
            <w:pPr>
              <w:keepNext/>
              <w:jc w:val="center"/>
              <w:rPr>
                <w:rFonts w:ascii="Arial Narrow" w:hAnsi="Arial Narrow"/>
                <w:b/>
                <w:sz w:val="20"/>
                <w:szCs w:val="20"/>
              </w:rPr>
            </w:pPr>
            <w:r w:rsidRPr="00F453F7">
              <w:rPr>
                <w:rFonts w:ascii="Arial Narrow" w:hAnsi="Arial Narrow"/>
                <w:b/>
                <w:sz w:val="20"/>
                <w:szCs w:val="20"/>
              </w:rPr>
              <w:t>-$</w:t>
            </w:r>
            <w:r w:rsidR="007A2599">
              <w:rPr>
                <w:rFonts w:ascii="Arial Narrow" w:hAnsi="Arial Narrow"/>
                <w:b/>
                <w:noProof/>
                <w:color w:val="000000"/>
                <w:sz w:val="20"/>
                <w:szCs w:val="20"/>
                <w:highlight w:val="black"/>
              </w:rPr>
              <w:t>'''''''''''''''</w:t>
            </w:r>
          </w:p>
        </w:tc>
        <w:tc>
          <w:tcPr>
            <w:tcW w:w="634" w:type="pct"/>
            <w:shd w:val="clear" w:color="auto" w:fill="auto"/>
            <w:vAlign w:val="center"/>
          </w:tcPr>
          <w:p w:rsidR="003828DB" w:rsidRPr="00F453F7" w:rsidRDefault="003828DB" w:rsidP="008C0A6F">
            <w:pPr>
              <w:keepNext/>
              <w:jc w:val="center"/>
              <w:rPr>
                <w:rFonts w:ascii="Arial Narrow" w:hAnsi="Arial Narrow"/>
                <w:b/>
                <w:sz w:val="20"/>
                <w:szCs w:val="20"/>
              </w:rPr>
            </w:pPr>
            <w:r w:rsidRPr="00F453F7">
              <w:rPr>
                <w:rFonts w:ascii="Arial Narrow" w:hAnsi="Arial Narrow"/>
                <w:b/>
                <w:sz w:val="20"/>
                <w:szCs w:val="20"/>
              </w:rPr>
              <w:t>-$</w:t>
            </w:r>
            <w:r w:rsidR="007A2599">
              <w:rPr>
                <w:rFonts w:ascii="Arial Narrow" w:hAnsi="Arial Narrow"/>
                <w:b/>
                <w:noProof/>
                <w:color w:val="000000"/>
                <w:sz w:val="20"/>
                <w:szCs w:val="20"/>
                <w:highlight w:val="black"/>
              </w:rPr>
              <w:t>'''''''''''''''</w:t>
            </w:r>
          </w:p>
        </w:tc>
        <w:tc>
          <w:tcPr>
            <w:tcW w:w="634" w:type="pct"/>
            <w:shd w:val="clear" w:color="auto" w:fill="auto"/>
            <w:vAlign w:val="center"/>
          </w:tcPr>
          <w:p w:rsidR="003828DB" w:rsidRPr="00F453F7" w:rsidRDefault="003828DB" w:rsidP="008C0A6F">
            <w:pPr>
              <w:keepNext/>
              <w:jc w:val="center"/>
              <w:rPr>
                <w:rFonts w:ascii="Arial Narrow" w:hAnsi="Arial Narrow"/>
                <w:b/>
                <w:sz w:val="20"/>
                <w:szCs w:val="20"/>
              </w:rPr>
            </w:pPr>
            <w:r w:rsidRPr="00F453F7">
              <w:rPr>
                <w:rFonts w:ascii="Arial Narrow" w:hAnsi="Arial Narrow"/>
                <w:b/>
                <w:sz w:val="20"/>
                <w:szCs w:val="20"/>
              </w:rPr>
              <w:t>-$</w:t>
            </w:r>
            <w:r w:rsidR="007A2599">
              <w:rPr>
                <w:rFonts w:ascii="Arial Narrow" w:hAnsi="Arial Narrow"/>
                <w:b/>
                <w:noProof/>
                <w:color w:val="000000"/>
                <w:sz w:val="20"/>
                <w:szCs w:val="20"/>
                <w:highlight w:val="black"/>
              </w:rPr>
              <w:t>'''''''''''''''''</w:t>
            </w:r>
          </w:p>
        </w:tc>
        <w:tc>
          <w:tcPr>
            <w:tcW w:w="634" w:type="pct"/>
            <w:shd w:val="clear" w:color="auto" w:fill="auto"/>
            <w:vAlign w:val="center"/>
          </w:tcPr>
          <w:p w:rsidR="003828DB" w:rsidRPr="00F453F7" w:rsidRDefault="003828DB" w:rsidP="008C0A6F">
            <w:pPr>
              <w:keepNext/>
              <w:jc w:val="center"/>
              <w:rPr>
                <w:rFonts w:ascii="Arial Narrow" w:hAnsi="Arial Narrow"/>
                <w:b/>
                <w:sz w:val="20"/>
                <w:szCs w:val="20"/>
              </w:rPr>
            </w:pPr>
            <w:r w:rsidRPr="00F453F7">
              <w:rPr>
                <w:rFonts w:ascii="Arial Narrow" w:hAnsi="Arial Narrow"/>
                <w:b/>
                <w:sz w:val="20"/>
                <w:szCs w:val="20"/>
              </w:rPr>
              <w:t>-$</w:t>
            </w:r>
            <w:r w:rsidR="007A2599">
              <w:rPr>
                <w:rFonts w:ascii="Arial Narrow" w:hAnsi="Arial Narrow"/>
                <w:b/>
                <w:noProof/>
                <w:color w:val="000000"/>
                <w:sz w:val="20"/>
                <w:szCs w:val="20"/>
                <w:highlight w:val="black"/>
              </w:rPr>
              <w:t>'''''''''''''''''</w:t>
            </w:r>
          </w:p>
        </w:tc>
        <w:tc>
          <w:tcPr>
            <w:tcW w:w="634" w:type="pct"/>
            <w:tcBorders>
              <w:right w:val="single" w:sz="4" w:space="0" w:color="auto"/>
            </w:tcBorders>
            <w:shd w:val="clear" w:color="auto" w:fill="auto"/>
            <w:vAlign w:val="center"/>
          </w:tcPr>
          <w:p w:rsidR="003828DB" w:rsidRPr="00F453F7" w:rsidRDefault="003828DB" w:rsidP="008C0A6F">
            <w:pPr>
              <w:keepNext/>
              <w:jc w:val="center"/>
              <w:rPr>
                <w:rFonts w:ascii="Arial Narrow" w:hAnsi="Arial Narrow"/>
                <w:b/>
                <w:sz w:val="20"/>
                <w:szCs w:val="20"/>
              </w:rPr>
            </w:pPr>
            <w:r w:rsidRPr="00F453F7">
              <w:rPr>
                <w:rFonts w:ascii="Arial Narrow" w:hAnsi="Arial Narrow"/>
                <w:b/>
                <w:sz w:val="20"/>
                <w:szCs w:val="20"/>
              </w:rPr>
              <w:t>-$</w:t>
            </w:r>
            <w:r w:rsidR="007A2599">
              <w:rPr>
                <w:rFonts w:ascii="Arial Narrow" w:hAnsi="Arial Narrow"/>
                <w:b/>
                <w:noProof/>
                <w:color w:val="000000"/>
                <w:sz w:val="20"/>
                <w:szCs w:val="20"/>
                <w:highlight w:val="black"/>
              </w:rPr>
              <w:t>''''''''''''''''</w:t>
            </w:r>
          </w:p>
        </w:tc>
        <w:tc>
          <w:tcPr>
            <w:tcW w:w="633" w:type="pct"/>
            <w:tcBorders>
              <w:right w:val="single" w:sz="4" w:space="0" w:color="auto"/>
            </w:tcBorders>
            <w:vAlign w:val="center"/>
          </w:tcPr>
          <w:p w:rsidR="003828DB" w:rsidRPr="00F453F7" w:rsidRDefault="003828DB" w:rsidP="008C0A6F">
            <w:pPr>
              <w:keepNext/>
              <w:jc w:val="center"/>
              <w:rPr>
                <w:rFonts w:ascii="Arial Narrow" w:hAnsi="Arial Narrow"/>
                <w:b/>
                <w:sz w:val="20"/>
                <w:szCs w:val="20"/>
              </w:rPr>
            </w:pPr>
            <w:r w:rsidRPr="00F453F7">
              <w:rPr>
                <w:rFonts w:ascii="Arial Narrow" w:hAnsi="Arial Narrow"/>
                <w:b/>
                <w:sz w:val="20"/>
                <w:szCs w:val="20"/>
              </w:rPr>
              <w:t>-$</w:t>
            </w:r>
            <w:r w:rsidR="007A2599">
              <w:rPr>
                <w:rFonts w:ascii="Arial Narrow" w:hAnsi="Arial Narrow"/>
                <w:b/>
                <w:noProof/>
                <w:color w:val="000000"/>
                <w:sz w:val="20"/>
                <w:szCs w:val="20"/>
                <w:highlight w:val="black"/>
              </w:rPr>
              <w:t>'''''''''''''''</w:t>
            </w:r>
          </w:p>
        </w:tc>
      </w:tr>
    </w:tbl>
    <w:p w:rsidR="003828DB" w:rsidRPr="00F453F7" w:rsidRDefault="003828DB" w:rsidP="003828DB">
      <w:pPr>
        <w:pStyle w:val="TableFooter"/>
      </w:pPr>
      <w:r w:rsidRPr="00F453F7">
        <w:t>Source: Tables 4.2.1</w:t>
      </w:r>
      <w:r w:rsidR="007A25A0" w:rsidRPr="00F453F7">
        <w:t xml:space="preserve">, </w:t>
      </w:r>
      <w:r w:rsidRPr="00F453F7">
        <w:t>p</w:t>
      </w:r>
      <w:r w:rsidR="007A25A0" w:rsidRPr="00F453F7">
        <w:t>.</w:t>
      </w:r>
      <w:r w:rsidRPr="00F453F7">
        <w:t>101</w:t>
      </w:r>
      <w:r w:rsidR="007A25A0" w:rsidRPr="00F453F7">
        <w:t xml:space="preserve">; </w:t>
      </w:r>
      <w:r w:rsidRPr="00F453F7">
        <w:t>Table 4.5.3</w:t>
      </w:r>
      <w:r w:rsidR="007A25A0" w:rsidRPr="00F453F7">
        <w:t xml:space="preserve">, </w:t>
      </w:r>
      <w:r w:rsidRPr="00F453F7">
        <w:t>p</w:t>
      </w:r>
      <w:r w:rsidR="007A25A0" w:rsidRPr="00F453F7">
        <w:t>.</w:t>
      </w:r>
      <w:r w:rsidRPr="00F453F7">
        <w:t>125 of the submission; 2019_03_05 Imfi</w:t>
      </w:r>
      <w:r w:rsidR="007A25A0" w:rsidRPr="00F453F7">
        <w:t>n</w:t>
      </w:r>
      <w:r w:rsidRPr="00F453F7">
        <w:t>zi (durvalumab) 2L UC Section 4 Model Excel workbook.</w:t>
      </w:r>
    </w:p>
    <w:p w:rsidR="003828DB" w:rsidRDefault="003828DB" w:rsidP="009C281C">
      <w:pPr>
        <w:pStyle w:val="TableFooter"/>
      </w:pPr>
      <w:r w:rsidRPr="00F453F7">
        <w:t>Abbreviations: MBS, Medicare Benefits Schedule; PBS, Pharmaceutical Benefits Scheme; RPBS, Repatriation Pharmaceutical Benefits Scheme</w:t>
      </w:r>
      <w:r w:rsidR="007A25A0" w:rsidRPr="00F453F7">
        <w:t>.</w:t>
      </w:r>
    </w:p>
    <w:p w:rsidR="009C281C" w:rsidRDefault="009C281C" w:rsidP="009C281C">
      <w:pPr>
        <w:pStyle w:val="TableFooter"/>
      </w:pPr>
    </w:p>
    <w:p w:rsidR="00A0696F" w:rsidRDefault="00A0696F" w:rsidP="003828DB">
      <w:pPr>
        <w:rPr>
          <w:rFonts w:cs="Arial"/>
        </w:rPr>
      </w:pPr>
      <w:r w:rsidRPr="00184A79">
        <w:rPr>
          <w:rFonts w:cs="Arial"/>
        </w:rPr>
        <w:t xml:space="preserve">The redacted table shows that at </w:t>
      </w:r>
      <w:r>
        <w:rPr>
          <w:rFonts w:cs="Arial"/>
        </w:rPr>
        <w:t>Y</w:t>
      </w:r>
      <w:r w:rsidRPr="00184A79">
        <w:rPr>
          <w:rFonts w:cs="Arial"/>
        </w:rPr>
        <w:t xml:space="preserve">ear </w:t>
      </w:r>
      <w:r>
        <w:rPr>
          <w:rFonts w:cs="Arial"/>
        </w:rPr>
        <w:t>6</w:t>
      </w:r>
      <w:r w:rsidRPr="00184A79">
        <w:rPr>
          <w:rFonts w:cs="Arial"/>
        </w:rPr>
        <w:t xml:space="preserve">, the estimated number of patients was </w:t>
      </w:r>
      <w:r>
        <w:rPr>
          <w:rFonts w:cs="Arial"/>
        </w:rPr>
        <w:t>less than 10,000 per year</w:t>
      </w:r>
      <w:r w:rsidRPr="00184A79">
        <w:rPr>
          <w:rFonts w:cs="Arial"/>
        </w:rPr>
        <w:t xml:space="preserve"> and the net cost to the PBS would be </w:t>
      </w:r>
      <w:r>
        <w:rPr>
          <w:rFonts w:cs="Arial"/>
        </w:rPr>
        <w:t>less than -$10 million per year</w:t>
      </w:r>
      <w:r w:rsidRPr="00184A79">
        <w:rPr>
          <w:rFonts w:cs="Arial"/>
        </w:rPr>
        <w:t>.</w:t>
      </w:r>
    </w:p>
    <w:p w:rsidR="004D22DF" w:rsidRPr="00F453F7" w:rsidRDefault="004D22DF" w:rsidP="003828DB"/>
    <w:p w:rsidR="003828DB" w:rsidRPr="00F453F7" w:rsidRDefault="003828DB" w:rsidP="004D22DF">
      <w:pPr>
        <w:pStyle w:val="3-BodyText"/>
      </w:pPr>
      <w:r w:rsidRPr="00F453F7">
        <w:t xml:space="preserve">The net saving </w:t>
      </w:r>
      <w:r w:rsidR="00CD66A0" w:rsidRPr="00F453F7">
        <w:t>from</w:t>
      </w:r>
      <w:r w:rsidRPr="00F453F7">
        <w:t xml:space="preserve"> listing durvalumab on the PBS/RPBS at the proposed published price for the treatment of patients with locally advanced or metastatic urothelial cancer after platinum-based therapy was estimated to be up to </w:t>
      </w:r>
      <w:r w:rsidR="00A0696F">
        <w:t>less than $10</w:t>
      </w:r>
      <w:r w:rsidRPr="00F453F7">
        <w:t xml:space="preserve"> million </w:t>
      </w:r>
      <w:r w:rsidRPr="00F453F7">
        <w:lastRenderedPageBreak/>
        <w:t xml:space="preserve">in the sixth year of listing. The estimated cumulative net saving over six years was </w:t>
      </w:r>
      <w:r w:rsidR="00A0696F">
        <w:t>less than $10</w:t>
      </w:r>
      <w:r w:rsidRPr="00F453F7">
        <w:t xml:space="preserve"> million. The proposed listing was associated with a small additional cost to the MBS as durvalumab requires more visits for drug administration compared to pembrolizumab (</w:t>
      </w:r>
      <w:r w:rsidR="00213404" w:rsidRPr="00F453F7">
        <w:t xml:space="preserve">this has </w:t>
      </w:r>
      <w:r w:rsidRPr="00F453F7">
        <w:t>minimal impact on estimated savings).</w:t>
      </w:r>
      <w:r w:rsidR="00CD66A0" w:rsidRPr="00F453F7">
        <w:t xml:space="preserve"> </w:t>
      </w:r>
    </w:p>
    <w:p w:rsidR="003828DB" w:rsidRPr="00F453F7" w:rsidRDefault="003828DB" w:rsidP="00A17E9E">
      <w:pPr>
        <w:pStyle w:val="ListParagraph"/>
        <w:keepNext/>
        <w:keepLines/>
        <w:numPr>
          <w:ilvl w:val="1"/>
          <w:numId w:val="3"/>
        </w:numPr>
      </w:pPr>
      <w:r w:rsidRPr="00F453F7">
        <w:t>The utilisation/financial estimates were uncertain due to the following issues:</w:t>
      </w:r>
    </w:p>
    <w:p w:rsidR="003828DB" w:rsidRPr="00F453F7" w:rsidRDefault="00CD66A0" w:rsidP="00A17E9E">
      <w:pPr>
        <w:pStyle w:val="ListParagraph"/>
        <w:keepNext/>
        <w:keepLines/>
        <w:numPr>
          <w:ilvl w:val="0"/>
          <w:numId w:val="8"/>
        </w:numPr>
        <w:ind w:left="1434" w:hanging="357"/>
      </w:pPr>
      <w:r w:rsidRPr="00F453F7">
        <w:t>The s</w:t>
      </w:r>
      <w:r w:rsidR="003828DB" w:rsidRPr="00F453F7">
        <w:t xml:space="preserve">ize of the eligible patient population </w:t>
      </w:r>
      <w:r w:rsidRPr="00F453F7">
        <w:t xml:space="preserve">is unclear </w:t>
      </w:r>
      <w:r w:rsidR="003828DB" w:rsidRPr="00F453F7">
        <w:t>due to misinterpretation of data from the BLADDA registry and assumptions of similar downstream pathways between recurrent disease and metastatic disease. Additionally, the eligible population estimates did not account for patients undergoing chemoradiotherapy.</w:t>
      </w:r>
    </w:p>
    <w:p w:rsidR="003828DB" w:rsidRPr="00F453F7" w:rsidRDefault="003828DB" w:rsidP="00A17E9E">
      <w:pPr>
        <w:pStyle w:val="ListParagraph"/>
        <w:numPr>
          <w:ilvl w:val="0"/>
          <w:numId w:val="8"/>
        </w:numPr>
        <w:ind w:left="1434" w:hanging="357"/>
      </w:pPr>
      <w:r w:rsidRPr="00F453F7">
        <w:t>The submission assumed that all patients eligible for PD-1</w:t>
      </w:r>
      <w:r w:rsidR="00C9217E" w:rsidRPr="00F453F7">
        <w:t>/PD-L1</w:t>
      </w:r>
      <w:r w:rsidRPr="00F453F7">
        <w:t xml:space="preserve"> inhibitors would be treated with a PD-1</w:t>
      </w:r>
      <w:r w:rsidR="00C9217E" w:rsidRPr="00F453F7">
        <w:t>/PD-L1</w:t>
      </w:r>
      <w:r w:rsidRPr="00F453F7">
        <w:t xml:space="preserve"> inhibitor. This assumption may not be appropriate as pembrolizumab was only recently subsidised on the PBS for urothelial cancer (March 2019) and therefore the PD-1</w:t>
      </w:r>
      <w:r w:rsidR="00C9217E" w:rsidRPr="00F453F7">
        <w:t>/PD-L1</w:t>
      </w:r>
      <w:r w:rsidRPr="00F453F7">
        <w:t xml:space="preserve"> market is immature</w:t>
      </w:r>
      <w:r w:rsidR="007A25A0" w:rsidRPr="00F453F7">
        <w:t>.</w:t>
      </w:r>
    </w:p>
    <w:p w:rsidR="003828DB" w:rsidRPr="00F453F7" w:rsidRDefault="003828DB" w:rsidP="00A17E9E">
      <w:pPr>
        <w:pStyle w:val="ListParagraph"/>
        <w:numPr>
          <w:ilvl w:val="0"/>
          <w:numId w:val="8"/>
        </w:numPr>
        <w:ind w:left="1434" w:hanging="357"/>
      </w:pPr>
      <w:r w:rsidRPr="00F453F7">
        <w:t>The submission assumed that durvalumab would capture 50% of the PD-1</w:t>
      </w:r>
      <w:r w:rsidR="00C9217E" w:rsidRPr="00F453F7">
        <w:t>/PD-L1</w:t>
      </w:r>
      <w:r w:rsidRPr="00F453F7">
        <w:t xml:space="preserve"> market. This assumption was inadequately justified and may overestimate uptake in clinical practice given that pembrol</w:t>
      </w:r>
      <w:r w:rsidR="007A25A0" w:rsidRPr="00F453F7">
        <w:t>i</w:t>
      </w:r>
      <w:r w:rsidRPr="00F453F7">
        <w:t xml:space="preserve">zumab remains the preferred treatment option </w:t>
      </w:r>
      <w:r w:rsidR="007A25A0" w:rsidRPr="00F453F7">
        <w:t xml:space="preserve">in </w:t>
      </w:r>
      <w:r w:rsidRPr="00F453F7">
        <w:t>guidelines</w:t>
      </w:r>
      <w:r w:rsidR="00BD5401" w:rsidRPr="00F453F7">
        <w:t xml:space="preserve"> (due </w:t>
      </w:r>
      <w:r w:rsidR="00931984" w:rsidRPr="00F453F7">
        <w:t xml:space="preserve">to its </w:t>
      </w:r>
      <w:r w:rsidR="00BD5401" w:rsidRPr="00F453F7">
        <w:t>stronger evidence base)</w:t>
      </w:r>
      <w:r w:rsidRPr="00F453F7">
        <w:t>, pembrolizumab requires less frequent infusion, pemb</w:t>
      </w:r>
      <w:r w:rsidR="007A25A0" w:rsidRPr="00F453F7">
        <w:t>r</w:t>
      </w:r>
      <w:r w:rsidRPr="00F453F7">
        <w:t>olizumab has a longer subsidised duration of treatment, pembrolizumab has a first-to-market advantage and additional PD-1</w:t>
      </w:r>
      <w:r w:rsidR="00C9217E" w:rsidRPr="00F453F7">
        <w:t>/PD-L1</w:t>
      </w:r>
      <w:r w:rsidRPr="00F453F7">
        <w:t xml:space="preserve"> inhibitors are likely to enter the market in the next six years.</w:t>
      </w:r>
      <w:r w:rsidR="00144668" w:rsidRPr="00F453F7">
        <w:t xml:space="preserve"> </w:t>
      </w:r>
    </w:p>
    <w:p w:rsidR="003828DB" w:rsidRPr="00F453F7" w:rsidRDefault="003828DB" w:rsidP="00A17E9E">
      <w:pPr>
        <w:pStyle w:val="ListParagraph"/>
        <w:numPr>
          <w:ilvl w:val="0"/>
          <w:numId w:val="8"/>
        </w:numPr>
        <w:ind w:left="1434" w:hanging="357"/>
      </w:pPr>
      <w:r w:rsidRPr="00F453F7">
        <w:t xml:space="preserve">The submission estimated treatment durations based on the median exposure for </w:t>
      </w:r>
      <w:r w:rsidR="00FE6980" w:rsidRPr="00F453F7">
        <w:t xml:space="preserve">Study 1108 and Keynote-045 </w:t>
      </w:r>
      <w:r w:rsidRPr="00F453F7">
        <w:t>due to the lack of other available data</w:t>
      </w:r>
      <w:r w:rsidR="00FE6980" w:rsidRPr="00F453F7">
        <w:t xml:space="preserve">. </w:t>
      </w:r>
      <w:r w:rsidR="007E32E2" w:rsidRPr="00F453F7">
        <w:t xml:space="preserve">However, </w:t>
      </w:r>
      <w:r w:rsidR="00935891" w:rsidRPr="00F453F7">
        <w:t xml:space="preserve">given the large number of early discontinuations in Study </w:t>
      </w:r>
      <w:r w:rsidR="00EC7B41" w:rsidRPr="00F453F7">
        <w:t>1</w:t>
      </w:r>
      <w:r w:rsidR="00935891" w:rsidRPr="00F453F7">
        <w:t>108 and Keynote-045, and the lack of available dose intensity measures for pembrolizumab, it may be more appropriate to derive the budget impact estimates using the mean number of administrations</w:t>
      </w:r>
      <w:r w:rsidR="00A7029E" w:rsidRPr="00F453F7">
        <w:t>, though both approaches are problematic</w:t>
      </w:r>
      <w:r w:rsidR="00935891" w:rsidRPr="00F453F7">
        <w:t>.</w:t>
      </w:r>
    </w:p>
    <w:p w:rsidR="003828DB" w:rsidRDefault="00931984" w:rsidP="00A17E9E">
      <w:pPr>
        <w:pStyle w:val="ListParagraph"/>
        <w:numPr>
          <w:ilvl w:val="0"/>
          <w:numId w:val="8"/>
        </w:numPr>
      </w:pPr>
      <w:r w:rsidRPr="00F453F7">
        <w:t xml:space="preserve">Under the proposed restrictions </w:t>
      </w:r>
      <w:r w:rsidR="003828DB" w:rsidRPr="00F453F7">
        <w:t>there may be growth in the PD-1</w:t>
      </w:r>
      <w:r w:rsidR="007420CE" w:rsidRPr="00F453F7">
        <w:t>/PD-L1</w:t>
      </w:r>
      <w:r w:rsidR="003828DB" w:rsidRPr="00F453F7">
        <w:t xml:space="preserve"> market due to sequential use of pembrolizumab and durvalumab.</w:t>
      </w:r>
    </w:p>
    <w:p w:rsidR="003828DB" w:rsidRPr="00F453F7" w:rsidRDefault="003828DB" w:rsidP="004D22DF">
      <w:pPr>
        <w:pStyle w:val="4-SubsectionHeading"/>
      </w:pPr>
      <w:bookmarkStart w:id="25" w:name="_Toc371170713"/>
      <w:bookmarkStart w:id="26" w:name="_Toc9428555"/>
      <w:r w:rsidRPr="00F453F7">
        <w:t>Quality Use of Medicines</w:t>
      </w:r>
      <w:bookmarkEnd w:id="25"/>
      <w:bookmarkEnd w:id="26"/>
    </w:p>
    <w:p w:rsidR="00935891" w:rsidRPr="00F453F7" w:rsidRDefault="00346264" w:rsidP="00A17E9E">
      <w:pPr>
        <w:pStyle w:val="ListParagraph"/>
        <w:numPr>
          <w:ilvl w:val="1"/>
          <w:numId w:val="3"/>
        </w:numPr>
      </w:pPr>
      <w:r w:rsidRPr="00F453F7">
        <w:t>The submission stated that the sponsor is working with patient support groups to improve resourcing for patient support services and is working with healthcare professionals to provide high quality information resources for their urothelial cancer patients.</w:t>
      </w:r>
    </w:p>
    <w:p w:rsidR="00A17E9E" w:rsidRPr="00F453F7" w:rsidRDefault="00935891" w:rsidP="00A17E9E">
      <w:pPr>
        <w:pStyle w:val="ListParagraph"/>
        <w:numPr>
          <w:ilvl w:val="1"/>
          <w:numId w:val="3"/>
        </w:numPr>
      </w:pPr>
      <w:r w:rsidRPr="00F453F7">
        <w:t xml:space="preserve">There was a large numerical difference in overall survival between patients with </w:t>
      </w:r>
      <w:r w:rsidRPr="00F453F7">
        <w:lastRenderedPageBreak/>
        <w:t xml:space="preserve">low/negative PD-L1 expression and those with high PD-L1 expression (based on the Ventana PD-L1 SP263 assay). </w:t>
      </w:r>
      <w:r w:rsidR="00782203" w:rsidRPr="00F453F7">
        <w:t>It is unclear w</w:t>
      </w:r>
      <w:r w:rsidRPr="00F453F7">
        <w:t xml:space="preserve">hether PD-L1 expression testing </w:t>
      </w:r>
      <w:r w:rsidR="00A7029E" w:rsidRPr="00F453F7">
        <w:t xml:space="preserve">should </w:t>
      </w:r>
      <w:r w:rsidRPr="00F453F7">
        <w:t>be used to guide selection of patients for durvalumab treatment</w:t>
      </w:r>
      <w:r w:rsidR="00B85A27" w:rsidRPr="00F453F7">
        <w:t>. PD-L1 testing is not currently reimbursed through the MBS</w:t>
      </w:r>
      <w:r w:rsidR="004765A8" w:rsidRPr="00F453F7">
        <w:t xml:space="preserve"> for this indication</w:t>
      </w:r>
      <w:r w:rsidR="00E80E41" w:rsidRPr="00F453F7">
        <w:t xml:space="preserve"> and the ESC noted that developing a standard assay for PD-L1 is difficult</w:t>
      </w:r>
      <w:r w:rsidR="00B85A27" w:rsidRPr="00F453F7">
        <w:t>.</w:t>
      </w:r>
    </w:p>
    <w:p w:rsidR="003828DB" w:rsidRPr="00F453F7" w:rsidRDefault="003828DB" w:rsidP="004D22DF">
      <w:pPr>
        <w:pStyle w:val="4-SubsectionHeading"/>
      </w:pPr>
      <w:bookmarkStart w:id="27" w:name="_Toc371170714"/>
      <w:bookmarkStart w:id="28" w:name="_Toc9428556"/>
      <w:r w:rsidRPr="00F453F7">
        <w:t>Financial Management – Risk Sharing Arrangements</w:t>
      </w:r>
      <w:bookmarkEnd w:id="27"/>
      <w:bookmarkEnd w:id="28"/>
    </w:p>
    <w:p w:rsidR="0081687A" w:rsidRPr="00A17E9E" w:rsidRDefault="00346264" w:rsidP="00A17E9E">
      <w:pPr>
        <w:pStyle w:val="ListParagraph"/>
        <w:numPr>
          <w:ilvl w:val="1"/>
          <w:numId w:val="3"/>
        </w:numPr>
        <w:spacing w:after="160"/>
      </w:pPr>
      <w:r w:rsidRPr="00F453F7">
        <w:t>The submission noted that the PBS listing of pembrolizumab is subject to a special pricing arrangement and stated that durvalumab would also require a special pricing arrangement. The submission also stated that the sponsor is willing to consider a risk sharing arrangement to reduce the uncertainty associated with budget impact estimates (the submission noted that pembrolizumab may already be subject to a risk sharing arrangement).</w:t>
      </w:r>
    </w:p>
    <w:p w:rsidR="00374DDF" w:rsidRPr="00F453F7" w:rsidRDefault="00374DDF" w:rsidP="00374DDF">
      <w:pPr>
        <w:rPr>
          <w:i/>
        </w:rPr>
      </w:pPr>
      <w:r w:rsidRPr="00F453F7">
        <w:rPr>
          <w:i/>
        </w:rPr>
        <w:t>For more detail on the PBAC’s view, see section 7 PBAC outcome.</w:t>
      </w:r>
    </w:p>
    <w:p w:rsidR="00374DDF" w:rsidRPr="00F453F7" w:rsidRDefault="00374DDF" w:rsidP="004D22DF">
      <w:pPr>
        <w:pStyle w:val="2-SectionHeading"/>
        <w:rPr>
          <w:sz w:val="24"/>
        </w:rPr>
      </w:pPr>
      <w:r w:rsidRPr="00F453F7">
        <w:t>PBAC Outcome</w:t>
      </w:r>
    </w:p>
    <w:p w:rsidR="00374DDF" w:rsidRPr="00F453F7" w:rsidRDefault="00672780" w:rsidP="00A17E9E">
      <w:pPr>
        <w:pStyle w:val="ListParagraph"/>
        <w:numPr>
          <w:ilvl w:val="1"/>
          <w:numId w:val="3"/>
        </w:numPr>
      </w:pPr>
      <w:r w:rsidRPr="00F453F7">
        <w:t xml:space="preserve">The PBAC did not recommend durvalumab for the treatment of patients with locally advanced or metastatic urothelial cancer who have disease progression during or following platinum-based chemotherapy. </w:t>
      </w:r>
      <w:r w:rsidR="004248A0" w:rsidRPr="00F453F7">
        <w:t xml:space="preserve">The PBAC considered that the clinical need for durvalumab was limited, given the availability of pembrolizumab, which has a more robust evidence base. </w:t>
      </w:r>
      <w:r w:rsidRPr="00F453F7">
        <w:t xml:space="preserve">The PBAC </w:t>
      </w:r>
      <w:r w:rsidR="001E51FD" w:rsidRPr="00F453F7">
        <w:t xml:space="preserve">considered </w:t>
      </w:r>
      <w:r w:rsidR="004248A0" w:rsidRPr="00F453F7">
        <w:t xml:space="preserve">the data presented did not adequately establish </w:t>
      </w:r>
      <w:r w:rsidRPr="00F453F7">
        <w:t>non-inferiority between durvalumab and the nominated comparator, pembrolizumab</w:t>
      </w:r>
      <w:r w:rsidR="004248A0" w:rsidRPr="00F453F7">
        <w:t>.</w:t>
      </w:r>
    </w:p>
    <w:p w:rsidR="00BA77B2" w:rsidRPr="00F453F7" w:rsidRDefault="00BA77B2" w:rsidP="00A17E9E">
      <w:pPr>
        <w:pStyle w:val="ListParagraph"/>
        <w:numPr>
          <w:ilvl w:val="1"/>
          <w:numId w:val="3"/>
        </w:numPr>
      </w:pPr>
      <w:r w:rsidRPr="00F453F7">
        <w:t xml:space="preserve">The PBAC noted that pembrolizumab is the preferred treatment post-chemotherapy for patients with urothelial cancer </w:t>
      </w:r>
      <w:r w:rsidR="00D7083A">
        <w:t xml:space="preserve">in the version 3.2019 </w:t>
      </w:r>
      <w:r w:rsidR="00621DFD">
        <w:t xml:space="preserve">NCCN </w:t>
      </w:r>
      <w:r w:rsidR="00D7083A">
        <w:t xml:space="preserve">guidelines for bladder cancer, </w:t>
      </w:r>
      <w:r w:rsidRPr="00F453F7">
        <w:t>and considered that there was limited clinical need for another second-line PD-L1 inhibitor in patients with urothelial cancer, particularly given the less robust evidence base for durvalumab</w:t>
      </w:r>
      <w:r w:rsidR="00187BDD">
        <w:t>, and its requirement for more frequent infusions</w:t>
      </w:r>
      <w:r w:rsidRPr="00F453F7">
        <w:t xml:space="preserve">. </w:t>
      </w:r>
      <w:r w:rsidR="007A2599">
        <w:rPr>
          <w:noProof/>
          <w:color w:val="000000"/>
          <w:highlight w:val="black"/>
        </w:rPr>
        <w:t>'''''''' ''''''''''' '''''''''''' '''''''' '''''' ''''''''' '''''''''''' ''''''''''''''''''' '''''''' '''''''''''''''''''''''''''' ''''''''''''''''''' ''''' ''''''''''''''''''''''' '''''' ''''''' '''''''''''''''''''' '''''''''' '''''' ''''''' ''''' ''''''''''''''''''''' '''''''''''''''' '''''''''' ''' '''''''''''''''''''''' ''''''''''''''''''''' '''''''''</w:t>
      </w:r>
      <w:r w:rsidR="00636C45">
        <w:t xml:space="preserve"> and that the UK National Institute for Health and Care Excellence (NICE) had suspended evaluation of durvalumab because the sponsor advised they will not be pursuing a licencing application from the European Medicines Authority for this indication. </w:t>
      </w:r>
      <w:r w:rsidRPr="00F453F7">
        <w:t>The PBAC also noted that ongoing trials may show that the</w:t>
      </w:r>
      <w:r w:rsidR="007360E9" w:rsidRPr="00F453F7">
        <w:t>re is a</w:t>
      </w:r>
      <w:r w:rsidRPr="00F453F7">
        <w:t xml:space="preserve"> clinical place for durvalumab in combination with other agents or in first line treatment of patients with </w:t>
      </w:r>
      <w:r w:rsidR="005626AA" w:rsidRPr="00F453F7">
        <w:t xml:space="preserve">high </w:t>
      </w:r>
      <w:r w:rsidRPr="00F453F7">
        <w:t xml:space="preserve">PD-L1 </w:t>
      </w:r>
      <w:r w:rsidR="005626AA" w:rsidRPr="00F453F7">
        <w:t xml:space="preserve">expression </w:t>
      </w:r>
      <w:r w:rsidRPr="00F453F7">
        <w:t>status</w:t>
      </w:r>
      <w:r w:rsidR="00F453F7">
        <w:t xml:space="preserve">. </w:t>
      </w:r>
    </w:p>
    <w:p w:rsidR="00037C1F" w:rsidRPr="00F453F7" w:rsidRDefault="00037C1F" w:rsidP="00A17E9E">
      <w:pPr>
        <w:pStyle w:val="ListParagraph"/>
        <w:numPr>
          <w:ilvl w:val="1"/>
          <w:numId w:val="3"/>
        </w:numPr>
      </w:pPr>
      <w:r w:rsidRPr="00F453F7">
        <w:t>The PBAC considered that durvalumab should not be used following treatment with pembrolizumab and noted that flow-on restriction changes to pembrolizumab would also be necessary to prevent sequential use if durvalumab was to be listed.</w:t>
      </w:r>
    </w:p>
    <w:p w:rsidR="005817E8" w:rsidRPr="00F453F7" w:rsidRDefault="00BA77B2" w:rsidP="00A17E9E">
      <w:pPr>
        <w:pStyle w:val="ListParagraph"/>
        <w:numPr>
          <w:ilvl w:val="1"/>
          <w:numId w:val="3"/>
        </w:numPr>
      </w:pPr>
      <w:r w:rsidRPr="00F453F7">
        <w:t>The PBAC considered that pembrolizumab was the appropriate comparator</w:t>
      </w:r>
      <w:r w:rsidR="005817E8" w:rsidRPr="00F453F7">
        <w:t>.</w:t>
      </w:r>
    </w:p>
    <w:p w:rsidR="00486194" w:rsidRPr="00F453F7" w:rsidRDefault="00C85264" w:rsidP="00A17E9E">
      <w:pPr>
        <w:pStyle w:val="ListParagraph"/>
        <w:numPr>
          <w:ilvl w:val="1"/>
          <w:numId w:val="3"/>
        </w:numPr>
      </w:pPr>
      <w:r w:rsidRPr="00F453F7">
        <w:lastRenderedPageBreak/>
        <w:t>The PBAC noted that the submission was based on one single-arm study of durvalumab (Study 1108), and one randomised, open-label trial of pembrolizumab versus investigator’s choice of chemotherapy (Keynote-045). The PBAC considered that both studies were associated with a low level of certainty, due to the open-label nature of t</w:t>
      </w:r>
      <w:r w:rsidR="007D7D7F" w:rsidRPr="00F453F7">
        <w:t xml:space="preserve">he studies, however the data from study 1108 provided less certainty as it was a non-comparative study. The PBAC considered that study 1108 </w:t>
      </w:r>
      <w:r w:rsidR="00D203D5">
        <w:t xml:space="preserve">did not provide </w:t>
      </w:r>
      <w:r w:rsidR="004632DF">
        <w:t>compelling</w:t>
      </w:r>
      <w:r w:rsidR="00F74506">
        <w:t xml:space="preserve"> </w:t>
      </w:r>
      <w:r w:rsidR="00D203D5">
        <w:t xml:space="preserve">evidence </w:t>
      </w:r>
      <w:r w:rsidR="007D7D7F" w:rsidRPr="00F453F7">
        <w:t xml:space="preserve">that durvalumab was likely to be superior to chemotherapy </w:t>
      </w:r>
      <w:r w:rsidR="00486194" w:rsidRPr="00F453F7">
        <w:t>in terms of overall survival in the full population.</w:t>
      </w:r>
    </w:p>
    <w:p w:rsidR="004603F2" w:rsidRPr="00F453F7" w:rsidRDefault="00486194" w:rsidP="00A17E9E">
      <w:pPr>
        <w:pStyle w:val="ListParagraph"/>
        <w:numPr>
          <w:ilvl w:val="1"/>
          <w:numId w:val="3"/>
        </w:numPr>
      </w:pPr>
      <w:r w:rsidRPr="00F453F7">
        <w:t xml:space="preserve">The PBAC noted that the TGA approved durvalumab for the treatment of urothelial cancer irrespective of the PD-L1 status, but </w:t>
      </w:r>
      <w:r w:rsidR="00321D90" w:rsidRPr="00F453F7">
        <w:t>the PBAC considere</w:t>
      </w:r>
      <w:r w:rsidRPr="00F453F7">
        <w:t xml:space="preserve">d that Study 1108 results indicated that PD-L1 status </w:t>
      </w:r>
      <w:r w:rsidR="003C2002">
        <w:t xml:space="preserve">could </w:t>
      </w:r>
      <w:r w:rsidRPr="00F453F7">
        <w:t>be a treatment effect modifier</w:t>
      </w:r>
      <w:r w:rsidR="004603F2" w:rsidRPr="00F453F7">
        <w:t xml:space="preserve"> for durvalumab</w:t>
      </w:r>
      <w:r w:rsidR="00427335">
        <w:t>, and/or a prognostic marker,</w:t>
      </w:r>
      <w:r w:rsidR="004603F2" w:rsidRPr="00F453F7">
        <w:t xml:space="preserve"> </w:t>
      </w:r>
      <w:r w:rsidRPr="00F453F7">
        <w:t xml:space="preserve">as the median overall survival was numerically higher in the PD-L1 high subgroup (19.8 months; 95% CI: 9.3, not estimable) compared to the PD-L1 low/negative subgroup (4.8 months; 95% CI: 3.1, 8.1) and the proportion of patients </w:t>
      </w:r>
      <w:r w:rsidR="004603F2" w:rsidRPr="00F453F7">
        <w:t>alive at 24 months was 43.9% in the PD-L1 high subgroup compared to 14.2% in the PD-L1 low/negative group</w:t>
      </w:r>
      <w:r w:rsidRPr="00F453F7">
        <w:t xml:space="preserve">. </w:t>
      </w:r>
      <w:r w:rsidR="004603F2" w:rsidRPr="00F453F7">
        <w:t>The PBAC noted that when it considered pembrolizumab in November 2017 it “concluded that, based on results stratified by PD-L1 status, there was no strong signal to consider selecting patients based on PD-</w:t>
      </w:r>
      <w:r w:rsidR="002D36C6" w:rsidRPr="00F453F7">
        <w:t>L</w:t>
      </w:r>
      <w:r w:rsidR="004603F2" w:rsidRPr="00F453F7">
        <w:t>1 expression” (Paragraph 6.13, July 2018 PSD for pembrolizumab). The PBAC noted that the Phase III RCT DANUBE trial is currently underway and would provide additional data on the impact of PD-L1 status on the efficacy of durvalumab</w:t>
      </w:r>
      <w:r w:rsidR="005626AA" w:rsidRPr="00F453F7">
        <w:t xml:space="preserve"> in patients with UC</w:t>
      </w:r>
      <w:r w:rsidR="004603F2" w:rsidRPr="00F453F7">
        <w:t>.</w:t>
      </w:r>
    </w:p>
    <w:p w:rsidR="007D7D7F" w:rsidRPr="00F453F7" w:rsidRDefault="009B66EC" w:rsidP="00A17E9E">
      <w:pPr>
        <w:pStyle w:val="ListParagraph"/>
        <w:numPr>
          <w:ilvl w:val="1"/>
          <w:numId w:val="3"/>
        </w:numPr>
      </w:pPr>
      <w:r w:rsidRPr="00F453F7">
        <w:t>The submission used a non-standard approach to compare durvalumab with pembrolizumab. Evidence for durvalumab versus chemotherapy was generated using an unanchored MAIC of individual patient data from Study 1108 and aggregate</w:t>
      </w:r>
      <w:r w:rsidRPr="00F453F7">
        <w:rPr>
          <w:i/>
        </w:rPr>
        <w:t xml:space="preserve"> </w:t>
      </w:r>
      <w:r w:rsidRPr="00F453F7">
        <w:t>results for the chemotherapy arm of Keynote-045. The results of the MAIC were then compared with the results of the Keynote-045 trial in an indirect comparison using chemotherapy as the common reference. The PBAC considered that this approach was not appropriate and although the MAIC appeared to indicate that durvalumab was non-inferior to pembrolizumab, the methodological issues</w:t>
      </w:r>
      <w:r w:rsidR="00830A3D" w:rsidRPr="00F453F7">
        <w:t xml:space="preserve"> with this approach</w:t>
      </w:r>
      <w:r w:rsidRPr="00F453F7">
        <w:t xml:space="preserve"> meant that the comparison was not reliable.</w:t>
      </w:r>
    </w:p>
    <w:p w:rsidR="005817E8" w:rsidRPr="00F453F7" w:rsidRDefault="007D7D7F" w:rsidP="00A17E9E">
      <w:pPr>
        <w:pStyle w:val="ListParagraph"/>
        <w:numPr>
          <w:ilvl w:val="1"/>
          <w:numId w:val="3"/>
        </w:numPr>
      </w:pPr>
      <w:r w:rsidRPr="00F453F7">
        <w:t>The PBAC considered that Study 1108 and Keynote-045 appeared to be reasonably matched with regard to demographic and disease characteristics, noting that</w:t>
      </w:r>
      <w:r w:rsidR="005626AA" w:rsidRPr="00F453F7">
        <w:t>, overall,</w:t>
      </w:r>
      <w:r w:rsidRPr="00F453F7">
        <w:t xml:space="preserve"> patients in Study 1108</w:t>
      </w:r>
      <w:r w:rsidR="000F0138" w:rsidRPr="00F453F7">
        <w:t xml:space="preserve"> </w:t>
      </w:r>
      <w:r w:rsidRPr="00F453F7">
        <w:t>did not have a noticeably worse prognosis that those included in Keynote-045.</w:t>
      </w:r>
      <w:r w:rsidR="009B66EC" w:rsidRPr="00F453F7">
        <w:t xml:space="preserve"> H</w:t>
      </w:r>
      <w:r w:rsidR="000F0138" w:rsidRPr="00F453F7">
        <w:t>owever, the PBAC noted that both the MAIC and the indirect comparison were</w:t>
      </w:r>
      <w:r w:rsidR="009B66EC" w:rsidRPr="00F453F7">
        <w:t xml:space="preserve"> limited by</w:t>
      </w:r>
      <w:r w:rsidR="000F0138" w:rsidRPr="00F453F7">
        <w:t xml:space="preserve"> </w:t>
      </w:r>
      <w:r w:rsidR="000F0138" w:rsidRPr="00F453F7">
        <w:rPr>
          <w:rFonts w:cstheme="minorHAnsi"/>
        </w:rPr>
        <w:t>between-trial differences that could not be accounted for</w:t>
      </w:r>
      <w:r w:rsidR="009B66EC" w:rsidRPr="00F453F7">
        <w:t xml:space="preserve"> </w:t>
      </w:r>
      <w:r w:rsidR="000F0138" w:rsidRPr="00F453F7">
        <w:t xml:space="preserve">such as a lack of common PD-L1 expression assay to assess PD-L1 expression status, differences in the trial design, timing of tumour assessments, use of post-progression treatments, and duration of follow-up. The PBAC considered that </w:t>
      </w:r>
      <w:r w:rsidR="000F0138" w:rsidRPr="00F453F7">
        <w:rPr>
          <w:rFonts w:cstheme="minorHAnsi"/>
        </w:rPr>
        <w:t xml:space="preserve">the unanchored MAIC and naïve (unadjusted) indirect comparison presented did not adequately support the claim of non-inferiority with pembrolizumab. </w:t>
      </w:r>
    </w:p>
    <w:p w:rsidR="00502703" w:rsidRPr="00F453F7" w:rsidRDefault="00380FAC" w:rsidP="00A17E9E">
      <w:pPr>
        <w:pStyle w:val="ListParagraph"/>
        <w:keepNext/>
        <w:keepLines/>
        <w:numPr>
          <w:ilvl w:val="1"/>
          <w:numId w:val="3"/>
        </w:numPr>
      </w:pPr>
      <w:r w:rsidRPr="00F453F7">
        <w:lastRenderedPageBreak/>
        <w:t xml:space="preserve">The submission claimed that </w:t>
      </w:r>
      <w:r w:rsidR="00502703" w:rsidRPr="00F453F7">
        <w:t xml:space="preserve">durvalumab was non-inferior to pembrolizumab in terms of safety and noted </w:t>
      </w:r>
      <w:r w:rsidRPr="00F453F7">
        <w:t xml:space="preserve">the type and incidence of adverse events that were reported </w:t>
      </w:r>
      <w:r w:rsidR="00502703" w:rsidRPr="00F453F7">
        <w:t xml:space="preserve">in the trials </w:t>
      </w:r>
      <w:r w:rsidRPr="00F453F7">
        <w:t xml:space="preserve">were similar between durvalumab and pembrolizumab. The PBAC noted that this claim was based on the results of a naïve comparison of safety as no </w:t>
      </w:r>
      <w:r w:rsidR="00502703" w:rsidRPr="00F453F7">
        <w:t>comparative safety data was available for durvalumab</w:t>
      </w:r>
      <w:r w:rsidRPr="00F453F7">
        <w:t>.</w:t>
      </w:r>
      <w:r w:rsidR="00502703" w:rsidRPr="00F453F7">
        <w:t xml:space="preserve"> The PBAC considered that the claim of non-inferior comparative safety was not adequately supported by the data.</w:t>
      </w:r>
    </w:p>
    <w:p w:rsidR="00380FAC" w:rsidRPr="00F453F7" w:rsidRDefault="00A45512" w:rsidP="00A17E9E">
      <w:pPr>
        <w:pStyle w:val="ListParagraph"/>
        <w:numPr>
          <w:ilvl w:val="1"/>
          <w:numId w:val="3"/>
        </w:numPr>
      </w:pPr>
      <w:r w:rsidRPr="00F453F7">
        <w:t xml:space="preserve">The PBAC agreed with the ESC that the claim of non-inferiority was not well supported by the evidence which made the calculation of equi-effective doses problematic. The PBAC also considered that the clinical data presented did not provide a good basis for calculation of equi-effective doses due to differences between the timing of assessments, differences in the protocol-driven durations of treatment, treatment beyond progression and the overall low level of certainty in the efficacy data for durvalumab. </w:t>
      </w:r>
    </w:p>
    <w:p w:rsidR="00037C1F" w:rsidRDefault="00692389" w:rsidP="00A17E9E">
      <w:pPr>
        <w:pStyle w:val="ListParagraph"/>
        <w:numPr>
          <w:ilvl w:val="1"/>
          <w:numId w:val="3"/>
        </w:numPr>
      </w:pPr>
      <w:r w:rsidRPr="00F453F7">
        <w:t>The PBAC considered that the utilisation estimates for durvalumab were inadequately justified</w:t>
      </w:r>
      <w:r w:rsidR="00A45512" w:rsidRPr="00F453F7">
        <w:t xml:space="preserve">. The PBAC considered </w:t>
      </w:r>
      <w:r w:rsidR="00A74261" w:rsidRPr="00F453F7">
        <w:t xml:space="preserve">that the assumed duration of treatment was uncertain due to limitations in the clinical evidence as described above. The PBAC also considered </w:t>
      </w:r>
      <w:r w:rsidR="00A45512" w:rsidRPr="00F453F7">
        <w:t xml:space="preserve">that the uptake of durvalumab was likely to be overestimated given that pembrolizumab has a more robust clinical evidence base, is already listed and has a dosing </w:t>
      </w:r>
      <w:r w:rsidRPr="00F453F7">
        <w:t>convenience advantage</w:t>
      </w:r>
      <w:r w:rsidR="00A45512" w:rsidRPr="00F453F7">
        <w:t xml:space="preserve"> and</w:t>
      </w:r>
      <w:r w:rsidR="00A74261" w:rsidRPr="00F453F7">
        <w:t xml:space="preserve"> because</w:t>
      </w:r>
      <w:r w:rsidR="00A45512" w:rsidRPr="00F453F7">
        <w:t xml:space="preserve"> the estimates </w:t>
      </w:r>
      <w:r w:rsidR="00A74261" w:rsidRPr="00F453F7">
        <w:t xml:space="preserve">inappropriately </w:t>
      </w:r>
      <w:r w:rsidRPr="00F453F7">
        <w:t>assumed that all eligible patients will be treated with a PD-1/PD-L1 inhibito</w:t>
      </w:r>
      <w:r w:rsidR="00A45512" w:rsidRPr="00F453F7">
        <w:t>r</w:t>
      </w:r>
      <w:r w:rsidRPr="00F453F7">
        <w:t xml:space="preserve">. </w:t>
      </w:r>
    </w:p>
    <w:p w:rsidR="002172BA" w:rsidRPr="00F453F7" w:rsidRDefault="002172BA" w:rsidP="00A17E9E">
      <w:pPr>
        <w:pStyle w:val="ListParagraph"/>
        <w:numPr>
          <w:ilvl w:val="1"/>
          <w:numId w:val="3"/>
        </w:numPr>
      </w:pPr>
      <w:r>
        <w:t xml:space="preserve">The PBAC noted a recent editorial published in </w:t>
      </w:r>
      <w:r w:rsidRPr="001030F8">
        <w:rPr>
          <w:i/>
        </w:rPr>
        <w:t>Journal of Clinical Oncology</w:t>
      </w:r>
      <w:r w:rsidR="00BC59E5" w:rsidRPr="00527B6E">
        <w:rPr>
          <w:rStyle w:val="FootnoteReference"/>
        </w:rPr>
        <w:footnoteReference w:id="1"/>
      </w:r>
      <w:r>
        <w:t xml:space="preserve">, which stated that “the </w:t>
      </w:r>
      <w:r w:rsidRPr="00E100AC">
        <w:t xml:space="preserve">lack of ongoing or planned RCTs to evaluate definitively the efficacy of three IO </w:t>
      </w:r>
      <w:r>
        <w:t xml:space="preserve">[immuno-oncology] </w:t>
      </w:r>
      <w:r w:rsidRPr="00E100AC">
        <w:t xml:space="preserve">agents in the second-line setting </w:t>
      </w:r>
      <w:r>
        <w:t xml:space="preserve">… </w:t>
      </w:r>
      <w:r w:rsidRPr="00E100AC">
        <w:t>represents a worrisome departure from the paradigm of evidence development and challenges the compromise inherent in accelerated drug approval</w:t>
      </w:r>
      <w:r>
        <w:t>”.</w:t>
      </w:r>
    </w:p>
    <w:p w:rsidR="00090491" w:rsidRPr="00F453F7" w:rsidRDefault="00E9364C" w:rsidP="00A17E9E">
      <w:pPr>
        <w:pStyle w:val="ListParagraph"/>
        <w:numPr>
          <w:ilvl w:val="1"/>
          <w:numId w:val="3"/>
        </w:numPr>
      </w:pPr>
      <w:r w:rsidRPr="00F453F7">
        <w:t>The PBAC anticipated that it would be unlikely to recommend PBS listing of durvalumab without additional clinical data, including comparative evidence</w:t>
      </w:r>
      <w:r w:rsidR="00BC7E1E">
        <w:t xml:space="preserve"> from an adequately powered randomised phase III trial</w:t>
      </w:r>
      <w:r w:rsidR="00D33A69">
        <w:t xml:space="preserve"> demonstrating a benefit for overall survival </w:t>
      </w:r>
      <w:r w:rsidR="00FF345F">
        <w:t xml:space="preserve">for durvalumab </w:t>
      </w:r>
      <w:r w:rsidR="00D33A69">
        <w:t>over standard treatment</w:t>
      </w:r>
      <w:r w:rsidRPr="00F453F7">
        <w:t xml:space="preserve">. The PBAC noted that this may be in a different patient population or in combination with other agents. </w:t>
      </w:r>
    </w:p>
    <w:p w:rsidR="00374DDF" w:rsidRPr="00F453F7" w:rsidRDefault="00374DDF" w:rsidP="00672780">
      <w:pPr>
        <w:spacing w:before="240"/>
        <w:rPr>
          <w:b/>
          <w:bCs/>
        </w:rPr>
      </w:pPr>
      <w:r w:rsidRPr="00F453F7">
        <w:rPr>
          <w:b/>
          <w:bCs/>
        </w:rPr>
        <w:t>Outcome:</w:t>
      </w:r>
    </w:p>
    <w:p w:rsidR="00C317F3" w:rsidRDefault="00374DDF" w:rsidP="00F75D5A">
      <w:pPr>
        <w:rPr>
          <w:bCs/>
        </w:rPr>
      </w:pPr>
      <w:r w:rsidRPr="00F453F7">
        <w:rPr>
          <w:bCs/>
        </w:rPr>
        <w:t>Rejected</w:t>
      </w:r>
    </w:p>
    <w:p w:rsidR="00C205ED" w:rsidRDefault="00C205ED">
      <w:pPr>
        <w:spacing w:after="160" w:line="259" w:lineRule="auto"/>
        <w:rPr>
          <w:bCs/>
        </w:rPr>
      </w:pPr>
      <w:r>
        <w:rPr>
          <w:bCs/>
        </w:rPr>
        <w:br w:type="page"/>
      </w:r>
    </w:p>
    <w:p w:rsidR="00456D07" w:rsidRDefault="00456D07" w:rsidP="004D22DF">
      <w:pPr>
        <w:pStyle w:val="2-SectionHeading"/>
      </w:pPr>
      <w:r>
        <w:lastRenderedPageBreak/>
        <w:t>Context of Decision</w:t>
      </w:r>
    </w:p>
    <w:p w:rsidR="00456D07" w:rsidRPr="004D22DF" w:rsidRDefault="00456D07" w:rsidP="00456D07">
      <w:pPr>
        <w:rPr>
          <w:rFonts w:cs="Arial"/>
        </w:rPr>
      </w:pPr>
      <w:r w:rsidRPr="00C07617">
        <w:rPr>
          <w:rFonts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456D07" w:rsidRDefault="00456D07" w:rsidP="004D22DF">
      <w:pPr>
        <w:pStyle w:val="2-SectionHeading"/>
      </w:pPr>
      <w:r>
        <w:t>Sponsor’s Comments</w:t>
      </w:r>
    </w:p>
    <w:p w:rsidR="00456D07" w:rsidRPr="00456D07" w:rsidRDefault="00456D07" w:rsidP="00456D07">
      <w:pPr>
        <w:spacing w:after="120"/>
        <w:rPr>
          <w:rFonts w:cs="Arial"/>
          <w:bCs/>
        </w:rPr>
      </w:pPr>
      <w:r w:rsidRPr="00C07617">
        <w:rPr>
          <w:rFonts w:cs="Arial"/>
          <w:bCs/>
        </w:rPr>
        <w:t>The sponsor had no comment.</w:t>
      </w:r>
    </w:p>
    <w:sectPr w:rsidR="00456D07" w:rsidRPr="00456D07" w:rsidSect="0081687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B91856" w16cid:durableId="20FBD5FB"/>
  <w16cid:commentId w16cid:paraId="6098D836" w16cid:durableId="20FBDA6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64F" w:rsidRDefault="00FA264F" w:rsidP="00BA3306">
      <w:r>
        <w:separator/>
      </w:r>
    </w:p>
  </w:endnote>
  <w:endnote w:type="continuationSeparator" w:id="0">
    <w:p w:rsidR="00FA264F" w:rsidRDefault="00FA264F" w:rsidP="00BA3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64F" w:rsidRDefault="00FA26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64F" w:rsidRDefault="00FA264F">
    <w:pPr>
      <w:pStyle w:val="Footer"/>
      <w:jc w:val="center"/>
      <w:rPr>
        <w:b/>
      </w:rPr>
    </w:pPr>
  </w:p>
  <w:p w:rsidR="00FA264F" w:rsidRPr="00B47F44" w:rsidRDefault="00C15CB6" w:rsidP="00B47F44">
    <w:pPr>
      <w:pStyle w:val="Footer"/>
      <w:jc w:val="center"/>
      <w:rPr>
        <w:b/>
      </w:rPr>
    </w:pPr>
    <w:sdt>
      <w:sdtPr>
        <w:rPr>
          <w:b/>
        </w:rPr>
        <w:id w:val="-1404981624"/>
        <w:docPartObj>
          <w:docPartGallery w:val="Page Numbers (Bottom of Page)"/>
          <w:docPartUnique/>
        </w:docPartObj>
      </w:sdtPr>
      <w:sdtEndPr>
        <w:rPr>
          <w:noProof/>
        </w:rPr>
      </w:sdtEndPr>
      <w:sdtContent>
        <w:r w:rsidR="00FA264F" w:rsidRPr="008E75B1">
          <w:rPr>
            <w:b/>
          </w:rPr>
          <w:fldChar w:fldCharType="begin"/>
        </w:r>
        <w:r w:rsidR="00FA264F" w:rsidRPr="008E75B1">
          <w:rPr>
            <w:b/>
          </w:rPr>
          <w:instrText xml:space="preserve"> PAGE   \* MERGEFORMAT </w:instrText>
        </w:r>
        <w:r w:rsidR="00FA264F" w:rsidRPr="008E75B1">
          <w:rPr>
            <w:b/>
          </w:rPr>
          <w:fldChar w:fldCharType="separate"/>
        </w:r>
        <w:r>
          <w:rPr>
            <w:b/>
            <w:noProof/>
          </w:rPr>
          <w:t>7</w:t>
        </w:r>
        <w:r w:rsidR="00FA264F" w:rsidRPr="008E75B1">
          <w:rPr>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64F" w:rsidRDefault="00FA26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64F" w:rsidRDefault="00FA264F" w:rsidP="00BA3306">
      <w:r>
        <w:separator/>
      </w:r>
    </w:p>
  </w:footnote>
  <w:footnote w:type="continuationSeparator" w:id="0">
    <w:p w:rsidR="00FA264F" w:rsidRDefault="00FA264F" w:rsidP="00BA3306">
      <w:r>
        <w:continuationSeparator/>
      </w:r>
    </w:p>
  </w:footnote>
  <w:footnote w:id="1">
    <w:p w:rsidR="00FA264F" w:rsidRDefault="00FA264F" w:rsidP="00BC59E5">
      <w:pPr>
        <w:pStyle w:val="CommentText"/>
      </w:pPr>
      <w:r>
        <w:rPr>
          <w:rStyle w:val="FootnoteReference"/>
        </w:rPr>
        <w:footnoteRef/>
      </w:r>
      <w:r>
        <w:t xml:space="preserve"> </w:t>
      </w:r>
      <w:r w:rsidRPr="00527B6E">
        <w:rPr>
          <w:rFonts w:cstheme="minorHAnsi"/>
        </w:rPr>
        <w:t xml:space="preserve">Vera-Badillo et al, JCO 2019 </w:t>
      </w:r>
      <w:r w:rsidRPr="00527B6E">
        <w:rPr>
          <w:rFonts w:cstheme="minorHAnsi"/>
          <w:lang w:val="en"/>
        </w:rPr>
        <w:t>Jul 1 doi: 10.1200/JCO.18.02257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64F" w:rsidRDefault="00FA26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64F" w:rsidRPr="008E75B1" w:rsidRDefault="00FA264F" w:rsidP="00661CD8">
    <w:pPr>
      <w:pStyle w:val="Header"/>
      <w:jc w:val="center"/>
      <w:rPr>
        <w:i/>
      </w:rPr>
    </w:pPr>
    <w:r>
      <w:rPr>
        <w:i/>
      </w:rPr>
      <w:t>Public Summary Document – July 2019 PBAC Meeting</w:t>
    </w:r>
  </w:p>
  <w:p w:rsidR="00FA264F" w:rsidRPr="00E176C3" w:rsidRDefault="00FA264F" w:rsidP="00E176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64F" w:rsidRDefault="00FA26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B7E84"/>
    <w:multiLevelType w:val="hybridMultilevel"/>
    <w:tmpl w:val="B0AADE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5A85452"/>
    <w:multiLevelType w:val="hybridMultilevel"/>
    <w:tmpl w:val="27CE87A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284E6825"/>
    <w:multiLevelType w:val="multilevel"/>
    <w:tmpl w:val="3C5272C0"/>
    <w:lvl w:ilvl="0">
      <w:start w:val="1"/>
      <w:numFmt w:val="decimal"/>
      <w:pStyle w:val="Heading1"/>
      <w:lvlText w:val="%1"/>
      <w:lvlJc w:val="left"/>
      <w:pPr>
        <w:ind w:left="6386" w:hanging="432"/>
      </w:pPr>
      <w:rPr>
        <w:rFonts w:hint="default"/>
      </w:rPr>
    </w:lvl>
    <w:lvl w:ilvl="1">
      <w:start w:val="1"/>
      <w:numFmt w:val="decimal"/>
      <w:lvlText w:val="%1.%2"/>
      <w:lvlJc w:val="left"/>
      <w:pPr>
        <w:ind w:left="6530" w:hanging="576"/>
      </w:pPr>
      <w:rPr>
        <w:rFonts w:hint="default"/>
      </w:rPr>
    </w:lvl>
    <w:lvl w:ilvl="2">
      <w:start w:val="1"/>
      <w:numFmt w:val="decimal"/>
      <w:lvlText w:val="%1.%2.%3"/>
      <w:lvlJc w:val="left"/>
      <w:pPr>
        <w:ind w:left="6674" w:hanging="720"/>
      </w:pPr>
      <w:rPr>
        <w:rFonts w:hint="default"/>
      </w:rPr>
    </w:lvl>
    <w:lvl w:ilvl="3">
      <w:start w:val="1"/>
      <w:numFmt w:val="decimal"/>
      <w:lvlText w:val="%1.%2.%3.%4"/>
      <w:lvlJc w:val="left"/>
      <w:pPr>
        <w:ind w:left="6818" w:hanging="864"/>
      </w:pPr>
      <w:rPr>
        <w:rFonts w:hint="default"/>
      </w:rPr>
    </w:lvl>
    <w:lvl w:ilvl="4">
      <w:start w:val="1"/>
      <w:numFmt w:val="decimal"/>
      <w:lvlText w:val="%1.%2.%3.%4.%5"/>
      <w:lvlJc w:val="left"/>
      <w:pPr>
        <w:ind w:left="6962" w:hanging="1008"/>
      </w:pPr>
      <w:rPr>
        <w:rFonts w:hint="default"/>
      </w:rPr>
    </w:lvl>
    <w:lvl w:ilvl="5">
      <w:start w:val="1"/>
      <w:numFmt w:val="decimal"/>
      <w:lvlText w:val="%1.%2.%3.%4.%5.%6"/>
      <w:lvlJc w:val="left"/>
      <w:pPr>
        <w:ind w:left="7106" w:hanging="1152"/>
      </w:pPr>
      <w:rPr>
        <w:rFonts w:hint="default"/>
      </w:rPr>
    </w:lvl>
    <w:lvl w:ilvl="6">
      <w:start w:val="1"/>
      <w:numFmt w:val="decimal"/>
      <w:lvlText w:val="%1.%2.%3.%4.%5.%6.%7"/>
      <w:lvlJc w:val="left"/>
      <w:pPr>
        <w:ind w:left="7250" w:hanging="1296"/>
      </w:pPr>
      <w:rPr>
        <w:rFonts w:hint="default"/>
      </w:rPr>
    </w:lvl>
    <w:lvl w:ilvl="7">
      <w:start w:val="1"/>
      <w:numFmt w:val="decimal"/>
      <w:pStyle w:val="Heading8"/>
      <w:lvlText w:val="%1.%2.%3.%4.%5.%6.%7.%8"/>
      <w:lvlJc w:val="left"/>
      <w:pPr>
        <w:ind w:left="7394" w:hanging="1440"/>
      </w:pPr>
      <w:rPr>
        <w:rFonts w:hint="default"/>
      </w:rPr>
    </w:lvl>
    <w:lvl w:ilvl="8">
      <w:start w:val="1"/>
      <w:numFmt w:val="decimal"/>
      <w:lvlText w:val="%1.%2.%3.%4.%5.%6.%7.%8.%9"/>
      <w:lvlJc w:val="left"/>
      <w:pPr>
        <w:ind w:left="7538" w:hanging="1584"/>
      </w:pPr>
      <w:rPr>
        <w:rFonts w:hint="default"/>
      </w:rPr>
    </w:lvl>
  </w:abstractNum>
  <w:abstractNum w:abstractNumId="3" w15:restartNumberingAfterBreak="0">
    <w:nsid w:val="28CC4224"/>
    <w:multiLevelType w:val="hybridMultilevel"/>
    <w:tmpl w:val="20663CE0"/>
    <w:lvl w:ilvl="0" w:tplc="6BA28C76">
      <w:start w:val="1"/>
      <w:numFmt w:val="decimal"/>
      <w:lvlText w:val="%1."/>
      <w:lvlJc w:val="left"/>
      <w:pPr>
        <w:ind w:left="720" w:hanging="360"/>
      </w:pPr>
      <w:rPr>
        <w:rFonts w:asciiTheme="minorHAnsi" w:hAnsiTheme="minorHAnsi" w:cstheme="minorHAnsi" w:hint="default"/>
        <w:i/>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346AD7"/>
    <w:multiLevelType w:val="hybridMultilevel"/>
    <w:tmpl w:val="794A8E30"/>
    <w:lvl w:ilvl="0" w:tplc="2208152E">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33504C81"/>
    <w:multiLevelType w:val="hybridMultilevel"/>
    <w:tmpl w:val="C826D2FC"/>
    <w:lvl w:ilvl="0" w:tplc="78C46D9C">
      <w:start w:val="1"/>
      <w:numFmt w:val="bullet"/>
      <w:lvlText w:val="-"/>
      <w:lvlJc w:val="left"/>
      <w:pPr>
        <w:ind w:left="720" w:hanging="360"/>
      </w:pPr>
      <w:rPr>
        <w:rFonts w:ascii="Calibri" w:eastAsiaTheme="minorHAnsi" w:hAnsi="Calibri" w:cs="Calibri" w:hint="default"/>
      </w:rPr>
    </w:lvl>
    <w:lvl w:ilvl="1" w:tplc="8156535A">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442297"/>
    <w:multiLevelType w:val="hybridMultilevel"/>
    <w:tmpl w:val="6E8456A8"/>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B6687B"/>
    <w:multiLevelType w:val="hybridMultilevel"/>
    <w:tmpl w:val="37C288A2"/>
    <w:lvl w:ilvl="0" w:tplc="2A14BA30">
      <w:start w:val="1"/>
      <w:numFmt w:val="decimal"/>
      <w:lvlText w:val="%1."/>
      <w:lvlJc w:val="left"/>
      <w:pPr>
        <w:ind w:left="502" w:hanging="360"/>
      </w:pPr>
      <w:rPr>
        <w:rFonts w:asciiTheme="minorHAnsi" w:hAnsiTheme="minorHAnsi" w:cstheme="minorHAnsi" w:hint="default"/>
        <w:b w:val="0"/>
        <w:i w:val="0"/>
        <w:color w:val="auto"/>
      </w:rPr>
    </w:lvl>
    <w:lvl w:ilvl="1" w:tplc="0C090019">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9" w15:restartNumberingAfterBreak="0">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E769B3"/>
    <w:multiLevelType w:val="hybridMultilevel"/>
    <w:tmpl w:val="8B862D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6762B8D"/>
    <w:multiLevelType w:val="hybridMultilevel"/>
    <w:tmpl w:val="F55A3D8E"/>
    <w:lvl w:ilvl="0" w:tplc="8156535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4D033C"/>
    <w:multiLevelType w:val="multilevel"/>
    <w:tmpl w:val="ACA84AE0"/>
    <w:lvl w:ilvl="0">
      <w:start w:val="1"/>
      <w:numFmt w:val="decimal"/>
      <w:pStyle w:val="2-SectionHeading"/>
      <w:lvlText w:val="%1"/>
      <w:lvlJc w:val="left"/>
      <w:pPr>
        <w:ind w:left="720" w:hanging="720"/>
      </w:pPr>
      <w:rPr>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3-BodyText"/>
      <w:lvlText w:val="%1.%2"/>
      <w:lvlJc w:val="left"/>
      <w:pPr>
        <w:ind w:left="720" w:hanging="720"/>
      </w:pPr>
      <w:rPr>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9"/>
  </w:num>
  <w:num w:numId="3">
    <w:abstractNumId w:val="13"/>
  </w:num>
  <w:num w:numId="4">
    <w:abstractNumId w:val="4"/>
  </w:num>
  <w:num w:numId="5">
    <w:abstractNumId w:val="6"/>
  </w:num>
  <w:num w:numId="6">
    <w:abstractNumId w:val="12"/>
  </w:num>
  <w:num w:numId="7">
    <w:abstractNumId w:val="7"/>
  </w:num>
  <w:num w:numId="8">
    <w:abstractNumId w:val="1"/>
  </w:num>
  <w:num w:numId="9">
    <w:abstractNumId w:val="11"/>
  </w:num>
  <w:num w:numId="10">
    <w:abstractNumId w:val="3"/>
  </w:num>
  <w:num w:numId="11">
    <w:abstractNumId w:val="8"/>
  </w:num>
  <w:num w:numId="12">
    <w:abstractNumId w:val="10"/>
  </w:num>
  <w:num w:numId="13">
    <w:abstractNumId w:val="0"/>
  </w:num>
  <w:num w:numId="14">
    <w:abstractNumId w:val="1"/>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num>
  <w:num w:numId="18">
    <w:abstractNumId w:val="5"/>
  </w:num>
  <w:num w:numId="19">
    <w:abstractNumId w:val="13"/>
  </w:num>
  <w:num w:numId="20">
    <w:abstractNumId w:val="13"/>
  </w:num>
  <w:num w:numId="21">
    <w:abstractNumId w:val="5"/>
  </w:num>
  <w:num w:numId="22">
    <w:abstractNumId w:val="13"/>
  </w:num>
  <w:num w:numId="23">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6"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A29"/>
    <w:rsid w:val="00001AB4"/>
    <w:rsid w:val="00003CA0"/>
    <w:rsid w:val="000041E3"/>
    <w:rsid w:val="00004E19"/>
    <w:rsid w:val="0000566D"/>
    <w:rsid w:val="000101CD"/>
    <w:rsid w:val="0001066F"/>
    <w:rsid w:val="0001141D"/>
    <w:rsid w:val="0001225D"/>
    <w:rsid w:val="00013222"/>
    <w:rsid w:val="00014AE9"/>
    <w:rsid w:val="00015374"/>
    <w:rsid w:val="0002095B"/>
    <w:rsid w:val="00020C43"/>
    <w:rsid w:val="00022C41"/>
    <w:rsid w:val="00027A5E"/>
    <w:rsid w:val="00031A37"/>
    <w:rsid w:val="00032558"/>
    <w:rsid w:val="00034404"/>
    <w:rsid w:val="00035E20"/>
    <w:rsid w:val="00037C1F"/>
    <w:rsid w:val="000413D0"/>
    <w:rsid w:val="0004319E"/>
    <w:rsid w:val="00043295"/>
    <w:rsid w:val="00044205"/>
    <w:rsid w:val="00044929"/>
    <w:rsid w:val="00044D00"/>
    <w:rsid w:val="00045F90"/>
    <w:rsid w:val="000461CF"/>
    <w:rsid w:val="000524DD"/>
    <w:rsid w:val="00052A8B"/>
    <w:rsid w:val="00054DE1"/>
    <w:rsid w:val="00056491"/>
    <w:rsid w:val="00056894"/>
    <w:rsid w:val="00056A43"/>
    <w:rsid w:val="00057F71"/>
    <w:rsid w:val="00057FDE"/>
    <w:rsid w:val="00060474"/>
    <w:rsid w:val="00061C6B"/>
    <w:rsid w:val="00062067"/>
    <w:rsid w:val="00065C62"/>
    <w:rsid w:val="00065CDE"/>
    <w:rsid w:val="00065F4A"/>
    <w:rsid w:val="00066DAD"/>
    <w:rsid w:val="00070F28"/>
    <w:rsid w:val="00071F2A"/>
    <w:rsid w:val="00074527"/>
    <w:rsid w:val="00074D05"/>
    <w:rsid w:val="00076929"/>
    <w:rsid w:val="000771C3"/>
    <w:rsid w:val="00080DEC"/>
    <w:rsid w:val="00080FF3"/>
    <w:rsid w:val="00083E0A"/>
    <w:rsid w:val="00084308"/>
    <w:rsid w:val="000847FE"/>
    <w:rsid w:val="00085351"/>
    <w:rsid w:val="00086133"/>
    <w:rsid w:val="00086180"/>
    <w:rsid w:val="00086B6A"/>
    <w:rsid w:val="00086C75"/>
    <w:rsid w:val="00090193"/>
    <w:rsid w:val="00090491"/>
    <w:rsid w:val="00090E3D"/>
    <w:rsid w:val="00090ED9"/>
    <w:rsid w:val="0009268E"/>
    <w:rsid w:val="00093172"/>
    <w:rsid w:val="000938A0"/>
    <w:rsid w:val="00093FCD"/>
    <w:rsid w:val="00095683"/>
    <w:rsid w:val="000969A6"/>
    <w:rsid w:val="000A117B"/>
    <w:rsid w:val="000A2694"/>
    <w:rsid w:val="000A2EF1"/>
    <w:rsid w:val="000A4005"/>
    <w:rsid w:val="000A6FBD"/>
    <w:rsid w:val="000B3EC5"/>
    <w:rsid w:val="000B45C7"/>
    <w:rsid w:val="000B56CD"/>
    <w:rsid w:val="000B6B69"/>
    <w:rsid w:val="000C0142"/>
    <w:rsid w:val="000C1DF3"/>
    <w:rsid w:val="000C2408"/>
    <w:rsid w:val="000C49CD"/>
    <w:rsid w:val="000C6A40"/>
    <w:rsid w:val="000C6A75"/>
    <w:rsid w:val="000C707B"/>
    <w:rsid w:val="000C7E20"/>
    <w:rsid w:val="000D0023"/>
    <w:rsid w:val="000D0EB7"/>
    <w:rsid w:val="000D2E92"/>
    <w:rsid w:val="000D388E"/>
    <w:rsid w:val="000D643A"/>
    <w:rsid w:val="000E0D4A"/>
    <w:rsid w:val="000E61D9"/>
    <w:rsid w:val="000F0138"/>
    <w:rsid w:val="000F1DFE"/>
    <w:rsid w:val="000F2534"/>
    <w:rsid w:val="000F3608"/>
    <w:rsid w:val="000F3652"/>
    <w:rsid w:val="000F5F39"/>
    <w:rsid w:val="000F6AD0"/>
    <w:rsid w:val="001002C3"/>
    <w:rsid w:val="00100311"/>
    <w:rsid w:val="0010236F"/>
    <w:rsid w:val="00102F74"/>
    <w:rsid w:val="001031C1"/>
    <w:rsid w:val="00103900"/>
    <w:rsid w:val="001040AD"/>
    <w:rsid w:val="0010567A"/>
    <w:rsid w:val="00112FE3"/>
    <w:rsid w:val="00113108"/>
    <w:rsid w:val="00113328"/>
    <w:rsid w:val="0011785D"/>
    <w:rsid w:val="001202A6"/>
    <w:rsid w:val="001204E9"/>
    <w:rsid w:val="00122C21"/>
    <w:rsid w:val="001235D2"/>
    <w:rsid w:val="00126147"/>
    <w:rsid w:val="0012701F"/>
    <w:rsid w:val="001276DE"/>
    <w:rsid w:val="0012788B"/>
    <w:rsid w:val="001279AE"/>
    <w:rsid w:val="0013057A"/>
    <w:rsid w:val="0013092C"/>
    <w:rsid w:val="00135386"/>
    <w:rsid w:val="001368C0"/>
    <w:rsid w:val="00136E76"/>
    <w:rsid w:val="0013714E"/>
    <w:rsid w:val="001372A1"/>
    <w:rsid w:val="00140578"/>
    <w:rsid w:val="001407C5"/>
    <w:rsid w:val="001422CE"/>
    <w:rsid w:val="00142A12"/>
    <w:rsid w:val="00143441"/>
    <w:rsid w:val="00144668"/>
    <w:rsid w:val="00146599"/>
    <w:rsid w:val="001468C6"/>
    <w:rsid w:val="00146C47"/>
    <w:rsid w:val="00146FE8"/>
    <w:rsid w:val="00147E4C"/>
    <w:rsid w:val="0015546E"/>
    <w:rsid w:val="00160482"/>
    <w:rsid w:val="001622C8"/>
    <w:rsid w:val="00164283"/>
    <w:rsid w:val="00165A49"/>
    <w:rsid w:val="001669BE"/>
    <w:rsid w:val="0016716B"/>
    <w:rsid w:val="00170098"/>
    <w:rsid w:val="00170388"/>
    <w:rsid w:val="00172186"/>
    <w:rsid w:val="001722AD"/>
    <w:rsid w:val="00172769"/>
    <w:rsid w:val="00173577"/>
    <w:rsid w:val="0017418E"/>
    <w:rsid w:val="0017466C"/>
    <w:rsid w:val="00175F2F"/>
    <w:rsid w:val="0017638E"/>
    <w:rsid w:val="00176AA5"/>
    <w:rsid w:val="0017720E"/>
    <w:rsid w:val="00177893"/>
    <w:rsid w:val="001807D6"/>
    <w:rsid w:val="001841AC"/>
    <w:rsid w:val="00184221"/>
    <w:rsid w:val="00186307"/>
    <w:rsid w:val="00186EBC"/>
    <w:rsid w:val="00187BDD"/>
    <w:rsid w:val="00190650"/>
    <w:rsid w:val="00190B7A"/>
    <w:rsid w:val="00191003"/>
    <w:rsid w:val="0019595F"/>
    <w:rsid w:val="00195DA4"/>
    <w:rsid w:val="00197367"/>
    <w:rsid w:val="001A0142"/>
    <w:rsid w:val="001A02B2"/>
    <w:rsid w:val="001A06EB"/>
    <w:rsid w:val="001B00CE"/>
    <w:rsid w:val="001B5D3D"/>
    <w:rsid w:val="001B62AD"/>
    <w:rsid w:val="001B6389"/>
    <w:rsid w:val="001B6EC7"/>
    <w:rsid w:val="001B7B1F"/>
    <w:rsid w:val="001C0317"/>
    <w:rsid w:val="001C04CC"/>
    <w:rsid w:val="001C051E"/>
    <w:rsid w:val="001C071B"/>
    <w:rsid w:val="001C4A7E"/>
    <w:rsid w:val="001C5443"/>
    <w:rsid w:val="001D2327"/>
    <w:rsid w:val="001D36EB"/>
    <w:rsid w:val="001D4723"/>
    <w:rsid w:val="001D5DE3"/>
    <w:rsid w:val="001D726B"/>
    <w:rsid w:val="001E26A9"/>
    <w:rsid w:val="001E2D15"/>
    <w:rsid w:val="001E2D6C"/>
    <w:rsid w:val="001E3039"/>
    <w:rsid w:val="001E4361"/>
    <w:rsid w:val="001E51FD"/>
    <w:rsid w:val="001E577D"/>
    <w:rsid w:val="001E5918"/>
    <w:rsid w:val="001E6EE7"/>
    <w:rsid w:val="001E76CE"/>
    <w:rsid w:val="001E77A0"/>
    <w:rsid w:val="001E786C"/>
    <w:rsid w:val="001F073C"/>
    <w:rsid w:val="001F12E2"/>
    <w:rsid w:val="001F2912"/>
    <w:rsid w:val="001F2EB2"/>
    <w:rsid w:val="001F379E"/>
    <w:rsid w:val="001F39F8"/>
    <w:rsid w:val="001F415B"/>
    <w:rsid w:val="001F41A8"/>
    <w:rsid w:val="001F6E57"/>
    <w:rsid w:val="002001C6"/>
    <w:rsid w:val="00200296"/>
    <w:rsid w:val="00200FB0"/>
    <w:rsid w:val="00201ADB"/>
    <w:rsid w:val="00203860"/>
    <w:rsid w:val="00203921"/>
    <w:rsid w:val="002058E5"/>
    <w:rsid w:val="00210FAA"/>
    <w:rsid w:val="00211272"/>
    <w:rsid w:val="002123B5"/>
    <w:rsid w:val="00213404"/>
    <w:rsid w:val="002135F3"/>
    <w:rsid w:val="002172BA"/>
    <w:rsid w:val="00222A79"/>
    <w:rsid w:val="0022306B"/>
    <w:rsid w:val="002234A6"/>
    <w:rsid w:val="00223CCA"/>
    <w:rsid w:val="00223F6B"/>
    <w:rsid w:val="00224FAB"/>
    <w:rsid w:val="00231B9C"/>
    <w:rsid w:val="002326AD"/>
    <w:rsid w:val="002329F1"/>
    <w:rsid w:val="002370E4"/>
    <w:rsid w:val="00237458"/>
    <w:rsid w:val="002375DD"/>
    <w:rsid w:val="00242502"/>
    <w:rsid w:val="002425EA"/>
    <w:rsid w:val="00242EA0"/>
    <w:rsid w:val="00243685"/>
    <w:rsid w:val="00244D05"/>
    <w:rsid w:val="0024593B"/>
    <w:rsid w:val="00247748"/>
    <w:rsid w:val="00247C3C"/>
    <w:rsid w:val="00250EA3"/>
    <w:rsid w:val="0025164E"/>
    <w:rsid w:val="00254F42"/>
    <w:rsid w:val="0025613F"/>
    <w:rsid w:val="002612DE"/>
    <w:rsid w:val="00261DC6"/>
    <w:rsid w:val="00262A96"/>
    <w:rsid w:val="00264623"/>
    <w:rsid w:val="00266714"/>
    <w:rsid w:val="00266826"/>
    <w:rsid w:val="00270E5E"/>
    <w:rsid w:val="00273C92"/>
    <w:rsid w:val="00274BC4"/>
    <w:rsid w:val="002750B0"/>
    <w:rsid w:val="00280B5B"/>
    <w:rsid w:val="00282C54"/>
    <w:rsid w:val="00282D1F"/>
    <w:rsid w:val="002836DF"/>
    <w:rsid w:val="00283705"/>
    <w:rsid w:val="0029035D"/>
    <w:rsid w:val="002907B7"/>
    <w:rsid w:val="002928F4"/>
    <w:rsid w:val="00294DC4"/>
    <w:rsid w:val="002965C5"/>
    <w:rsid w:val="002A0A5C"/>
    <w:rsid w:val="002A0E3C"/>
    <w:rsid w:val="002A1176"/>
    <w:rsid w:val="002A1DA2"/>
    <w:rsid w:val="002A2AF4"/>
    <w:rsid w:val="002A3510"/>
    <w:rsid w:val="002A3793"/>
    <w:rsid w:val="002A4503"/>
    <w:rsid w:val="002A4EE7"/>
    <w:rsid w:val="002A557B"/>
    <w:rsid w:val="002B016E"/>
    <w:rsid w:val="002B24B5"/>
    <w:rsid w:val="002B3D45"/>
    <w:rsid w:val="002B4941"/>
    <w:rsid w:val="002B56E1"/>
    <w:rsid w:val="002B5D74"/>
    <w:rsid w:val="002B607D"/>
    <w:rsid w:val="002B6900"/>
    <w:rsid w:val="002B74AA"/>
    <w:rsid w:val="002B7ADB"/>
    <w:rsid w:val="002B7CD2"/>
    <w:rsid w:val="002C1D2F"/>
    <w:rsid w:val="002C438C"/>
    <w:rsid w:val="002C5246"/>
    <w:rsid w:val="002C52F9"/>
    <w:rsid w:val="002C566D"/>
    <w:rsid w:val="002C595C"/>
    <w:rsid w:val="002C6732"/>
    <w:rsid w:val="002D080E"/>
    <w:rsid w:val="002D2C94"/>
    <w:rsid w:val="002D2FCA"/>
    <w:rsid w:val="002D34C2"/>
    <w:rsid w:val="002D36C6"/>
    <w:rsid w:val="002D4F92"/>
    <w:rsid w:val="002D7823"/>
    <w:rsid w:val="002E0CAE"/>
    <w:rsid w:val="002E12F3"/>
    <w:rsid w:val="002E3BD9"/>
    <w:rsid w:val="002E4116"/>
    <w:rsid w:val="002E42FD"/>
    <w:rsid w:val="002E4450"/>
    <w:rsid w:val="002E4C2D"/>
    <w:rsid w:val="002E5DEA"/>
    <w:rsid w:val="002E7069"/>
    <w:rsid w:val="002E724A"/>
    <w:rsid w:val="002F0CC4"/>
    <w:rsid w:val="002F1D95"/>
    <w:rsid w:val="002F311E"/>
    <w:rsid w:val="002F424E"/>
    <w:rsid w:val="002F52D3"/>
    <w:rsid w:val="002F53D6"/>
    <w:rsid w:val="002F61A0"/>
    <w:rsid w:val="002F6248"/>
    <w:rsid w:val="002F71B8"/>
    <w:rsid w:val="0030057F"/>
    <w:rsid w:val="00300D68"/>
    <w:rsid w:val="00301705"/>
    <w:rsid w:val="00301EA1"/>
    <w:rsid w:val="00301F64"/>
    <w:rsid w:val="00302A0E"/>
    <w:rsid w:val="00302FCC"/>
    <w:rsid w:val="003052FE"/>
    <w:rsid w:val="003062AE"/>
    <w:rsid w:val="00307108"/>
    <w:rsid w:val="00307352"/>
    <w:rsid w:val="00307CF8"/>
    <w:rsid w:val="00310EC4"/>
    <w:rsid w:val="00311F94"/>
    <w:rsid w:val="0031233A"/>
    <w:rsid w:val="003128DB"/>
    <w:rsid w:val="003144F3"/>
    <w:rsid w:val="00315514"/>
    <w:rsid w:val="00315881"/>
    <w:rsid w:val="003202EF"/>
    <w:rsid w:val="00320D1C"/>
    <w:rsid w:val="003214DE"/>
    <w:rsid w:val="00321D90"/>
    <w:rsid w:val="00323DFB"/>
    <w:rsid w:val="00324625"/>
    <w:rsid w:val="00327485"/>
    <w:rsid w:val="00327B3F"/>
    <w:rsid w:val="00327E58"/>
    <w:rsid w:val="00333563"/>
    <w:rsid w:val="003341AC"/>
    <w:rsid w:val="00334ACF"/>
    <w:rsid w:val="003360C6"/>
    <w:rsid w:val="00341A14"/>
    <w:rsid w:val="00343D1F"/>
    <w:rsid w:val="00343EBE"/>
    <w:rsid w:val="003457E6"/>
    <w:rsid w:val="00346264"/>
    <w:rsid w:val="00346314"/>
    <w:rsid w:val="003466AD"/>
    <w:rsid w:val="00351381"/>
    <w:rsid w:val="0035250D"/>
    <w:rsid w:val="00352F90"/>
    <w:rsid w:val="003530A6"/>
    <w:rsid w:val="00353627"/>
    <w:rsid w:val="00355F72"/>
    <w:rsid w:val="00357657"/>
    <w:rsid w:val="00361BBC"/>
    <w:rsid w:val="003639A6"/>
    <w:rsid w:val="00363B85"/>
    <w:rsid w:val="003644CF"/>
    <w:rsid w:val="00364C5A"/>
    <w:rsid w:val="0036543C"/>
    <w:rsid w:val="003679AE"/>
    <w:rsid w:val="00371DCE"/>
    <w:rsid w:val="00374DDF"/>
    <w:rsid w:val="00374E17"/>
    <w:rsid w:val="00375B76"/>
    <w:rsid w:val="0037678A"/>
    <w:rsid w:val="00380A2C"/>
    <w:rsid w:val="00380FAC"/>
    <w:rsid w:val="00381D7C"/>
    <w:rsid w:val="0038281C"/>
    <w:rsid w:val="003828DB"/>
    <w:rsid w:val="00383677"/>
    <w:rsid w:val="003845B8"/>
    <w:rsid w:val="003851FE"/>
    <w:rsid w:val="00385A64"/>
    <w:rsid w:val="00386D1A"/>
    <w:rsid w:val="00390737"/>
    <w:rsid w:val="003937C5"/>
    <w:rsid w:val="0039489B"/>
    <w:rsid w:val="00396879"/>
    <w:rsid w:val="00396BDC"/>
    <w:rsid w:val="00397170"/>
    <w:rsid w:val="00397884"/>
    <w:rsid w:val="003A2095"/>
    <w:rsid w:val="003A3433"/>
    <w:rsid w:val="003A4621"/>
    <w:rsid w:val="003A537E"/>
    <w:rsid w:val="003A5D83"/>
    <w:rsid w:val="003A660F"/>
    <w:rsid w:val="003A6AE4"/>
    <w:rsid w:val="003A6B13"/>
    <w:rsid w:val="003A7F4C"/>
    <w:rsid w:val="003B095E"/>
    <w:rsid w:val="003B0EB7"/>
    <w:rsid w:val="003B10A3"/>
    <w:rsid w:val="003B1E3B"/>
    <w:rsid w:val="003B2E89"/>
    <w:rsid w:val="003B4808"/>
    <w:rsid w:val="003B59ED"/>
    <w:rsid w:val="003B5B5C"/>
    <w:rsid w:val="003C0BF9"/>
    <w:rsid w:val="003C0EAF"/>
    <w:rsid w:val="003C1A9F"/>
    <w:rsid w:val="003C2002"/>
    <w:rsid w:val="003C5406"/>
    <w:rsid w:val="003C5F28"/>
    <w:rsid w:val="003D0040"/>
    <w:rsid w:val="003D0043"/>
    <w:rsid w:val="003D0EEA"/>
    <w:rsid w:val="003D11A9"/>
    <w:rsid w:val="003D1A74"/>
    <w:rsid w:val="003D1CDB"/>
    <w:rsid w:val="003D2650"/>
    <w:rsid w:val="003D2A37"/>
    <w:rsid w:val="003D357A"/>
    <w:rsid w:val="003D4959"/>
    <w:rsid w:val="003D69EF"/>
    <w:rsid w:val="003D7F8C"/>
    <w:rsid w:val="003E03E4"/>
    <w:rsid w:val="003E0EDB"/>
    <w:rsid w:val="003E2A6E"/>
    <w:rsid w:val="003E60F1"/>
    <w:rsid w:val="003E6475"/>
    <w:rsid w:val="003E6E1A"/>
    <w:rsid w:val="003F105A"/>
    <w:rsid w:val="003F12D7"/>
    <w:rsid w:val="003F283D"/>
    <w:rsid w:val="003F3C90"/>
    <w:rsid w:val="003F3CF4"/>
    <w:rsid w:val="003F4B57"/>
    <w:rsid w:val="003F6199"/>
    <w:rsid w:val="003F713A"/>
    <w:rsid w:val="00400749"/>
    <w:rsid w:val="004012EF"/>
    <w:rsid w:val="00401330"/>
    <w:rsid w:val="004033BF"/>
    <w:rsid w:val="00405079"/>
    <w:rsid w:val="00406B89"/>
    <w:rsid w:val="004103EF"/>
    <w:rsid w:val="00411EF3"/>
    <w:rsid w:val="00411FE7"/>
    <w:rsid w:val="00412928"/>
    <w:rsid w:val="004136CA"/>
    <w:rsid w:val="00415138"/>
    <w:rsid w:val="00416711"/>
    <w:rsid w:val="00417F28"/>
    <w:rsid w:val="00421450"/>
    <w:rsid w:val="004223BF"/>
    <w:rsid w:val="00422A15"/>
    <w:rsid w:val="00423304"/>
    <w:rsid w:val="004248A0"/>
    <w:rsid w:val="004267F8"/>
    <w:rsid w:val="00426D60"/>
    <w:rsid w:val="00427335"/>
    <w:rsid w:val="00427E55"/>
    <w:rsid w:val="00430394"/>
    <w:rsid w:val="00433DEA"/>
    <w:rsid w:val="00435E17"/>
    <w:rsid w:val="00437BB5"/>
    <w:rsid w:val="00442134"/>
    <w:rsid w:val="00443DCD"/>
    <w:rsid w:val="0044450B"/>
    <w:rsid w:val="00445CA7"/>
    <w:rsid w:val="0045217D"/>
    <w:rsid w:val="00453687"/>
    <w:rsid w:val="00453887"/>
    <w:rsid w:val="004539CC"/>
    <w:rsid w:val="00453BAE"/>
    <w:rsid w:val="00453D59"/>
    <w:rsid w:val="00454493"/>
    <w:rsid w:val="00455E7A"/>
    <w:rsid w:val="00456D07"/>
    <w:rsid w:val="004570C8"/>
    <w:rsid w:val="004575EE"/>
    <w:rsid w:val="004603F2"/>
    <w:rsid w:val="00460691"/>
    <w:rsid w:val="00460B95"/>
    <w:rsid w:val="004619BB"/>
    <w:rsid w:val="00461A7F"/>
    <w:rsid w:val="00461CB5"/>
    <w:rsid w:val="00463179"/>
    <w:rsid w:val="004632DF"/>
    <w:rsid w:val="00465D3F"/>
    <w:rsid w:val="0046621E"/>
    <w:rsid w:val="00472D4D"/>
    <w:rsid w:val="00473F2F"/>
    <w:rsid w:val="00474B3C"/>
    <w:rsid w:val="004765A8"/>
    <w:rsid w:val="0048175F"/>
    <w:rsid w:val="004817CA"/>
    <w:rsid w:val="00481B10"/>
    <w:rsid w:val="00481DB9"/>
    <w:rsid w:val="00484F24"/>
    <w:rsid w:val="00486194"/>
    <w:rsid w:val="0049004E"/>
    <w:rsid w:val="00491101"/>
    <w:rsid w:val="004919DD"/>
    <w:rsid w:val="0049284D"/>
    <w:rsid w:val="00492EF7"/>
    <w:rsid w:val="00494F7C"/>
    <w:rsid w:val="00494F9B"/>
    <w:rsid w:val="004958C0"/>
    <w:rsid w:val="00495BF4"/>
    <w:rsid w:val="004966D3"/>
    <w:rsid w:val="00496FB5"/>
    <w:rsid w:val="004A2B27"/>
    <w:rsid w:val="004A2DF5"/>
    <w:rsid w:val="004A4EF3"/>
    <w:rsid w:val="004A54BF"/>
    <w:rsid w:val="004A5AA2"/>
    <w:rsid w:val="004A78F6"/>
    <w:rsid w:val="004B17D0"/>
    <w:rsid w:val="004B3C00"/>
    <w:rsid w:val="004B3FDA"/>
    <w:rsid w:val="004B48A0"/>
    <w:rsid w:val="004B62CC"/>
    <w:rsid w:val="004C1D9F"/>
    <w:rsid w:val="004C1F6B"/>
    <w:rsid w:val="004C3A94"/>
    <w:rsid w:val="004C3F96"/>
    <w:rsid w:val="004C5DCF"/>
    <w:rsid w:val="004C657F"/>
    <w:rsid w:val="004D1006"/>
    <w:rsid w:val="004D1DCE"/>
    <w:rsid w:val="004D22DF"/>
    <w:rsid w:val="004D2A70"/>
    <w:rsid w:val="004D4152"/>
    <w:rsid w:val="004D45DF"/>
    <w:rsid w:val="004D50FA"/>
    <w:rsid w:val="004D6945"/>
    <w:rsid w:val="004E0C0B"/>
    <w:rsid w:val="004E13E6"/>
    <w:rsid w:val="004E2125"/>
    <w:rsid w:val="004E3502"/>
    <w:rsid w:val="004E387A"/>
    <w:rsid w:val="004E4BD3"/>
    <w:rsid w:val="004E6B0B"/>
    <w:rsid w:val="004F1239"/>
    <w:rsid w:val="004F20ED"/>
    <w:rsid w:val="004F3688"/>
    <w:rsid w:val="004F3AAE"/>
    <w:rsid w:val="004F42A6"/>
    <w:rsid w:val="004F4415"/>
    <w:rsid w:val="004F4B70"/>
    <w:rsid w:val="004F4BDE"/>
    <w:rsid w:val="004F5B4F"/>
    <w:rsid w:val="004F6163"/>
    <w:rsid w:val="004F7305"/>
    <w:rsid w:val="004F75BF"/>
    <w:rsid w:val="004F7CAC"/>
    <w:rsid w:val="005006A7"/>
    <w:rsid w:val="0050257B"/>
    <w:rsid w:val="00502703"/>
    <w:rsid w:val="00504C07"/>
    <w:rsid w:val="0050534D"/>
    <w:rsid w:val="00506669"/>
    <w:rsid w:val="00507150"/>
    <w:rsid w:val="00507713"/>
    <w:rsid w:val="00507CC3"/>
    <w:rsid w:val="0051069C"/>
    <w:rsid w:val="00511320"/>
    <w:rsid w:val="00512740"/>
    <w:rsid w:val="00512946"/>
    <w:rsid w:val="00513DD8"/>
    <w:rsid w:val="00513F2E"/>
    <w:rsid w:val="00514227"/>
    <w:rsid w:val="005143F9"/>
    <w:rsid w:val="00516566"/>
    <w:rsid w:val="00517064"/>
    <w:rsid w:val="005218C3"/>
    <w:rsid w:val="00524C68"/>
    <w:rsid w:val="00527207"/>
    <w:rsid w:val="00527B6E"/>
    <w:rsid w:val="00531C11"/>
    <w:rsid w:val="0053299C"/>
    <w:rsid w:val="0053452C"/>
    <w:rsid w:val="0053489E"/>
    <w:rsid w:val="00535580"/>
    <w:rsid w:val="00535C74"/>
    <w:rsid w:val="005361AB"/>
    <w:rsid w:val="00536789"/>
    <w:rsid w:val="005369F6"/>
    <w:rsid w:val="00540057"/>
    <w:rsid w:val="005402B0"/>
    <w:rsid w:val="00540643"/>
    <w:rsid w:val="00541D43"/>
    <w:rsid w:val="00542068"/>
    <w:rsid w:val="00543629"/>
    <w:rsid w:val="00543AF9"/>
    <w:rsid w:val="00544C06"/>
    <w:rsid w:val="0054582A"/>
    <w:rsid w:val="0055024D"/>
    <w:rsid w:val="005512C3"/>
    <w:rsid w:val="0055532F"/>
    <w:rsid w:val="005558A9"/>
    <w:rsid w:val="00556522"/>
    <w:rsid w:val="0055689E"/>
    <w:rsid w:val="00561D24"/>
    <w:rsid w:val="005626AA"/>
    <w:rsid w:val="0056331F"/>
    <w:rsid w:val="00564198"/>
    <w:rsid w:val="00564650"/>
    <w:rsid w:val="00564898"/>
    <w:rsid w:val="00565D32"/>
    <w:rsid w:val="00567FB2"/>
    <w:rsid w:val="0057122D"/>
    <w:rsid w:val="00571B7E"/>
    <w:rsid w:val="0057415D"/>
    <w:rsid w:val="00575B83"/>
    <w:rsid w:val="00576644"/>
    <w:rsid w:val="00576ADE"/>
    <w:rsid w:val="005772A8"/>
    <w:rsid w:val="00577CFD"/>
    <w:rsid w:val="00577DEF"/>
    <w:rsid w:val="00581265"/>
    <w:rsid w:val="005817E8"/>
    <w:rsid w:val="005829DB"/>
    <w:rsid w:val="00582C22"/>
    <w:rsid w:val="00583366"/>
    <w:rsid w:val="00584B57"/>
    <w:rsid w:val="00585286"/>
    <w:rsid w:val="00585347"/>
    <w:rsid w:val="005854A7"/>
    <w:rsid w:val="00585934"/>
    <w:rsid w:val="00586D7F"/>
    <w:rsid w:val="00587023"/>
    <w:rsid w:val="0059044C"/>
    <w:rsid w:val="00591306"/>
    <w:rsid w:val="005919C9"/>
    <w:rsid w:val="005924A7"/>
    <w:rsid w:val="00592994"/>
    <w:rsid w:val="00593157"/>
    <w:rsid w:val="005948F6"/>
    <w:rsid w:val="005949B1"/>
    <w:rsid w:val="00594BA1"/>
    <w:rsid w:val="00597972"/>
    <w:rsid w:val="005A1A3C"/>
    <w:rsid w:val="005A4F7E"/>
    <w:rsid w:val="005A78E5"/>
    <w:rsid w:val="005B0DA7"/>
    <w:rsid w:val="005B138C"/>
    <w:rsid w:val="005B25F1"/>
    <w:rsid w:val="005B4086"/>
    <w:rsid w:val="005B5762"/>
    <w:rsid w:val="005B6D2F"/>
    <w:rsid w:val="005B7859"/>
    <w:rsid w:val="005C0C36"/>
    <w:rsid w:val="005C29E8"/>
    <w:rsid w:val="005C3BD2"/>
    <w:rsid w:val="005C4737"/>
    <w:rsid w:val="005C5BDB"/>
    <w:rsid w:val="005C6285"/>
    <w:rsid w:val="005C6719"/>
    <w:rsid w:val="005D0372"/>
    <w:rsid w:val="005D1237"/>
    <w:rsid w:val="005D124F"/>
    <w:rsid w:val="005D12C0"/>
    <w:rsid w:val="005D5BA1"/>
    <w:rsid w:val="005D622E"/>
    <w:rsid w:val="005E40B9"/>
    <w:rsid w:val="005E49B2"/>
    <w:rsid w:val="005E4CD2"/>
    <w:rsid w:val="005E51AE"/>
    <w:rsid w:val="005F0AE8"/>
    <w:rsid w:val="005F1145"/>
    <w:rsid w:val="005F1724"/>
    <w:rsid w:val="005F181F"/>
    <w:rsid w:val="005F2A6B"/>
    <w:rsid w:val="005F40C1"/>
    <w:rsid w:val="005F519B"/>
    <w:rsid w:val="005F7512"/>
    <w:rsid w:val="005F7B3A"/>
    <w:rsid w:val="00600C40"/>
    <w:rsid w:val="006024D3"/>
    <w:rsid w:val="00602645"/>
    <w:rsid w:val="0060369B"/>
    <w:rsid w:val="00604104"/>
    <w:rsid w:val="0060498C"/>
    <w:rsid w:val="00604FE2"/>
    <w:rsid w:val="0060530B"/>
    <w:rsid w:val="00605322"/>
    <w:rsid w:val="00606EF9"/>
    <w:rsid w:val="0060706A"/>
    <w:rsid w:val="006070C4"/>
    <w:rsid w:val="00607758"/>
    <w:rsid w:val="00610D5E"/>
    <w:rsid w:val="006110E8"/>
    <w:rsid w:val="006113CF"/>
    <w:rsid w:val="00612F61"/>
    <w:rsid w:val="00613225"/>
    <w:rsid w:val="00613467"/>
    <w:rsid w:val="006144E0"/>
    <w:rsid w:val="00616E2A"/>
    <w:rsid w:val="006208E4"/>
    <w:rsid w:val="00621DFD"/>
    <w:rsid w:val="00622082"/>
    <w:rsid w:val="0062234C"/>
    <w:rsid w:val="006236E8"/>
    <w:rsid w:val="006240CA"/>
    <w:rsid w:val="0062414D"/>
    <w:rsid w:val="00624315"/>
    <w:rsid w:val="0062545B"/>
    <w:rsid w:val="0062552A"/>
    <w:rsid w:val="00626622"/>
    <w:rsid w:val="00631325"/>
    <w:rsid w:val="00632B02"/>
    <w:rsid w:val="006332BE"/>
    <w:rsid w:val="00636C45"/>
    <w:rsid w:val="0064062A"/>
    <w:rsid w:val="006408C3"/>
    <w:rsid w:val="00642970"/>
    <w:rsid w:val="00642A2F"/>
    <w:rsid w:val="00642A53"/>
    <w:rsid w:val="0064449E"/>
    <w:rsid w:val="00645C92"/>
    <w:rsid w:val="0064620D"/>
    <w:rsid w:val="006474FE"/>
    <w:rsid w:val="00647E5F"/>
    <w:rsid w:val="006505F1"/>
    <w:rsid w:val="00650715"/>
    <w:rsid w:val="006508A4"/>
    <w:rsid w:val="00653D8C"/>
    <w:rsid w:val="00655D9C"/>
    <w:rsid w:val="00655E52"/>
    <w:rsid w:val="00656C29"/>
    <w:rsid w:val="00657754"/>
    <w:rsid w:val="00657A9F"/>
    <w:rsid w:val="00660455"/>
    <w:rsid w:val="00661286"/>
    <w:rsid w:val="00661CD8"/>
    <w:rsid w:val="00662DFF"/>
    <w:rsid w:val="00662F5C"/>
    <w:rsid w:val="00664356"/>
    <w:rsid w:val="00665EC5"/>
    <w:rsid w:val="00666811"/>
    <w:rsid w:val="00666A5A"/>
    <w:rsid w:val="00666C43"/>
    <w:rsid w:val="00666E7D"/>
    <w:rsid w:val="0067039C"/>
    <w:rsid w:val="006716DB"/>
    <w:rsid w:val="00671B43"/>
    <w:rsid w:val="00672120"/>
    <w:rsid w:val="00672780"/>
    <w:rsid w:val="00672A35"/>
    <w:rsid w:val="00673BFD"/>
    <w:rsid w:val="006759C1"/>
    <w:rsid w:val="006833B8"/>
    <w:rsid w:val="006841F9"/>
    <w:rsid w:val="006849CC"/>
    <w:rsid w:val="006861B6"/>
    <w:rsid w:val="0068733F"/>
    <w:rsid w:val="00690019"/>
    <w:rsid w:val="00690EF8"/>
    <w:rsid w:val="00691913"/>
    <w:rsid w:val="00691BA2"/>
    <w:rsid w:val="00691F49"/>
    <w:rsid w:val="00692389"/>
    <w:rsid w:val="00692FB3"/>
    <w:rsid w:val="006931B7"/>
    <w:rsid w:val="00693AB2"/>
    <w:rsid w:val="00696342"/>
    <w:rsid w:val="00697965"/>
    <w:rsid w:val="00697C40"/>
    <w:rsid w:val="006A138B"/>
    <w:rsid w:val="006A1807"/>
    <w:rsid w:val="006A1990"/>
    <w:rsid w:val="006A1F15"/>
    <w:rsid w:val="006A2E99"/>
    <w:rsid w:val="006A3855"/>
    <w:rsid w:val="006A3F03"/>
    <w:rsid w:val="006A4B13"/>
    <w:rsid w:val="006A7D6C"/>
    <w:rsid w:val="006B09AB"/>
    <w:rsid w:val="006B140A"/>
    <w:rsid w:val="006C033A"/>
    <w:rsid w:val="006C0507"/>
    <w:rsid w:val="006C1011"/>
    <w:rsid w:val="006C4906"/>
    <w:rsid w:val="006C4C2E"/>
    <w:rsid w:val="006C607B"/>
    <w:rsid w:val="006C6085"/>
    <w:rsid w:val="006C6D84"/>
    <w:rsid w:val="006D27A2"/>
    <w:rsid w:val="006D2DE6"/>
    <w:rsid w:val="006D3271"/>
    <w:rsid w:val="006D3BAF"/>
    <w:rsid w:val="006D75BF"/>
    <w:rsid w:val="006E0BDE"/>
    <w:rsid w:val="006E2334"/>
    <w:rsid w:val="006E5877"/>
    <w:rsid w:val="006E6477"/>
    <w:rsid w:val="006E6B86"/>
    <w:rsid w:val="006E6FD7"/>
    <w:rsid w:val="006E7302"/>
    <w:rsid w:val="006F161E"/>
    <w:rsid w:val="006F21CC"/>
    <w:rsid w:val="006F3C3F"/>
    <w:rsid w:val="00701259"/>
    <w:rsid w:val="00704C0C"/>
    <w:rsid w:val="00705798"/>
    <w:rsid w:val="00706101"/>
    <w:rsid w:val="00707082"/>
    <w:rsid w:val="00707412"/>
    <w:rsid w:val="0071032C"/>
    <w:rsid w:val="0071064C"/>
    <w:rsid w:val="00710BCE"/>
    <w:rsid w:val="00712B14"/>
    <w:rsid w:val="00712C73"/>
    <w:rsid w:val="00712E9D"/>
    <w:rsid w:val="007147F4"/>
    <w:rsid w:val="00715428"/>
    <w:rsid w:val="0071658D"/>
    <w:rsid w:val="00716600"/>
    <w:rsid w:val="00720FD4"/>
    <w:rsid w:val="00722FCA"/>
    <w:rsid w:val="00723AB1"/>
    <w:rsid w:val="00723E1E"/>
    <w:rsid w:val="00724906"/>
    <w:rsid w:val="00725F23"/>
    <w:rsid w:val="007261C4"/>
    <w:rsid w:val="00726ABB"/>
    <w:rsid w:val="00735A37"/>
    <w:rsid w:val="007360E9"/>
    <w:rsid w:val="0073676B"/>
    <w:rsid w:val="00736E7C"/>
    <w:rsid w:val="007414A1"/>
    <w:rsid w:val="00741511"/>
    <w:rsid w:val="00741521"/>
    <w:rsid w:val="007420CE"/>
    <w:rsid w:val="007453D5"/>
    <w:rsid w:val="00745ABD"/>
    <w:rsid w:val="00745DDB"/>
    <w:rsid w:val="00747333"/>
    <w:rsid w:val="0075015D"/>
    <w:rsid w:val="007509A6"/>
    <w:rsid w:val="00750B5A"/>
    <w:rsid w:val="00751984"/>
    <w:rsid w:val="00753241"/>
    <w:rsid w:val="00753F6F"/>
    <w:rsid w:val="00755F0E"/>
    <w:rsid w:val="00756953"/>
    <w:rsid w:val="007602E1"/>
    <w:rsid w:val="007633B0"/>
    <w:rsid w:val="0076341C"/>
    <w:rsid w:val="007640EB"/>
    <w:rsid w:val="007677B8"/>
    <w:rsid w:val="007715D2"/>
    <w:rsid w:val="00772501"/>
    <w:rsid w:val="00772C70"/>
    <w:rsid w:val="00776624"/>
    <w:rsid w:val="00781E24"/>
    <w:rsid w:val="00782203"/>
    <w:rsid w:val="007847FA"/>
    <w:rsid w:val="00790910"/>
    <w:rsid w:val="00790CBF"/>
    <w:rsid w:val="00790F32"/>
    <w:rsid w:val="007919E8"/>
    <w:rsid w:val="00791DE1"/>
    <w:rsid w:val="00792DDF"/>
    <w:rsid w:val="00792FF3"/>
    <w:rsid w:val="00793F33"/>
    <w:rsid w:val="0079425B"/>
    <w:rsid w:val="0079436F"/>
    <w:rsid w:val="007A0016"/>
    <w:rsid w:val="007A0958"/>
    <w:rsid w:val="007A1121"/>
    <w:rsid w:val="007A1AAD"/>
    <w:rsid w:val="007A2599"/>
    <w:rsid w:val="007A25A0"/>
    <w:rsid w:val="007A303B"/>
    <w:rsid w:val="007A373B"/>
    <w:rsid w:val="007A3A8C"/>
    <w:rsid w:val="007A57CB"/>
    <w:rsid w:val="007A6102"/>
    <w:rsid w:val="007A64E9"/>
    <w:rsid w:val="007B0E0C"/>
    <w:rsid w:val="007B0E82"/>
    <w:rsid w:val="007B263F"/>
    <w:rsid w:val="007B36E9"/>
    <w:rsid w:val="007B50AF"/>
    <w:rsid w:val="007C05EC"/>
    <w:rsid w:val="007C16EA"/>
    <w:rsid w:val="007C24C1"/>
    <w:rsid w:val="007C26E5"/>
    <w:rsid w:val="007C5D8B"/>
    <w:rsid w:val="007C720A"/>
    <w:rsid w:val="007C7564"/>
    <w:rsid w:val="007D1092"/>
    <w:rsid w:val="007D214E"/>
    <w:rsid w:val="007D2621"/>
    <w:rsid w:val="007D2FBE"/>
    <w:rsid w:val="007D3A1F"/>
    <w:rsid w:val="007D4CCB"/>
    <w:rsid w:val="007D6F1A"/>
    <w:rsid w:val="007D7D7F"/>
    <w:rsid w:val="007E32E2"/>
    <w:rsid w:val="007E3562"/>
    <w:rsid w:val="007E42C4"/>
    <w:rsid w:val="007F08CA"/>
    <w:rsid w:val="007F0916"/>
    <w:rsid w:val="007F295A"/>
    <w:rsid w:val="007F3B6E"/>
    <w:rsid w:val="007F6C2D"/>
    <w:rsid w:val="008020C5"/>
    <w:rsid w:val="008034B8"/>
    <w:rsid w:val="00804055"/>
    <w:rsid w:val="008058E8"/>
    <w:rsid w:val="00805DEC"/>
    <w:rsid w:val="00806434"/>
    <w:rsid w:val="00806837"/>
    <w:rsid w:val="00807251"/>
    <w:rsid w:val="00810083"/>
    <w:rsid w:val="00813288"/>
    <w:rsid w:val="0081687A"/>
    <w:rsid w:val="008205CF"/>
    <w:rsid w:val="008216E1"/>
    <w:rsid w:val="00821A29"/>
    <w:rsid w:val="00821FDC"/>
    <w:rsid w:val="00822748"/>
    <w:rsid w:val="00822FFB"/>
    <w:rsid w:val="00823233"/>
    <w:rsid w:val="008233A5"/>
    <w:rsid w:val="00823BB2"/>
    <w:rsid w:val="00823F50"/>
    <w:rsid w:val="00824143"/>
    <w:rsid w:val="00824426"/>
    <w:rsid w:val="0082749A"/>
    <w:rsid w:val="00827B3A"/>
    <w:rsid w:val="00830841"/>
    <w:rsid w:val="008309A6"/>
    <w:rsid w:val="00830A3D"/>
    <w:rsid w:val="00830E52"/>
    <w:rsid w:val="008324E3"/>
    <w:rsid w:val="00832571"/>
    <w:rsid w:val="00833D2D"/>
    <w:rsid w:val="00834DD9"/>
    <w:rsid w:val="00836547"/>
    <w:rsid w:val="00836E8D"/>
    <w:rsid w:val="00837C8E"/>
    <w:rsid w:val="0084000B"/>
    <w:rsid w:val="00840827"/>
    <w:rsid w:val="00841009"/>
    <w:rsid w:val="00841FC0"/>
    <w:rsid w:val="00843E01"/>
    <w:rsid w:val="00845946"/>
    <w:rsid w:val="008476A0"/>
    <w:rsid w:val="00852F38"/>
    <w:rsid w:val="008547E1"/>
    <w:rsid w:val="00854C36"/>
    <w:rsid w:val="00856C34"/>
    <w:rsid w:val="00856D32"/>
    <w:rsid w:val="0086276F"/>
    <w:rsid w:val="00864BCC"/>
    <w:rsid w:val="00865B00"/>
    <w:rsid w:val="00865DC1"/>
    <w:rsid w:val="00867031"/>
    <w:rsid w:val="00867785"/>
    <w:rsid w:val="00867B2E"/>
    <w:rsid w:val="00870089"/>
    <w:rsid w:val="008712C8"/>
    <w:rsid w:val="008750F9"/>
    <w:rsid w:val="00875341"/>
    <w:rsid w:val="0087536F"/>
    <w:rsid w:val="008763ED"/>
    <w:rsid w:val="00877163"/>
    <w:rsid w:val="00880A0B"/>
    <w:rsid w:val="00880A40"/>
    <w:rsid w:val="00884C43"/>
    <w:rsid w:val="008869F4"/>
    <w:rsid w:val="008877A6"/>
    <w:rsid w:val="008924E3"/>
    <w:rsid w:val="00893633"/>
    <w:rsid w:val="00893B12"/>
    <w:rsid w:val="00893EEF"/>
    <w:rsid w:val="00895656"/>
    <w:rsid w:val="008970C5"/>
    <w:rsid w:val="00897263"/>
    <w:rsid w:val="00897BD7"/>
    <w:rsid w:val="008A0B28"/>
    <w:rsid w:val="008A1409"/>
    <w:rsid w:val="008A22D1"/>
    <w:rsid w:val="008A3C58"/>
    <w:rsid w:val="008A3E1F"/>
    <w:rsid w:val="008A4880"/>
    <w:rsid w:val="008A52B1"/>
    <w:rsid w:val="008A570C"/>
    <w:rsid w:val="008A5CC3"/>
    <w:rsid w:val="008A5EB9"/>
    <w:rsid w:val="008A7994"/>
    <w:rsid w:val="008B4ABE"/>
    <w:rsid w:val="008B4C00"/>
    <w:rsid w:val="008B552F"/>
    <w:rsid w:val="008B5B32"/>
    <w:rsid w:val="008B6A6D"/>
    <w:rsid w:val="008C0A6F"/>
    <w:rsid w:val="008C29A4"/>
    <w:rsid w:val="008C502D"/>
    <w:rsid w:val="008D0682"/>
    <w:rsid w:val="008D0932"/>
    <w:rsid w:val="008D2912"/>
    <w:rsid w:val="008D29CE"/>
    <w:rsid w:val="008D5BB6"/>
    <w:rsid w:val="008D76C6"/>
    <w:rsid w:val="008D78FF"/>
    <w:rsid w:val="008E4662"/>
    <w:rsid w:val="008E4DD5"/>
    <w:rsid w:val="008E5A1D"/>
    <w:rsid w:val="008E60F9"/>
    <w:rsid w:val="008E75B1"/>
    <w:rsid w:val="008F07BE"/>
    <w:rsid w:val="008F3242"/>
    <w:rsid w:val="008F343A"/>
    <w:rsid w:val="008F4629"/>
    <w:rsid w:val="00900333"/>
    <w:rsid w:val="00906674"/>
    <w:rsid w:val="00910B34"/>
    <w:rsid w:val="00911294"/>
    <w:rsid w:val="00914DA7"/>
    <w:rsid w:val="00914FF3"/>
    <w:rsid w:val="00915F63"/>
    <w:rsid w:val="00916457"/>
    <w:rsid w:val="009177E9"/>
    <w:rsid w:val="009206A8"/>
    <w:rsid w:val="00922C76"/>
    <w:rsid w:val="0092606A"/>
    <w:rsid w:val="00931984"/>
    <w:rsid w:val="009325FF"/>
    <w:rsid w:val="00932A66"/>
    <w:rsid w:val="00932FBD"/>
    <w:rsid w:val="009331CF"/>
    <w:rsid w:val="009334AC"/>
    <w:rsid w:val="00935599"/>
    <w:rsid w:val="00935891"/>
    <w:rsid w:val="0093642D"/>
    <w:rsid w:val="00936524"/>
    <w:rsid w:val="00937CED"/>
    <w:rsid w:val="00940DB3"/>
    <w:rsid w:val="00940FA5"/>
    <w:rsid w:val="00942010"/>
    <w:rsid w:val="0094304E"/>
    <w:rsid w:val="0094320A"/>
    <w:rsid w:val="0094351C"/>
    <w:rsid w:val="00945179"/>
    <w:rsid w:val="00945383"/>
    <w:rsid w:val="00945FCB"/>
    <w:rsid w:val="009467F7"/>
    <w:rsid w:val="00947537"/>
    <w:rsid w:val="00947BF2"/>
    <w:rsid w:val="00950968"/>
    <w:rsid w:val="0095170D"/>
    <w:rsid w:val="00951D8E"/>
    <w:rsid w:val="0095307F"/>
    <w:rsid w:val="00955393"/>
    <w:rsid w:val="00955526"/>
    <w:rsid w:val="00955C81"/>
    <w:rsid w:val="00960690"/>
    <w:rsid w:val="009619EC"/>
    <w:rsid w:val="00961AF6"/>
    <w:rsid w:val="0096222F"/>
    <w:rsid w:val="00964E69"/>
    <w:rsid w:val="00966C09"/>
    <w:rsid w:val="00971878"/>
    <w:rsid w:val="009721FA"/>
    <w:rsid w:val="009813A5"/>
    <w:rsid w:val="00981EB9"/>
    <w:rsid w:val="00982C56"/>
    <w:rsid w:val="00983AA9"/>
    <w:rsid w:val="00984441"/>
    <w:rsid w:val="009844CF"/>
    <w:rsid w:val="00984DD8"/>
    <w:rsid w:val="00986800"/>
    <w:rsid w:val="009869DC"/>
    <w:rsid w:val="0099085F"/>
    <w:rsid w:val="00990A70"/>
    <w:rsid w:val="009925DB"/>
    <w:rsid w:val="00992F40"/>
    <w:rsid w:val="00993CC9"/>
    <w:rsid w:val="009946D3"/>
    <w:rsid w:val="00996FEC"/>
    <w:rsid w:val="009A081F"/>
    <w:rsid w:val="009A0F20"/>
    <w:rsid w:val="009A36A3"/>
    <w:rsid w:val="009A48F3"/>
    <w:rsid w:val="009A6F74"/>
    <w:rsid w:val="009A6FC7"/>
    <w:rsid w:val="009B3458"/>
    <w:rsid w:val="009B35A7"/>
    <w:rsid w:val="009B376D"/>
    <w:rsid w:val="009B66EC"/>
    <w:rsid w:val="009C281C"/>
    <w:rsid w:val="009C4442"/>
    <w:rsid w:val="009C6984"/>
    <w:rsid w:val="009D15E2"/>
    <w:rsid w:val="009D3628"/>
    <w:rsid w:val="009D4C2A"/>
    <w:rsid w:val="009D6914"/>
    <w:rsid w:val="009E03A0"/>
    <w:rsid w:val="009E03D5"/>
    <w:rsid w:val="009E1128"/>
    <w:rsid w:val="009E1C22"/>
    <w:rsid w:val="009E2421"/>
    <w:rsid w:val="009E2481"/>
    <w:rsid w:val="009E491B"/>
    <w:rsid w:val="009E5672"/>
    <w:rsid w:val="009E6975"/>
    <w:rsid w:val="009E6DDF"/>
    <w:rsid w:val="009F1E6E"/>
    <w:rsid w:val="009F3631"/>
    <w:rsid w:val="009F3790"/>
    <w:rsid w:val="009F3B26"/>
    <w:rsid w:val="009F7611"/>
    <w:rsid w:val="009F7CEB"/>
    <w:rsid w:val="00A006CC"/>
    <w:rsid w:val="00A00A5C"/>
    <w:rsid w:val="00A00B75"/>
    <w:rsid w:val="00A0164C"/>
    <w:rsid w:val="00A02E23"/>
    <w:rsid w:val="00A040FD"/>
    <w:rsid w:val="00A0426A"/>
    <w:rsid w:val="00A049C6"/>
    <w:rsid w:val="00A04C0D"/>
    <w:rsid w:val="00A05D9D"/>
    <w:rsid w:val="00A0696F"/>
    <w:rsid w:val="00A07211"/>
    <w:rsid w:val="00A07A7F"/>
    <w:rsid w:val="00A07E58"/>
    <w:rsid w:val="00A11F3B"/>
    <w:rsid w:val="00A12983"/>
    <w:rsid w:val="00A1349E"/>
    <w:rsid w:val="00A14CB5"/>
    <w:rsid w:val="00A15198"/>
    <w:rsid w:val="00A16605"/>
    <w:rsid w:val="00A17951"/>
    <w:rsid w:val="00A17E9E"/>
    <w:rsid w:val="00A20B1A"/>
    <w:rsid w:val="00A21602"/>
    <w:rsid w:val="00A217F3"/>
    <w:rsid w:val="00A22A39"/>
    <w:rsid w:val="00A22FF2"/>
    <w:rsid w:val="00A26C03"/>
    <w:rsid w:val="00A26ED0"/>
    <w:rsid w:val="00A30B80"/>
    <w:rsid w:val="00A31279"/>
    <w:rsid w:val="00A321A3"/>
    <w:rsid w:val="00A32407"/>
    <w:rsid w:val="00A336E5"/>
    <w:rsid w:val="00A378C9"/>
    <w:rsid w:val="00A406F1"/>
    <w:rsid w:val="00A41E5D"/>
    <w:rsid w:val="00A426CB"/>
    <w:rsid w:val="00A42782"/>
    <w:rsid w:val="00A4283B"/>
    <w:rsid w:val="00A45512"/>
    <w:rsid w:val="00A465EE"/>
    <w:rsid w:val="00A47FA0"/>
    <w:rsid w:val="00A5167D"/>
    <w:rsid w:val="00A535FB"/>
    <w:rsid w:val="00A563E9"/>
    <w:rsid w:val="00A6374D"/>
    <w:rsid w:val="00A64465"/>
    <w:rsid w:val="00A67872"/>
    <w:rsid w:val="00A7029E"/>
    <w:rsid w:val="00A71A4C"/>
    <w:rsid w:val="00A73176"/>
    <w:rsid w:val="00A73531"/>
    <w:rsid w:val="00A74261"/>
    <w:rsid w:val="00A74936"/>
    <w:rsid w:val="00A75F83"/>
    <w:rsid w:val="00A80917"/>
    <w:rsid w:val="00A811DA"/>
    <w:rsid w:val="00A81F82"/>
    <w:rsid w:val="00A82016"/>
    <w:rsid w:val="00A841B0"/>
    <w:rsid w:val="00A84793"/>
    <w:rsid w:val="00A849A5"/>
    <w:rsid w:val="00A85A2B"/>
    <w:rsid w:val="00A86069"/>
    <w:rsid w:val="00A86E9F"/>
    <w:rsid w:val="00A872CF"/>
    <w:rsid w:val="00A87616"/>
    <w:rsid w:val="00A90CB6"/>
    <w:rsid w:val="00A91CC9"/>
    <w:rsid w:val="00A93543"/>
    <w:rsid w:val="00A948FF"/>
    <w:rsid w:val="00A94EFC"/>
    <w:rsid w:val="00A95492"/>
    <w:rsid w:val="00A963F4"/>
    <w:rsid w:val="00A96814"/>
    <w:rsid w:val="00AA1681"/>
    <w:rsid w:val="00AA168C"/>
    <w:rsid w:val="00AA1698"/>
    <w:rsid w:val="00AA1EFD"/>
    <w:rsid w:val="00AA2C47"/>
    <w:rsid w:val="00AA2FA1"/>
    <w:rsid w:val="00AA51C1"/>
    <w:rsid w:val="00AA6156"/>
    <w:rsid w:val="00AA62B0"/>
    <w:rsid w:val="00AA678A"/>
    <w:rsid w:val="00AA73AC"/>
    <w:rsid w:val="00AA7B77"/>
    <w:rsid w:val="00AB187A"/>
    <w:rsid w:val="00AB48A3"/>
    <w:rsid w:val="00AB49EC"/>
    <w:rsid w:val="00AB4B5F"/>
    <w:rsid w:val="00AB514A"/>
    <w:rsid w:val="00AB55CB"/>
    <w:rsid w:val="00AC27F1"/>
    <w:rsid w:val="00AC46CB"/>
    <w:rsid w:val="00AC493A"/>
    <w:rsid w:val="00AC50E3"/>
    <w:rsid w:val="00AC5253"/>
    <w:rsid w:val="00AC61F7"/>
    <w:rsid w:val="00AD1181"/>
    <w:rsid w:val="00AD13C3"/>
    <w:rsid w:val="00AD3961"/>
    <w:rsid w:val="00AD4EB6"/>
    <w:rsid w:val="00AD51C9"/>
    <w:rsid w:val="00AD51E6"/>
    <w:rsid w:val="00AD5A0C"/>
    <w:rsid w:val="00AD5EFD"/>
    <w:rsid w:val="00AD5F55"/>
    <w:rsid w:val="00AD6074"/>
    <w:rsid w:val="00AD6B67"/>
    <w:rsid w:val="00AD7499"/>
    <w:rsid w:val="00AE0AB9"/>
    <w:rsid w:val="00AE1C2F"/>
    <w:rsid w:val="00AE2A68"/>
    <w:rsid w:val="00AE2B0F"/>
    <w:rsid w:val="00AE2DD4"/>
    <w:rsid w:val="00AE2EDC"/>
    <w:rsid w:val="00AE513E"/>
    <w:rsid w:val="00AE53AD"/>
    <w:rsid w:val="00AE5B08"/>
    <w:rsid w:val="00AE7AA8"/>
    <w:rsid w:val="00AF0D25"/>
    <w:rsid w:val="00AF0DF9"/>
    <w:rsid w:val="00AF19AC"/>
    <w:rsid w:val="00AF30F7"/>
    <w:rsid w:val="00AF385E"/>
    <w:rsid w:val="00AF4BE4"/>
    <w:rsid w:val="00AF7DFF"/>
    <w:rsid w:val="00B00BA3"/>
    <w:rsid w:val="00B0147B"/>
    <w:rsid w:val="00B01DBA"/>
    <w:rsid w:val="00B037E4"/>
    <w:rsid w:val="00B0419F"/>
    <w:rsid w:val="00B04507"/>
    <w:rsid w:val="00B05A6C"/>
    <w:rsid w:val="00B06A34"/>
    <w:rsid w:val="00B0780A"/>
    <w:rsid w:val="00B07BED"/>
    <w:rsid w:val="00B10F10"/>
    <w:rsid w:val="00B11EA0"/>
    <w:rsid w:val="00B13641"/>
    <w:rsid w:val="00B157BD"/>
    <w:rsid w:val="00B17310"/>
    <w:rsid w:val="00B178AA"/>
    <w:rsid w:val="00B17983"/>
    <w:rsid w:val="00B17FDB"/>
    <w:rsid w:val="00B20B93"/>
    <w:rsid w:val="00B21BB1"/>
    <w:rsid w:val="00B21DE5"/>
    <w:rsid w:val="00B22943"/>
    <w:rsid w:val="00B22CE0"/>
    <w:rsid w:val="00B2330D"/>
    <w:rsid w:val="00B24C2B"/>
    <w:rsid w:val="00B25D68"/>
    <w:rsid w:val="00B2663D"/>
    <w:rsid w:val="00B26EBC"/>
    <w:rsid w:val="00B2777B"/>
    <w:rsid w:val="00B27C2E"/>
    <w:rsid w:val="00B331A2"/>
    <w:rsid w:val="00B346E9"/>
    <w:rsid w:val="00B3542C"/>
    <w:rsid w:val="00B36CED"/>
    <w:rsid w:val="00B4525F"/>
    <w:rsid w:val="00B4608B"/>
    <w:rsid w:val="00B47F44"/>
    <w:rsid w:val="00B51F96"/>
    <w:rsid w:val="00B526B2"/>
    <w:rsid w:val="00B5354C"/>
    <w:rsid w:val="00B539FB"/>
    <w:rsid w:val="00B53FFB"/>
    <w:rsid w:val="00B54B09"/>
    <w:rsid w:val="00B5517E"/>
    <w:rsid w:val="00B55E13"/>
    <w:rsid w:val="00B563AD"/>
    <w:rsid w:val="00B570C0"/>
    <w:rsid w:val="00B6061D"/>
    <w:rsid w:val="00B617D2"/>
    <w:rsid w:val="00B61FC0"/>
    <w:rsid w:val="00B6367E"/>
    <w:rsid w:val="00B638F6"/>
    <w:rsid w:val="00B63B06"/>
    <w:rsid w:val="00B66C37"/>
    <w:rsid w:val="00B67119"/>
    <w:rsid w:val="00B70801"/>
    <w:rsid w:val="00B70E8D"/>
    <w:rsid w:val="00B7117C"/>
    <w:rsid w:val="00B71675"/>
    <w:rsid w:val="00B718E4"/>
    <w:rsid w:val="00B71B62"/>
    <w:rsid w:val="00B71B74"/>
    <w:rsid w:val="00B73AE1"/>
    <w:rsid w:val="00B74220"/>
    <w:rsid w:val="00B74850"/>
    <w:rsid w:val="00B75264"/>
    <w:rsid w:val="00B75BC0"/>
    <w:rsid w:val="00B761EF"/>
    <w:rsid w:val="00B7652C"/>
    <w:rsid w:val="00B767EC"/>
    <w:rsid w:val="00B7796D"/>
    <w:rsid w:val="00B80B83"/>
    <w:rsid w:val="00B81A5A"/>
    <w:rsid w:val="00B83AC7"/>
    <w:rsid w:val="00B85A27"/>
    <w:rsid w:val="00B863A0"/>
    <w:rsid w:val="00B870E3"/>
    <w:rsid w:val="00B87A1F"/>
    <w:rsid w:val="00B915D3"/>
    <w:rsid w:val="00B92245"/>
    <w:rsid w:val="00B93B17"/>
    <w:rsid w:val="00B96F3F"/>
    <w:rsid w:val="00BA01AB"/>
    <w:rsid w:val="00BA2297"/>
    <w:rsid w:val="00BA3306"/>
    <w:rsid w:val="00BA4D46"/>
    <w:rsid w:val="00BA5074"/>
    <w:rsid w:val="00BA5915"/>
    <w:rsid w:val="00BA73EE"/>
    <w:rsid w:val="00BA77B2"/>
    <w:rsid w:val="00BB4BBA"/>
    <w:rsid w:val="00BB6134"/>
    <w:rsid w:val="00BB63E5"/>
    <w:rsid w:val="00BB6852"/>
    <w:rsid w:val="00BB7482"/>
    <w:rsid w:val="00BB769A"/>
    <w:rsid w:val="00BB7A9E"/>
    <w:rsid w:val="00BB7FC3"/>
    <w:rsid w:val="00BC29E9"/>
    <w:rsid w:val="00BC3885"/>
    <w:rsid w:val="00BC4A83"/>
    <w:rsid w:val="00BC59E5"/>
    <w:rsid w:val="00BC68BC"/>
    <w:rsid w:val="00BC6962"/>
    <w:rsid w:val="00BC7E1E"/>
    <w:rsid w:val="00BC7FCB"/>
    <w:rsid w:val="00BD03EC"/>
    <w:rsid w:val="00BD1E7E"/>
    <w:rsid w:val="00BD2649"/>
    <w:rsid w:val="00BD5401"/>
    <w:rsid w:val="00BD57C7"/>
    <w:rsid w:val="00BD6A8B"/>
    <w:rsid w:val="00BD7AF6"/>
    <w:rsid w:val="00BE0C59"/>
    <w:rsid w:val="00BE1582"/>
    <w:rsid w:val="00BE2CA7"/>
    <w:rsid w:val="00BE3CAA"/>
    <w:rsid w:val="00BE3E5F"/>
    <w:rsid w:val="00BE583A"/>
    <w:rsid w:val="00BE5AB2"/>
    <w:rsid w:val="00BF1D64"/>
    <w:rsid w:val="00BF2641"/>
    <w:rsid w:val="00BF51BF"/>
    <w:rsid w:val="00BF7927"/>
    <w:rsid w:val="00BF79CD"/>
    <w:rsid w:val="00C0423D"/>
    <w:rsid w:val="00C06418"/>
    <w:rsid w:val="00C06859"/>
    <w:rsid w:val="00C07417"/>
    <w:rsid w:val="00C07BBA"/>
    <w:rsid w:val="00C104C2"/>
    <w:rsid w:val="00C11033"/>
    <w:rsid w:val="00C1489C"/>
    <w:rsid w:val="00C14B9C"/>
    <w:rsid w:val="00C15CB6"/>
    <w:rsid w:val="00C160CA"/>
    <w:rsid w:val="00C1629D"/>
    <w:rsid w:val="00C1662E"/>
    <w:rsid w:val="00C17F15"/>
    <w:rsid w:val="00C20403"/>
    <w:rsid w:val="00C205ED"/>
    <w:rsid w:val="00C20B27"/>
    <w:rsid w:val="00C2197F"/>
    <w:rsid w:val="00C227BC"/>
    <w:rsid w:val="00C23FEA"/>
    <w:rsid w:val="00C244F3"/>
    <w:rsid w:val="00C26034"/>
    <w:rsid w:val="00C26E4F"/>
    <w:rsid w:val="00C27EA9"/>
    <w:rsid w:val="00C31472"/>
    <w:rsid w:val="00C317F3"/>
    <w:rsid w:val="00C410B3"/>
    <w:rsid w:val="00C42FD2"/>
    <w:rsid w:val="00C44C37"/>
    <w:rsid w:val="00C467FC"/>
    <w:rsid w:val="00C468FC"/>
    <w:rsid w:val="00C46AE5"/>
    <w:rsid w:val="00C47654"/>
    <w:rsid w:val="00C5181D"/>
    <w:rsid w:val="00C51BA7"/>
    <w:rsid w:val="00C52ACF"/>
    <w:rsid w:val="00C536F4"/>
    <w:rsid w:val="00C537BD"/>
    <w:rsid w:val="00C56CBA"/>
    <w:rsid w:val="00C56D64"/>
    <w:rsid w:val="00C57E4D"/>
    <w:rsid w:val="00C6034F"/>
    <w:rsid w:val="00C60853"/>
    <w:rsid w:val="00C61DA6"/>
    <w:rsid w:val="00C626E2"/>
    <w:rsid w:val="00C628C8"/>
    <w:rsid w:val="00C6388F"/>
    <w:rsid w:val="00C64C10"/>
    <w:rsid w:val="00C66BB3"/>
    <w:rsid w:val="00C67445"/>
    <w:rsid w:val="00C67679"/>
    <w:rsid w:val="00C710D2"/>
    <w:rsid w:val="00C71321"/>
    <w:rsid w:val="00C740A3"/>
    <w:rsid w:val="00C7519E"/>
    <w:rsid w:val="00C75654"/>
    <w:rsid w:val="00C75AAD"/>
    <w:rsid w:val="00C81A12"/>
    <w:rsid w:val="00C846BE"/>
    <w:rsid w:val="00C84BD6"/>
    <w:rsid w:val="00C85264"/>
    <w:rsid w:val="00C8668F"/>
    <w:rsid w:val="00C876C2"/>
    <w:rsid w:val="00C90F2D"/>
    <w:rsid w:val="00C9217E"/>
    <w:rsid w:val="00C92B6B"/>
    <w:rsid w:val="00C93058"/>
    <w:rsid w:val="00C94475"/>
    <w:rsid w:val="00C95F87"/>
    <w:rsid w:val="00C963DE"/>
    <w:rsid w:val="00CA04C7"/>
    <w:rsid w:val="00CA060A"/>
    <w:rsid w:val="00CA094C"/>
    <w:rsid w:val="00CA0ABA"/>
    <w:rsid w:val="00CA0C26"/>
    <w:rsid w:val="00CA11F7"/>
    <w:rsid w:val="00CA37D6"/>
    <w:rsid w:val="00CA5D84"/>
    <w:rsid w:val="00CA5F5A"/>
    <w:rsid w:val="00CA6726"/>
    <w:rsid w:val="00CA78FD"/>
    <w:rsid w:val="00CB0679"/>
    <w:rsid w:val="00CB07A8"/>
    <w:rsid w:val="00CB11F0"/>
    <w:rsid w:val="00CB1205"/>
    <w:rsid w:val="00CB14A1"/>
    <w:rsid w:val="00CB4049"/>
    <w:rsid w:val="00CB5389"/>
    <w:rsid w:val="00CB633A"/>
    <w:rsid w:val="00CB643E"/>
    <w:rsid w:val="00CB6F2B"/>
    <w:rsid w:val="00CB733E"/>
    <w:rsid w:val="00CB7EF2"/>
    <w:rsid w:val="00CC0586"/>
    <w:rsid w:val="00CC10E1"/>
    <w:rsid w:val="00CC1175"/>
    <w:rsid w:val="00CC27C4"/>
    <w:rsid w:val="00CC3013"/>
    <w:rsid w:val="00CC5AD6"/>
    <w:rsid w:val="00CC6562"/>
    <w:rsid w:val="00CC7503"/>
    <w:rsid w:val="00CC7582"/>
    <w:rsid w:val="00CC75E3"/>
    <w:rsid w:val="00CD12E3"/>
    <w:rsid w:val="00CD448E"/>
    <w:rsid w:val="00CD5566"/>
    <w:rsid w:val="00CD6327"/>
    <w:rsid w:val="00CD66A0"/>
    <w:rsid w:val="00CD6704"/>
    <w:rsid w:val="00CE169B"/>
    <w:rsid w:val="00CE2B78"/>
    <w:rsid w:val="00CE314F"/>
    <w:rsid w:val="00CE6341"/>
    <w:rsid w:val="00CE6B5D"/>
    <w:rsid w:val="00CE71F7"/>
    <w:rsid w:val="00CE74A3"/>
    <w:rsid w:val="00CF04F8"/>
    <w:rsid w:val="00CF26C8"/>
    <w:rsid w:val="00CF39BA"/>
    <w:rsid w:val="00D0124F"/>
    <w:rsid w:val="00D02E76"/>
    <w:rsid w:val="00D034DD"/>
    <w:rsid w:val="00D03B6F"/>
    <w:rsid w:val="00D03D0C"/>
    <w:rsid w:val="00D04613"/>
    <w:rsid w:val="00D04750"/>
    <w:rsid w:val="00D04857"/>
    <w:rsid w:val="00D04952"/>
    <w:rsid w:val="00D055E8"/>
    <w:rsid w:val="00D06A16"/>
    <w:rsid w:val="00D06AB0"/>
    <w:rsid w:val="00D06DC2"/>
    <w:rsid w:val="00D1078F"/>
    <w:rsid w:val="00D10E60"/>
    <w:rsid w:val="00D118C7"/>
    <w:rsid w:val="00D11A24"/>
    <w:rsid w:val="00D12CD2"/>
    <w:rsid w:val="00D12DE3"/>
    <w:rsid w:val="00D13B13"/>
    <w:rsid w:val="00D1411E"/>
    <w:rsid w:val="00D148CA"/>
    <w:rsid w:val="00D149AF"/>
    <w:rsid w:val="00D14D23"/>
    <w:rsid w:val="00D15D8B"/>
    <w:rsid w:val="00D16368"/>
    <w:rsid w:val="00D17984"/>
    <w:rsid w:val="00D203D5"/>
    <w:rsid w:val="00D20F32"/>
    <w:rsid w:val="00D21158"/>
    <w:rsid w:val="00D21D27"/>
    <w:rsid w:val="00D229BB"/>
    <w:rsid w:val="00D23E30"/>
    <w:rsid w:val="00D24DAD"/>
    <w:rsid w:val="00D25916"/>
    <w:rsid w:val="00D26BBB"/>
    <w:rsid w:val="00D327F8"/>
    <w:rsid w:val="00D329E6"/>
    <w:rsid w:val="00D33A69"/>
    <w:rsid w:val="00D36272"/>
    <w:rsid w:val="00D36C65"/>
    <w:rsid w:val="00D37972"/>
    <w:rsid w:val="00D40896"/>
    <w:rsid w:val="00D41452"/>
    <w:rsid w:val="00D41534"/>
    <w:rsid w:val="00D417DD"/>
    <w:rsid w:val="00D43525"/>
    <w:rsid w:val="00D447D4"/>
    <w:rsid w:val="00D451FC"/>
    <w:rsid w:val="00D458DD"/>
    <w:rsid w:val="00D45AEE"/>
    <w:rsid w:val="00D4600C"/>
    <w:rsid w:val="00D460F3"/>
    <w:rsid w:val="00D466EA"/>
    <w:rsid w:val="00D479C5"/>
    <w:rsid w:val="00D50D56"/>
    <w:rsid w:val="00D52404"/>
    <w:rsid w:val="00D52A20"/>
    <w:rsid w:val="00D5356C"/>
    <w:rsid w:val="00D60541"/>
    <w:rsid w:val="00D60C6D"/>
    <w:rsid w:val="00D60D94"/>
    <w:rsid w:val="00D611AD"/>
    <w:rsid w:val="00D62990"/>
    <w:rsid w:val="00D63C48"/>
    <w:rsid w:val="00D64289"/>
    <w:rsid w:val="00D6667B"/>
    <w:rsid w:val="00D67E95"/>
    <w:rsid w:val="00D70172"/>
    <w:rsid w:val="00D7083A"/>
    <w:rsid w:val="00D712C6"/>
    <w:rsid w:val="00D71400"/>
    <w:rsid w:val="00D72C23"/>
    <w:rsid w:val="00D74872"/>
    <w:rsid w:val="00D7501C"/>
    <w:rsid w:val="00D75CEB"/>
    <w:rsid w:val="00D76786"/>
    <w:rsid w:val="00D767C8"/>
    <w:rsid w:val="00D7723F"/>
    <w:rsid w:val="00D772ED"/>
    <w:rsid w:val="00D77589"/>
    <w:rsid w:val="00D776AF"/>
    <w:rsid w:val="00D801C4"/>
    <w:rsid w:val="00D81103"/>
    <w:rsid w:val="00D81AA5"/>
    <w:rsid w:val="00D8344B"/>
    <w:rsid w:val="00D8435D"/>
    <w:rsid w:val="00D8665E"/>
    <w:rsid w:val="00D87428"/>
    <w:rsid w:val="00D90B31"/>
    <w:rsid w:val="00D90C35"/>
    <w:rsid w:val="00D91457"/>
    <w:rsid w:val="00D9492C"/>
    <w:rsid w:val="00D95394"/>
    <w:rsid w:val="00D970E7"/>
    <w:rsid w:val="00DA032B"/>
    <w:rsid w:val="00DA0456"/>
    <w:rsid w:val="00DA0DB4"/>
    <w:rsid w:val="00DA12A0"/>
    <w:rsid w:val="00DA1427"/>
    <w:rsid w:val="00DA35C7"/>
    <w:rsid w:val="00DA55BB"/>
    <w:rsid w:val="00DA6D92"/>
    <w:rsid w:val="00DA732D"/>
    <w:rsid w:val="00DA73EE"/>
    <w:rsid w:val="00DB0C90"/>
    <w:rsid w:val="00DB64F1"/>
    <w:rsid w:val="00DC1743"/>
    <w:rsid w:val="00DC1F73"/>
    <w:rsid w:val="00DC34D0"/>
    <w:rsid w:val="00DC3F94"/>
    <w:rsid w:val="00DC4CC9"/>
    <w:rsid w:val="00DC5703"/>
    <w:rsid w:val="00DC5F03"/>
    <w:rsid w:val="00DC6159"/>
    <w:rsid w:val="00DC6FDF"/>
    <w:rsid w:val="00DC7746"/>
    <w:rsid w:val="00DD2374"/>
    <w:rsid w:val="00DD2B5E"/>
    <w:rsid w:val="00DD3014"/>
    <w:rsid w:val="00DD3049"/>
    <w:rsid w:val="00DD4BFA"/>
    <w:rsid w:val="00DD5E90"/>
    <w:rsid w:val="00DD6F1E"/>
    <w:rsid w:val="00DE09EA"/>
    <w:rsid w:val="00DE3053"/>
    <w:rsid w:val="00DE30E2"/>
    <w:rsid w:val="00DE3A9A"/>
    <w:rsid w:val="00DE48B0"/>
    <w:rsid w:val="00DE6421"/>
    <w:rsid w:val="00DF0398"/>
    <w:rsid w:val="00DF05CB"/>
    <w:rsid w:val="00DF078D"/>
    <w:rsid w:val="00DF16C0"/>
    <w:rsid w:val="00DF548B"/>
    <w:rsid w:val="00E012F5"/>
    <w:rsid w:val="00E02D71"/>
    <w:rsid w:val="00E04C03"/>
    <w:rsid w:val="00E05FBC"/>
    <w:rsid w:val="00E06689"/>
    <w:rsid w:val="00E070F7"/>
    <w:rsid w:val="00E07875"/>
    <w:rsid w:val="00E07A6A"/>
    <w:rsid w:val="00E100AC"/>
    <w:rsid w:val="00E10B7D"/>
    <w:rsid w:val="00E1115D"/>
    <w:rsid w:val="00E11377"/>
    <w:rsid w:val="00E16396"/>
    <w:rsid w:val="00E176C3"/>
    <w:rsid w:val="00E20CEB"/>
    <w:rsid w:val="00E20F9A"/>
    <w:rsid w:val="00E22342"/>
    <w:rsid w:val="00E227EA"/>
    <w:rsid w:val="00E23660"/>
    <w:rsid w:val="00E24D2C"/>
    <w:rsid w:val="00E2761D"/>
    <w:rsid w:val="00E27ECE"/>
    <w:rsid w:val="00E311F4"/>
    <w:rsid w:val="00E31A1E"/>
    <w:rsid w:val="00E31F7A"/>
    <w:rsid w:val="00E34484"/>
    <w:rsid w:val="00E37424"/>
    <w:rsid w:val="00E4041E"/>
    <w:rsid w:val="00E43034"/>
    <w:rsid w:val="00E435C6"/>
    <w:rsid w:val="00E44B35"/>
    <w:rsid w:val="00E45180"/>
    <w:rsid w:val="00E45305"/>
    <w:rsid w:val="00E4634C"/>
    <w:rsid w:val="00E46AC9"/>
    <w:rsid w:val="00E47864"/>
    <w:rsid w:val="00E5116D"/>
    <w:rsid w:val="00E53DB6"/>
    <w:rsid w:val="00E53EF7"/>
    <w:rsid w:val="00E54FB3"/>
    <w:rsid w:val="00E55904"/>
    <w:rsid w:val="00E55D3E"/>
    <w:rsid w:val="00E55E72"/>
    <w:rsid w:val="00E55F9F"/>
    <w:rsid w:val="00E60344"/>
    <w:rsid w:val="00E61954"/>
    <w:rsid w:val="00E61CCA"/>
    <w:rsid w:val="00E6274F"/>
    <w:rsid w:val="00E6287D"/>
    <w:rsid w:val="00E64596"/>
    <w:rsid w:val="00E6630E"/>
    <w:rsid w:val="00E66614"/>
    <w:rsid w:val="00E66868"/>
    <w:rsid w:val="00E66CE6"/>
    <w:rsid w:val="00E70E2D"/>
    <w:rsid w:val="00E76233"/>
    <w:rsid w:val="00E76E2E"/>
    <w:rsid w:val="00E76F44"/>
    <w:rsid w:val="00E773DF"/>
    <w:rsid w:val="00E80E41"/>
    <w:rsid w:val="00E80FAE"/>
    <w:rsid w:val="00E81A92"/>
    <w:rsid w:val="00E8269B"/>
    <w:rsid w:val="00E8413C"/>
    <w:rsid w:val="00E848AF"/>
    <w:rsid w:val="00E86305"/>
    <w:rsid w:val="00E9085A"/>
    <w:rsid w:val="00E9086B"/>
    <w:rsid w:val="00E90B25"/>
    <w:rsid w:val="00E91AA1"/>
    <w:rsid w:val="00E92195"/>
    <w:rsid w:val="00E930FA"/>
    <w:rsid w:val="00E9364C"/>
    <w:rsid w:val="00E9423A"/>
    <w:rsid w:val="00E95123"/>
    <w:rsid w:val="00E977CB"/>
    <w:rsid w:val="00EA1B29"/>
    <w:rsid w:val="00EA34BE"/>
    <w:rsid w:val="00EA66E6"/>
    <w:rsid w:val="00EA7F57"/>
    <w:rsid w:val="00EB009A"/>
    <w:rsid w:val="00EB1775"/>
    <w:rsid w:val="00EB34F9"/>
    <w:rsid w:val="00EB3F3E"/>
    <w:rsid w:val="00EB426B"/>
    <w:rsid w:val="00EB5E6D"/>
    <w:rsid w:val="00EB7941"/>
    <w:rsid w:val="00EB7A25"/>
    <w:rsid w:val="00EC114C"/>
    <w:rsid w:val="00EC3852"/>
    <w:rsid w:val="00EC3BA5"/>
    <w:rsid w:val="00EC4BC1"/>
    <w:rsid w:val="00EC7118"/>
    <w:rsid w:val="00EC7B41"/>
    <w:rsid w:val="00ED0E2F"/>
    <w:rsid w:val="00ED490C"/>
    <w:rsid w:val="00EE26E2"/>
    <w:rsid w:val="00EE34C3"/>
    <w:rsid w:val="00EE3A6A"/>
    <w:rsid w:val="00EE5828"/>
    <w:rsid w:val="00EE6716"/>
    <w:rsid w:val="00EF2C4A"/>
    <w:rsid w:val="00EF2EE8"/>
    <w:rsid w:val="00EF3278"/>
    <w:rsid w:val="00EF3ED8"/>
    <w:rsid w:val="00EF6174"/>
    <w:rsid w:val="00EF7815"/>
    <w:rsid w:val="00F0223D"/>
    <w:rsid w:val="00F035B5"/>
    <w:rsid w:val="00F043A2"/>
    <w:rsid w:val="00F049EC"/>
    <w:rsid w:val="00F06290"/>
    <w:rsid w:val="00F06E27"/>
    <w:rsid w:val="00F10C38"/>
    <w:rsid w:val="00F12FEA"/>
    <w:rsid w:val="00F1418D"/>
    <w:rsid w:val="00F16E1B"/>
    <w:rsid w:val="00F206FA"/>
    <w:rsid w:val="00F2101F"/>
    <w:rsid w:val="00F21D0F"/>
    <w:rsid w:val="00F221EB"/>
    <w:rsid w:val="00F23D71"/>
    <w:rsid w:val="00F26710"/>
    <w:rsid w:val="00F26B4B"/>
    <w:rsid w:val="00F26E7E"/>
    <w:rsid w:val="00F26FCF"/>
    <w:rsid w:val="00F2706C"/>
    <w:rsid w:val="00F272ED"/>
    <w:rsid w:val="00F27839"/>
    <w:rsid w:val="00F3094A"/>
    <w:rsid w:val="00F325B6"/>
    <w:rsid w:val="00F32D23"/>
    <w:rsid w:val="00F355C4"/>
    <w:rsid w:val="00F37E52"/>
    <w:rsid w:val="00F419C5"/>
    <w:rsid w:val="00F43710"/>
    <w:rsid w:val="00F44530"/>
    <w:rsid w:val="00F44EFB"/>
    <w:rsid w:val="00F453F7"/>
    <w:rsid w:val="00F4635D"/>
    <w:rsid w:val="00F506E1"/>
    <w:rsid w:val="00F50A4A"/>
    <w:rsid w:val="00F52DB9"/>
    <w:rsid w:val="00F536B5"/>
    <w:rsid w:val="00F56314"/>
    <w:rsid w:val="00F565E8"/>
    <w:rsid w:val="00F612E9"/>
    <w:rsid w:val="00F61D25"/>
    <w:rsid w:val="00F61E59"/>
    <w:rsid w:val="00F625EA"/>
    <w:rsid w:val="00F63662"/>
    <w:rsid w:val="00F64278"/>
    <w:rsid w:val="00F659B6"/>
    <w:rsid w:val="00F65D59"/>
    <w:rsid w:val="00F65F22"/>
    <w:rsid w:val="00F6740A"/>
    <w:rsid w:val="00F7227E"/>
    <w:rsid w:val="00F72B42"/>
    <w:rsid w:val="00F733F3"/>
    <w:rsid w:val="00F7381E"/>
    <w:rsid w:val="00F73A39"/>
    <w:rsid w:val="00F73EA8"/>
    <w:rsid w:val="00F74506"/>
    <w:rsid w:val="00F75D3A"/>
    <w:rsid w:val="00F75D5A"/>
    <w:rsid w:val="00F77192"/>
    <w:rsid w:val="00F80139"/>
    <w:rsid w:val="00F84085"/>
    <w:rsid w:val="00F86BD3"/>
    <w:rsid w:val="00F87C31"/>
    <w:rsid w:val="00F9212E"/>
    <w:rsid w:val="00F9365E"/>
    <w:rsid w:val="00F93D2F"/>
    <w:rsid w:val="00F9442D"/>
    <w:rsid w:val="00F954D5"/>
    <w:rsid w:val="00F96953"/>
    <w:rsid w:val="00F976AD"/>
    <w:rsid w:val="00F9783F"/>
    <w:rsid w:val="00FA0329"/>
    <w:rsid w:val="00FA149C"/>
    <w:rsid w:val="00FA1657"/>
    <w:rsid w:val="00FA1AB7"/>
    <w:rsid w:val="00FA264F"/>
    <w:rsid w:val="00FA5848"/>
    <w:rsid w:val="00FA67E8"/>
    <w:rsid w:val="00FB1440"/>
    <w:rsid w:val="00FB2E81"/>
    <w:rsid w:val="00FB366A"/>
    <w:rsid w:val="00FB3DA1"/>
    <w:rsid w:val="00FB57DB"/>
    <w:rsid w:val="00FB6238"/>
    <w:rsid w:val="00FB774F"/>
    <w:rsid w:val="00FB7CFE"/>
    <w:rsid w:val="00FC06E3"/>
    <w:rsid w:val="00FC22AB"/>
    <w:rsid w:val="00FC35FB"/>
    <w:rsid w:val="00FC3C65"/>
    <w:rsid w:val="00FC41E5"/>
    <w:rsid w:val="00FC594B"/>
    <w:rsid w:val="00FC6E5D"/>
    <w:rsid w:val="00FD02CA"/>
    <w:rsid w:val="00FD0DA5"/>
    <w:rsid w:val="00FD0FF6"/>
    <w:rsid w:val="00FD1707"/>
    <w:rsid w:val="00FD45EB"/>
    <w:rsid w:val="00FD495F"/>
    <w:rsid w:val="00FD636D"/>
    <w:rsid w:val="00FD7841"/>
    <w:rsid w:val="00FE2431"/>
    <w:rsid w:val="00FE3F83"/>
    <w:rsid w:val="00FE4C58"/>
    <w:rsid w:val="00FE60E9"/>
    <w:rsid w:val="00FE6746"/>
    <w:rsid w:val="00FE6980"/>
    <w:rsid w:val="00FE6F48"/>
    <w:rsid w:val="00FF227B"/>
    <w:rsid w:val="00FF2550"/>
    <w:rsid w:val="00FF272E"/>
    <w:rsid w:val="00FF2C80"/>
    <w:rsid w:val="00FF31DB"/>
    <w:rsid w:val="00FF345F"/>
    <w:rsid w:val="00FF4EB3"/>
    <w:rsid w:val="00FF610D"/>
    <w:rsid w:val="00FF6121"/>
    <w:rsid w:val="00FF731A"/>
    <w:rsid w:val="00FF7550"/>
    <w:rsid w:val="00FF778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CA3F0B0-C936-4030-9936-05E63168E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1"/>
    <w:lsdException w:name="heading 2" w:semiHidden="1" w:uiPriority="1" w:unhideWhenUsed="1" w:qFormat="1"/>
    <w:lsdException w:name="heading 3" w:semiHidden="1" w:uiPriority="1" w:unhideWhenUsed="1"/>
    <w:lsdException w:name="heading 4" w:semiHidden="1" w:uiPriority="5" w:unhideWhenUsed="1"/>
    <w:lsdException w:name="heading 5" w:semiHidden="1" w:uiPriority="7" w:unhideWhenUsed="1"/>
    <w:lsdException w:name="heading 6" w:semiHidden="1" w:uiPriority="7" w:unhideWhenUsed="1"/>
    <w:lsdException w:name="heading 7" w:semiHidden="1" w:uiPriority="7" w:unhideWhenUsed="1"/>
    <w:lsdException w:name="heading 8" w:semiHidden="1" w:uiPriority="7" w:unhideWhenUsed="1"/>
    <w:lsdException w:name="heading 9" w:semiHidden="1" w:uiPriority="7"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 w:unhideWhenUsed="1"/>
    <w:lsdException w:name="Body Text 3" w:semiHidden="1" w:uiPriority="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 w:unhideWhenUsed="1"/>
    <w:lsdException w:name="Table Grid" w:uiPriority="39"/>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2DF"/>
    <w:rPr>
      <w:rFonts w:ascii="Calibri" w:hAnsi="Calibri"/>
      <w:sz w:val="24"/>
      <w:szCs w:val="24"/>
    </w:rPr>
  </w:style>
  <w:style w:type="paragraph" w:styleId="Heading1">
    <w:name w:val="heading 1"/>
    <w:basedOn w:val="Normal"/>
    <w:next w:val="Normal"/>
    <w:link w:val="Heading1Char"/>
    <w:uiPriority w:val="1"/>
    <w:rsid w:val="000F6AD0"/>
    <w:pPr>
      <w:keepNext/>
      <w:keepLines/>
      <w:numPr>
        <w:numId w:val="1"/>
      </w:numPr>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E176C3"/>
    <w:pPr>
      <w:keepNext/>
      <w:keepLines/>
      <w:outlineLvl w:val="1"/>
    </w:pPr>
    <w:rPr>
      <w:rFonts w:eastAsiaTheme="majorEastAsia" w:cstheme="majorBidi"/>
      <w:b/>
      <w:i/>
      <w:sz w:val="28"/>
      <w:szCs w:val="28"/>
    </w:rPr>
  </w:style>
  <w:style w:type="paragraph" w:styleId="Heading3">
    <w:name w:val="heading 3"/>
    <w:basedOn w:val="Normal"/>
    <w:next w:val="Normal"/>
    <w:link w:val="Heading3Char"/>
    <w:uiPriority w:val="1"/>
    <w:unhideWhenUsed/>
    <w:rsid w:val="000F6AD0"/>
    <w:pPr>
      <w:keepNext/>
      <w:keepLines/>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rsid w:val="00624315"/>
    <w:pPr>
      <w:numPr>
        <w:numId w:val="0"/>
      </w:numPr>
      <w:outlineLvl w:val="3"/>
    </w:pPr>
  </w:style>
  <w:style w:type="paragraph" w:styleId="Heading5">
    <w:name w:val="heading 5"/>
    <w:aliases w:val="Heading 2 - Body"/>
    <w:basedOn w:val="Heading2"/>
    <w:next w:val="Normal"/>
    <w:link w:val="Heading5Char"/>
    <w:uiPriority w:val="7"/>
    <w:unhideWhenUsed/>
    <w:rsid w:val="003B095E"/>
    <w:pPr>
      <w:outlineLvl w:val="4"/>
    </w:pPr>
  </w:style>
  <w:style w:type="paragraph" w:styleId="Heading6">
    <w:name w:val="heading 6"/>
    <w:aliases w:val="Heading 3 - Body"/>
    <w:basedOn w:val="Heading3"/>
    <w:next w:val="Normal"/>
    <w:link w:val="Heading6Char"/>
    <w:uiPriority w:val="7"/>
    <w:unhideWhenUsed/>
    <w:rsid w:val="00624315"/>
    <w:pPr>
      <w:outlineLvl w:val="5"/>
    </w:pPr>
    <w:rPr>
      <w:sz w:val="24"/>
    </w:rPr>
  </w:style>
  <w:style w:type="paragraph" w:styleId="Heading7">
    <w:name w:val="heading 7"/>
    <w:basedOn w:val="Heading1"/>
    <w:next w:val="Normal"/>
    <w:link w:val="Heading7Char"/>
    <w:uiPriority w:val="7"/>
    <w:unhideWhenUsed/>
    <w:rsid w:val="00307CF8"/>
    <w:pPr>
      <w:numPr>
        <w:numId w:val="0"/>
      </w:numPr>
      <w:ind w:left="709" w:hanging="709"/>
      <w:outlineLvl w:val="6"/>
    </w:pPr>
    <w:rPr>
      <w:i/>
      <w:sz w:val="24"/>
      <w:szCs w:val="24"/>
    </w:rPr>
  </w:style>
  <w:style w:type="paragraph" w:styleId="Heading8">
    <w:name w:val="heading 8"/>
    <w:basedOn w:val="Normal"/>
    <w:next w:val="Normal"/>
    <w:link w:val="Heading8Char"/>
    <w:uiPriority w:val="7"/>
    <w:unhideWhenUsed/>
    <w:rsid w:val="002B5D7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F6AD0"/>
    <w:rPr>
      <w:rFonts w:eastAsiaTheme="majorEastAsia" w:cstheme="majorBidi"/>
      <w:b/>
      <w:sz w:val="32"/>
      <w:szCs w:val="28"/>
    </w:rPr>
  </w:style>
  <w:style w:type="character" w:customStyle="1" w:styleId="Heading2Char">
    <w:name w:val="Heading 2 Char"/>
    <w:basedOn w:val="DefaultParagraphFont"/>
    <w:link w:val="Heading2"/>
    <w:uiPriority w:val="1"/>
    <w:rsid w:val="00E176C3"/>
    <w:rPr>
      <w:rFonts w:eastAsiaTheme="majorEastAsia" w:cstheme="majorBidi"/>
      <w:b/>
      <w:i/>
      <w:sz w:val="28"/>
      <w:szCs w:val="28"/>
    </w:rPr>
  </w:style>
  <w:style w:type="character" w:customStyle="1" w:styleId="Heading3Char">
    <w:name w:val="Heading 3 Char"/>
    <w:basedOn w:val="DefaultParagraphFont"/>
    <w:link w:val="Heading3"/>
    <w:uiPriority w:val="1"/>
    <w:rsid w:val="000F6AD0"/>
    <w:rPr>
      <w:rFonts w:eastAsiaTheme="majorEastAsia" w:cstheme="majorBidi"/>
      <w:b/>
      <w:sz w:val="28"/>
      <w:szCs w:val="28"/>
    </w:rPr>
  </w:style>
  <w:style w:type="paragraph" w:styleId="ListParagraph">
    <w:name w:val="List Paragraph"/>
    <w:aliases w:val="BulletPoints,Numbered para,Footnote,Bullet point,List Paragraph1,List Paragraph11,Recommendation,ES Paragraph,PBAC ES Paragraph,PBAC normal points,Bullet List"/>
    <w:link w:val="ListParagraphChar"/>
    <w:uiPriority w:val="72"/>
    <w:qFormat/>
    <w:rsid w:val="004D22DF"/>
    <w:pPr>
      <w:widowControl w:val="0"/>
      <w:spacing w:before="120" w:after="120"/>
      <w:ind w:left="1440" w:hanging="360"/>
      <w:jc w:val="both"/>
    </w:pPr>
    <w:rPr>
      <w:rFonts w:asciiTheme="minorHAnsi" w:hAnsiTheme="minorHAnsi" w:cs="Arial"/>
      <w:snapToGrid w:val="0"/>
      <w:sz w:val="24"/>
      <w:szCs w:val="24"/>
    </w:rPr>
  </w:style>
  <w:style w:type="paragraph" w:customStyle="1" w:styleId="V50Heading2nonumbers">
    <w:name w:val="V5.0 Heading 2 no numbers"/>
    <w:basedOn w:val="Heading2"/>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307CF8"/>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rsid w:val="00307CF8"/>
    <w:pPr>
      <w:numPr>
        <w:numId w:val="0"/>
      </w:numPr>
    </w:pPr>
  </w:style>
  <w:style w:type="table" w:styleId="TableGrid">
    <w:name w:val="Table Grid"/>
    <w:aliases w:val="Summary box,Table Gridbeth"/>
    <w:basedOn w:val="TableNormal"/>
    <w:uiPriority w:val="39"/>
    <w:rsid w:val="000F6AD0"/>
    <w:rPr>
      <w:lang w:val="en-US"/>
    </w:rPr>
    <w:tblPr>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rPr>
      <w:jc w:val="center"/>
    </w:trPr>
    <w:tcPr>
      <w:vAlign w:val="center"/>
    </w:tcPr>
    <w:tblStylePr w:type="firstRow">
      <w:rPr>
        <w:b/>
      </w:rPr>
      <w:tblPr/>
      <w:tcPr>
        <w:shd w:val="clear" w:color="auto" w:fill="FFFFFF" w:themeFill="background1"/>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2B4941"/>
    <w:pPr>
      <w:keepNext/>
      <w:spacing w:after="40"/>
    </w:pPr>
    <w:rPr>
      <w:b/>
      <w:iCs/>
      <w:sz w:val="20"/>
      <w:szCs w:val="18"/>
    </w:rPr>
  </w:style>
  <w:style w:type="paragraph" w:customStyle="1" w:styleId="V50TableText">
    <w:name w:val="V5.0 TableText"/>
    <w:link w:val="V50TableTextChar"/>
    <w:rsid w:val="00186307"/>
    <w:rPr>
      <w:szCs w:val="24"/>
      <w:lang w:val="en-US"/>
    </w:rPr>
  </w:style>
  <w:style w:type="paragraph" w:customStyle="1" w:styleId="V50TableTextInstruction">
    <w:name w:val="V5.0 TableText Instruction"/>
    <w:basedOn w:val="V50TableText"/>
    <w:rsid w:val="00597972"/>
    <w:rPr>
      <w:b/>
      <w:color w:val="4472C4" w:themeColor="accent5"/>
    </w:rPr>
  </w:style>
  <w:style w:type="paragraph" w:customStyle="1" w:styleId="V50InstructionsBullets">
    <w:name w:val="V5.0 Instructions Bullets"/>
    <w:basedOn w:val="V50Instructions"/>
    <w:rsid w:val="007F08CA"/>
    <w:pPr>
      <w:numPr>
        <w:numId w:val="2"/>
      </w:numPr>
      <w:ind w:left="714" w:hanging="357"/>
    </w:pPr>
  </w:style>
  <w:style w:type="table" w:customStyle="1" w:styleId="TableGridLight1">
    <w:name w:val="Table Grid Light1"/>
    <w:basedOn w:val="TableNormal"/>
    <w:uiPriority w:val="40"/>
    <w:rsid w:val="00D6667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link w:val="TableTextChar"/>
    <w:qFormat/>
    <w:rsid w:val="004D22DF"/>
    <w:rPr>
      <w:rFonts w:ascii="Arial Narrow" w:eastAsiaTheme="majorEastAsia" w:hAnsi="Arial Narrow" w:cstheme="majorBidi"/>
      <w:bCs/>
      <w:sz w:val="24"/>
      <w:szCs w:val="24"/>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rsid w:val="00BA3306"/>
    <w:pPr>
      <w:keepNext/>
      <w:spacing w:after="240"/>
      <w:ind w:left="1418" w:hanging="1418"/>
    </w:pPr>
    <w:rPr>
      <w:rFonts w:ascii="Franklin Gothic Medium" w:hAnsi="Franklin Gothic Medium"/>
      <w:sz w:val="22"/>
    </w:rPr>
  </w:style>
  <w:style w:type="paragraph" w:customStyle="1" w:styleId="TableHeading">
    <w:name w:val="TableHeading"/>
    <w:basedOn w:val="Normal"/>
    <w:qFormat/>
    <w:rsid w:val="00086C75"/>
    <w:pPr>
      <w:keepNext/>
    </w:pPr>
    <w:rPr>
      <w:rFonts w:ascii="Arial Narrow" w:hAnsi="Arial Narrow"/>
      <w:b/>
      <w:sz w:val="20"/>
      <w:szCs w:val="20"/>
    </w:rPr>
  </w:style>
  <w:style w:type="paragraph" w:styleId="FootnoteText">
    <w:name w:val="footnote text"/>
    <w:basedOn w:val="Normal"/>
    <w:link w:val="FootnoteTextChar"/>
    <w:uiPriority w:val="99"/>
    <w:unhideWhenUsed/>
    <w:rsid w:val="00BA3306"/>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rsid w:val="00BA3306"/>
    <w:pPr>
      <w:spacing w:after="360"/>
    </w:pPr>
    <w:rPr>
      <w:sz w:val="18"/>
    </w:rPr>
  </w:style>
  <w:style w:type="character" w:styleId="Emphasis">
    <w:name w:val="Emphasis"/>
    <w:basedOn w:val="DefaultParagraphFont"/>
    <w:uiPriority w:val="20"/>
    <w:rsid w:val="00BA3306"/>
    <w:rPr>
      <w:b w:val="0"/>
      <w:i/>
      <w:iCs/>
    </w:rPr>
  </w:style>
  <w:style w:type="character" w:styleId="CommentReference">
    <w:name w:val="annotation reference"/>
    <w:aliases w:val="Table Title"/>
    <w:basedOn w:val="DefaultParagraphFont"/>
    <w:uiPriority w:val="99"/>
    <w:unhideWhenUsed/>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0">
    <w:name w:val="Table Heading"/>
    <w:basedOn w:val="Normal"/>
    <w:link w:val="TableHeadingChar"/>
    <w:qFormat/>
    <w:rsid w:val="00307CF8"/>
    <w:pPr>
      <w:keepNext/>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307CF8"/>
    <w:pPr>
      <w:widowControl w:val="0"/>
    </w:pPr>
    <w:rPr>
      <w:rFonts w:ascii="Arial Narrow" w:hAnsi="Arial Narrow" w:cs="Arial"/>
      <w:snapToGrid w:val="0"/>
      <w:sz w:val="18"/>
      <w:szCs w:val="20"/>
    </w:rPr>
  </w:style>
  <w:style w:type="character" w:customStyle="1" w:styleId="TableFooterChar">
    <w:name w:val="Table Footer Char"/>
    <w:link w:val="TableFooter"/>
    <w:rsid w:val="00307CF8"/>
    <w:rPr>
      <w:rFonts w:ascii="Arial Narrow" w:eastAsia="Times New Roman" w:hAnsi="Arial Narrow" w:cs="Arial"/>
      <w:snapToGrid w:val="0"/>
      <w:sz w:val="18"/>
      <w:szCs w:val="20"/>
    </w:rPr>
  </w:style>
  <w:style w:type="paragraph" w:customStyle="1" w:styleId="TableNotes">
    <w:name w:val="TableNotes"/>
    <w:basedOn w:val="Normal"/>
    <w:rsid w:val="00C317F3"/>
    <w:pPr>
      <w:spacing w:after="60"/>
    </w:pPr>
    <w:rPr>
      <w:sz w:val="20"/>
    </w:rPr>
  </w:style>
  <w:style w:type="paragraph" w:customStyle="1" w:styleId="oldTablefooter">
    <w:name w:val="old Table footer"/>
    <w:basedOn w:val="Normal"/>
    <w:link w:val="oldTablefooterChar"/>
    <w:rsid w:val="00C317F3"/>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qFormat/>
    <w:rsid w:val="004D22DF"/>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rsid w:val="004D22DF"/>
    <w:rPr>
      <w:rFonts w:ascii="Calibri" w:hAnsi="Calibri"/>
      <w:sz w:val="24"/>
      <w:szCs w:val="24"/>
    </w:rPr>
  </w:style>
  <w:style w:type="paragraph" w:styleId="Footer">
    <w:name w:val="footer"/>
    <w:basedOn w:val="Normal"/>
    <w:link w:val="FooterChar"/>
    <w:uiPriority w:val="99"/>
    <w:unhideWhenUsed/>
    <w:rsid w:val="00C317F3"/>
    <w:pPr>
      <w:tabs>
        <w:tab w:val="center" w:pos="4513"/>
        <w:tab w:val="right" w:pos="9026"/>
      </w:tabs>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ind w:left="220"/>
    </w:pPr>
    <w:rPr>
      <w:rFonts w:ascii="Arial"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hAnsi="Arial" w:cs="Arial"/>
      <w:bCs/>
      <w:snapToGrid w:val="0"/>
      <w:sz w:val="20"/>
      <w:szCs w:val="20"/>
    </w:rPr>
  </w:style>
  <w:style w:type="paragraph" w:customStyle="1" w:styleId="TableHeader">
    <w:name w:val="Table Header"/>
    <w:basedOn w:val="Normal"/>
    <w:next w:val="Normal"/>
    <w:uiPriority w:val="3"/>
    <w:rsid w:val="00C317F3"/>
    <w:pPr>
      <w:widowControl w:val="0"/>
    </w:pPr>
    <w:rPr>
      <w:rFonts w:ascii="Arial Narrow" w:hAnsi="Arial Narrow" w:cs="Arial"/>
      <w:b/>
      <w:snapToGrid w:val="0"/>
      <w:sz w:val="20"/>
      <w:szCs w:val="20"/>
    </w:rPr>
  </w:style>
  <w:style w:type="paragraph" w:styleId="Title">
    <w:name w:val="Title"/>
    <w:basedOn w:val="Normal"/>
    <w:next w:val="Normal"/>
    <w:link w:val="TitleChar"/>
    <w:uiPriority w:val="7"/>
    <w:qFormat/>
    <w:rsid w:val="00E176C3"/>
    <w:pPr>
      <w:outlineLvl w:val="0"/>
    </w:pPr>
    <w:rPr>
      <w:b/>
      <w:sz w:val="36"/>
      <w:szCs w:val="36"/>
    </w:rPr>
  </w:style>
  <w:style w:type="character" w:customStyle="1" w:styleId="TitleChar">
    <w:name w:val="Title Char"/>
    <w:basedOn w:val="DefaultParagraphFont"/>
    <w:link w:val="Title"/>
    <w:uiPriority w:val="7"/>
    <w:rsid w:val="00E176C3"/>
    <w:rPr>
      <w:b/>
      <w:sz w:val="36"/>
      <w:szCs w:val="36"/>
    </w:rPr>
  </w:style>
  <w:style w:type="paragraph" w:styleId="BodyText">
    <w:name w:val="Body Text"/>
    <w:basedOn w:val="Normal"/>
    <w:link w:val="BodyTextChar"/>
    <w:qFormat/>
    <w:rsid w:val="00C317F3"/>
    <w:pPr>
      <w:widowControl w:val="0"/>
    </w:pPr>
    <w:rPr>
      <w:rFonts w:ascii="Arial"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7"/>
    <w:rsid w:val="00C317F3"/>
    <w:pPr>
      <w:widowControl w:val="0"/>
      <w:jc w:val="both"/>
    </w:pPr>
    <w:rPr>
      <w:rFonts w:ascii="Arial" w:hAnsi="Arial" w:cs="Arial"/>
      <w:snapToGrid w:val="0"/>
    </w:rPr>
  </w:style>
  <w:style w:type="paragraph" w:customStyle="1" w:styleId="Tabletext0">
    <w:name w:val="Table text"/>
    <w:basedOn w:val="Normal"/>
    <w:link w:val="TabletextChar0"/>
    <w:uiPriority w:val="2"/>
    <w:qFormat/>
    <w:rsid w:val="00C317F3"/>
    <w:rPr>
      <w:rFonts w:ascii="Arial Narrow" w:hAnsi="Arial Narrow"/>
      <w:sz w:val="20"/>
      <w:szCs w:val="20"/>
    </w:rPr>
  </w:style>
  <w:style w:type="character" w:customStyle="1" w:styleId="TabletextChar0">
    <w:name w:val="Table text Char"/>
    <w:link w:val="Tabletext0"/>
    <w:uiPriority w:val="2"/>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hAnsi="Times New Roman"/>
      <w:szCs w:val="20"/>
      <w:lang w:val="en-GB"/>
    </w:rPr>
  </w:style>
  <w:style w:type="paragraph" w:styleId="TOCHeading">
    <w:name w:val="TOC Heading"/>
    <w:basedOn w:val="Heading1"/>
    <w:next w:val="Normal"/>
    <w:uiPriority w:val="39"/>
    <w:unhideWhenUsed/>
    <w:rsid w:val="00C317F3"/>
    <w:pPr>
      <w:numPr>
        <w:numId w:val="0"/>
      </w:numPr>
      <w:spacing w:before="48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ind w:left="440"/>
    </w:pPr>
    <w:rPr>
      <w:rFonts w:cs="Arial"/>
      <w:snapToGrid w:val="0"/>
      <w:sz w:val="20"/>
      <w:szCs w:val="20"/>
    </w:rPr>
  </w:style>
  <w:style w:type="paragraph" w:styleId="BodyText3">
    <w:name w:val="Body Text 3"/>
    <w:basedOn w:val="Normal"/>
    <w:link w:val="BodyText3Char"/>
    <w:uiPriority w:val="9"/>
    <w:rsid w:val="00C317F3"/>
    <w:pPr>
      <w:widowControl w:val="0"/>
      <w:spacing w:after="120"/>
    </w:pPr>
    <w:rPr>
      <w:rFonts w:ascii="Arial"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ind w:left="660"/>
    </w:pPr>
    <w:rPr>
      <w:rFonts w:cs="Arial"/>
      <w:snapToGrid w:val="0"/>
      <w:sz w:val="20"/>
      <w:szCs w:val="20"/>
    </w:rPr>
  </w:style>
  <w:style w:type="paragraph" w:styleId="TOC5">
    <w:name w:val="toc 5"/>
    <w:basedOn w:val="Normal"/>
    <w:next w:val="Normal"/>
    <w:autoRedefine/>
    <w:uiPriority w:val="9"/>
    <w:rsid w:val="00C317F3"/>
    <w:pPr>
      <w:widowControl w:val="0"/>
      <w:ind w:left="880"/>
    </w:pPr>
    <w:rPr>
      <w:rFonts w:cs="Arial"/>
      <w:snapToGrid w:val="0"/>
      <w:sz w:val="20"/>
      <w:szCs w:val="20"/>
    </w:rPr>
  </w:style>
  <w:style w:type="paragraph" w:styleId="TOC6">
    <w:name w:val="toc 6"/>
    <w:basedOn w:val="Normal"/>
    <w:next w:val="Normal"/>
    <w:autoRedefine/>
    <w:uiPriority w:val="9"/>
    <w:rsid w:val="00C317F3"/>
    <w:pPr>
      <w:widowControl w:val="0"/>
      <w:ind w:left="1100"/>
    </w:pPr>
    <w:rPr>
      <w:rFonts w:cs="Arial"/>
      <w:snapToGrid w:val="0"/>
      <w:sz w:val="20"/>
      <w:szCs w:val="20"/>
    </w:rPr>
  </w:style>
  <w:style w:type="paragraph" w:styleId="TOC7">
    <w:name w:val="toc 7"/>
    <w:basedOn w:val="Normal"/>
    <w:next w:val="Normal"/>
    <w:autoRedefine/>
    <w:uiPriority w:val="9"/>
    <w:rsid w:val="00C317F3"/>
    <w:pPr>
      <w:widowControl w:val="0"/>
      <w:ind w:left="1320"/>
    </w:pPr>
    <w:rPr>
      <w:rFonts w:cs="Arial"/>
      <w:snapToGrid w:val="0"/>
      <w:sz w:val="20"/>
      <w:szCs w:val="20"/>
    </w:rPr>
  </w:style>
  <w:style w:type="paragraph" w:styleId="TOC8">
    <w:name w:val="toc 8"/>
    <w:basedOn w:val="Normal"/>
    <w:next w:val="Normal"/>
    <w:autoRedefine/>
    <w:uiPriority w:val="9"/>
    <w:rsid w:val="00C317F3"/>
    <w:pPr>
      <w:widowControl w:val="0"/>
      <w:ind w:left="1540"/>
    </w:pPr>
    <w:rPr>
      <w:rFonts w:cs="Arial"/>
      <w:snapToGrid w:val="0"/>
      <w:sz w:val="20"/>
      <w:szCs w:val="20"/>
    </w:rPr>
  </w:style>
  <w:style w:type="paragraph" w:styleId="TOC9">
    <w:name w:val="toc 9"/>
    <w:basedOn w:val="Normal"/>
    <w:next w:val="Normal"/>
    <w:autoRedefine/>
    <w:uiPriority w:val="9"/>
    <w:rsid w:val="00C317F3"/>
    <w:pPr>
      <w:widowControl w:val="0"/>
      <w:ind w:left="1760"/>
    </w:pPr>
    <w:rPr>
      <w:rFonts w:cs="Arial"/>
      <w:snapToGrid w:val="0"/>
      <w:sz w:val="20"/>
      <w:szCs w:val="20"/>
    </w:rPr>
  </w:style>
  <w:style w:type="paragraph" w:styleId="BodyText2">
    <w:name w:val="Body Text 2"/>
    <w:basedOn w:val="Normal"/>
    <w:link w:val="BodyText2Char"/>
    <w:uiPriority w:val="9"/>
    <w:rsid w:val="00C317F3"/>
    <w:pPr>
      <w:widowControl w:val="0"/>
      <w:spacing w:after="120" w:line="480" w:lineRule="auto"/>
    </w:pPr>
    <w:rPr>
      <w:rFonts w:ascii="Arial"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link w:val="TableTextChar1"/>
    <w:uiPriority w:val="3"/>
    <w:rsid w:val="00C317F3"/>
    <w:pPr>
      <w:keepNext/>
      <w:spacing w:before="40" w:after="40"/>
    </w:pPr>
    <w:rPr>
      <w:rFonts w:ascii="Arial Narrow"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rPr>
      <w:rFonts w:ascii="Arial" w:hAnsi="Arial" w:cs="Arial"/>
      <w:snapToGrid w:val="0"/>
    </w:rPr>
  </w:style>
  <w:style w:type="paragraph" w:styleId="BodyTextIndent">
    <w:name w:val="Body Text Indent"/>
    <w:basedOn w:val="Normal"/>
    <w:link w:val="BodyTextIndentChar"/>
    <w:uiPriority w:val="9"/>
    <w:rsid w:val="00C317F3"/>
    <w:pPr>
      <w:widowControl w:val="0"/>
      <w:spacing w:after="120"/>
      <w:ind w:left="283"/>
    </w:pPr>
    <w:rPr>
      <w:rFonts w:ascii="Arial"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81687A"/>
    <w:pPr>
      <w:outlineLvl w:val="0"/>
    </w:pPr>
    <w:rPr>
      <w:rFonts w:cstheme="minorHAnsi"/>
      <w:b/>
      <w:snapToGrid w:val="0"/>
      <w:sz w:val="32"/>
      <w:szCs w:val="32"/>
    </w:rPr>
  </w:style>
  <w:style w:type="paragraph" w:customStyle="1" w:styleId="Style1">
    <w:name w:val="Style1"/>
    <w:basedOn w:val="Normal"/>
    <w:rsid w:val="00C317F3"/>
    <w:pPr>
      <w:widowControl w:val="0"/>
    </w:pPr>
    <w:rPr>
      <w:rFonts w:ascii="Arial" w:hAnsi="Arial" w:cs="Arial"/>
      <w:snapToGrid w:val="0"/>
      <w:sz w:val="22"/>
      <w:szCs w:val="20"/>
    </w:rPr>
  </w:style>
  <w:style w:type="paragraph" w:customStyle="1" w:styleId="PBACheading10">
    <w:name w:val="PBAC heading 1"/>
    <w:rsid w:val="00C317F3"/>
    <w:pPr>
      <w:ind w:left="720" w:hanging="720"/>
    </w:pPr>
    <w:rPr>
      <w:rFonts w:ascii="Arial" w:hAnsi="Arial" w:cs="Arial"/>
      <w:snapToGrid w:val="0"/>
    </w:rPr>
  </w:style>
  <w:style w:type="character" w:customStyle="1" w:styleId="ListParagraphChar">
    <w:name w:val="List Paragraph Char"/>
    <w:aliases w:val="BulletPoints Char,Numbered para Char,Footnote Char,Bullet point Char,List Paragraph1 Char,List Paragraph11 Char,Recommendation Char,ES Paragraph Char,PBAC ES Paragraph Char,PBAC normal points Char,Bullet List Char"/>
    <w:basedOn w:val="DefaultParagraphFont"/>
    <w:link w:val="ListParagraph"/>
    <w:uiPriority w:val="72"/>
    <w:qFormat/>
    <w:locked/>
    <w:rsid w:val="004D22DF"/>
    <w:rPr>
      <w:rFonts w:asciiTheme="minorHAnsi" w:hAnsiTheme="minorHAnsi" w:cs="Arial"/>
      <w:snapToGrid w:val="0"/>
      <w:sz w:val="24"/>
      <w:szCs w:val="24"/>
    </w:rPr>
  </w:style>
  <w:style w:type="numbering" w:customStyle="1" w:styleId="Headings">
    <w:name w:val="Headings"/>
    <w:uiPriority w:val="99"/>
    <w:rsid w:val="00C317F3"/>
    <w:pPr>
      <w:numPr>
        <w:numId w:val="4"/>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rsid w:val="00E46AC9"/>
    <w:pPr>
      <w:numPr>
        <w:numId w:val="6"/>
      </w:numPr>
      <w:spacing w:after="240"/>
      <w:ind w:left="357" w:hanging="357"/>
    </w:pPr>
    <w:rPr>
      <w:sz w:val="22"/>
    </w:rPr>
  </w:style>
  <w:style w:type="paragraph" w:customStyle="1" w:styleId="TableFigNote">
    <w:name w:val="TableFigNote"/>
    <w:basedOn w:val="Normal"/>
    <w:rsid w:val="00576ADE"/>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hAnsi="Times New Roman"/>
      <w:lang w:eastAsia="en-AU"/>
    </w:rPr>
  </w:style>
  <w:style w:type="paragraph" w:customStyle="1" w:styleId="ESnumberedpara">
    <w:name w:val="ES numbered para"/>
    <w:basedOn w:val="Normal"/>
    <w:rsid w:val="00C52ACF"/>
    <w:pPr>
      <w:spacing w:after="120"/>
      <w:ind w:left="720" w:hanging="720"/>
    </w:pPr>
  </w:style>
  <w:style w:type="paragraph" w:customStyle="1" w:styleId="Bulletpoints">
    <w:name w:val="Bullet points"/>
    <w:basedOn w:val="ListParagraph"/>
    <w:rsid w:val="00B55E13"/>
    <w:pPr>
      <w:numPr>
        <w:numId w:val="7"/>
      </w:numPr>
    </w:pPr>
    <w:rPr>
      <w:rFonts w:ascii="Calibri" w:hAnsi="Calibri"/>
      <w:snapToGrid/>
    </w:rPr>
  </w:style>
  <w:style w:type="character" w:customStyle="1" w:styleId="TableHeadingChar">
    <w:name w:val="Table Heading Char"/>
    <w:link w:val="TableHeading0"/>
    <w:rsid w:val="00473F2F"/>
    <w:rPr>
      <w:rFonts w:ascii="Arial Narrow" w:hAnsi="Arial Narrow"/>
      <w:b/>
      <w:sz w:val="20"/>
    </w:rPr>
  </w:style>
  <w:style w:type="character" w:customStyle="1" w:styleId="TableTextChar">
    <w:name w:val="Table Text Char"/>
    <w:basedOn w:val="DefaultParagraphFont"/>
    <w:link w:val="TableText"/>
    <w:rsid w:val="004D22DF"/>
    <w:rPr>
      <w:rFonts w:ascii="Arial Narrow" w:eastAsiaTheme="majorEastAsia" w:hAnsi="Arial Narrow" w:cstheme="majorBidi"/>
      <w:bCs/>
      <w:sz w:val="24"/>
      <w:szCs w:val="24"/>
    </w:rPr>
  </w:style>
  <w:style w:type="table" w:customStyle="1" w:styleId="AZTable">
    <w:name w:val="AZ Table"/>
    <w:basedOn w:val="TableNormal"/>
    <w:uiPriority w:val="99"/>
    <w:rsid w:val="00DA3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table" w:customStyle="1" w:styleId="TableGrid5">
    <w:name w:val="Table Grid5"/>
    <w:basedOn w:val="TableNormal"/>
    <w:next w:val="TableGrid"/>
    <w:uiPriority w:val="59"/>
    <w:rsid w:val="00200FB0"/>
    <w:pPr>
      <w:spacing w:line="360" w:lineRule="auto"/>
    </w:pPr>
    <w:rPr>
      <w:rFonts w:eastAsia="SimSu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8">
    <w:name w:val="Summary box8"/>
    <w:basedOn w:val="TableNormal"/>
    <w:next w:val="TableGrid"/>
    <w:uiPriority w:val="39"/>
    <w:rsid w:val="00A64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1">
    <w:name w:val="TableText Char"/>
    <w:basedOn w:val="DefaultParagraphFont"/>
    <w:link w:val="TableText1"/>
    <w:uiPriority w:val="3"/>
    <w:rsid w:val="00911294"/>
    <w:rPr>
      <w:rFonts w:ascii="Arial Narrow" w:eastAsia="Times New Roman" w:hAnsi="Arial Narrow" w:cs="Arial Narrow"/>
      <w:sz w:val="20"/>
      <w:szCs w:val="20"/>
    </w:rPr>
  </w:style>
  <w:style w:type="paragraph" w:customStyle="1" w:styleId="Default">
    <w:name w:val="Default"/>
    <w:rsid w:val="00914FF3"/>
    <w:pPr>
      <w:autoSpaceDE w:val="0"/>
      <w:autoSpaceDN w:val="0"/>
      <w:adjustRightInd w:val="0"/>
    </w:pPr>
    <w:rPr>
      <w:rFonts w:ascii="Cambria" w:hAnsi="Cambria" w:cs="Cambria"/>
      <w:color w:val="000000"/>
      <w:sz w:val="24"/>
      <w:szCs w:val="24"/>
    </w:rPr>
  </w:style>
  <w:style w:type="paragraph" w:customStyle="1" w:styleId="GeneralHeading">
    <w:name w:val="General Heading"/>
    <w:qFormat/>
    <w:rsid w:val="004D22DF"/>
    <w:pPr>
      <w:ind w:left="720" w:hanging="720"/>
      <w:outlineLvl w:val="0"/>
    </w:pPr>
    <w:rPr>
      <w:rFonts w:ascii="Calibri" w:hAnsi="Calibri" w:cs="Arial"/>
      <w:b/>
      <w:snapToGrid w:val="0"/>
      <w:sz w:val="28"/>
      <w:szCs w:val="22"/>
    </w:rPr>
  </w:style>
  <w:style w:type="paragraph" w:customStyle="1" w:styleId="In-tableHeading">
    <w:name w:val="In-table Heading"/>
    <w:qFormat/>
    <w:rsid w:val="004D22DF"/>
    <w:rPr>
      <w:rFonts w:ascii="Arial Narrow" w:eastAsiaTheme="majorEastAsia" w:hAnsi="Arial Narrow"/>
      <w:b/>
      <w:sz w:val="22"/>
      <w:szCs w:val="24"/>
      <w:lang w:val="en-US"/>
    </w:rPr>
  </w:style>
  <w:style w:type="paragraph" w:customStyle="1" w:styleId="2-SectionHeading">
    <w:name w:val="2-Section Heading"/>
    <w:qFormat/>
    <w:rsid w:val="004D22DF"/>
    <w:pPr>
      <w:numPr>
        <w:numId w:val="23"/>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D22DF"/>
    <w:pPr>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D22DF"/>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D22DF"/>
    <w:pPr>
      <w:spacing w:after="60"/>
    </w:pPr>
    <w:rPr>
      <w:rFonts w:ascii="Arial Narrow" w:eastAsiaTheme="majorEastAsia" w:hAnsi="Arial Narrow" w:cstheme="majorBidi"/>
      <w:b/>
      <w:bCs/>
      <w:sz w:val="22"/>
      <w:szCs w:val="24"/>
    </w:rPr>
  </w:style>
  <w:style w:type="character" w:customStyle="1" w:styleId="TableFigureHeadingChar">
    <w:name w:val="Table/Figure Heading Char"/>
    <w:basedOn w:val="DefaultParagraphFont"/>
    <w:link w:val="TableFigureHeading"/>
    <w:rsid w:val="004D22DF"/>
    <w:rPr>
      <w:rFonts w:ascii="Arial Narrow" w:eastAsiaTheme="majorEastAsia" w:hAnsi="Arial Narrow" w:cstheme="majorBidi"/>
      <w:b/>
      <w:bCs/>
      <w:sz w:val="22"/>
      <w:szCs w:val="24"/>
    </w:rPr>
  </w:style>
  <w:style w:type="paragraph" w:customStyle="1" w:styleId="3-BodyText">
    <w:name w:val="3-Body Text"/>
    <w:basedOn w:val="Normal"/>
    <w:link w:val="3-BodyTextChar"/>
    <w:qFormat/>
    <w:rsid w:val="004D22DF"/>
    <w:pPr>
      <w:widowControl w:val="0"/>
      <w:numPr>
        <w:ilvl w:val="1"/>
        <w:numId w:val="3"/>
      </w:numPr>
      <w:spacing w:after="120"/>
    </w:pPr>
    <w:rPr>
      <w:rFonts w:cs="Arial"/>
      <w:bCs/>
      <w:snapToGrid w:val="0"/>
    </w:rPr>
  </w:style>
  <w:style w:type="character" w:customStyle="1" w:styleId="3-BodyTextChar">
    <w:name w:val="3-Body Text Char"/>
    <w:basedOn w:val="ListParagraphChar"/>
    <w:link w:val="3-BodyText"/>
    <w:rsid w:val="004D22DF"/>
    <w:rPr>
      <w:rFonts w:ascii="Calibri" w:hAnsi="Calibri" w:cs="Arial"/>
      <w:bCs/>
      <w:snapToGrid w:val="0"/>
      <w:sz w:val="24"/>
      <w:szCs w:val="24"/>
    </w:rPr>
  </w:style>
  <w:style w:type="paragraph" w:customStyle="1" w:styleId="PageFooter">
    <w:name w:val="Page Footer"/>
    <w:basedOn w:val="Normal"/>
    <w:link w:val="PageFooterChar"/>
    <w:qFormat/>
    <w:rsid w:val="004D22DF"/>
    <w:pPr>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D22DF"/>
    <w:rPr>
      <w:rFonts w:ascii="Calibri" w:hAnsi="Calibri" w:cs="Arial"/>
      <w:b/>
      <w:sz w:val="24"/>
      <w:szCs w:val="24"/>
    </w:rPr>
  </w:style>
  <w:style w:type="paragraph" w:customStyle="1" w:styleId="TableFigureFooter">
    <w:name w:val="Table/Figure Footer"/>
    <w:basedOn w:val="Normal"/>
    <w:link w:val="TableFigureFooterChar"/>
    <w:qFormat/>
    <w:rsid w:val="004D22DF"/>
    <w:pPr>
      <w:widowControl w:val="0"/>
      <w:jc w:val="both"/>
    </w:pPr>
    <w:rPr>
      <w:rFonts w:ascii="Arial Narrow" w:hAnsi="Arial Narrow" w:cs="Arial"/>
      <w:snapToGrid w:val="0"/>
      <w:sz w:val="18"/>
      <w:szCs w:val="22"/>
    </w:rPr>
  </w:style>
  <w:style w:type="character" w:customStyle="1" w:styleId="TableFigureFooterChar">
    <w:name w:val="Table/Figure Footer Char"/>
    <w:link w:val="TableFigureFooter"/>
    <w:rsid w:val="004D22DF"/>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D22DF"/>
    <w:pPr>
      <w:keepLines w:val="0"/>
      <w:spacing w:before="240" w:after="240"/>
    </w:pPr>
    <w:rPr>
      <w:rFonts w:asciiTheme="minorHAnsi" w:hAnsiTheme="minorHAnsi"/>
      <w:spacing w:val="5"/>
      <w:kern w:val="28"/>
      <w:szCs w:val="36"/>
    </w:rPr>
  </w:style>
  <w:style w:type="character" w:customStyle="1" w:styleId="4-SubsectionHeadingChar">
    <w:name w:val="4-Subsection Heading Char"/>
    <w:basedOn w:val="Heading2Char"/>
    <w:link w:val="4-SubsectionHeading"/>
    <w:rsid w:val="004D22DF"/>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D22DF"/>
    <w:pPr>
      <w:spacing w:before="40"/>
    </w:pPr>
    <w:rPr>
      <w:rFonts w:asciiTheme="minorHAnsi" w:hAnsiTheme="minorHAnsi"/>
      <w:color w:val="000000" w:themeColor="text1"/>
      <w:sz w:val="24"/>
      <w:szCs w:val="24"/>
    </w:rPr>
  </w:style>
  <w:style w:type="character" w:customStyle="1" w:styleId="5-SubsectionSubheadingChar">
    <w:name w:val="5-Subsection Subheading Char"/>
    <w:basedOn w:val="Heading3Char"/>
    <w:link w:val="5-SubsectionSubheading"/>
    <w:rsid w:val="004D22DF"/>
    <w:rPr>
      <w:rFonts w:asciiTheme="minorHAnsi" w:eastAsiaTheme="majorEastAsia" w:hAnsiTheme="minorHAnsi" w:cstheme="majorBidi"/>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79721">
      <w:bodyDiv w:val="1"/>
      <w:marLeft w:val="0"/>
      <w:marRight w:val="0"/>
      <w:marTop w:val="0"/>
      <w:marBottom w:val="0"/>
      <w:divBdr>
        <w:top w:val="none" w:sz="0" w:space="0" w:color="auto"/>
        <w:left w:val="none" w:sz="0" w:space="0" w:color="auto"/>
        <w:bottom w:val="none" w:sz="0" w:space="0" w:color="auto"/>
        <w:right w:val="none" w:sz="0" w:space="0" w:color="auto"/>
      </w:divBdr>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736516399">
      <w:bodyDiv w:val="1"/>
      <w:marLeft w:val="0"/>
      <w:marRight w:val="0"/>
      <w:marTop w:val="0"/>
      <w:marBottom w:val="0"/>
      <w:divBdr>
        <w:top w:val="none" w:sz="0" w:space="0" w:color="auto"/>
        <w:left w:val="none" w:sz="0" w:space="0" w:color="auto"/>
        <w:bottom w:val="none" w:sz="0" w:space="0" w:color="auto"/>
        <w:right w:val="none" w:sz="0" w:space="0" w:color="auto"/>
      </w:divBdr>
    </w:div>
    <w:div w:id="793208142">
      <w:bodyDiv w:val="1"/>
      <w:marLeft w:val="0"/>
      <w:marRight w:val="0"/>
      <w:marTop w:val="0"/>
      <w:marBottom w:val="0"/>
      <w:divBdr>
        <w:top w:val="none" w:sz="0" w:space="0" w:color="auto"/>
        <w:left w:val="none" w:sz="0" w:space="0" w:color="auto"/>
        <w:bottom w:val="none" w:sz="0" w:space="0" w:color="auto"/>
        <w:right w:val="none" w:sz="0" w:space="0" w:color="auto"/>
      </w:divBdr>
    </w:div>
    <w:div w:id="878542586">
      <w:bodyDiv w:val="1"/>
      <w:marLeft w:val="0"/>
      <w:marRight w:val="0"/>
      <w:marTop w:val="0"/>
      <w:marBottom w:val="0"/>
      <w:divBdr>
        <w:top w:val="none" w:sz="0" w:space="0" w:color="auto"/>
        <w:left w:val="none" w:sz="0" w:space="0" w:color="auto"/>
        <w:bottom w:val="none" w:sz="0" w:space="0" w:color="auto"/>
        <w:right w:val="none" w:sz="0" w:space="0" w:color="auto"/>
      </w:divBdr>
    </w:div>
    <w:div w:id="1094521996">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426421083">
      <w:bodyDiv w:val="1"/>
      <w:marLeft w:val="0"/>
      <w:marRight w:val="0"/>
      <w:marTop w:val="0"/>
      <w:marBottom w:val="0"/>
      <w:divBdr>
        <w:top w:val="none" w:sz="0" w:space="0" w:color="auto"/>
        <w:left w:val="none" w:sz="0" w:space="0" w:color="auto"/>
        <w:bottom w:val="none" w:sz="0" w:space="0" w:color="auto"/>
        <w:right w:val="none" w:sz="0" w:space="0" w:color="auto"/>
      </w:divBdr>
    </w:div>
    <w:div w:id="1509902974">
      <w:bodyDiv w:val="1"/>
      <w:marLeft w:val="0"/>
      <w:marRight w:val="0"/>
      <w:marTop w:val="0"/>
      <w:marBottom w:val="0"/>
      <w:divBdr>
        <w:top w:val="none" w:sz="0" w:space="0" w:color="auto"/>
        <w:left w:val="none" w:sz="0" w:space="0" w:color="auto"/>
        <w:bottom w:val="none" w:sz="0" w:space="0" w:color="auto"/>
        <w:right w:val="none" w:sz="0" w:space="0" w:color="auto"/>
      </w:divBdr>
    </w:div>
    <w:div w:id="1533496771">
      <w:bodyDiv w:val="1"/>
      <w:marLeft w:val="0"/>
      <w:marRight w:val="0"/>
      <w:marTop w:val="0"/>
      <w:marBottom w:val="0"/>
      <w:divBdr>
        <w:top w:val="none" w:sz="0" w:space="0" w:color="auto"/>
        <w:left w:val="none" w:sz="0" w:space="0" w:color="auto"/>
        <w:bottom w:val="none" w:sz="0" w:space="0" w:color="auto"/>
        <w:right w:val="none" w:sz="0" w:space="0" w:color="auto"/>
      </w:divBdr>
    </w:div>
    <w:div w:id="1845853525">
      <w:bodyDiv w:val="1"/>
      <w:marLeft w:val="0"/>
      <w:marRight w:val="0"/>
      <w:marTop w:val="0"/>
      <w:marBottom w:val="0"/>
      <w:divBdr>
        <w:top w:val="none" w:sz="0" w:space="0" w:color="auto"/>
        <w:left w:val="none" w:sz="0" w:space="0" w:color="auto"/>
        <w:bottom w:val="none" w:sz="0" w:space="0" w:color="auto"/>
        <w:right w:val="none" w:sz="0" w:space="0" w:color="auto"/>
      </w:divBdr>
    </w:div>
    <w:div w:id="2051105434">
      <w:bodyDiv w:val="1"/>
      <w:marLeft w:val="0"/>
      <w:marRight w:val="0"/>
      <w:marTop w:val="0"/>
      <w:marBottom w:val="0"/>
      <w:divBdr>
        <w:top w:val="none" w:sz="0" w:space="0" w:color="auto"/>
        <w:left w:val="none" w:sz="0" w:space="0" w:color="auto"/>
        <w:bottom w:val="none" w:sz="0" w:space="0" w:color="auto"/>
        <w:right w:val="none" w:sz="0" w:space="0" w:color="auto"/>
      </w:divBdr>
    </w:div>
    <w:div w:id="2070103829">
      <w:bodyDiv w:val="1"/>
      <w:marLeft w:val="0"/>
      <w:marRight w:val="0"/>
      <w:marTop w:val="0"/>
      <w:marBottom w:val="0"/>
      <w:divBdr>
        <w:top w:val="none" w:sz="0" w:space="0" w:color="auto"/>
        <w:left w:val="none" w:sz="0" w:space="0" w:color="auto"/>
        <w:bottom w:val="none" w:sz="0" w:space="0" w:color="auto"/>
        <w:right w:val="none" w:sz="0" w:space="0" w:color="auto"/>
      </w:divBdr>
    </w:div>
    <w:div w:id="208105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44502-E5FC-4E56-8A26-4B52519CA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10586</Words>
  <Characters>60343</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Author</cp:lastModifiedBy>
  <cp:revision>3</cp:revision>
  <dcterms:created xsi:type="dcterms:W3CDTF">2019-10-18T00:21:00Z</dcterms:created>
  <dcterms:modified xsi:type="dcterms:W3CDTF">2019-10-25T01:22:00Z</dcterms:modified>
</cp:coreProperties>
</file>