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72" w:rsidRDefault="003F2B06">
      <w:pPr>
        <w:pStyle w:val="1MainTitle"/>
        <w:outlineLvl w:val="9"/>
      </w:pPr>
      <w:bookmarkStart w:id="0" w:name="_GoBack"/>
      <w:bookmarkEnd w:id="0"/>
      <w:r>
        <w:t>5.15</w:t>
      </w:r>
      <w:r>
        <w:tab/>
        <w:t xml:space="preserve">FINGOLIMOD </w:t>
      </w:r>
      <w:r>
        <w:br/>
        <w:t xml:space="preserve">Capsule 250 micrograms (as hydrochloride), </w:t>
      </w:r>
      <w:r>
        <w:br/>
        <w:t>Gilenya</w:t>
      </w:r>
      <w:r>
        <w:rPr>
          <w:vertAlign w:val="superscript"/>
        </w:rPr>
        <w:t>®</w:t>
      </w:r>
      <w:r>
        <w:t>, Novartis Pharmaceuticals Pty Ltd</w:t>
      </w:r>
    </w:p>
    <w:p w:rsidR="00923872" w:rsidRDefault="003F2B06">
      <w:pPr>
        <w:pStyle w:val="2Sections"/>
      </w:pPr>
      <w:r>
        <w:t xml:space="preserve">Purpose of Application </w:t>
      </w:r>
    </w:p>
    <w:p w:rsidR="00923872" w:rsidRDefault="003F2B06">
      <w:pPr>
        <w:pStyle w:val="3Bodytext"/>
      </w:pPr>
      <w:r>
        <w:t>The minor submission requested the PBS listing of a 250 mcg capsule of fingolimod for the treatment of patients with relapsing-remitting multiple sclerosis.</w:t>
      </w:r>
    </w:p>
    <w:p w:rsidR="00923872" w:rsidRDefault="003F2B06">
      <w:pPr>
        <w:pStyle w:val="2Sections"/>
      </w:pPr>
      <w:r>
        <w:t>Requested listing</w:t>
      </w:r>
    </w:p>
    <w:p w:rsidR="00FB1CE3" w:rsidRDefault="003F2B06">
      <w:pPr>
        <w:pStyle w:val="3Bodytext"/>
      </w:pPr>
      <w:r>
        <w:t>The submission requested the same listing as the currently listed fingolimod 500 mcg capsule.</w:t>
      </w:r>
    </w:p>
    <w:p w:rsidR="00FB1CE3" w:rsidRDefault="00FB1CE3">
      <w:pPr>
        <w:rPr>
          <w:rFonts w:asciiTheme="minorHAnsi" w:eastAsiaTheme="minorHAnsi" w:hAnsiTheme="minorHAnsi" w:cstheme="minorBidi"/>
          <w:szCs w:val="22"/>
          <w:lang w:eastAsia="en-US"/>
        </w:rPr>
      </w:pPr>
      <w:r>
        <w:br w:type="page"/>
      </w:r>
    </w:p>
    <w:tbl>
      <w:tblPr>
        <w:tblW w:w="5000" w:type="pct"/>
        <w:tblLook w:val="0000" w:firstRow="0" w:lastRow="0" w:firstColumn="0" w:lastColumn="0" w:noHBand="0" w:noVBand="0"/>
      </w:tblPr>
      <w:tblGrid>
        <w:gridCol w:w="3246"/>
        <w:gridCol w:w="563"/>
        <w:gridCol w:w="843"/>
        <w:gridCol w:w="1691"/>
        <w:gridCol w:w="1551"/>
        <w:gridCol w:w="1027"/>
        <w:gridCol w:w="105"/>
      </w:tblGrid>
      <w:tr w:rsidR="00923872" w:rsidTr="004446A9">
        <w:trPr>
          <w:gridAfter w:val="1"/>
          <w:wAfter w:w="58" w:type="pct"/>
          <w:cantSplit/>
          <w:trHeight w:val="471"/>
        </w:trPr>
        <w:tc>
          <w:tcPr>
            <w:tcW w:w="1798" w:type="pct"/>
            <w:tcBorders>
              <w:bottom w:val="single" w:sz="4" w:space="0" w:color="auto"/>
            </w:tcBorders>
          </w:tcPr>
          <w:p w:rsidR="00923872" w:rsidRDefault="003F2B06">
            <w:pPr>
              <w:keepNext/>
              <w:ind w:left="-108"/>
              <w:rPr>
                <w:rFonts w:ascii="Arial Narrow" w:hAnsi="Arial Narrow" w:cs="Arial"/>
                <w:sz w:val="20"/>
                <w:szCs w:val="20"/>
              </w:rPr>
            </w:pPr>
            <w:r>
              <w:rPr>
                <w:rFonts w:ascii="Arial Narrow" w:hAnsi="Arial Narrow" w:cs="Arial"/>
                <w:sz w:val="20"/>
                <w:szCs w:val="20"/>
              </w:rPr>
              <w:lastRenderedPageBreak/>
              <w:t>Name, Restriction,</w:t>
            </w:r>
          </w:p>
          <w:p w:rsidR="00923872" w:rsidRDefault="003F2B06">
            <w:pPr>
              <w:keepNext/>
              <w:ind w:left="-108"/>
              <w:rPr>
                <w:rFonts w:ascii="Arial Narrow" w:hAnsi="Arial Narrow" w:cs="Arial"/>
                <w:sz w:val="20"/>
                <w:szCs w:val="20"/>
              </w:rPr>
            </w:pPr>
            <w:r>
              <w:rPr>
                <w:rFonts w:ascii="Arial Narrow" w:hAnsi="Arial Narrow" w:cs="Arial"/>
                <w:sz w:val="20"/>
                <w:szCs w:val="20"/>
              </w:rPr>
              <w:t>Manner of administration and form</w:t>
            </w:r>
          </w:p>
        </w:tc>
        <w:tc>
          <w:tcPr>
            <w:tcW w:w="312" w:type="pct"/>
            <w:tcBorders>
              <w:bottom w:val="single" w:sz="4" w:space="0" w:color="auto"/>
            </w:tcBorders>
          </w:tcPr>
          <w:p w:rsidR="00923872" w:rsidRDefault="003F2B06">
            <w:pPr>
              <w:keepNext/>
              <w:ind w:left="-108"/>
              <w:jc w:val="both"/>
              <w:rPr>
                <w:rFonts w:ascii="Arial Narrow" w:hAnsi="Arial Narrow" w:cs="Arial"/>
                <w:sz w:val="20"/>
                <w:szCs w:val="20"/>
              </w:rPr>
            </w:pPr>
            <w:r>
              <w:rPr>
                <w:rFonts w:ascii="Arial Narrow" w:hAnsi="Arial Narrow" w:cs="Arial"/>
                <w:sz w:val="20"/>
                <w:szCs w:val="20"/>
              </w:rPr>
              <w:t>Max.</w:t>
            </w:r>
          </w:p>
          <w:p w:rsidR="00923872" w:rsidRDefault="003F2B06">
            <w:pPr>
              <w:keepNext/>
              <w:ind w:left="-108"/>
              <w:jc w:val="both"/>
              <w:rPr>
                <w:rFonts w:ascii="Arial Narrow" w:hAnsi="Arial Narrow" w:cs="Arial"/>
                <w:sz w:val="20"/>
                <w:szCs w:val="20"/>
              </w:rPr>
            </w:pPr>
            <w:r>
              <w:rPr>
                <w:rFonts w:ascii="Arial Narrow" w:hAnsi="Arial Narrow" w:cs="Arial"/>
                <w:sz w:val="20"/>
                <w:szCs w:val="20"/>
              </w:rPr>
              <w:t>Qty</w:t>
            </w:r>
          </w:p>
        </w:tc>
        <w:tc>
          <w:tcPr>
            <w:tcW w:w="467" w:type="pct"/>
            <w:tcBorders>
              <w:bottom w:val="single" w:sz="4" w:space="0" w:color="auto"/>
            </w:tcBorders>
          </w:tcPr>
          <w:p w:rsidR="00923872" w:rsidRDefault="003F2B06">
            <w:pPr>
              <w:keepNext/>
              <w:ind w:left="-108"/>
              <w:jc w:val="both"/>
              <w:rPr>
                <w:rFonts w:ascii="Arial Narrow" w:hAnsi="Arial Narrow" w:cs="Arial"/>
                <w:sz w:val="20"/>
                <w:szCs w:val="20"/>
              </w:rPr>
            </w:pPr>
            <w:r>
              <w:rPr>
                <w:rFonts w:ascii="Arial Narrow" w:hAnsi="Arial Narrow" w:cs="Arial"/>
                <w:sz w:val="20"/>
                <w:szCs w:val="20"/>
              </w:rPr>
              <w:t>№.of</w:t>
            </w:r>
          </w:p>
          <w:p w:rsidR="00923872" w:rsidRDefault="003F2B06">
            <w:pPr>
              <w:keepNext/>
              <w:ind w:left="-108"/>
              <w:jc w:val="both"/>
              <w:rPr>
                <w:rFonts w:ascii="Arial Narrow" w:hAnsi="Arial Narrow" w:cs="Arial"/>
                <w:sz w:val="20"/>
                <w:szCs w:val="20"/>
              </w:rPr>
            </w:pPr>
            <w:r>
              <w:rPr>
                <w:rFonts w:ascii="Arial Narrow" w:hAnsi="Arial Narrow" w:cs="Arial"/>
                <w:sz w:val="20"/>
                <w:szCs w:val="20"/>
              </w:rPr>
              <w:t>Rpts</w:t>
            </w:r>
          </w:p>
        </w:tc>
        <w:tc>
          <w:tcPr>
            <w:tcW w:w="937" w:type="pct"/>
            <w:tcBorders>
              <w:bottom w:val="single" w:sz="4" w:space="0" w:color="auto"/>
            </w:tcBorders>
          </w:tcPr>
          <w:p w:rsidR="00923872" w:rsidRDefault="003F2B06">
            <w:pPr>
              <w:keepNext/>
              <w:ind w:left="-108"/>
              <w:jc w:val="both"/>
              <w:rPr>
                <w:rFonts w:ascii="Arial Narrow" w:hAnsi="Arial Narrow" w:cs="Arial"/>
                <w:sz w:val="20"/>
                <w:szCs w:val="20"/>
              </w:rPr>
            </w:pPr>
            <w:r>
              <w:rPr>
                <w:rFonts w:ascii="Arial Narrow" w:hAnsi="Arial Narrow" w:cs="Arial"/>
                <w:sz w:val="20"/>
                <w:szCs w:val="20"/>
              </w:rPr>
              <w:t>Dispensed Price for Max. Qty</w:t>
            </w:r>
          </w:p>
        </w:tc>
        <w:tc>
          <w:tcPr>
            <w:tcW w:w="1428" w:type="pct"/>
            <w:gridSpan w:val="2"/>
            <w:tcBorders>
              <w:bottom w:val="single" w:sz="4" w:space="0" w:color="auto"/>
            </w:tcBorders>
          </w:tcPr>
          <w:p w:rsidR="00923872" w:rsidRDefault="003F2B06">
            <w:pPr>
              <w:keepNext/>
              <w:jc w:val="both"/>
              <w:rPr>
                <w:rFonts w:ascii="Arial Narrow" w:hAnsi="Arial Narrow" w:cs="Arial"/>
                <w:sz w:val="20"/>
                <w:szCs w:val="20"/>
                <w:lang w:val="fr-FR"/>
              </w:rPr>
            </w:pPr>
            <w:r>
              <w:rPr>
                <w:rFonts w:ascii="Arial Narrow" w:hAnsi="Arial Narrow" w:cs="Arial"/>
                <w:sz w:val="20"/>
                <w:szCs w:val="20"/>
              </w:rPr>
              <w:t>Proprietary Name and Manufacturer</w:t>
            </w:r>
          </w:p>
        </w:tc>
      </w:tr>
      <w:tr w:rsidR="00923872" w:rsidTr="004446A9">
        <w:trPr>
          <w:gridAfter w:val="1"/>
          <w:wAfter w:w="58" w:type="pct"/>
          <w:cantSplit/>
          <w:trHeight w:val="577"/>
        </w:trPr>
        <w:tc>
          <w:tcPr>
            <w:tcW w:w="1798" w:type="pct"/>
          </w:tcPr>
          <w:p w:rsidR="00923872" w:rsidRDefault="003F2B06">
            <w:pPr>
              <w:pStyle w:val="PBACTableText"/>
              <w:ind w:hanging="77"/>
              <w:jc w:val="left"/>
            </w:pPr>
            <w:r>
              <w:t>FINGOLIMOD,</w:t>
            </w:r>
          </w:p>
          <w:p w:rsidR="00923872" w:rsidRDefault="003F2B06">
            <w:pPr>
              <w:pStyle w:val="PBACTableText"/>
              <w:ind w:left="-219" w:firstLine="142"/>
              <w:jc w:val="left"/>
            </w:pPr>
            <w:r>
              <w:t>250 microgram</w:t>
            </w:r>
          </w:p>
          <w:p w:rsidR="00923872" w:rsidRDefault="003F2B06">
            <w:pPr>
              <w:keepNext/>
              <w:ind w:left="-108"/>
              <w:rPr>
                <w:rFonts w:ascii="Arial Narrow" w:hAnsi="Arial Narrow" w:cs="Arial"/>
                <w:color w:val="FF0000"/>
                <w:sz w:val="20"/>
                <w:szCs w:val="20"/>
              </w:rPr>
            </w:pPr>
            <w:r>
              <w:rPr>
                <w:rFonts w:ascii="Arial Narrow" w:hAnsi="Arial Narrow"/>
                <w:sz w:val="20"/>
                <w:szCs w:val="20"/>
              </w:rPr>
              <w:t>Capsule, 28</w:t>
            </w:r>
          </w:p>
        </w:tc>
        <w:tc>
          <w:tcPr>
            <w:tcW w:w="312" w:type="pct"/>
          </w:tcPr>
          <w:p w:rsidR="00923872" w:rsidRDefault="00923872">
            <w:pPr>
              <w:keepNext/>
              <w:ind w:left="-108"/>
              <w:jc w:val="both"/>
              <w:rPr>
                <w:rFonts w:ascii="Arial Narrow" w:hAnsi="Arial Narrow" w:cs="Arial"/>
                <w:sz w:val="20"/>
                <w:szCs w:val="20"/>
              </w:rPr>
            </w:pPr>
          </w:p>
          <w:p w:rsidR="00923872" w:rsidRDefault="003F2B06">
            <w:pPr>
              <w:keepNext/>
              <w:ind w:left="-108"/>
              <w:jc w:val="both"/>
              <w:rPr>
                <w:rFonts w:ascii="Arial Narrow" w:hAnsi="Arial Narrow" w:cs="Arial"/>
                <w:sz w:val="20"/>
                <w:szCs w:val="20"/>
              </w:rPr>
            </w:pPr>
            <w:r>
              <w:rPr>
                <w:rFonts w:ascii="Arial Narrow" w:hAnsi="Arial Narrow" w:cs="Arial"/>
                <w:sz w:val="20"/>
                <w:szCs w:val="20"/>
              </w:rPr>
              <w:t>1</w:t>
            </w:r>
          </w:p>
        </w:tc>
        <w:tc>
          <w:tcPr>
            <w:tcW w:w="467" w:type="pct"/>
          </w:tcPr>
          <w:p w:rsidR="00923872" w:rsidRDefault="00923872">
            <w:pPr>
              <w:keepNext/>
              <w:ind w:left="-108"/>
              <w:jc w:val="both"/>
              <w:rPr>
                <w:rFonts w:ascii="Arial Narrow" w:hAnsi="Arial Narrow" w:cs="Arial"/>
                <w:sz w:val="20"/>
                <w:szCs w:val="20"/>
              </w:rPr>
            </w:pPr>
          </w:p>
          <w:p w:rsidR="00923872" w:rsidRDefault="003F2B06">
            <w:pPr>
              <w:keepNext/>
              <w:ind w:left="-108"/>
              <w:jc w:val="both"/>
              <w:rPr>
                <w:rFonts w:ascii="Arial Narrow" w:hAnsi="Arial Narrow" w:cs="Arial"/>
                <w:sz w:val="20"/>
                <w:szCs w:val="20"/>
              </w:rPr>
            </w:pPr>
            <w:r>
              <w:rPr>
                <w:rFonts w:ascii="Arial Narrow" w:hAnsi="Arial Narrow" w:cs="Arial"/>
                <w:sz w:val="20"/>
                <w:szCs w:val="20"/>
              </w:rPr>
              <w:t>5</w:t>
            </w:r>
          </w:p>
        </w:tc>
        <w:tc>
          <w:tcPr>
            <w:tcW w:w="937" w:type="pct"/>
          </w:tcPr>
          <w:p w:rsidR="00923872" w:rsidRDefault="00923872">
            <w:pPr>
              <w:keepNext/>
              <w:ind w:left="-108"/>
              <w:jc w:val="both"/>
              <w:rPr>
                <w:rFonts w:ascii="Arial Narrow" w:hAnsi="Arial Narrow" w:cs="Arial"/>
                <w:sz w:val="20"/>
                <w:szCs w:val="20"/>
              </w:rPr>
            </w:pPr>
          </w:p>
          <w:p w:rsidR="00923872" w:rsidRDefault="003F2B06">
            <w:pPr>
              <w:keepNext/>
              <w:ind w:left="-108"/>
              <w:jc w:val="both"/>
              <w:rPr>
                <w:rFonts w:ascii="Arial Narrow" w:hAnsi="Arial Narrow" w:cs="Arial"/>
                <w:sz w:val="20"/>
                <w:szCs w:val="20"/>
              </w:rPr>
            </w:pPr>
            <w:r>
              <w:rPr>
                <w:rFonts w:ascii="Arial Narrow" w:hAnsi="Arial Narrow" w:cs="Arial"/>
                <w:sz w:val="20"/>
                <w:szCs w:val="20"/>
              </w:rPr>
              <w:t>Published:</w:t>
            </w:r>
          </w:p>
          <w:p w:rsidR="00923872" w:rsidRDefault="003F2B06">
            <w:pPr>
              <w:keepNext/>
              <w:ind w:left="-108"/>
              <w:jc w:val="both"/>
              <w:rPr>
                <w:rFonts w:ascii="Arial Narrow" w:hAnsi="Arial Narrow" w:cs="Arial"/>
                <w:sz w:val="20"/>
                <w:szCs w:val="20"/>
              </w:rPr>
            </w:pPr>
            <w:r>
              <w:rPr>
                <w:rFonts w:ascii="Arial Narrow" w:hAnsi="Arial Narrow" w:cs="Arial"/>
                <w:sz w:val="20"/>
                <w:szCs w:val="20"/>
              </w:rPr>
              <w:t>$2,209.33</w:t>
            </w:r>
          </w:p>
          <w:p w:rsidR="00923872" w:rsidRDefault="003F2B06">
            <w:pPr>
              <w:keepNext/>
              <w:ind w:left="-108"/>
              <w:jc w:val="both"/>
              <w:rPr>
                <w:rFonts w:ascii="Arial Narrow" w:hAnsi="Arial Narrow" w:cs="Arial"/>
                <w:sz w:val="20"/>
                <w:szCs w:val="20"/>
              </w:rPr>
            </w:pPr>
            <w:r>
              <w:rPr>
                <w:rFonts w:ascii="Arial Narrow" w:hAnsi="Arial Narrow" w:cs="Arial"/>
                <w:sz w:val="20"/>
                <w:szCs w:val="20"/>
              </w:rPr>
              <w:t>Effective:</w:t>
            </w:r>
          </w:p>
          <w:p w:rsidR="00923872" w:rsidRPr="00672912" w:rsidRDefault="00672912">
            <w:pPr>
              <w:keepNext/>
              <w:ind w:left="-108"/>
              <w:jc w:val="both"/>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859" w:type="pct"/>
          </w:tcPr>
          <w:p w:rsidR="00923872" w:rsidRDefault="003F2B06">
            <w:pPr>
              <w:keepNext/>
              <w:jc w:val="both"/>
              <w:rPr>
                <w:rFonts w:ascii="Arial Narrow" w:hAnsi="Arial Narrow" w:cs="Arial"/>
                <w:sz w:val="20"/>
                <w:szCs w:val="20"/>
              </w:rPr>
            </w:pPr>
            <w:r>
              <w:rPr>
                <w:rFonts w:ascii="Arial Narrow" w:hAnsi="Arial Narrow" w:cs="Arial"/>
                <w:sz w:val="20"/>
                <w:szCs w:val="20"/>
              </w:rPr>
              <w:t>Gilenya</w:t>
            </w:r>
          </w:p>
        </w:tc>
        <w:tc>
          <w:tcPr>
            <w:tcW w:w="569" w:type="pct"/>
          </w:tcPr>
          <w:p w:rsidR="00923872" w:rsidRDefault="003F2B06">
            <w:pPr>
              <w:keepNext/>
              <w:jc w:val="both"/>
              <w:rPr>
                <w:rFonts w:ascii="Arial Narrow" w:hAnsi="Arial Narrow" w:cs="Arial"/>
                <w:sz w:val="20"/>
                <w:szCs w:val="20"/>
              </w:rPr>
            </w:pPr>
            <w:r>
              <w:rPr>
                <w:rFonts w:ascii="Arial Narrow" w:hAnsi="Arial Narrow" w:cs="Arial"/>
                <w:sz w:val="20"/>
                <w:szCs w:val="20"/>
              </w:rPr>
              <w:t>Novartis</w:t>
            </w:r>
          </w:p>
        </w:tc>
      </w:tr>
      <w:tr w:rsidR="00923872" w:rsidTr="004446A9">
        <w:trPr>
          <w:cantSplit/>
          <w:trHeight w:val="360"/>
        </w:trPr>
        <w:tc>
          <w:tcPr>
            <w:tcW w:w="5000" w:type="pct"/>
            <w:gridSpan w:val="7"/>
            <w:tcBorders>
              <w:bottom w:val="single" w:sz="4" w:space="0" w:color="auto"/>
            </w:tcBorders>
          </w:tcPr>
          <w:p w:rsidR="00923872" w:rsidRDefault="00923872">
            <w:pPr>
              <w:spacing w:before="20" w:after="20"/>
              <w:rPr>
                <w:rFonts w:ascii="Arial Narrow" w:hAnsi="Arial Narrow"/>
                <w:sz w:val="20"/>
              </w:rPr>
            </w:pPr>
          </w:p>
        </w:tc>
      </w:tr>
      <w:tr w:rsidR="00923872" w:rsidTr="004446A9">
        <w:trPr>
          <w:cantSplit/>
          <w:trHeight w:val="360"/>
        </w:trPr>
        <w:tc>
          <w:tcPr>
            <w:tcW w:w="1798" w:type="pct"/>
            <w:tcBorders>
              <w:top w:val="single" w:sz="4" w:space="0" w:color="auto"/>
              <w:left w:val="single" w:sz="4" w:space="0" w:color="auto"/>
              <w:bottom w:val="single" w:sz="4" w:space="0" w:color="auto"/>
              <w:right w:val="single" w:sz="4" w:space="0" w:color="auto"/>
            </w:tcBorders>
          </w:tcPr>
          <w:p w:rsidR="00923872" w:rsidRDefault="003F2B06">
            <w:pPr>
              <w:jc w:val="both"/>
              <w:rPr>
                <w:rFonts w:ascii="Arial Narrow" w:hAnsi="Arial Narrow" w:cs="Arial"/>
                <w:b/>
                <w:sz w:val="20"/>
                <w:szCs w:val="20"/>
              </w:rPr>
            </w:pPr>
            <w:r>
              <w:rPr>
                <w:rFonts w:ascii="Arial Narrow" w:hAnsi="Arial Narrow" w:cs="Arial"/>
                <w:b/>
                <w:sz w:val="20"/>
                <w:szCs w:val="20"/>
              </w:rPr>
              <w:t>Category / Program:</w:t>
            </w:r>
          </w:p>
        </w:tc>
        <w:tc>
          <w:tcPr>
            <w:tcW w:w="3202" w:type="pct"/>
            <w:gridSpan w:val="6"/>
            <w:tcBorders>
              <w:top w:val="single" w:sz="4" w:space="0" w:color="auto"/>
              <w:left w:val="single" w:sz="4" w:space="0" w:color="auto"/>
              <w:bottom w:val="single" w:sz="4" w:space="0" w:color="auto"/>
              <w:right w:val="single" w:sz="4" w:space="0" w:color="auto"/>
            </w:tcBorders>
          </w:tcPr>
          <w:p w:rsidR="00923872" w:rsidRDefault="003F2B06">
            <w:pPr>
              <w:rPr>
                <w:rFonts w:ascii="Arial Narrow" w:hAnsi="Arial Narrow" w:cs="Arial"/>
                <w:sz w:val="20"/>
                <w:szCs w:val="20"/>
              </w:rPr>
            </w:pPr>
            <w:r>
              <w:rPr>
                <w:rFonts w:ascii="Arial Narrow" w:hAnsi="Arial Narrow" w:cs="Arial"/>
                <w:sz w:val="20"/>
                <w:szCs w:val="20"/>
              </w:rPr>
              <w:t>GENERAL – General Schedule (Code GE)</w:t>
            </w:r>
          </w:p>
        </w:tc>
      </w:tr>
      <w:tr w:rsidR="00923872" w:rsidTr="004446A9">
        <w:trPr>
          <w:cantSplit/>
          <w:trHeight w:val="360"/>
        </w:trPr>
        <w:tc>
          <w:tcPr>
            <w:tcW w:w="1798" w:type="pct"/>
            <w:tcBorders>
              <w:top w:val="single" w:sz="4" w:space="0" w:color="auto"/>
              <w:left w:val="single" w:sz="4" w:space="0" w:color="auto"/>
              <w:bottom w:val="single" w:sz="4" w:space="0" w:color="auto"/>
              <w:right w:val="single" w:sz="4" w:space="0" w:color="auto"/>
            </w:tcBorders>
          </w:tcPr>
          <w:p w:rsidR="00923872" w:rsidRDefault="003F2B06">
            <w:pPr>
              <w:jc w:val="both"/>
              <w:rPr>
                <w:rFonts w:ascii="Arial Narrow" w:hAnsi="Arial Narrow" w:cs="Arial"/>
                <w:b/>
                <w:sz w:val="20"/>
                <w:szCs w:val="20"/>
              </w:rPr>
            </w:pPr>
            <w:r>
              <w:rPr>
                <w:rFonts w:ascii="Arial Narrow" w:hAnsi="Arial Narrow" w:cs="Arial"/>
                <w:b/>
                <w:sz w:val="20"/>
                <w:szCs w:val="20"/>
              </w:rPr>
              <w:t>Prescriber type:</w:t>
            </w:r>
          </w:p>
          <w:p w:rsidR="00923872" w:rsidRDefault="00923872">
            <w:pPr>
              <w:jc w:val="both"/>
              <w:rPr>
                <w:rFonts w:ascii="Arial Narrow" w:hAnsi="Arial Narrow" w:cs="Arial"/>
                <w:b/>
                <w:sz w:val="20"/>
                <w:szCs w:val="20"/>
              </w:rPr>
            </w:pPr>
          </w:p>
        </w:tc>
        <w:tc>
          <w:tcPr>
            <w:tcW w:w="3202" w:type="pct"/>
            <w:gridSpan w:val="6"/>
            <w:tcBorders>
              <w:top w:val="single" w:sz="4" w:space="0" w:color="auto"/>
              <w:left w:val="single" w:sz="4" w:space="0" w:color="auto"/>
              <w:bottom w:val="single" w:sz="4" w:space="0" w:color="auto"/>
              <w:right w:val="single" w:sz="4" w:space="0" w:color="auto"/>
            </w:tcBorders>
          </w:tcPr>
          <w:p w:rsidR="00923872" w:rsidRDefault="003F2B06">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7D721E">
              <w:rPr>
                <w:rFonts w:ascii="Arial Narrow" w:hAnsi="Arial Narrow" w:cs="Arial"/>
                <w:sz w:val="20"/>
                <w:szCs w:val="20"/>
              </w:rPr>
            </w:r>
            <w:r w:rsidR="007D721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D721E">
              <w:rPr>
                <w:rFonts w:ascii="Arial Narrow" w:hAnsi="Arial Narrow" w:cs="Arial"/>
                <w:sz w:val="20"/>
                <w:szCs w:val="20"/>
              </w:rPr>
            </w:r>
            <w:r w:rsidR="007D721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7D721E">
              <w:rPr>
                <w:rFonts w:ascii="Arial Narrow" w:hAnsi="Arial Narrow" w:cs="Arial"/>
                <w:sz w:val="20"/>
                <w:szCs w:val="20"/>
              </w:rPr>
            </w:r>
            <w:r w:rsidR="007D721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7D721E">
              <w:rPr>
                <w:rFonts w:ascii="Arial Narrow" w:hAnsi="Arial Narrow" w:cs="Arial"/>
                <w:sz w:val="20"/>
                <w:szCs w:val="20"/>
              </w:rPr>
            </w:r>
            <w:r w:rsidR="007D721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923872" w:rsidRDefault="003F2B06">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7D721E">
              <w:rPr>
                <w:rFonts w:ascii="Arial Narrow" w:hAnsi="Arial Narrow" w:cs="Arial"/>
                <w:sz w:val="20"/>
                <w:szCs w:val="20"/>
              </w:rPr>
            </w:r>
            <w:r w:rsidR="007D721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923872" w:rsidTr="004446A9">
        <w:trPr>
          <w:cantSplit/>
          <w:trHeight w:val="360"/>
        </w:trPr>
        <w:tc>
          <w:tcPr>
            <w:tcW w:w="1798" w:type="pct"/>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b/>
                <w:sz w:val="20"/>
              </w:rPr>
            </w:pPr>
            <w:r>
              <w:rPr>
                <w:rFonts w:ascii="Arial Narrow" w:hAnsi="Arial Narrow"/>
                <w:b/>
                <w:sz w:val="20"/>
              </w:rPr>
              <w:t>Condition:</w:t>
            </w:r>
          </w:p>
        </w:tc>
        <w:tc>
          <w:tcPr>
            <w:tcW w:w="3202" w:type="pct"/>
            <w:gridSpan w:val="6"/>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sz w:val="20"/>
              </w:rPr>
            </w:pPr>
            <w:r>
              <w:rPr>
                <w:rFonts w:ascii="Arial Narrow" w:hAnsi="Arial Narrow"/>
                <w:sz w:val="20"/>
              </w:rPr>
              <w:t>Multiple sclerosis</w:t>
            </w:r>
          </w:p>
        </w:tc>
      </w:tr>
      <w:tr w:rsidR="00923872" w:rsidTr="004446A9">
        <w:trPr>
          <w:cantSplit/>
          <w:trHeight w:val="360"/>
        </w:trPr>
        <w:tc>
          <w:tcPr>
            <w:tcW w:w="1798" w:type="pct"/>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b/>
                <w:sz w:val="20"/>
              </w:rPr>
            </w:pPr>
            <w:r>
              <w:rPr>
                <w:rFonts w:ascii="Arial Narrow" w:hAnsi="Arial Narrow"/>
                <w:b/>
                <w:sz w:val="20"/>
              </w:rPr>
              <w:t>Treatment phase:</w:t>
            </w:r>
          </w:p>
        </w:tc>
        <w:tc>
          <w:tcPr>
            <w:tcW w:w="3202" w:type="pct"/>
            <w:gridSpan w:val="6"/>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sz w:val="20"/>
              </w:rPr>
            </w:pPr>
            <w:r>
              <w:rPr>
                <w:rFonts w:ascii="Arial Narrow" w:hAnsi="Arial Narrow"/>
                <w:sz w:val="20"/>
              </w:rPr>
              <w:t>Initial treatment</w:t>
            </w:r>
          </w:p>
        </w:tc>
      </w:tr>
      <w:tr w:rsidR="00923872" w:rsidTr="004446A9">
        <w:trPr>
          <w:cantSplit/>
          <w:trHeight w:val="360"/>
        </w:trPr>
        <w:tc>
          <w:tcPr>
            <w:tcW w:w="1798" w:type="pct"/>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b/>
                <w:sz w:val="20"/>
              </w:rPr>
            </w:pPr>
            <w:r>
              <w:rPr>
                <w:rFonts w:ascii="Arial Narrow" w:hAnsi="Arial Narrow"/>
                <w:b/>
                <w:sz w:val="20"/>
              </w:rPr>
              <w:t>Restriction:</w:t>
            </w:r>
          </w:p>
        </w:tc>
        <w:tc>
          <w:tcPr>
            <w:tcW w:w="3202" w:type="pct"/>
            <w:gridSpan w:val="6"/>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sz w:val="20"/>
              </w:rPr>
            </w:pPr>
            <w:r>
              <w:rPr>
                <w:rFonts w:ascii="Arial Narrow" w:hAnsi="Arial Narrow"/>
                <w:sz w:val="20"/>
              </w:rPr>
              <w:t>Authority Required - Telephone</w:t>
            </w:r>
          </w:p>
        </w:tc>
      </w:tr>
      <w:tr w:rsidR="00923872" w:rsidTr="004446A9">
        <w:trPr>
          <w:cantSplit/>
          <w:trHeight w:val="4919"/>
        </w:trPr>
        <w:tc>
          <w:tcPr>
            <w:tcW w:w="1798" w:type="pct"/>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b/>
                <w:sz w:val="20"/>
              </w:rPr>
            </w:pPr>
            <w:r>
              <w:rPr>
                <w:rFonts w:ascii="Arial Narrow" w:hAnsi="Arial Narrow"/>
                <w:b/>
                <w:sz w:val="20"/>
              </w:rPr>
              <w:t>Clinical criteria:</w:t>
            </w:r>
          </w:p>
          <w:p w:rsidR="00923872" w:rsidRDefault="00923872">
            <w:pPr>
              <w:spacing w:before="20" w:after="20"/>
              <w:rPr>
                <w:rFonts w:ascii="Arial Narrow" w:hAnsi="Arial Narrow"/>
                <w:i/>
                <w:sz w:val="20"/>
              </w:rPr>
            </w:pPr>
          </w:p>
          <w:p w:rsidR="00923872" w:rsidRDefault="00923872">
            <w:pPr>
              <w:spacing w:before="20" w:after="20"/>
              <w:rPr>
                <w:rFonts w:ascii="Arial Narrow" w:hAnsi="Arial Narrow"/>
                <w:i/>
                <w:sz w:val="20"/>
              </w:rPr>
            </w:pPr>
          </w:p>
        </w:tc>
        <w:tc>
          <w:tcPr>
            <w:tcW w:w="3202" w:type="pct"/>
            <w:gridSpan w:val="6"/>
            <w:tcBorders>
              <w:top w:val="single" w:sz="4" w:space="0" w:color="auto"/>
              <w:left w:val="single" w:sz="4" w:space="0" w:color="auto"/>
              <w:bottom w:val="single" w:sz="4" w:space="0" w:color="auto"/>
              <w:right w:val="single" w:sz="4" w:space="0" w:color="auto"/>
            </w:tcBorders>
          </w:tcPr>
          <w:p w:rsidR="00923872" w:rsidRDefault="003F2B06">
            <w:pPr>
              <w:spacing w:before="120"/>
              <w:rPr>
                <w:rFonts w:ascii="Arial Narrow" w:hAnsi="Arial Narrow"/>
                <w:sz w:val="20"/>
              </w:rPr>
            </w:pPr>
            <w:r>
              <w:rPr>
                <w:rFonts w:ascii="Arial Narrow" w:hAnsi="Arial Narrow"/>
                <w:sz w:val="20"/>
              </w:rPr>
              <w:t xml:space="preserve">The condition must be diagnosed as clinically definite relapsing-remitting multiple sclerosis by magnetic resonance imaging of the brain and/or spinal cord; OR </w:t>
            </w:r>
          </w:p>
          <w:p w:rsidR="00923872" w:rsidRDefault="003F2B06">
            <w:pPr>
              <w:spacing w:before="120"/>
              <w:rPr>
                <w:rFonts w:ascii="Arial Narrow" w:hAnsi="Arial Narrow"/>
                <w:sz w:val="20"/>
              </w:rPr>
            </w:pPr>
            <w:r>
              <w:rPr>
                <w:rFonts w:ascii="Arial Narrow" w:hAnsi="Arial Narrow"/>
                <w:sz w:val="20"/>
              </w:rPr>
              <w:t xml:space="preserve">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w:t>
            </w:r>
          </w:p>
          <w:p w:rsidR="00923872" w:rsidRDefault="003F2B06">
            <w:pPr>
              <w:spacing w:before="120"/>
              <w:rPr>
                <w:rFonts w:ascii="Arial Narrow" w:hAnsi="Arial Narrow"/>
                <w:sz w:val="20"/>
              </w:rPr>
            </w:pPr>
            <w:r>
              <w:rPr>
                <w:rFonts w:ascii="Arial Narrow" w:hAnsi="Arial Narrow"/>
                <w:sz w:val="20"/>
              </w:rPr>
              <w:t>AND</w:t>
            </w:r>
          </w:p>
          <w:p w:rsidR="00923872" w:rsidRDefault="003F2B06">
            <w:pPr>
              <w:spacing w:before="120"/>
              <w:rPr>
                <w:rFonts w:ascii="Arial Narrow" w:hAnsi="Arial Narrow"/>
                <w:sz w:val="20"/>
              </w:rPr>
            </w:pPr>
            <w:r>
              <w:rPr>
                <w:rFonts w:ascii="Arial Narrow" w:hAnsi="Arial Narrow"/>
                <w:sz w:val="20"/>
              </w:rPr>
              <w:t>The treatment must be a sole PBS-subsidised disease modifying therapy for this condition,</w:t>
            </w:r>
          </w:p>
          <w:p w:rsidR="00923872" w:rsidRDefault="003F2B06">
            <w:pPr>
              <w:spacing w:before="120"/>
              <w:rPr>
                <w:rFonts w:ascii="Arial Narrow" w:hAnsi="Arial Narrow"/>
                <w:sz w:val="20"/>
              </w:rPr>
            </w:pPr>
            <w:r>
              <w:rPr>
                <w:rFonts w:ascii="Arial Narrow" w:hAnsi="Arial Narrow"/>
                <w:sz w:val="20"/>
              </w:rPr>
              <w:t>AND</w:t>
            </w:r>
          </w:p>
          <w:p w:rsidR="00923872" w:rsidRDefault="003F2B06">
            <w:pPr>
              <w:spacing w:before="120"/>
              <w:rPr>
                <w:rFonts w:ascii="Arial Narrow" w:hAnsi="Arial Narrow"/>
                <w:sz w:val="20"/>
              </w:rPr>
            </w:pPr>
            <w:r>
              <w:rPr>
                <w:rFonts w:ascii="Arial Narrow" w:hAnsi="Arial Narrow"/>
                <w:sz w:val="20"/>
              </w:rPr>
              <w:t xml:space="preserve">Patient must have experienced at least 2 documented attacks of neurological dysfunction, believed to be due to multiple sclerosis, in the preceding 2 years of commencing a PBS-subsidised disease modifying therapy for this condition, </w:t>
            </w:r>
          </w:p>
          <w:p w:rsidR="00923872" w:rsidRDefault="003F2B06">
            <w:pPr>
              <w:spacing w:before="120"/>
              <w:rPr>
                <w:rFonts w:ascii="Arial Narrow" w:hAnsi="Arial Narrow"/>
                <w:sz w:val="20"/>
              </w:rPr>
            </w:pPr>
            <w:r>
              <w:rPr>
                <w:rFonts w:ascii="Arial Narrow" w:hAnsi="Arial Narrow"/>
                <w:sz w:val="20"/>
              </w:rPr>
              <w:t>AND</w:t>
            </w:r>
          </w:p>
          <w:p w:rsidR="00923872" w:rsidRDefault="003F2B06">
            <w:pPr>
              <w:spacing w:before="120"/>
              <w:rPr>
                <w:rFonts w:ascii="Arial Narrow" w:hAnsi="Arial Narrow"/>
                <w:sz w:val="20"/>
              </w:rPr>
            </w:pPr>
            <w:r>
              <w:rPr>
                <w:rFonts w:ascii="Arial Narrow" w:hAnsi="Arial Narrow"/>
                <w:sz w:val="20"/>
              </w:rPr>
              <w:t>Patient must be ambulatory (without assistance or support).</w:t>
            </w:r>
          </w:p>
        </w:tc>
      </w:tr>
      <w:tr w:rsidR="00923872" w:rsidTr="004446A9">
        <w:trPr>
          <w:cantSplit/>
          <w:trHeight w:val="360"/>
        </w:trPr>
        <w:tc>
          <w:tcPr>
            <w:tcW w:w="1798" w:type="pct"/>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b/>
                <w:sz w:val="20"/>
              </w:rPr>
            </w:pPr>
            <w:r>
              <w:rPr>
                <w:rFonts w:ascii="Arial Narrow" w:hAnsi="Arial Narrow"/>
                <w:b/>
                <w:sz w:val="20"/>
              </w:rPr>
              <w:t>Prescriber instruction</w:t>
            </w:r>
          </w:p>
        </w:tc>
        <w:tc>
          <w:tcPr>
            <w:tcW w:w="3202" w:type="pct"/>
            <w:gridSpan w:val="6"/>
            <w:tcBorders>
              <w:top w:val="single" w:sz="4" w:space="0" w:color="auto"/>
              <w:left w:val="single" w:sz="4" w:space="0" w:color="auto"/>
              <w:bottom w:val="single" w:sz="4" w:space="0" w:color="auto"/>
              <w:right w:val="single" w:sz="4" w:space="0" w:color="auto"/>
            </w:tcBorders>
          </w:tcPr>
          <w:p w:rsidR="00923872" w:rsidRDefault="003F2B06">
            <w:pPr>
              <w:spacing w:before="120"/>
              <w:rPr>
                <w:rFonts w:ascii="Arial Narrow" w:hAnsi="Arial Narrow"/>
                <w:sz w:val="20"/>
              </w:rPr>
            </w:pPr>
            <w:r>
              <w:rPr>
                <w:rFonts w:ascii="Arial Narrow" w:hAnsi="Arial Narrow"/>
                <w:sz w:val="20"/>
              </w:rPr>
              <w:t>Where applicable, the date of the magnetic resonance imaging scan must be recorded in the patient's medical record.</w:t>
            </w:r>
          </w:p>
        </w:tc>
      </w:tr>
      <w:tr w:rsidR="00923872" w:rsidTr="004446A9">
        <w:trPr>
          <w:cantSplit/>
          <w:trHeight w:val="360"/>
        </w:trPr>
        <w:tc>
          <w:tcPr>
            <w:tcW w:w="1798" w:type="pct"/>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b/>
                <w:sz w:val="20"/>
              </w:rPr>
            </w:pPr>
            <w:r>
              <w:rPr>
                <w:rFonts w:ascii="Arial Narrow" w:hAnsi="Arial Narrow"/>
                <w:b/>
                <w:sz w:val="20"/>
              </w:rPr>
              <w:t>Administrative Advice</w:t>
            </w:r>
          </w:p>
          <w:p w:rsidR="00923872" w:rsidRDefault="00923872">
            <w:pPr>
              <w:spacing w:before="20" w:after="20"/>
              <w:rPr>
                <w:rFonts w:ascii="Arial Narrow" w:hAnsi="Arial Narrow"/>
                <w:i/>
                <w:sz w:val="20"/>
              </w:rPr>
            </w:pPr>
          </w:p>
        </w:tc>
        <w:tc>
          <w:tcPr>
            <w:tcW w:w="3202" w:type="pct"/>
            <w:gridSpan w:val="6"/>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sz w:val="20"/>
              </w:rPr>
            </w:pPr>
            <w:r>
              <w:rPr>
                <w:rFonts w:ascii="Arial Narrow" w:hAnsi="Arial Narrow"/>
                <w:sz w:val="20"/>
              </w:rPr>
              <w:t>No increase in the maximum quantity or number of units may be authorised.</w:t>
            </w:r>
          </w:p>
          <w:p w:rsidR="00923872" w:rsidRDefault="003F2B06">
            <w:pPr>
              <w:spacing w:before="20" w:after="20"/>
              <w:rPr>
                <w:rFonts w:ascii="Arial Narrow" w:hAnsi="Arial Narrow"/>
                <w:sz w:val="20"/>
              </w:rPr>
            </w:pPr>
            <w:r>
              <w:rPr>
                <w:rFonts w:ascii="Arial Narrow" w:hAnsi="Arial Narrow"/>
                <w:sz w:val="20"/>
              </w:rPr>
              <w:t>No increase in the maximum number of repeats may be authorised.</w:t>
            </w:r>
          </w:p>
          <w:p w:rsidR="00923872" w:rsidRDefault="003F2B06">
            <w:pPr>
              <w:spacing w:before="20" w:after="20"/>
              <w:rPr>
                <w:rFonts w:ascii="Arial Narrow" w:hAnsi="Arial Narrow"/>
                <w:sz w:val="20"/>
              </w:rPr>
            </w:pPr>
            <w:r>
              <w:rPr>
                <w:rFonts w:ascii="Arial Narrow" w:hAnsi="Arial Narrow"/>
                <w:sz w:val="20"/>
              </w:rPr>
              <w:t>Special Pricing Arrangements apply.</w:t>
            </w:r>
          </w:p>
        </w:tc>
      </w:tr>
    </w:tbl>
    <w:p w:rsidR="00FB1CE3" w:rsidRDefault="00FB1CE3">
      <w:pPr>
        <w:rPr>
          <w:rFonts w:eastAsiaTheme="majorEastAsia"/>
          <w:lang w:eastAsia="en-US"/>
        </w:rPr>
      </w:pPr>
    </w:p>
    <w:p w:rsidR="00FB1CE3" w:rsidRDefault="00FB1CE3">
      <w:pPr>
        <w:rPr>
          <w:rFonts w:eastAsiaTheme="majorEastAsia"/>
          <w:lang w:eastAsia="en-US"/>
        </w:rPr>
      </w:pPr>
      <w:r>
        <w:rPr>
          <w:rFonts w:eastAsiaTheme="majorEastAsia"/>
          <w:lang w:eastAsia="en-US"/>
        </w:rPr>
        <w:br w:type="page"/>
      </w:r>
    </w:p>
    <w:tbl>
      <w:tblPr>
        <w:tblW w:w="5000" w:type="pct"/>
        <w:tblLook w:val="0000" w:firstRow="0" w:lastRow="0" w:firstColumn="0" w:lastColumn="0" w:noHBand="0" w:noVBand="0"/>
      </w:tblPr>
      <w:tblGrid>
        <w:gridCol w:w="3240"/>
        <w:gridCol w:w="5776"/>
      </w:tblGrid>
      <w:tr w:rsidR="00923872" w:rsidTr="00317018">
        <w:trPr>
          <w:cantSplit/>
          <w:trHeight w:val="360"/>
        </w:trPr>
        <w:tc>
          <w:tcPr>
            <w:tcW w:w="1797" w:type="pct"/>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b/>
                <w:sz w:val="20"/>
              </w:rPr>
            </w:pPr>
            <w:r>
              <w:rPr>
                <w:rFonts w:ascii="Arial Narrow" w:hAnsi="Arial Narrow"/>
                <w:b/>
                <w:sz w:val="20"/>
              </w:rPr>
              <w:lastRenderedPageBreak/>
              <w:t>Treatment phase:</w:t>
            </w:r>
          </w:p>
        </w:tc>
        <w:tc>
          <w:tcPr>
            <w:tcW w:w="3203" w:type="pct"/>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sz w:val="20"/>
              </w:rPr>
            </w:pPr>
            <w:r>
              <w:rPr>
                <w:rFonts w:ascii="Arial Narrow" w:hAnsi="Arial Narrow"/>
                <w:sz w:val="20"/>
              </w:rPr>
              <w:t>Continuing treatment</w:t>
            </w:r>
          </w:p>
        </w:tc>
      </w:tr>
      <w:tr w:rsidR="00923872" w:rsidTr="00317018">
        <w:trPr>
          <w:cantSplit/>
          <w:trHeight w:val="360"/>
        </w:trPr>
        <w:tc>
          <w:tcPr>
            <w:tcW w:w="1797" w:type="pct"/>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b/>
                <w:sz w:val="20"/>
              </w:rPr>
            </w:pPr>
            <w:r>
              <w:rPr>
                <w:rFonts w:ascii="Arial Narrow" w:hAnsi="Arial Narrow"/>
                <w:b/>
                <w:sz w:val="20"/>
              </w:rPr>
              <w:t>Restriction:</w:t>
            </w:r>
          </w:p>
        </w:tc>
        <w:tc>
          <w:tcPr>
            <w:tcW w:w="3203" w:type="pct"/>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sz w:val="20"/>
              </w:rPr>
            </w:pPr>
            <w:r>
              <w:rPr>
                <w:rFonts w:ascii="Arial Narrow" w:hAnsi="Arial Narrow"/>
                <w:sz w:val="20"/>
              </w:rPr>
              <w:t>Authority Required - Telephone</w:t>
            </w:r>
          </w:p>
        </w:tc>
      </w:tr>
      <w:tr w:rsidR="00923872" w:rsidTr="00317018">
        <w:trPr>
          <w:trHeight w:val="360"/>
        </w:trPr>
        <w:tc>
          <w:tcPr>
            <w:tcW w:w="1797" w:type="pct"/>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b/>
                <w:sz w:val="20"/>
              </w:rPr>
            </w:pPr>
            <w:r>
              <w:rPr>
                <w:rFonts w:ascii="Arial Narrow" w:hAnsi="Arial Narrow"/>
                <w:b/>
                <w:sz w:val="20"/>
              </w:rPr>
              <w:t>Clinical criteria:</w:t>
            </w:r>
          </w:p>
          <w:p w:rsidR="00923872" w:rsidRDefault="00923872">
            <w:pPr>
              <w:spacing w:before="20" w:after="20"/>
              <w:rPr>
                <w:rFonts w:ascii="Arial Narrow" w:hAnsi="Arial Narrow"/>
                <w:sz w:val="20"/>
              </w:rPr>
            </w:pPr>
          </w:p>
        </w:tc>
        <w:tc>
          <w:tcPr>
            <w:tcW w:w="3203" w:type="pct"/>
            <w:tcBorders>
              <w:top w:val="single" w:sz="4" w:space="0" w:color="auto"/>
              <w:left w:val="single" w:sz="4" w:space="0" w:color="auto"/>
              <w:bottom w:val="single" w:sz="4" w:space="0" w:color="auto"/>
              <w:right w:val="single" w:sz="4" w:space="0" w:color="auto"/>
            </w:tcBorders>
          </w:tcPr>
          <w:p w:rsidR="00923872" w:rsidRDefault="003F2B06">
            <w:pPr>
              <w:spacing w:before="120"/>
              <w:rPr>
                <w:rFonts w:ascii="Arial Narrow" w:hAnsi="Arial Narrow"/>
                <w:sz w:val="20"/>
              </w:rPr>
            </w:pPr>
            <w:r>
              <w:rPr>
                <w:rFonts w:ascii="Arial Narrow" w:hAnsi="Arial Narrow"/>
                <w:sz w:val="20"/>
              </w:rPr>
              <w:t xml:space="preserve">The condition must be diagnosed as clinically definite relapsing-remitting multiple sclerosis, </w:t>
            </w:r>
          </w:p>
          <w:p w:rsidR="00923872" w:rsidRDefault="003F2B06">
            <w:pPr>
              <w:spacing w:before="120"/>
              <w:rPr>
                <w:rFonts w:ascii="Arial Narrow" w:hAnsi="Arial Narrow"/>
                <w:sz w:val="20"/>
              </w:rPr>
            </w:pPr>
            <w:r>
              <w:rPr>
                <w:rFonts w:ascii="Arial Narrow" w:hAnsi="Arial Narrow"/>
                <w:sz w:val="20"/>
              </w:rPr>
              <w:t>AND</w:t>
            </w:r>
          </w:p>
          <w:p w:rsidR="00923872" w:rsidRDefault="003F2B06">
            <w:pPr>
              <w:spacing w:before="120"/>
              <w:rPr>
                <w:rFonts w:ascii="Arial Narrow" w:hAnsi="Arial Narrow"/>
                <w:sz w:val="20"/>
              </w:rPr>
            </w:pPr>
            <w:r>
              <w:rPr>
                <w:rFonts w:ascii="Arial Narrow" w:hAnsi="Arial Narrow"/>
                <w:sz w:val="20"/>
              </w:rPr>
              <w:t>The treatment must be a sole PBS-subsidised disease modifying therapy for this condition,</w:t>
            </w:r>
          </w:p>
          <w:p w:rsidR="00923872" w:rsidRDefault="003F2B06">
            <w:pPr>
              <w:spacing w:before="120"/>
              <w:rPr>
                <w:rFonts w:ascii="Arial Narrow" w:hAnsi="Arial Narrow"/>
                <w:sz w:val="20"/>
              </w:rPr>
            </w:pPr>
            <w:r>
              <w:rPr>
                <w:rFonts w:ascii="Arial Narrow" w:hAnsi="Arial Narrow"/>
                <w:sz w:val="20"/>
              </w:rPr>
              <w:t>AND</w:t>
            </w:r>
          </w:p>
          <w:p w:rsidR="00923872" w:rsidRDefault="003F2B06">
            <w:pPr>
              <w:spacing w:before="120"/>
              <w:rPr>
                <w:rFonts w:ascii="Arial Narrow" w:hAnsi="Arial Narrow"/>
                <w:sz w:val="20"/>
              </w:rPr>
            </w:pPr>
            <w:r>
              <w:rPr>
                <w:rFonts w:ascii="Arial Narrow" w:hAnsi="Arial Narrow"/>
                <w:sz w:val="20"/>
              </w:rPr>
              <w:t xml:space="preserve">Patient must have previously received PBS-subsidised treatment with this drug for this condition, </w:t>
            </w:r>
          </w:p>
          <w:p w:rsidR="00923872" w:rsidRDefault="003F2B06">
            <w:pPr>
              <w:spacing w:before="120"/>
              <w:rPr>
                <w:rFonts w:ascii="Arial Narrow" w:hAnsi="Arial Narrow"/>
                <w:sz w:val="20"/>
              </w:rPr>
            </w:pPr>
            <w:r>
              <w:rPr>
                <w:rFonts w:ascii="Arial Narrow" w:hAnsi="Arial Narrow"/>
                <w:sz w:val="20"/>
              </w:rPr>
              <w:t>AND</w:t>
            </w:r>
          </w:p>
          <w:p w:rsidR="00923872" w:rsidRDefault="003F2B06">
            <w:pPr>
              <w:spacing w:before="120"/>
              <w:rPr>
                <w:rFonts w:ascii="Arial Narrow" w:hAnsi="Arial Narrow"/>
                <w:sz w:val="20"/>
              </w:rPr>
            </w:pPr>
            <w:r>
              <w:rPr>
                <w:rFonts w:ascii="Arial Narrow" w:hAnsi="Arial Narrow"/>
                <w:sz w:val="20"/>
              </w:rPr>
              <w:t xml:space="preserve">Patient must not show continuing progression of disability while on treatment with this drug, </w:t>
            </w:r>
          </w:p>
          <w:p w:rsidR="00923872" w:rsidRDefault="003F2B06">
            <w:pPr>
              <w:spacing w:before="120"/>
              <w:rPr>
                <w:rFonts w:ascii="Arial Narrow" w:hAnsi="Arial Narrow"/>
                <w:sz w:val="20"/>
              </w:rPr>
            </w:pPr>
            <w:r>
              <w:rPr>
                <w:rFonts w:ascii="Arial Narrow" w:hAnsi="Arial Narrow"/>
                <w:sz w:val="20"/>
              </w:rPr>
              <w:t>AND</w:t>
            </w:r>
          </w:p>
          <w:p w:rsidR="00923872" w:rsidRDefault="003F2B06">
            <w:pPr>
              <w:spacing w:before="120"/>
              <w:rPr>
                <w:rFonts w:ascii="Arial Narrow" w:hAnsi="Arial Narrow"/>
                <w:sz w:val="20"/>
              </w:rPr>
            </w:pPr>
            <w:r>
              <w:rPr>
                <w:rFonts w:ascii="Arial Narrow" w:hAnsi="Arial Narrow"/>
                <w:sz w:val="20"/>
              </w:rPr>
              <w:t>Patient must have demonstrated compliance with, and an ability to tolerate this therapy.</w:t>
            </w:r>
          </w:p>
        </w:tc>
      </w:tr>
      <w:tr w:rsidR="00923872" w:rsidTr="00317018">
        <w:trPr>
          <w:cantSplit/>
          <w:trHeight w:val="360"/>
        </w:trPr>
        <w:tc>
          <w:tcPr>
            <w:tcW w:w="1797" w:type="pct"/>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b/>
                <w:sz w:val="20"/>
              </w:rPr>
            </w:pPr>
            <w:r>
              <w:rPr>
                <w:rFonts w:ascii="Arial Narrow" w:hAnsi="Arial Narrow"/>
                <w:b/>
                <w:sz w:val="20"/>
              </w:rPr>
              <w:t>Administrative Advice</w:t>
            </w:r>
          </w:p>
          <w:p w:rsidR="00923872" w:rsidRDefault="00923872">
            <w:pPr>
              <w:spacing w:before="20" w:after="20"/>
              <w:rPr>
                <w:rFonts w:ascii="Arial Narrow" w:hAnsi="Arial Narrow"/>
                <w:i/>
                <w:sz w:val="20"/>
              </w:rPr>
            </w:pPr>
          </w:p>
        </w:tc>
        <w:tc>
          <w:tcPr>
            <w:tcW w:w="3203" w:type="pct"/>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sz w:val="20"/>
              </w:rPr>
            </w:pPr>
            <w:r>
              <w:rPr>
                <w:rFonts w:ascii="Arial Narrow" w:hAnsi="Arial Narrow"/>
                <w:sz w:val="20"/>
              </w:rPr>
              <w:t>No increase in the maximum quantity or number of units may be authorised.</w:t>
            </w:r>
          </w:p>
          <w:p w:rsidR="00923872" w:rsidRDefault="003F2B06">
            <w:pPr>
              <w:spacing w:before="20" w:after="20"/>
              <w:rPr>
                <w:rFonts w:ascii="Arial Narrow" w:hAnsi="Arial Narrow"/>
                <w:sz w:val="20"/>
              </w:rPr>
            </w:pPr>
            <w:r>
              <w:rPr>
                <w:rFonts w:ascii="Arial Narrow" w:hAnsi="Arial Narrow"/>
                <w:sz w:val="20"/>
              </w:rPr>
              <w:t>No increase in the maximum number of repeats may be authorised.</w:t>
            </w:r>
          </w:p>
          <w:p w:rsidR="00923872" w:rsidRDefault="003F2B06">
            <w:pPr>
              <w:spacing w:before="20" w:after="20"/>
              <w:rPr>
                <w:rFonts w:ascii="Arial Narrow" w:hAnsi="Arial Narrow"/>
                <w:sz w:val="20"/>
              </w:rPr>
            </w:pPr>
            <w:r>
              <w:rPr>
                <w:rFonts w:ascii="Arial Narrow" w:hAnsi="Arial Narrow"/>
                <w:sz w:val="20"/>
              </w:rPr>
              <w:t>Special Pricing Arrangements apply.</w:t>
            </w:r>
          </w:p>
          <w:p w:rsidR="00923872" w:rsidRDefault="00923872">
            <w:pPr>
              <w:spacing w:before="20" w:after="20"/>
              <w:rPr>
                <w:rFonts w:ascii="Arial Narrow" w:hAnsi="Arial Narrow"/>
                <w:sz w:val="20"/>
              </w:rPr>
            </w:pPr>
          </w:p>
        </w:tc>
      </w:tr>
    </w:tbl>
    <w:p w:rsidR="00923872" w:rsidRDefault="003F2B06">
      <w:pPr>
        <w:pStyle w:val="3Bodytext"/>
      </w:pPr>
      <w:r>
        <w:t xml:space="preserve">For patients aged less than 18 years that weigh less than 40 kg, treatment with fingolimod 250 mcg capsules would align with the TGA approved Product Information. </w:t>
      </w:r>
    </w:p>
    <w:p w:rsidR="00923872" w:rsidRDefault="003F2B06">
      <w:pPr>
        <w:pStyle w:val="3Bodytext"/>
      </w:pPr>
      <w:r>
        <w:t xml:space="preserve">The requested listing is silent on patient age and weight. In addition to paediatrics that weigh under 40kg, patients who are currently not tolerating the 500 mcg dose may be treated with the 250 mcg dose of fingolimod. </w:t>
      </w:r>
    </w:p>
    <w:p w:rsidR="00923872" w:rsidRDefault="003F2B06">
      <w:pPr>
        <w:pStyle w:val="3Bodytext"/>
        <w:numPr>
          <w:ilvl w:val="0"/>
          <w:numId w:val="0"/>
        </w:numPr>
        <w:ind w:left="720"/>
        <w:rPr>
          <w:i/>
        </w:rPr>
      </w:pPr>
      <w:r>
        <w:rPr>
          <w:i/>
        </w:rPr>
        <w:t>For more detail on PBAC’s view, see section 6 PBAC outcome.</w:t>
      </w:r>
    </w:p>
    <w:p w:rsidR="00923872" w:rsidRDefault="003F2B06">
      <w:pPr>
        <w:pStyle w:val="2Sections"/>
      </w:pPr>
      <w:r>
        <w:t>Background</w:t>
      </w:r>
    </w:p>
    <w:p w:rsidR="00923872" w:rsidRDefault="003F2B06">
      <w:pPr>
        <w:pStyle w:val="3Bodytext"/>
        <w:rPr>
          <w:color w:val="FF0000"/>
        </w:rPr>
      </w:pPr>
      <w:r>
        <w:t xml:space="preserve">Fingolimod 250 mcg capsule was TGA registered on 12 April 2019 for ‘the treatment of adult and paediatric patients of 10 years of age and above with relapsing forms of multiple sclerosis to reduce the frequency of relapses and to delay the progression of disability’. </w:t>
      </w:r>
    </w:p>
    <w:p w:rsidR="00923872" w:rsidRDefault="003F2B06">
      <w:pPr>
        <w:pStyle w:val="3Bodytext"/>
      </w:pPr>
      <w:r>
        <w:t xml:space="preserve">Fingolimod 500 mcg capsule was TGA registered on 1 February 2011 for “the treatment of relapsing remitting multiple sclerosis and secondary progressive multiple sclerosis with superimposed relapses to delay the progression of physical disability and reduce the frequency of relapse.” This indication was extended to explicitly include both adult and paediatric patients in April 2019. </w:t>
      </w:r>
    </w:p>
    <w:p w:rsidR="00923872" w:rsidRDefault="003F2B06">
      <w:pPr>
        <w:pStyle w:val="3Bodytext"/>
        <w:rPr>
          <w:color w:val="FF0000"/>
        </w:rPr>
      </w:pPr>
      <w:r>
        <w:t>Based on the TGA approved Product Information (PI), in paediatric patients (10 years of age and above), the recommended dose of fingolimod is dependent on body weight:</w:t>
      </w:r>
    </w:p>
    <w:p w:rsidR="00923872" w:rsidRDefault="003F2B06" w:rsidP="00317018">
      <w:pPr>
        <w:pStyle w:val="3Bodytext"/>
        <w:numPr>
          <w:ilvl w:val="0"/>
          <w:numId w:val="25"/>
        </w:numPr>
        <w:ind w:left="1418"/>
        <w:rPr>
          <w:color w:val="FF0000"/>
        </w:rPr>
      </w:pPr>
      <w:r>
        <w:lastRenderedPageBreak/>
        <w:t>Paediatric patients with body weight ≤ 40 kg: one 0.25 mg capsule daily taken orally.</w:t>
      </w:r>
    </w:p>
    <w:p w:rsidR="00923872" w:rsidRDefault="003F2B06" w:rsidP="00317018">
      <w:pPr>
        <w:pStyle w:val="3Bodytext"/>
        <w:numPr>
          <w:ilvl w:val="0"/>
          <w:numId w:val="25"/>
        </w:numPr>
        <w:ind w:left="1418"/>
        <w:rPr>
          <w:color w:val="FF0000"/>
        </w:rPr>
      </w:pPr>
      <w:r>
        <w:t xml:space="preserve">Paediatric patients with body weight &gt; 40 kg: one 0.5 mg capsule daily taken orally. </w:t>
      </w:r>
    </w:p>
    <w:p w:rsidR="00923872" w:rsidRDefault="003F2B06">
      <w:pPr>
        <w:pStyle w:val="3Bodytext"/>
        <w:numPr>
          <w:ilvl w:val="0"/>
          <w:numId w:val="0"/>
        </w:numPr>
        <w:ind w:left="720"/>
      </w:pPr>
      <w:r>
        <w:t>Paediatric patients who start on 0.25 mg capsules and subsequently reach a stable body weight above 40 kg should be switched to 0.5 mg capsules.</w:t>
      </w:r>
    </w:p>
    <w:p w:rsidR="00923872" w:rsidRDefault="003F2B06">
      <w:pPr>
        <w:pStyle w:val="3Bodytext"/>
      </w:pPr>
      <w:r>
        <w:rPr>
          <w:color w:val="000000" w:themeColor="text1"/>
        </w:rPr>
        <w:t>Following a deferred decision at the March 2011 PBAC meeting, t</w:t>
      </w:r>
      <w:r>
        <w:t xml:space="preserve">he PBAC made a recommendation to list fingolimod 500 mcg capsule as Authority Required listing for the treatment of clinically relapsing-remitting multiple sclerosis (RRMS) in patients who meet certain criteria. </w:t>
      </w:r>
    </w:p>
    <w:p w:rsidR="00923872" w:rsidRDefault="003F2B06">
      <w:pPr>
        <w:pStyle w:val="3Bodytext"/>
        <w:numPr>
          <w:ilvl w:val="0"/>
          <w:numId w:val="0"/>
        </w:numPr>
        <w:ind w:left="720"/>
        <w:rPr>
          <w:i/>
        </w:rPr>
      </w:pPr>
      <w:r>
        <w:rPr>
          <w:i/>
        </w:rPr>
        <w:t>For more detail on PBAC’s view, see section 6 PBAC outcome.</w:t>
      </w:r>
    </w:p>
    <w:p w:rsidR="00923872" w:rsidRDefault="003F2B06">
      <w:pPr>
        <w:pStyle w:val="2Sections"/>
        <w:rPr>
          <w:color w:val="FF0000"/>
        </w:rPr>
      </w:pPr>
      <w:r>
        <w:t xml:space="preserve">Comparator </w:t>
      </w:r>
    </w:p>
    <w:p w:rsidR="00923872" w:rsidRDefault="003F2B06">
      <w:pPr>
        <w:pStyle w:val="3Bodytext"/>
      </w:pPr>
      <w:r>
        <w:t>The minor submission nominated fingolimod 500 mcg capsule as the main comparator, but noted that based on the existing use of PBS-subsidised treatments in paediatric patients, peginterferon (IFN) β-1a and natalizumab are also potential comparators. As the current PBS-listing of fingolimod 500 mcg is silent on patient age, it is likely that the existing use of fingolimod 500 mcg will be replaced by fingolimod 250 mcg in paediatric and adolescent patients</w:t>
      </w:r>
      <w:r>
        <w:rPr>
          <w:i/>
        </w:rPr>
        <w:t xml:space="preserve">. </w:t>
      </w:r>
      <w:r>
        <w:t xml:space="preserve">The proportion of use of PBS-subsidised RRMS therapies in paediatric patients is shown in Table 1. </w:t>
      </w:r>
    </w:p>
    <w:p w:rsidR="00FB1CE3" w:rsidRPr="00FB1CE3" w:rsidRDefault="00FB1CE3" w:rsidP="00FB1CE3">
      <w:pPr>
        <w:pStyle w:val="PbacTableHeading"/>
      </w:pPr>
      <w:r w:rsidRPr="00FB1CE3">
        <w:t xml:space="preserve">Table </w:t>
      </w:r>
      <w:r w:rsidR="007D721E">
        <w:fldChar w:fldCharType="begin"/>
      </w:r>
      <w:r w:rsidR="007D721E">
        <w:instrText xml:space="preserve"> SEQ Table \* ARABIC </w:instrText>
      </w:r>
      <w:r w:rsidR="007D721E">
        <w:fldChar w:fldCharType="separate"/>
      </w:r>
      <w:r w:rsidR="00341037">
        <w:rPr>
          <w:noProof/>
        </w:rPr>
        <w:t>1</w:t>
      </w:r>
      <w:r w:rsidR="007D721E">
        <w:rPr>
          <w:noProof/>
        </w:rPr>
        <w:fldChar w:fldCharType="end"/>
      </w:r>
      <w:r w:rsidRPr="00FB1CE3">
        <w:t>: PBS 10% sample data on medications used to treat patients aged &lt;18 years with RRMS, July 2017 to June 2018</w:t>
      </w:r>
    </w:p>
    <w:tbl>
      <w:tblPr>
        <w:tblStyle w:val="TableGrid"/>
        <w:tblW w:w="5000" w:type="pct"/>
        <w:tblLook w:val="04A0" w:firstRow="1" w:lastRow="0" w:firstColumn="1" w:lastColumn="0" w:noHBand="0" w:noVBand="1"/>
        <w:tblCaption w:val="Table 1: PBS 10% sample data on medications used to treat patients aged &lt;18 years with RRMS, July 2017 to June 2018"/>
      </w:tblPr>
      <w:tblGrid>
        <w:gridCol w:w="3946"/>
        <w:gridCol w:w="2535"/>
        <w:gridCol w:w="2535"/>
      </w:tblGrid>
      <w:tr w:rsidR="00923872" w:rsidTr="00B810EB">
        <w:trPr>
          <w:trHeight w:val="255"/>
          <w:tblHeader/>
        </w:trPr>
        <w:tc>
          <w:tcPr>
            <w:tcW w:w="2188" w:type="pct"/>
            <w:noWrap/>
            <w:hideMark/>
          </w:tcPr>
          <w:p w:rsidR="00923872" w:rsidRDefault="003F2B06">
            <w:pPr>
              <w:pStyle w:val="PBACTableText"/>
              <w:rPr>
                <w:b/>
                <w:lang w:eastAsia="en-AU"/>
              </w:rPr>
            </w:pPr>
            <w:r>
              <w:rPr>
                <w:b/>
                <w:lang w:eastAsia="en-AU"/>
              </w:rPr>
              <w:t xml:space="preserve">Drug </w:t>
            </w:r>
          </w:p>
        </w:tc>
        <w:tc>
          <w:tcPr>
            <w:tcW w:w="1406" w:type="pct"/>
            <w:noWrap/>
            <w:hideMark/>
          </w:tcPr>
          <w:p w:rsidR="00923872" w:rsidRDefault="003F2B06">
            <w:pPr>
              <w:pStyle w:val="PBACTableText"/>
              <w:rPr>
                <w:b/>
                <w:lang w:eastAsia="en-AU"/>
              </w:rPr>
            </w:pPr>
            <w:r>
              <w:rPr>
                <w:b/>
                <w:lang w:eastAsia="en-AU"/>
              </w:rPr>
              <w:t>Script frequency</w:t>
            </w:r>
          </w:p>
        </w:tc>
        <w:tc>
          <w:tcPr>
            <w:tcW w:w="1406" w:type="pct"/>
            <w:noWrap/>
            <w:hideMark/>
          </w:tcPr>
          <w:p w:rsidR="00923872" w:rsidRDefault="003F2B06">
            <w:pPr>
              <w:pStyle w:val="PBACTableText"/>
              <w:rPr>
                <w:b/>
                <w:lang w:eastAsia="en-AU"/>
              </w:rPr>
            </w:pPr>
            <w:r>
              <w:rPr>
                <w:b/>
                <w:lang w:eastAsia="en-AU"/>
              </w:rPr>
              <w:t>Proportion of total</w:t>
            </w:r>
          </w:p>
        </w:tc>
      </w:tr>
      <w:tr w:rsidR="00923872" w:rsidTr="00FB1CE3">
        <w:trPr>
          <w:trHeight w:val="255"/>
        </w:trPr>
        <w:tc>
          <w:tcPr>
            <w:tcW w:w="2188" w:type="pct"/>
            <w:noWrap/>
            <w:hideMark/>
          </w:tcPr>
          <w:p w:rsidR="00923872" w:rsidRDefault="003F2B06">
            <w:pPr>
              <w:pStyle w:val="PBACTableText"/>
              <w:rPr>
                <w:lang w:eastAsia="en-AU"/>
              </w:rPr>
            </w:pPr>
            <w:r>
              <w:rPr>
                <w:rFonts w:cs="Calibri"/>
                <w:color w:val="000000"/>
              </w:rPr>
              <w:t>Tysabri (natalizumab)</w:t>
            </w:r>
          </w:p>
        </w:tc>
        <w:tc>
          <w:tcPr>
            <w:tcW w:w="1406" w:type="pct"/>
            <w:noWrap/>
            <w:hideMark/>
          </w:tcPr>
          <w:p w:rsidR="00923872" w:rsidRDefault="003F2B06">
            <w:pPr>
              <w:pStyle w:val="PBACTableText"/>
              <w:rPr>
                <w:lang w:eastAsia="en-AU"/>
              </w:rPr>
            </w:pPr>
            <w:r>
              <w:rPr>
                <w:rFonts w:cs="Calibri"/>
                <w:color w:val="000000"/>
              </w:rPr>
              <w:t>240</w:t>
            </w:r>
          </w:p>
        </w:tc>
        <w:tc>
          <w:tcPr>
            <w:tcW w:w="1406" w:type="pct"/>
            <w:noWrap/>
            <w:hideMark/>
          </w:tcPr>
          <w:p w:rsidR="00923872" w:rsidRDefault="003F2B06">
            <w:pPr>
              <w:pStyle w:val="PBACTableText"/>
              <w:rPr>
                <w:lang w:eastAsia="en-AU"/>
              </w:rPr>
            </w:pPr>
            <w:r>
              <w:rPr>
                <w:rFonts w:cs="Calibri"/>
                <w:color w:val="000000"/>
              </w:rPr>
              <w:t>34%</w:t>
            </w:r>
          </w:p>
        </w:tc>
      </w:tr>
      <w:tr w:rsidR="00923872" w:rsidTr="00FB1CE3">
        <w:trPr>
          <w:trHeight w:val="255"/>
        </w:trPr>
        <w:tc>
          <w:tcPr>
            <w:tcW w:w="2188" w:type="pct"/>
            <w:noWrap/>
            <w:hideMark/>
          </w:tcPr>
          <w:p w:rsidR="00923872" w:rsidRDefault="003F2B06">
            <w:pPr>
              <w:pStyle w:val="PBACTableText"/>
              <w:rPr>
                <w:lang w:eastAsia="en-AU"/>
              </w:rPr>
            </w:pPr>
            <w:r>
              <w:rPr>
                <w:rFonts w:cs="Calibri"/>
                <w:color w:val="000000"/>
              </w:rPr>
              <w:t>Gilenya (fingolimod)</w:t>
            </w:r>
          </w:p>
        </w:tc>
        <w:tc>
          <w:tcPr>
            <w:tcW w:w="1406" w:type="pct"/>
            <w:noWrap/>
            <w:hideMark/>
          </w:tcPr>
          <w:p w:rsidR="00923872" w:rsidRDefault="003F2B06">
            <w:pPr>
              <w:pStyle w:val="PBACTableText"/>
              <w:rPr>
                <w:lang w:eastAsia="en-AU"/>
              </w:rPr>
            </w:pPr>
            <w:r>
              <w:rPr>
                <w:rFonts w:cs="Calibri"/>
                <w:color w:val="000000"/>
              </w:rPr>
              <w:t>200</w:t>
            </w:r>
          </w:p>
        </w:tc>
        <w:tc>
          <w:tcPr>
            <w:tcW w:w="1406" w:type="pct"/>
            <w:noWrap/>
            <w:hideMark/>
          </w:tcPr>
          <w:p w:rsidR="00923872" w:rsidRDefault="003F2B06">
            <w:pPr>
              <w:pStyle w:val="PBACTableText"/>
              <w:rPr>
                <w:lang w:eastAsia="en-AU"/>
              </w:rPr>
            </w:pPr>
            <w:r>
              <w:rPr>
                <w:rFonts w:cs="Calibri"/>
                <w:color w:val="000000"/>
              </w:rPr>
              <w:t>29%</w:t>
            </w:r>
          </w:p>
        </w:tc>
      </w:tr>
      <w:tr w:rsidR="00923872" w:rsidTr="00FB1CE3">
        <w:trPr>
          <w:trHeight w:val="255"/>
        </w:trPr>
        <w:tc>
          <w:tcPr>
            <w:tcW w:w="2188" w:type="pct"/>
            <w:noWrap/>
            <w:hideMark/>
          </w:tcPr>
          <w:p w:rsidR="00923872" w:rsidRDefault="003F2B06">
            <w:pPr>
              <w:pStyle w:val="PBACTableText"/>
              <w:rPr>
                <w:lang w:eastAsia="en-AU"/>
              </w:rPr>
            </w:pPr>
            <w:r>
              <w:rPr>
                <w:rFonts w:cs="Calibri"/>
                <w:color w:val="000000"/>
              </w:rPr>
              <w:t>Plegridy (peginterferon β -1a)</w:t>
            </w:r>
          </w:p>
        </w:tc>
        <w:tc>
          <w:tcPr>
            <w:tcW w:w="1406" w:type="pct"/>
            <w:noWrap/>
            <w:hideMark/>
          </w:tcPr>
          <w:p w:rsidR="00923872" w:rsidRDefault="003F2B06">
            <w:pPr>
              <w:pStyle w:val="PBACTableText"/>
              <w:rPr>
                <w:lang w:eastAsia="en-AU"/>
              </w:rPr>
            </w:pPr>
            <w:r>
              <w:rPr>
                <w:rFonts w:cs="Calibri"/>
                <w:color w:val="000000"/>
              </w:rPr>
              <w:t>160</w:t>
            </w:r>
          </w:p>
        </w:tc>
        <w:tc>
          <w:tcPr>
            <w:tcW w:w="1406" w:type="pct"/>
            <w:noWrap/>
            <w:hideMark/>
          </w:tcPr>
          <w:p w:rsidR="00923872" w:rsidRDefault="003F2B06">
            <w:pPr>
              <w:pStyle w:val="PBACTableText"/>
              <w:rPr>
                <w:lang w:eastAsia="en-AU"/>
              </w:rPr>
            </w:pPr>
            <w:r>
              <w:rPr>
                <w:rFonts w:cs="Calibri"/>
                <w:color w:val="000000"/>
              </w:rPr>
              <w:t>23%</w:t>
            </w:r>
          </w:p>
        </w:tc>
      </w:tr>
      <w:tr w:rsidR="00923872" w:rsidTr="00FB1CE3">
        <w:trPr>
          <w:trHeight w:val="255"/>
        </w:trPr>
        <w:tc>
          <w:tcPr>
            <w:tcW w:w="2188" w:type="pct"/>
            <w:noWrap/>
            <w:hideMark/>
          </w:tcPr>
          <w:p w:rsidR="00923872" w:rsidRDefault="003F2B06">
            <w:pPr>
              <w:pStyle w:val="PBACTableText"/>
              <w:rPr>
                <w:lang w:eastAsia="en-AU"/>
              </w:rPr>
            </w:pPr>
            <w:r>
              <w:rPr>
                <w:rFonts w:cs="Calibri"/>
                <w:color w:val="000000"/>
              </w:rPr>
              <w:t>Aubagio (teriflunomide)</w:t>
            </w:r>
          </w:p>
        </w:tc>
        <w:tc>
          <w:tcPr>
            <w:tcW w:w="1406" w:type="pct"/>
            <w:noWrap/>
            <w:hideMark/>
          </w:tcPr>
          <w:p w:rsidR="00923872" w:rsidRDefault="003F2B06">
            <w:pPr>
              <w:pStyle w:val="PBACTableText"/>
              <w:rPr>
                <w:lang w:eastAsia="en-AU"/>
              </w:rPr>
            </w:pPr>
            <w:r>
              <w:rPr>
                <w:rFonts w:cs="Calibri"/>
                <w:color w:val="000000"/>
              </w:rPr>
              <w:t>40</w:t>
            </w:r>
          </w:p>
        </w:tc>
        <w:tc>
          <w:tcPr>
            <w:tcW w:w="1406" w:type="pct"/>
            <w:noWrap/>
            <w:hideMark/>
          </w:tcPr>
          <w:p w:rsidR="00923872" w:rsidRDefault="003F2B06">
            <w:pPr>
              <w:pStyle w:val="PBACTableText"/>
              <w:rPr>
                <w:lang w:eastAsia="en-AU"/>
              </w:rPr>
            </w:pPr>
            <w:r>
              <w:rPr>
                <w:rFonts w:cs="Calibri"/>
                <w:color w:val="000000"/>
              </w:rPr>
              <w:t>6%</w:t>
            </w:r>
          </w:p>
        </w:tc>
      </w:tr>
      <w:tr w:rsidR="00923872" w:rsidTr="00FB1CE3">
        <w:trPr>
          <w:trHeight w:val="255"/>
        </w:trPr>
        <w:tc>
          <w:tcPr>
            <w:tcW w:w="2188" w:type="pct"/>
            <w:noWrap/>
            <w:hideMark/>
          </w:tcPr>
          <w:p w:rsidR="00923872" w:rsidRDefault="003F2B06">
            <w:pPr>
              <w:pStyle w:val="PBACTableText"/>
              <w:rPr>
                <w:lang w:eastAsia="en-AU"/>
              </w:rPr>
            </w:pPr>
            <w:r>
              <w:rPr>
                <w:rFonts w:cs="Calibri"/>
                <w:color w:val="000000"/>
              </w:rPr>
              <w:t>Zinbryta (daclizumab)</w:t>
            </w:r>
          </w:p>
        </w:tc>
        <w:tc>
          <w:tcPr>
            <w:tcW w:w="1406" w:type="pct"/>
            <w:noWrap/>
            <w:hideMark/>
          </w:tcPr>
          <w:p w:rsidR="00923872" w:rsidRDefault="003F2B06">
            <w:pPr>
              <w:pStyle w:val="PBACTableText"/>
              <w:rPr>
                <w:lang w:eastAsia="en-AU"/>
              </w:rPr>
            </w:pPr>
            <w:r>
              <w:rPr>
                <w:rFonts w:cs="Calibri"/>
                <w:color w:val="000000"/>
              </w:rPr>
              <w:t>0</w:t>
            </w:r>
          </w:p>
        </w:tc>
        <w:tc>
          <w:tcPr>
            <w:tcW w:w="1406" w:type="pct"/>
            <w:noWrap/>
            <w:hideMark/>
          </w:tcPr>
          <w:p w:rsidR="00923872" w:rsidRDefault="003F2B06">
            <w:pPr>
              <w:pStyle w:val="PBACTableText"/>
              <w:rPr>
                <w:lang w:eastAsia="en-AU"/>
              </w:rPr>
            </w:pPr>
            <w:r>
              <w:rPr>
                <w:rFonts w:cs="Calibri"/>
                <w:color w:val="000000"/>
              </w:rPr>
              <w:t>6%</w:t>
            </w:r>
          </w:p>
        </w:tc>
      </w:tr>
      <w:tr w:rsidR="00923872" w:rsidTr="00FB1CE3">
        <w:trPr>
          <w:trHeight w:val="255"/>
        </w:trPr>
        <w:tc>
          <w:tcPr>
            <w:tcW w:w="2188" w:type="pct"/>
            <w:noWrap/>
            <w:hideMark/>
          </w:tcPr>
          <w:p w:rsidR="00923872" w:rsidRDefault="003F2B06">
            <w:pPr>
              <w:pStyle w:val="PBACTableText"/>
              <w:rPr>
                <w:lang w:eastAsia="en-AU"/>
              </w:rPr>
            </w:pPr>
            <w:r>
              <w:rPr>
                <w:rFonts w:cs="Calibri"/>
                <w:color w:val="000000"/>
              </w:rPr>
              <w:t>Ocrevus (ocrelizumab)</w:t>
            </w:r>
          </w:p>
        </w:tc>
        <w:tc>
          <w:tcPr>
            <w:tcW w:w="1406" w:type="pct"/>
            <w:noWrap/>
            <w:hideMark/>
          </w:tcPr>
          <w:p w:rsidR="00923872" w:rsidRDefault="003F2B06">
            <w:pPr>
              <w:pStyle w:val="PBACTableText"/>
              <w:rPr>
                <w:lang w:eastAsia="en-AU"/>
              </w:rPr>
            </w:pPr>
            <w:r>
              <w:rPr>
                <w:rFonts w:cs="Calibri"/>
                <w:color w:val="000000"/>
              </w:rPr>
              <w:t>30</w:t>
            </w:r>
          </w:p>
        </w:tc>
        <w:tc>
          <w:tcPr>
            <w:tcW w:w="1406" w:type="pct"/>
            <w:noWrap/>
            <w:hideMark/>
          </w:tcPr>
          <w:p w:rsidR="00923872" w:rsidRDefault="003F2B06">
            <w:pPr>
              <w:pStyle w:val="PBACTableText"/>
              <w:rPr>
                <w:lang w:eastAsia="en-AU"/>
              </w:rPr>
            </w:pPr>
            <w:r>
              <w:rPr>
                <w:rFonts w:cs="Calibri"/>
                <w:color w:val="000000"/>
              </w:rPr>
              <w:t>4%</w:t>
            </w:r>
          </w:p>
        </w:tc>
      </w:tr>
      <w:tr w:rsidR="00923872" w:rsidTr="00FB1CE3">
        <w:trPr>
          <w:trHeight w:val="255"/>
        </w:trPr>
        <w:tc>
          <w:tcPr>
            <w:tcW w:w="2188" w:type="pct"/>
            <w:noWrap/>
            <w:hideMark/>
          </w:tcPr>
          <w:p w:rsidR="00923872" w:rsidRDefault="003F2B06">
            <w:pPr>
              <w:pStyle w:val="PBACTableText"/>
              <w:rPr>
                <w:lang w:eastAsia="en-AU"/>
              </w:rPr>
            </w:pPr>
            <w:r>
              <w:rPr>
                <w:rFonts w:cs="Calibri"/>
                <w:color w:val="000000"/>
              </w:rPr>
              <w:t>Tecfidera (dimethyl Fumarate)</w:t>
            </w:r>
          </w:p>
        </w:tc>
        <w:tc>
          <w:tcPr>
            <w:tcW w:w="1406" w:type="pct"/>
            <w:noWrap/>
            <w:hideMark/>
          </w:tcPr>
          <w:p w:rsidR="00923872" w:rsidRDefault="003F2B06">
            <w:pPr>
              <w:pStyle w:val="PBACTableText"/>
              <w:rPr>
                <w:lang w:eastAsia="en-AU"/>
              </w:rPr>
            </w:pPr>
            <w:r>
              <w:rPr>
                <w:rFonts w:cs="Calibri"/>
                <w:color w:val="000000"/>
              </w:rPr>
              <w:t>30</w:t>
            </w:r>
          </w:p>
        </w:tc>
        <w:tc>
          <w:tcPr>
            <w:tcW w:w="1406" w:type="pct"/>
            <w:noWrap/>
            <w:hideMark/>
          </w:tcPr>
          <w:p w:rsidR="00923872" w:rsidRDefault="003F2B06">
            <w:pPr>
              <w:pStyle w:val="PBACTableText"/>
              <w:rPr>
                <w:lang w:eastAsia="en-AU"/>
              </w:rPr>
            </w:pPr>
            <w:r>
              <w:rPr>
                <w:rFonts w:cs="Calibri"/>
                <w:color w:val="000000"/>
              </w:rPr>
              <w:t>4%</w:t>
            </w:r>
          </w:p>
        </w:tc>
      </w:tr>
      <w:tr w:rsidR="00923872" w:rsidTr="00FB1CE3">
        <w:trPr>
          <w:trHeight w:val="255"/>
        </w:trPr>
        <w:tc>
          <w:tcPr>
            <w:tcW w:w="2188" w:type="pct"/>
            <w:noWrap/>
            <w:hideMark/>
          </w:tcPr>
          <w:p w:rsidR="00923872" w:rsidRDefault="003F2B06">
            <w:pPr>
              <w:pStyle w:val="PBACTableText"/>
              <w:rPr>
                <w:b/>
                <w:lang w:eastAsia="en-AU"/>
              </w:rPr>
            </w:pPr>
            <w:r>
              <w:rPr>
                <w:b/>
                <w:lang w:eastAsia="en-AU"/>
              </w:rPr>
              <w:t>Total</w:t>
            </w:r>
          </w:p>
        </w:tc>
        <w:tc>
          <w:tcPr>
            <w:tcW w:w="1406" w:type="pct"/>
            <w:noWrap/>
            <w:hideMark/>
          </w:tcPr>
          <w:p w:rsidR="00923872" w:rsidRDefault="003F2B06">
            <w:pPr>
              <w:pStyle w:val="PBACTableText"/>
              <w:rPr>
                <w:b/>
                <w:lang w:eastAsia="en-AU"/>
              </w:rPr>
            </w:pPr>
            <w:r>
              <w:rPr>
                <w:b/>
                <w:lang w:eastAsia="en-AU"/>
              </w:rPr>
              <w:t>700</w:t>
            </w:r>
          </w:p>
        </w:tc>
        <w:tc>
          <w:tcPr>
            <w:tcW w:w="1406" w:type="pct"/>
            <w:noWrap/>
            <w:hideMark/>
          </w:tcPr>
          <w:p w:rsidR="00923872" w:rsidRDefault="003F2B06">
            <w:pPr>
              <w:pStyle w:val="PBACTableText"/>
              <w:rPr>
                <w:b/>
                <w:lang w:eastAsia="en-AU"/>
              </w:rPr>
            </w:pPr>
            <w:r>
              <w:rPr>
                <w:b/>
                <w:lang w:eastAsia="en-AU"/>
              </w:rPr>
              <w:t>100%</w:t>
            </w:r>
          </w:p>
        </w:tc>
      </w:tr>
    </w:tbl>
    <w:p w:rsidR="00923872" w:rsidRDefault="003F2B06">
      <w:pPr>
        <w:pStyle w:val="PBACcaption"/>
        <w:rPr>
          <w:rFonts w:ascii="Arial Narrow" w:hAnsi="Arial Narrow"/>
          <w:sz w:val="18"/>
          <w:szCs w:val="18"/>
        </w:rPr>
      </w:pPr>
      <w:r>
        <w:rPr>
          <w:rFonts w:ascii="Arial Narrow" w:hAnsi="Arial Narrow"/>
          <w:b w:val="0"/>
          <w:sz w:val="18"/>
          <w:szCs w:val="18"/>
        </w:rPr>
        <w:t>Source: Table 1.2 of the submission. Proportions &lt;1% removed.</w:t>
      </w:r>
    </w:p>
    <w:p w:rsidR="00923872" w:rsidRDefault="003F2B06">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Consideration of the evidence</w:t>
      </w:r>
    </w:p>
    <w:p w:rsidR="00923872" w:rsidRDefault="003F2B06">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Sponsor hearing</w:t>
      </w:r>
    </w:p>
    <w:p w:rsidR="00923872" w:rsidRDefault="003F2B06">
      <w:pPr>
        <w:widowControl w:val="0"/>
        <w:numPr>
          <w:ilvl w:val="1"/>
          <w:numId w:val="5"/>
        </w:numPr>
        <w:spacing w:after="120"/>
        <w:jc w:val="both"/>
        <w:rPr>
          <w:rFonts w:asciiTheme="minorHAnsi" w:hAnsiTheme="minorHAnsi" w:cs="Arial"/>
          <w:bCs/>
          <w:snapToGrid w:val="0"/>
          <w:lang w:eastAsia="en-US"/>
        </w:rPr>
      </w:pPr>
      <w:r>
        <w:rPr>
          <w:rFonts w:asciiTheme="minorHAnsi" w:hAnsiTheme="minorHAnsi" w:cs="Arial"/>
          <w:bCs/>
          <w:snapToGrid w:val="0"/>
          <w:lang w:eastAsia="en-US"/>
        </w:rPr>
        <w:t>There was no hearing for this item as it was a minor submission.</w:t>
      </w:r>
    </w:p>
    <w:p w:rsidR="00923872" w:rsidRDefault="003F2B06">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lastRenderedPageBreak/>
        <w:t>Consumer comments</w:t>
      </w:r>
    </w:p>
    <w:p w:rsidR="00923872" w:rsidRDefault="003F2B06">
      <w:pPr>
        <w:widowControl w:val="0"/>
        <w:numPr>
          <w:ilvl w:val="1"/>
          <w:numId w:val="5"/>
        </w:numPr>
        <w:spacing w:after="120"/>
        <w:jc w:val="both"/>
        <w:rPr>
          <w:rFonts w:asciiTheme="minorHAnsi" w:hAnsiTheme="minorHAnsi" w:cs="Arial"/>
          <w:bCs/>
          <w:snapToGrid w:val="0"/>
          <w:lang w:eastAsia="en-US"/>
        </w:rPr>
      </w:pPr>
      <w:r>
        <w:rPr>
          <w:rFonts w:asciiTheme="minorHAnsi" w:hAnsiTheme="minorHAnsi" w:cs="Arial"/>
          <w:bCs/>
          <w:snapToGrid w:val="0"/>
          <w:lang w:eastAsia="en-US"/>
        </w:rPr>
        <w:t xml:space="preserve">The PBAC noted and welcomed the input from two organisations via the Consumer Comments facility on the PBS website. The comments described the need for a greater number of treatments for RRMS in paediatrics and low weight patients, and how relapses can result in short and long term disabilities, which significantly affect the lives of families who care for these patients.  </w:t>
      </w:r>
    </w:p>
    <w:p w:rsidR="00923872" w:rsidRDefault="003F2B06">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Clinical trials </w:t>
      </w:r>
    </w:p>
    <w:p w:rsidR="00923872" w:rsidRDefault="003F2B06">
      <w:pPr>
        <w:pStyle w:val="3Bodytext"/>
        <w:rPr>
          <w:color w:val="FF0000"/>
        </w:rPr>
      </w:pPr>
      <w:r>
        <w:t xml:space="preserve">The minor submission presented a direct randomised trial which compared the efficacy of fingolimod 500 mcg capsules in patients &gt;40 kg and fingolimod 250 mcg capsules in patients </w:t>
      </w:r>
      <w:r>
        <w:rPr>
          <w:rFonts w:cstheme="minorHAnsi"/>
        </w:rPr>
        <w:t>≤</w:t>
      </w:r>
      <w:r>
        <w:t xml:space="preserve">40 kg to IM IFN β-1a in children/adolescent patients aged 10 to less than 18 years (Study 2311).  </w:t>
      </w:r>
    </w:p>
    <w:p w:rsidR="00923872" w:rsidRDefault="003F2B06">
      <w:pPr>
        <w:pStyle w:val="3Bodytext"/>
      </w:pPr>
      <w:r>
        <w:t>A further study was presented in the minor submission to demonstrate the bioequivalence of 2x250 mcg fingolimod capsules to 1x500 mg fingolimod capsule (S</w:t>
      </w:r>
      <w:r>
        <w:rPr>
          <w:color w:val="000000" w:themeColor="text1"/>
          <w:szCs w:val="24"/>
        </w:rPr>
        <w:t>tudy 2117)</w:t>
      </w:r>
      <w:r>
        <w:t>. As this study is of limited relevance to the submission, results have not been presented</w:t>
      </w:r>
      <w:r w:rsidR="00F459A6">
        <w:t xml:space="preserve"> here</w:t>
      </w:r>
      <w:r>
        <w:t>.</w:t>
      </w:r>
    </w:p>
    <w:p w:rsidR="00923872" w:rsidRDefault="003F2B06">
      <w:pPr>
        <w:pStyle w:val="3Bodytext"/>
        <w:rPr>
          <w:rStyle w:val="TabletitlesChar"/>
          <w:rFonts w:asciiTheme="minorHAnsi" w:hAnsiTheme="minorHAnsi"/>
          <w:b w:val="0"/>
          <w:sz w:val="24"/>
        </w:rPr>
      </w:pPr>
      <w:r>
        <w:t>Trials presented in the submission are summarised in Table 2.</w:t>
      </w:r>
    </w:p>
    <w:p w:rsidR="00FB1CE3" w:rsidRDefault="00FB1CE3" w:rsidP="00FB1CE3">
      <w:pPr>
        <w:pStyle w:val="PbacTableHeading"/>
      </w:pPr>
      <w:r>
        <w:t xml:space="preserve">Table </w:t>
      </w:r>
      <w:r w:rsidR="007D721E">
        <w:fldChar w:fldCharType="begin"/>
      </w:r>
      <w:r w:rsidR="007D721E">
        <w:instrText xml:space="preserve"> SEQ Table \* ARABIC</w:instrText>
      </w:r>
      <w:r w:rsidR="007D721E">
        <w:instrText xml:space="preserve"> </w:instrText>
      </w:r>
      <w:r w:rsidR="007D721E">
        <w:fldChar w:fldCharType="separate"/>
      </w:r>
      <w:r w:rsidR="00341037">
        <w:rPr>
          <w:noProof/>
        </w:rPr>
        <w:t>2</w:t>
      </w:r>
      <w:r w:rsidR="007D721E">
        <w:rPr>
          <w:noProof/>
        </w:rPr>
        <w:fldChar w:fldCharType="end"/>
      </w:r>
      <w:r w:rsidRPr="00FF622C">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2: Trials and associated reports presented in the submission"/>
      </w:tblPr>
      <w:tblGrid>
        <w:gridCol w:w="1403"/>
        <w:gridCol w:w="4937"/>
        <w:gridCol w:w="2676"/>
      </w:tblGrid>
      <w:tr w:rsidR="00923872" w:rsidTr="00FB1CE3">
        <w:trPr>
          <w:cantSplit/>
          <w:trHeight w:val="539"/>
          <w:tblHeader/>
        </w:trPr>
        <w:tc>
          <w:tcPr>
            <w:tcW w:w="778" w:type="pct"/>
          </w:tcPr>
          <w:p w:rsidR="00923872" w:rsidRDefault="003F2B06">
            <w:pPr>
              <w:pStyle w:val="NoSpacing"/>
              <w:spacing w:before="40" w:after="40"/>
              <w:jc w:val="left"/>
              <w:rPr>
                <w:rFonts w:ascii="Arial Narrow" w:hAnsi="Arial Narrow"/>
                <w:b/>
                <w:sz w:val="20"/>
              </w:rPr>
            </w:pPr>
            <w:r>
              <w:rPr>
                <w:rFonts w:ascii="Arial Narrow" w:hAnsi="Arial Narrow"/>
                <w:b/>
                <w:sz w:val="20"/>
              </w:rPr>
              <w:t>Trial ID/First Author</w:t>
            </w:r>
          </w:p>
        </w:tc>
        <w:tc>
          <w:tcPr>
            <w:tcW w:w="2738" w:type="pct"/>
          </w:tcPr>
          <w:p w:rsidR="00923872" w:rsidRDefault="003F2B06">
            <w:pPr>
              <w:keepNext/>
              <w:spacing w:before="40" w:after="40"/>
              <w:rPr>
                <w:rFonts w:ascii="Arial Narrow" w:hAnsi="Arial Narrow"/>
                <w:b/>
                <w:sz w:val="20"/>
              </w:rPr>
            </w:pPr>
            <w:r>
              <w:rPr>
                <w:rFonts w:ascii="Arial Narrow" w:hAnsi="Arial Narrow"/>
                <w:b/>
                <w:sz w:val="20"/>
              </w:rPr>
              <w:t>Protocol title/ Publication title</w:t>
            </w:r>
          </w:p>
        </w:tc>
        <w:tc>
          <w:tcPr>
            <w:tcW w:w="1484" w:type="pct"/>
          </w:tcPr>
          <w:p w:rsidR="00923872" w:rsidRDefault="003F2B06">
            <w:pPr>
              <w:keepNext/>
              <w:spacing w:before="40" w:after="40"/>
              <w:rPr>
                <w:rFonts w:ascii="Arial Narrow" w:hAnsi="Arial Narrow"/>
                <w:b/>
                <w:sz w:val="20"/>
              </w:rPr>
            </w:pPr>
            <w:r>
              <w:rPr>
                <w:rFonts w:ascii="Arial Narrow" w:hAnsi="Arial Narrow"/>
                <w:b/>
                <w:sz w:val="20"/>
              </w:rPr>
              <w:t>Publication citation</w:t>
            </w:r>
          </w:p>
        </w:tc>
      </w:tr>
      <w:tr w:rsidR="00923872">
        <w:trPr>
          <w:cantSplit/>
          <w:trHeight w:val="317"/>
        </w:trPr>
        <w:tc>
          <w:tcPr>
            <w:tcW w:w="5000" w:type="pct"/>
            <w:gridSpan w:val="3"/>
          </w:tcPr>
          <w:p w:rsidR="00923872" w:rsidRDefault="003F2B06">
            <w:pPr>
              <w:pStyle w:val="NoSpacing"/>
              <w:spacing w:before="40" w:after="40"/>
              <w:rPr>
                <w:rFonts w:ascii="Arial Narrow" w:hAnsi="Arial Narrow"/>
                <w:b/>
                <w:sz w:val="20"/>
              </w:rPr>
            </w:pPr>
            <w:r>
              <w:rPr>
                <w:rFonts w:ascii="Arial Narrow" w:hAnsi="Arial Narrow"/>
                <w:b/>
                <w:sz w:val="20"/>
              </w:rPr>
              <w:t>Direct randomised trial(s)</w:t>
            </w:r>
          </w:p>
        </w:tc>
      </w:tr>
      <w:tr w:rsidR="00923872" w:rsidTr="00FB1CE3">
        <w:trPr>
          <w:cantSplit/>
          <w:trHeight w:val="317"/>
        </w:trPr>
        <w:tc>
          <w:tcPr>
            <w:tcW w:w="778" w:type="pct"/>
          </w:tcPr>
          <w:p w:rsidR="00923872" w:rsidRDefault="003F2B06">
            <w:pPr>
              <w:pStyle w:val="TableText0"/>
            </w:pPr>
            <w:r>
              <w:t>Study 2311</w:t>
            </w:r>
          </w:p>
        </w:tc>
        <w:tc>
          <w:tcPr>
            <w:tcW w:w="2738" w:type="pct"/>
          </w:tcPr>
          <w:p w:rsidR="00923872" w:rsidRDefault="003F2B06">
            <w:pPr>
              <w:keepNext/>
              <w:rPr>
                <w:rFonts w:ascii="Arial Narrow" w:hAnsi="Arial Narrow"/>
                <w:sz w:val="20"/>
              </w:rPr>
            </w:pPr>
            <w:r>
              <w:rPr>
                <w:rFonts w:ascii="Arial Narrow" w:hAnsi="Arial Narrow"/>
                <w:sz w:val="20"/>
              </w:rPr>
              <w:t xml:space="preserve">A two-year, double-blind, randomized, multicentre, active controlled Core Phase study to evaluate the safety and efficacy of fingolimod administered orally once daily versus interferon β-1a IM once weekly in paediatric patients with multiple sclerosis with five-year fingolimod Extension Phase. </w:t>
            </w:r>
          </w:p>
          <w:p w:rsidR="00923872" w:rsidRDefault="00923872">
            <w:pPr>
              <w:keepNext/>
              <w:rPr>
                <w:rFonts w:ascii="Arial Narrow" w:hAnsi="Arial Narrow"/>
                <w:sz w:val="20"/>
              </w:rPr>
            </w:pPr>
          </w:p>
          <w:p w:rsidR="00923872" w:rsidRDefault="00923872">
            <w:pPr>
              <w:keepNext/>
              <w:rPr>
                <w:rFonts w:ascii="Arial Narrow" w:hAnsi="Arial Narrow"/>
                <w:sz w:val="20"/>
              </w:rPr>
            </w:pPr>
          </w:p>
        </w:tc>
        <w:tc>
          <w:tcPr>
            <w:tcW w:w="1484" w:type="pct"/>
          </w:tcPr>
          <w:p w:rsidR="00923872" w:rsidRDefault="003F2B06">
            <w:pPr>
              <w:keepNext/>
              <w:rPr>
                <w:rFonts w:ascii="Arial Narrow" w:hAnsi="Arial Narrow"/>
                <w:sz w:val="20"/>
              </w:rPr>
            </w:pPr>
            <w:r>
              <w:rPr>
                <w:rFonts w:ascii="Arial Narrow" w:hAnsi="Arial Narrow"/>
                <w:sz w:val="20"/>
              </w:rPr>
              <w:t>Chitnis T, Arnold DL, Banwell B, Brück W, Ghezzi A, Giovannoni G, et al. Trial of Fingolimod versus Interferon Beta-1a in Pediatric Multiple Sclerosis. NEJM 2018; 379(11): 1017-27</w:t>
            </w:r>
          </w:p>
        </w:tc>
      </w:tr>
      <w:tr w:rsidR="00923872" w:rsidTr="00FB1CE3">
        <w:trPr>
          <w:cantSplit/>
          <w:trHeight w:val="317"/>
        </w:trPr>
        <w:tc>
          <w:tcPr>
            <w:tcW w:w="778" w:type="pct"/>
          </w:tcPr>
          <w:p w:rsidR="00923872" w:rsidRDefault="003F2B06">
            <w:pPr>
              <w:pStyle w:val="NoSpacing"/>
              <w:rPr>
                <w:rFonts w:ascii="Arial Narrow" w:hAnsi="Arial Narrow"/>
                <w:sz w:val="20"/>
              </w:rPr>
            </w:pPr>
            <w:r>
              <w:rPr>
                <w:rFonts w:ascii="Arial Narrow" w:hAnsi="Arial Narrow"/>
                <w:sz w:val="20"/>
              </w:rPr>
              <w:t>Study 2117</w:t>
            </w:r>
          </w:p>
        </w:tc>
        <w:tc>
          <w:tcPr>
            <w:tcW w:w="2738" w:type="pct"/>
          </w:tcPr>
          <w:p w:rsidR="00923872" w:rsidRDefault="003F2B06">
            <w:pPr>
              <w:keepNext/>
              <w:rPr>
                <w:rFonts w:ascii="Arial Narrow" w:hAnsi="Arial Narrow"/>
                <w:sz w:val="20"/>
              </w:rPr>
            </w:pPr>
            <w:r>
              <w:rPr>
                <w:rFonts w:ascii="Arial Narrow" w:hAnsi="Arial Narrow"/>
                <w:sz w:val="20"/>
              </w:rPr>
              <w:t xml:space="preserve">An open label, single dose, crossover study to evaluate the relative bioavailability of a new fingolimod formulation (2x0.25 mg) in comparison to the Final Market Image (FMI, 0.5 mg) in healthy volunteers. </w:t>
            </w:r>
          </w:p>
        </w:tc>
        <w:tc>
          <w:tcPr>
            <w:tcW w:w="1484" w:type="pct"/>
          </w:tcPr>
          <w:p w:rsidR="00923872" w:rsidRDefault="003F2B06">
            <w:pPr>
              <w:keepNext/>
              <w:rPr>
                <w:rFonts w:ascii="Arial Narrow" w:hAnsi="Arial Narrow"/>
                <w:sz w:val="20"/>
              </w:rPr>
            </w:pPr>
            <w:r>
              <w:rPr>
                <w:rFonts w:ascii="Arial Narrow" w:hAnsi="Arial Narrow"/>
                <w:sz w:val="20"/>
              </w:rPr>
              <w:t>Bhad P, David O, Bende G, Pal P, Schmouder R, Golla G. Clinical Study Report Date 22 Nov 2012.</w:t>
            </w:r>
          </w:p>
        </w:tc>
      </w:tr>
    </w:tbl>
    <w:p w:rsidR="00923872" w:rsidRDefault="003F2B06">
      <w:pPr>
        <w:pStyle w:val="tablenotes"/>
        <w:spacing w:after="120"/>
        <w:rPr>
          <w:rFonts w:ascii="Arial Narrow" w:hAnsi="Arial Narrow"/>
          <w:sz w:val="18"/>
          <w:szCs w:val="18"/>
        </w:rPr>
      </w:pPr>
      <w:r>
        <w:rPr>
          <w:rFonts w:ascii="Arial Narrow" w:hAnsi="Arial Narrow"/>
          <w:sz w:val="18"/>
          <w:szCs w:val="18"/>
        </w:rPr>
        <w:t>Source: p48 of the submission</w:t>
      </w:r>
    </w:p>
    <w:p w:rsidR="00923872" w:rsidRDefault="003F2B06">
      <w:pPr>
        <w:ind w:firstLine="720"/>
        <w:rPr>
          <w:rFonts w:asciiTheme="minorHAnsi" w:hAnsiTheme="minorHAnsi"/>
          <w:i/>
        </w:rPr>
      </w:pPr>
      <w:r>
        <w:rPr>
          <w:rFonts w:asciiTheme="minorHAnsi" w:hAnsiTheme="minorHAnsi"/>
          <w:i/>
        </w:rPr>
        <w:t>For more detail on PBAC’s view, see section 6 PBAC outcome.</w:t>
      </w:r>
    </w:p>
    <w:p w:rsidR="00923872" w:rsidRDefault="003F2B06">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Comparative effectiveness</w:t>
      </w:r>
    </w:p>
    <w:p w:rsidR="00923872" w:rsidRDefault="003F2B06">
      <w:pPr>
        <w:pStyle w:val="3Bodytext"/>
        <w:rPr>
          <w:rFonts w:ascii="Arial Narrow" w:hAnsi="Arial Narrow"/>
          <w:b/>
          <w:sz w:val="20"/>
          <w:szCs w:val="20"/>
        </w:rPr>
      </w:pPr>
      <w:r>
        <w:t>As fingolimod 250 mcg was likely to replace fingolimod 500 mcg, t</w:t>
      </w:r>
      <w:r>
        <w:rPr>
          <w:szCs w:val="24"/>
        </w:rPr>
        <w:t xml:space="preserve">he comparison between fingolimod and IFN </w:t>
      </w:r>
      <w:r>
        <w:t>β-1a</w:t>
      </w:r>
      <w:r>
        <w:rPr>
          <w:szCs w:val="24"/>
        </w:rPr>
        <w:t xml:space="preserve"> was considered less relevant to the submission and results of this comparison were not presented</w:t>
      </w:r>
      <w:r w:rsidR="00E244EB">
        <w:rPr>
          <w:szCs w:val="24"/>
        </w:rPr>
        <w:t xml:space="preserve"> here</w:t>
      </w:r>
      <w:r>
        <w:rPr>
          <w:szCs w:val="24"/>
        </w:rPr>
        <w:t xml:space="preserve">. The pre-PBAC response (p1) maintained that the comparison to IFN </w:t>
      </w:r>
      <w:r>
        <w:t xml:space="preserve">β-1a was also relevant as there were no randomised-controlled trials of MS medications in patients aged less than 18 years prior to study 2311. </w:t>
      </w:r>
    </w:p>
    <w:p w:rsidR="00923872" w:rsidRDefault="003F2B06">
      <w:pPr>
        <w:pStyle w:val="3Bodytext"/>
        <w:rPr>
          <w:rStyle w:val="TabletitlesChar"/>
          <w:rFonts w:asciiTheme="minorHAnsi" w:hAnsiTheme="minorHAnsi"/>
          <w:b w:val="0"/>
          <w:sz w:val="24"/>
        </w:rPr>
      </w:pPr>
      <w:r>
        <w:lastRenderedPageBreak/>
        <w:t>The submission presented results of the annualised relapse rate (ARR) from Study 2311 for fingolimod by weight-based subgroups (</w:t>
      </w:r>
      <w:r>
        <w:rPr>
          <w:rFonts w:cstheme="minorHAnsi"/>
        </w:rPr>
        <w:t>≤</w:t>
      </w:r>
      <w:r>
        <w:t xml:space="preserve"> 40 kg and &gt; 40 kg). </w:t>
      </w:r>
    </w:p>
    <w:p w:rsidR="00FB1CE3" w:rsidRDefault="00FB1CE3" w:rsidP="00FB1CE3">
      <w:pPr>
        <w:pStyle w:val="PbacTableHeading"/>
      </w:pPr>
      <w:r>
        <w:t xml:space="preserve">Table </w:t>
      </w:r>
      <w:r w:rsidR="007D721E">
        <w:fldChar w:fldCharType="begin"/>
      </w:r>
      <w:r w:rsidR="007D721E">
        <w:instrText xml:space="preserve"> SEQ Table \* ARABIC </w:instrText>
      </w:r>
      <w:r w:rsidR="007D721E">
        <w:fldChar w:fldCharType="separate"/>
      </w:r>
      <w:r w:rsidR="00341037">
        <w:rPr>
          <w:noProof/>
        </w:rPr>
        <w:t>3</w:t>
      </w:r>
      <w:r w:rsidR="007D721E">
        <w:rPr>
          <w:noProof/>
        </w:rPr>
        <w:fldChar w:fldCharType="end"/>
      </w:r>
      <w:r w:rsidRPr="00B3126B">
        <w:t>: Summary of Study 2311 ARR results for fingolimod treatment in paediatric patients weighing ≤40 kg (250 mcg dose) and &gt;40 kg (500 mcg dose)</w:t>
      </w:r>
    </w:p>
    <w:tbl>
      <w:tblPr>
        <w:tblStyle w:val="TableGrid"/>
        <w:tblW w:w="9072" w:type="dxa"/>
        <w:tblLook w:val="04A0" w:firstRow="1" w:lastRow="0" w:firstColumn="1" w:lastColumn="0" w:noHBand="0" w:noVBand="1"/>
        <w:tblCaption w:val="Table 3: Summary of Study 2311 ARR results for fingolimod treatment in paediatric patients weighing ≤40 kg (250 mcg dose) and &gt;40 kg (500 mcg dose) "/>
      </w:tblPr>
      <w:tblGrid>
        <w:gridCol w:w="4248"/>
        <w:gridCol w:w="2412"/>
        <w:gridCol w:w="2412"/>
      </w:tblGrid>
      <w:tr w:rsidR="00923872" w:rsidTr="00B810EB">
        <w:trPr>
          <w:tblHeader/>
        </w:trPr>
        <w:tc>
          <w:tcPr>
            <w:tcW w:w="4248" w:type="dxa"/>
            <w:shd w:val="clear" w:color="auto" w:fill="auto"/>
          </w:tcPr>
          <w:p w:rsidR="00923872" w:rsidRDefault="003F2B06">
            <w:pPr>
              <w:pStyle w:val="PBACTableText"/>
              <w:rPr>
                <w:b/>
              </w:rPr>
            </w:pPr>
            <w:r>
              <w:rPr>
                <w:b/>
              </w:rPr>
              <w:t>Result parameter</w:t>
            </w:r>
          </w:p>
        </w:tc>
        <w:tc>
          <w:tcPr>
            <w:tcW w:w="4824" w:type="dxa"/>
            <w:gridSpan w:val="2"/>
            <w:shd w:val="clear" w:color="auto" w:fill="auto"/>
          </w:tcPr>
          <w:p w:rsidR="00923872" w:rsidRDefault="003F2B06">
            <w:pPr>
              <w:pStyle w:val="PBACTableText"/>
              <w:jc w:val="center"/>
              <w:rPr>
                <w:b/>
              </w:rPr>
            </w:pPr>
            <w:r>
              <w:rPr>
                <w:b/>
              </w:rPr>
              <w:t>Results by weight group</w:t>
            </w:r>
          </w:p>
        </w:tc>
      </w:tr>
      <w:tr w:rsidR="00923872">
        <w:tc>
          <w:tcPr>
            <w:tcW w:w="4248" w:type="dxa"/>
            <w:shd w:val="clear" w:color="auto" w:fill="auto"/>
          </w:tcPr>
          <w:p w:rsidR="00923872" w:rsidRDefault="00923872">
            <w:pPr>
              <w:pStyle w:val="PBACTableText"/>
              <w:rPr>
                <w:b/>
              </w:rPr>
            </w:pPr>
          </w:p>
        </w:tc>
        <w:tc>
          <w:tcPr>
            <w:tcW w:w="2412" w:type="dxa"/>
            <w:shd w:val="clear" w:color="auto" w:fill="auto"/>
          </w:tcPr>
          <w:p w:rsidR="00923872" w:rsidRDefault="003F2B06">
            <w:pPr>
              <w:pStyle w:val="PBACTableText"/>
              <w:jc w:val="left"/>
              <w:rPr>
                <w:b/>
              </w:rPr>
            </w:pPr>
            <w:r>
              <w:rPr>
                <w:b/>
              </w:rPr>
              <w:t>≤ 40 kg (n=9)</w:t>
            </w:r>
          </w:p>
        </w:tc>
        <w:tc>
          <w:tcPr>
            <w:tcW w:w="2412" w:type="dxa"/>
            <w:shd w:val="clear" w:color="auto" w:fill="auto"/>
          </w:tcPr>
          <w:p w:rsidR="00923872" w:rsidRDefault="003F2B06">
            <w:pPr>
              <w:pStyle w:val="PBACTableText"/>
              <w:jc w:val="left"/>
              <w:rPr>
                <w:b/>
              </w:rPr>
            </w:pPr>
            <w:r>
              <w:rPr>
                <w:b/>
              </w:rPr>
              <w:t>&gt; 40 kg (n=98)</w:t>
            </w:r>
          </w:p>
        </w:tc>
      </w:tr>
      <w:tr w:rsidR="00923872">
        <w:tc>
          <w:tcPr>
            <w:tcW w:w="9072" w:type="dxa"/>
            <w:gridSpan w:val="3"/>
            <w:shd w:val="clear" w:color="auto" w:fill="auto"/>
          </w:tcPr>
          <w:p w:rsidR="00923872" w:rsidRDefault="003F2B06">
            <w:pPr>
              <w:pStyle w:val="PBACTableText"/>
              <w:jc w:val="left"/>
              <w:rPr>
                <w:b/>
              </w:rPr>
            </w:pPr>
            <w:r>
              <w:rPr>
                <w:b/>
              </w:rPr>
              <w:t>ARR time-based</w:t>
            </w:r>
          </w:p>
        </w:tc>
      </w:tr>
      <w:tr w:rsidR="00923872">
        <w:tc>
          <w:tcPr>
            <w:tcW w:w="4248" w:type="dxa"/>
            <w:shd w:val="clear" w:color="auto" w:fill="auto"/>
          </w:tcPr>
          <w:p w:rsidR="00923872" w:rsidRDefault="003F2B06">
            <w:pPr>
              <w:pStyle w:val="PBACTableText"/>
              <w:ind w:left="601"/>
            </w:pPr>
            <w:r>
              <w:t>Number of relapses</w:t>
            </w:r>
          </w:p>
          <w:p w:rsidR="00923872" w:rsidRDefault="003F2B06">
            <w:pPr>
              <w:pStyle w:val="PBACTableText"/>
              <w:ind w:left="601"/>
            </w:pPr>
            <w:r>
              <w:t>Time in study (days)</w:t>
            </w:r>
          </w:p>
          <w:p w:rsidR="00923872" w:rsidRDefault="003F2B06">
            <w:pPr>
              <w:pStyle w:val="PBACTableText"/>
              <w:ind w:left="601"/>
            </w:pPr>
            <w:r>
              <w:t>Raw ARR (time-based)</w:t>
            </w:r>
          </w:p>
        </w:tc>
        <w:tc>
          <w:tcPr>
            <w:tcW w:w="2412" w:type="dxa"/>
            <w:shd w:val="clear" w:color="auto" w:fill="auto"/>
          </w:tcPr>
          <w:p w:rsidR="00923872" w:rsidRDefault="003F2B06">
            <w:pPr>
              <w:pStyle w:val="PBACTableText"/>
              <w:jc w:val="left"/>
            </w:pPr>
            <w:r>
              <w:t>3</w:t>
            </w:r>
          </w:p>
          <w:p w:rsidR="00923872" w:rsidRDefault="003F2B06">
            <w:pPr>
              <w:pStyle w:val="PBACTableText"/>
              <w:jc w:val="left"/>
            </w:pPr>
            <w:r>
              <w:t>4680</w:t>
            </w:r>
          </w:p>
          <w:p w:rsidR="00923872" w:rsidRDefault="003F2B06">
            <w:pPr>
              <w:pStyle w:val="PBACTableText"/>
              <w:jc w:val="left"/>
            </w:pPr>
            <w:r>
              <w:t>0.234</w:t>
            </w:r>
          </w:p>
        </w:tc>
        <w:tc>
          <w:tcPr>
            <w:tcW w:w="2412" w:type="dxa"/>
            <w:shd w:val="clear" w:color="auto" w:fill="auto"/>
          </w:tcPr>
          <w:p w:rsidR="00923872" w:rsidRDefault="003F2B06">
            <w:pPr>
              <w:pStyle w:val="PBACTableText"/>
              <w:jc w:val="left"/>
            </w:pPr>
            <w:r>
              <w:t>22</w:t>
            </w:r>
          </w:p>
          <w:p w:rsidR="00923872" w:rsidRDefault="003F2B06">
            <w:pPr>
              <w:pStyle w:val="PBACTableText"/>
              <w:jc w:val="left"/>
            </w:pPr>
            <w:r>
              <w:t>60895</w:t>
            </w:r>
          </w:p>
          <w:p w:rsidR="00923872" w:rsidRDefault="003F2B06">
            <w:pPr>
              <w:pStyle w:val="PBACTableText"/>
              <w:jc w:val="left"/>
            </w:pPr>
            <w:r>
              <w:t>0.132</w:t>
            </w:r>
          </w:p>
        </w:tc>
      </w:tr>
      <w:tr w:rsidR="00923872">
        <w:tc>
          <w:tcPr>
            <w:tcW w:w="9072" w:type="dxa"/>
            <w:gridSpan w:val="3"/>
            <w:shd w:val="clear" w:color="auto" w:fill="auto"/>
          </w:tcPr>
          <w:p w:rsidR="00923872" w:rsidRDefault="003F2B06">
            <w:pPr>
              <w:pStyle w:val="PBACTableText"/>
              <w:jc w:val="left"/>
            </w:pPr>
            <w:r>
              <w:rPr>
                <w:b/>
              </w:rPr>
              <w:t>ARR subject-based</w:t>
            </w:r>
          </w:p>
        </w:tc>
      </w:tr>
      <w:tr w:rsidR="00923872">
        <w:tc>
          <w:tcPr>
            <w:tcW w:w="4248" w:type="dxa"/>
            <w:shd w:val="clear" w:color="auto" w:fill="auto"/>
          </w:tcPr>
          <w:p w:rsidR="00923872" w:rsidRDefault="003F2B06">
            <w:pPr>
              <w:pStyle w:val="PBACTableText"/>
              <w:ind w:left="601"/>
            </w:pPr>
            <w:r>
              <w:t>Mean (SD)</w:t>
            </w:r>
          </w:p>
          <w:p w:rsidR="00923872" w:rsidRDefault="003F2B06">
            <w:pPr>
              <w:pStyle w:val="PBACTableText"/>
              <w:ind w:left="601"/>
            </w:pPr>
            <w:r>
              <w:t>Median</w:t>
            </w:r>
          </w:p>
          <w:p w:rsidR="00923872" w:rsidRDefault="003F2B06">
            <w:pPr>
              <w:pStyle w:val="PBACTableText"/>
              <w:ind w:left="601"/>
            </w:pPr>
            <w:r>
              <w:t>Range</w:t>
            </w:r>
          </w:p>
        </w:tc>
        <w:tc>
          <w:tcPr>
            <w:tcW w:w="2412" w:type="dxa"/>
            <w:shd w:val="clear" w:color="auto" w:fill="auto"/>
          </w:tcPr>
          <w:p w:rsidR="00923872" w:rsidRDefault="003F2B06">
            <w:pPr>
              <w:pStyle w:val="PBACTableText"/>
              <w:jc w:val="left"/>
            </w:pPr>
            <w:r>
              <w:t>0.197 (0.40)</w:t>
            </w:r>
          </w:p>
          <w:p w:rsidR="00923872" w:rsidRDefault="003F2B06">
            <w:pPr>
              <w:pStyle w:val="PBACTableText"/>
              <w:jc w:val="left"/>
            </w:pPr>
            <w:r>
              <w:t>0</w:t>
            </w:r>
          </w:p>
          <w:p w:rsidR="00923872" w:rsidRDefault="003F2B06">
            <w:pPr>
              <w:pStyle w:val="PBACTableText"/>
              <w:jc w:val="left"/>
            </w:pPr>
            <w:r>
              <w:t>0 to 1.01</w:t>
            </w:r>
          </w:p>
        </w:tc>
        <w:tc>
          <w:tcPr>
            <w:tcW w:w="2412" w:type="dxa"/>
            <w:shd w:val="clear" w:color="auto" w:fill="auto"/>
          </w:tcPr>
          <w:p w:rsidR="00923872" w:rsidRDefault="003F2B06">
            <w:pPr>
              <w:pStyle w:val="PBACTableText"/>
              <w:jc w:val="left"/>
            </w:pPr>
            <w:r>
              <w:t>0.141 (0.43)</w:t>
            </w:r>
          </w:p>
          <w:p w:rsidR="00923872" w:rsidRDefault="003F2B06">
            <w:pPr>
              <w:pStyle w:val="PBACTableText"/>
              <w:jc w:val="left"/>
            </w:pPr>
            <w:r>
              <w:t>0</w:t>
            </w:r>
          </w:p>
          <w:p w:rsidR="00923872" w:rsidRDefault="003F2B06">
            <w:pPr>
              <w:pStyle w:val="PBACTableText"/>
              <w:jc w:val="left"/>
            </w:pPr>
            <w:r>
              <w:t>0 to 2.34</w:t>
            </w:r>
          </w:p>
        </w:tc>
      </w:tr>
    </w:tbl>
    <w:p w:rsidR="00923872" w:rsidRDefault="003F2B06">
      <w:pPr>
        <w:pStyle w:val="PBACcaption"/>
        <w:spacing w:line="240" w:lineRule="auto"/>
        <w:rPr>
          <w:rFonts w:ascii="Arial Narrow" w:hAnsi="Arial Narrow" w:cstheme="minorHAnsi"/>
          <w:b w:val="0"/>
          <w:sz w:val="18"/>
          <w:szCs w:val="18"/>
        </w:rPr>
      </w:pPr>
      <w:r>
        <w:rPr>
          <w:rFonts w:ascii="Arial Narrow" w:hAnsi="Arial Narrow" w:cstheme="minorHAnsi"/>
          <w:b w:val="0"/>
          <w:sz w:val="18"/>
          <w:szCs w:val="18"/>
        </w:rPr>
        <w:t>ARR (time-based) is calculated by taking the total number of relapses observed for all subjects within a treatment group, divided by the total number of days in study of all subjects within the treatment group and multiplied by 365.25 days.</w:t>
      </w:r>
    </w:p>
    <w:p w:rsidR="00923872" w:rsidRDefault="003F2B06">
      <w:pPr>
        <w:pStyle w:val="PBACcaption"/>
        <w:spacing w:line="240" w:lineRule="auto"/>
        <w:rPr>
          <w:rFonts w:ascii="Arial Narrow" w:hAnsi="Arial Narrow" w:cstheme="minorHAnsi"/>
          <w:sz w:val="18"/>
          <w:szCs w:val="18"/>
        </w:rPr>
      </w:pPr>
      <w:r>
        <w:rPr>
          <w:rFonts w:ascii="Arial Narrow" w:hAnsi="Arial Narrow" w:cstheme="minorHAnsi"/>
          <w:b w:val="0"/>
          <w:sz w:val="18"/>
          <w:szCs w:val="18"/>
        </w:rPr>
        <w:t>ARR (subject-based) is the individual subject ARR which is calculated by taking the total number of relapses observed for a subject divided by the total number of days in study of that subject and multiplied by 365.25.</w:t>
      </w:r>
    </w:p>
    <w:p w:rsidR="00923872" w:rsidRDefault="003F2B06">
      <w:pPr>
        <w:pStyle w:val="PBACcaption"/>
        <w:spacing w:line="240" w:lineRule="auto"/>
        <w:rPr>
          <w:rFonts w:ascii="Arial Narrow" w:hAnsi="Arial Narrow" w:cstheme="minorHAnsi"/>
          <w:sz w:val="18"/>
          <w:szCs w:val="18"/>
        </w:rPr>
      </w:pPr>
      <w:r>
        <w:rPr>
          <w:rFonts w:ascii="Arial Narrow" w:hAnsi="Arial Narrow" w:cstheme="minorHAnsi"/>
          <w:b w:val="0"/>
          <w:sz w:val="18"/>
          <w:szCs w:val="18"/>
        </w:rPr>
        <w:t>Source: Compiled from table 2.24, p67 of the submission.</w:t>
      </w:r>
    </w:p>
    <w:p w:rsidR="00923872" w:rsidRDefault="00923872">
      <w:pPr>
        <w:pStyle w:val="PBACcaption"/>
        <w:spacing w:line="240" w:lineRule="auto"/>
        <w:rPr>
          <w:rFonts w:ascii="Arial Narrow" w:hAnsi="Arial Narrow" w:cstheme="minorHAnsi"/>
          <w:sz w:val="18"/>
          <w:szCs w:val="18"/>
        </w:rPr>
      </w:pPr>
    </w:p>
    <w:p w:rsidR="00923872" w:rsidRDefault="003F2B06">
      <w:pPr>
        <w:pStyle w:val="3Bodytext"/>
      </w:pPr>
      <w:r>
        <w:t>While the ARR for patients weighing ≤ 40 kg treated with fingolimod 250 mcg was similar to the ARR for patients weighing &gt; 40 kg treated with fingolimod 500 mcg, the numbers of patients receiving fingolimod 250 mcg in study 2311 were very low (n=9).</w:t>
      </w:r>
    </w:p>
    <w:p w:rsidR="00923872" w:rsidRDefault="003F2B06">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Comparative harms</w:t>
      </w:r>
    </w:p>
    <w:p w:rsidR="00923872" w:rsidRDefault="003F2B06">
      <w:pPr>
        <w:pStyle w:val="3Bodytext"/>
      </w:pPr>
      <w:r>
        <w:rPr>
          <w:rFonts w:eastAsia="Arial,Bold" w:cs="Arial,Bold"/>
          <w:bCs/>
          <w:szCs w:val="19"/>
        </w:rPr>
        <w:t xml:space="preserve">The submission stated that separate safety data was not reported for the patients weighing ≤ 40kg and commencing treatment with fingolimod 250 mcg, thus an assessment of the safety of fingolimod 250 mcg compared with fingolimod 500 mcg was difficult. However, the submission noted that the clinical study report did not identify any concerns with the safety of fingolimod in young patients. </w:t>
      </w:r>
    </w:p>
    <w:p w:rsidR="00923872" w:rsidRDefault="003F2B06">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Clinical claim</w:t>
      </w:r>
    </w:p>
    <w:p w:rsidR="00923872" w:rsidRDefault="003F2B06">
      <w:pPr>
        <w:pStyle w:val="3Bodytext"/>
        <w:rPr>
          <w:szCs w:val="24"/>
        </w:rPr>
      </w:pPr>
      <w:r>
        <w:rPr>
          <w:szCs w:val="24"/>
        </w:rPr>
        <w:t>The submission claimed that fingolimod 250 mcg in paediatric patients weighing 40 kg or less was non-inferior in comparative effectiveness and non-inferior in comparative safety to fingolimod 500 mcg in adults and children weighing over 40 kg.</w:t>
      </w:r>
    </w:p>
    <w:p w:rsidR="00923872" w:rsidRDefault="003F2B06">
      <w:pPr>
        <w:pStyle w:val="3Bodytext"/>
      </w:pPr>
      <w:r>
        <w:t>The PBAC considered that the claim of non-inferior comparative effectiveness was reasonable.</w:t>
      </w:r>
    </w:p>
    <w:p w:rsidR="00923872" w:rsidRDefault="003F2B06">
      <w:pPr>
        <w:pStyle w:val="3Bodytext"/>
      </w:pPr>
      <w:r>
        <w:t>The PBAC considered that the claim of non-inferior comparative safety was reasonable.</w:t>
      </w:r>
    </w:p>
    <w:p w:rsidR="00923872" w:rsidRDefault="003F2B06">
      <w:pPr>
        <w:pStyle w:val="3Bodytext"/>
        <w:numPr>
          <w:ilvl w:val="0"/>
          <w:numId w:val="0"/>
        </w:numPr>
        <w:ind w:firstLine="720"/>
        <w:rPr>
          <w:i/>
          <w:szCs w:val="24"/>
        </w:rPr>
      </w:pPr>
      <w:r>
        <w:rPr>
          <w:i/>
          <w:szCs w:val="24"/>
        </w:rPr>
        <w:t>For more detail on PBAC’s view, see section 6 PBAC outcome.</w:t>
      </w:r>
    </w:p>
    <w:p w:rsidR="00923872" w:rsidRDefault="003F2B06">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lastRenderedPageBreak/>
        <w:t>Economic analysis</w:t>
      </w:r>
    </w:p>
    <w:p w:rsidR="00923872" w:rsidRDefault="003F2B06">
      <w:pPr>
        <w:pStyle w:val="3Bodytext"/>
        <w:rPr>
          <w:rFonts w:cstheme="minorHAnsi"/>
          <w:szCs w:val="24"/>
        </w:rPr>
      </w:pPr>
      <w:r>
        <w:rPr>
          <w:rFonts w:eastAsia="Times New Roman" w:cstheme="minorHAnsi"/>
          <w:snapToGrid w:val="0"/>
          <w:szCs w:val="24"/>
        </w:rPr>
        <w:t xml:space="preserve">The submission proposed the same published and effective prices for fingolimod 250 mcg capsules as the current fingolimod 500 mcg capsules, </w:t>
      </w:r>
      <w:r>
        <w:rPr>
          <w:rFonts w:cstheme="minorHAnsi"/>
          <w:szCs w:val="24"/>
        </w:rPr>
        <w:t xml:space="preserve">based on equivalent efficacy, safety and systemic exposure of fingolimod 250 mcg in patients weighing ≤40kg with fingolimod 500 mcg in heavier patients.  </w:t>
      </w:r>
    </w:p>
    <w:p w:rsidR="00923872" w:rsidRDefault="003F2B06">
      <w:pPr>
        <w:pStyle w:val="3Bodytext"/>
        <w:numPr>
          <w:ilvl w:val="0"/>
          <w:numId w:val="0"/>
        </w:numPr>
        <w:ind w:firstLine="720"/>
        <w:rPr>
          <w:rFonts w:cstheme="minorHAnsi"/>
          <w:i/>
          <w:szCs w:val="24"/>
        </w:rPr>
      </w:pPr>
      <w:r>
        <w:rPr>
          <w:rFonts w:cstheme="minorHAnsi"/>
          <w:i/>
          <w:szCs w:val="24"/>
        </w:rPr>
        <w:t>For more detail on PBAC’s view, see section 6 PBAC outcome.</w:t>
      </w:r>
    </w:p>
    <w:p w:rsidR="00923872" w:rsidRDefault="003F2B06">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Estimated PBS usage &amp; financial implications</w:t>
      </w:r>
    </w:p>
    <w:p w:rsidR="00923872" w:rsidRDefault="003F2B06">
      <w:pPr>
        <w:pStyle w:val="3Bodytext"/>
      </w:pPr>
      <w:r>
        <w:t xml:space="preserve">A market share approach was used to estimate the eligible patient population. </w:t>
      </w:r>
    </w:p>
    <w:p w:rsidR="00923872" w:rsidRDefault="003F2B06" w:rsidP="00C65871">
      <w:pPr>
        <w:pStyle w:val="3Bodytext"/>
      </w:pPr>
      <w:r>
        <w:t xml:space="preserve">The submission stated that fingolimod 500 mcg would be replaced by fingolimod 250 mcg for all patients weighing ≤40kg, which would not have any financial impact if the two products are priced the same. Further, the submission estimated that a significant proportion of use of IFN β-1a in patients weighing ≤40kg would be replaced by fingolimod 250 mcg. </w:t>
      </w:r>
      <w:r w:rsidR="00C65871" w:rsidRPr="00C65871">
        <w:t xml:space="preserve">The proportion of the total scripts for patients ≤40kg that were estimated to be IFN β-1a was </w:t>
      </w:r>
      <w:r>
        <w:t xml:space="preserve">28% in Year 1, reducing to 12% in Year 6. Natalizumab use was not expected to change. </w:t>
      </w:r>
    </w:p>
    <w:p w:rsidR="00923872" w:rsidRDefault="003F2B06">
      <w:pPr>
        <w:pStyle w:val="3Bodytext"/>
      </w:pPr>
      <w:r>
        <w:t xml:space="preserve">The minor submission estimated a net cost to the PBS of </w:t>
      </w:r>
      <w:r w:rsidR="00EB2184">
        <w:t xml:space="preserve">less than $10 million </w:t>
      </w:r>
      <w:r>
        <w:t xml:space="preserve">in Year 6 of listing, with a total net cost to the PBS of </w:t>
      </w:r>
      <w:r w:rsidR="00EB2184">
        <w:t>less than $10 million</w:t>
      </w:r>
      <w:r>
        <w:t xml:space="preserve"> over the first 6 years of listing.</w:t>
      </w:r>
    </w:p>
    <w:p w:rsidR="00923872" w:rsidRDefault="003F2B06">
      <w:pPr>
        <w:pStyle w:val="3Bodytext"/>
      </w:pPr>
      <w:r>
        <w:t>Estimated use and financial implications are detailed in Table 4.</w:t>
      </w:r>
    </w:p>
    <w:p w:rsidR="00FB1CE3" w:rsidRDefault="00FB1CE3" w:rsidP="00FB1CE3">
      <w:pPr>
        <w:pStyle w:val="PbacTableHeading"/>
      </w:pPr>
      <w:r>
        <w:t xml:space="preserve">Table </w:t>
      </w:r>
      <w:r w:rsidR="007D721E">
        <w:fldChar w:fldCharType="begin"/>
      </w:r>
      <w:r w:rsidR="007D721E">
        <w:instrText xml:space="preserve"> SEQ Table \* ARABIC </w:instrText>
      </w:r>
      <w:r w:rsidR="007D721E">
        <w:fldChar w:fldCharType="separate"/>
      </w:r>
      <w:r w:rsidR="00341037">
        <w:rPr>
          <w:noProof/>
        </w:rPr>
        <w:t>4</w:t>
      </w:r>
      <w:r w:rsidR="007D721E">
        <w:rPr>
          <w:noProof/>
        </w:rPr>
        <w:fldChar w:fldCharType="end"/>
      </w:r>
      <w:r w:rsidRPr="00F60C8A">
        <w:t>: Estimated use and financial implications (effective price)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Estimated use and financial implications (effective price)"/>
      </w:tblPr>
      <w:tblGrid>
        <w:gridCol w:w="2403"/>
        <w:gridCol w:w="1101"/>
        <w:gridCol w:w="1102"/>
        <w:gridCol w:w="1102"/>
        <w:gridCol w:w="1102"/>
        <w:gridCol w:w="1102"/>
        <w:gridCol w:w="1104"/>
      </w:tblGrid>
      <w:tr w:rsidR="00923872" w:rsidTr="00FB1CE3">
        <w:trPr>
          <w:tblHeader/>
        </w:trPr>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923872" w:rsidRDefault="00923872">
            <w:pPr>
              <w:pStyle w:val="TableText0"/>
              <w:rPr>
                <w:szCs w:val="20"/>
                <w:lang w:eastAsia="en-US"/>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923872" w:rsidRDefault="003F2B06">
            <w:pPr>
              <w:pStyle w:val="TableText0"/>
              <w:rPr>
                <w:b/>
                <w:szCs w:val="20"/>
                <w:lang w:eastAsia="en-US"/>
              </w:rPr>
            </w:pPr>
            <w:r>
              <w:rPr>
                <w:b/>
                <w:szCs w:val="20"/>
                <w:lang w:eastAsia="en-US"/>
              </w:rPr>
              <w:t>Year 1</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923872" w:rsidRDefault="003F2B06">
            <w:pPr>
              <w:pStyle w:val="TableText0"/>
              <w:rPr>
                <w:b/>
                <w:szCs w:val="20"/>
                <w:lang w:eastAsia="en-US"/>
              </w:rPr>
            </w:pPr>
            <w:r>
              <w:rPr>
                <w:b/>
                <w:szCs w:val="20"/>
                <w:lang w:eastAsia="en-US"/>
              </w:rPr>
              <w:t>Year 2</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923872" w:rsidRDefault="003F2B06">
            <w:pPr>
              <w:pStyle w:val="TableText0"/>
              <w:rPr>
                <w:b/>
                <w:szCs w:val="20"/>
                <w:lang w:eastAsia="en-US"/>
              </w:rPr>
            </w:pPr>
            <w:r>
              <w:rPr>
                <w:b/>
                <w:szCs w:val="20"/>
                <w:lang w:eastAsia="en-US"/>
              </w:rPr>
              <w:t>Year 3</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923872" w:rsidRDefault="003F2B06">
            <w:pPr>
              <w:pStyle w:val="TableText0"/>
              <w:rPr>
                <w:b/>
                <w:szCs w:val="20"/>
                <w:lang w:eastAsia="en-US"/>
              </w:rPr>
            </w:pPr>
            <w:r>
              <w:rPr>
                <w:b/>
                <w:szCs w:val="20"/>
                <w:lang w:eastAsia="en-US"/>
              </w:rPr>
              <w:t>Year 4</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923872" w:rsidRDefault="003F2B06">
            <w:pPr>
              <w:pStyle w:val="TableText0"/>
              <w:rPr>
                <w:b/>
                <w:szCs w:val="20"/>
                <w:lang w:eastAsia="en-US"/>
              </w:rPr>
            </w:pPr>
            <w:r>
              <w:rPr>
                <w:b/>
                <w:szCs w:val="20"/>
                <w:lang w:eastAsia="en-US"/>
              </w:rPr>
              <w:t>Year 5</w:t>
            </w:r>
          </w:p>
        </w:tc>
        <w:tc>
          <w:tcPr>
            <w:tcW w:w="611" w:type="pct"/>
            <w:tcBorders>
              <w:top w:val="single" w:sz="4" w:space="0" w:color="auto"/>
              <w:left w:val="single" w:sz="4" w:space="0" w:color="auto"/>
              <w:bottom w:val="single" w:sz="4" w:space="0" w:color="auto"/>
              <w:right w:val="single" w:sz="4" w:space="0" w:color="auto"/>
            </w:tcBorders>
          </w:tcPr>
          <w:p w:rsidR="00923872" w:rsidRDefault="003F2B06">
            <w:pPr>
              <w:pStyle w:val="TableText0"/>
              <w:rPr>
                <w:b/>
                <w:szCs w:val="20"/>
                <w:lang w:eastAsia="en-US"/>
              </w:rPr>
            </w:pPr>
            <w:r>
              <w:rPr>
                <w:b/>
                <w:szCs w:val="20"/>
                <w:lang w:eastAsia="en-US"/>
              </w:rPr>
              <w:t>Year 6</w:t>
            </w:r>
          </w:p>
        </w:tc>
      </w:tr>
      <w:tr w:rsidR="00923872">
        <w:tc>
          <w:tcPr>
            <w:tcW w:w="5000" w:type="pct"/>
            <w:gridSpan w:val="7"/>
            <w:tcBorders>
              <w:top w:val="single" w:sz="4" w:space="0" w:color="auto"/>
            </w:tcBorders>
            <w:shd w:val="clear" w:color="auto" w:fill="auto"/>
            <w:vAlign w:val="center"/>
          </w:tcPr>
          <w:p w:rsidR="00923872" w:rsidRDefault="003F2B06">
            <w:pPr>
              <w:pStyle w:val="TableText0"/>
              <w:rPr>
                <w:b/>
                <w:bCs/>
                <w:color w:val="000000"/>
                <w:szCs w:val="20"/>
                <w:lang w:eastAsia="en-US"/>
              </w:rPr>
            </w:pPr>
            <w:r>
              <w:rPr>
                <w:b/>
                <w:bCs/>
                <w:color w:val="000000"/>
                <w:szCs w:val="20"/>
                <w:lang w:eastAsia="en-US"/>
              </w:rPr>
              <w:t>Estimated extent of use</w:t>
            </w:r>
          </w:p>
        </w:tc>
      </w:tr>
      <w:tr w:rsidR="00923872" w:rsidTr="00FB1CE3">
        <w:tc>
          <w:tcPr>
            <w:tcW w:w="1333" w:type="pct"/>
            <w:shd w:val="clear" w:color="auto" w:fill="auto"/>
            <w:vAlign w:val="center"/>
          </w:tcPr>
          <w:p w:rsidR="00923872" w:rsidRDefault="003F2B06">
            <w:pPr>
              <w:pStyle w:val="TableText0"/>
              <w:rPr>
                <w:szCs w:val="20"/>
                <w:lang w:eastAsia="en-US"/>
              </w:rPr>
            </w:pPr>
            <w:r>
              <w:rPr>
                <w:szCs w:val="20"/>
                <w:lang w:eastAsia="en-US"/>
              </w:rPr>
              <w:t>Number of patients treated</w:t>
            </w:r>
          </w:p>
        </w:tc>
        <w:tc>
          <w:tcPr>
            <w:tcW w:w="611" w:type="pct"/>
            <w:tcBorders>
              <w:top w:val="single" w:sz="4" w:space="0" w:color="auto"/>
              <w:left w:val="single" w:sz="4" w:space="0" w:color="auto"/>
              <w:bottom w:val="single" w:sz="4" w:space="0" w:color="auto"/>
              <w:right w:val="single" w:sz="4" w:space="0" w:color="auto"/>
            </w:tcBorders>
            <w:shd w:val="clear" w:color="000000" w:fill="FFFFFF"/>
            <w:vAlign w:val="bottom"/>
          </w:tcPr>
          <w:p w:rsidR="00923872" w:rsidRPr="00672912" w:rsidRDefault="00672912">
            <w:pPr>
              <w:pStyle w:val="TableText0"/>
              <w:rPr>
                <w:bCs/>
                <w:color w:val="000000"/>
                <w:szCs w:val="20"/>
                <w:highlight w:val="black"/>
                <w:lang w:eastAsia="en-US"/>
              </w:rPr>
            </w:pPr>
            <w:r>
              <w:rPr>
                <w:rFonts w:cs="Arial"/>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000000" w:fill="FFFFFF"/>
            <w:vAlign w:val="bottom"/>
          </w:tcPr>
          <w:p w:rsidR="00923872" w:rsidRPr="00672912" w:rsidRDefault="00672912">
            <w:pPr>
              <w:pStyle w:val="TableText0"/>
              <w:rPr>
                <w:bCs/>
                <w:color w:val="000000"/>
                <w:szCs w:val="20"/>
                <w:highlight w:val="black"/>
                <w:lang w:eastAsia="en-US"/>
              </w:rPr>
            </w:pPr>
            <w:r>
              <w:rPr>
                <w:rFonts w:cs="Arial"/>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000000" w:fill="FFFFFF"/>
            <w:vAlign w:val="bottom"/>
          </w:tcPr>
          <w:p w:rsidR="00923872" w:rsidRPr="00672912" w:rsidRDefault="00672912">
            <w:pPr>
              <w:pStyle w:val="TableText0"/>
              <w:rPr>
                <w:bCs/>
                <w:color w:val="000000"/>
                <w:szCs w:val="20"/>
                <w:highlight w:val="black"/>
                <w:lang w:eastAsia="en-US"/>
              </w:rPr>
            </w:pPr>
            <w:r>
              <w:rPr>
                <w:rFonts w:cs="Arial"/>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000000" w:fill="FFFFFF"/>
            <w:vAlign w:val="bottom"/>
          </w:tcPr>
          <w:p w:rsidR="00923872" w:rsidRPr="00672912" w:rsidRDefault="00672912">
            <w:pPr>
              <w:pStyle w:val="TableText0"/>
              <w:rPr>
                <w:bCs/>
                <w:color w:val="000000"/>
                <w:szCs w:val="20"/>
                <w:highlight w:val="black"/>
                <w:lang w:eastAsia="en-US"/>
              </w:rPr>
            </w:pPr>
            <w:r>
              <w:rPr>
                <w:rFonts w:cs="Arial"/>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000000" w:fill="FFFFFF"/>
            <w:vAlign w:val="bottom"/>
          </w:tcPr>
          <w:p w:rsidR="00923872" w:rsidRPr="00672912" w:rsidRDefault="00672912">
            <w:pPr>
              <w:pStyle w:val="TableText0"/>
              <w:rPr>
                <w:bCs/>
                <w:color w:val="000000"/>
                <w:szCs w:val="20"/>
                <w:highlight w:val="black"/>
                <w:lang w:eastAsia="en-US"/>
              </w:rPr>
            </w:pPr>
            <w:r>
              <w:rPr>
                <w:rFonts w:cs="Arial"/>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000000" w:fill="FFFFFF"/>
            <w:vAlign w:val="bottom"/>
          </w:tcPr>
          <w:p w:rsidR="00923872" w:rsidRPr="00672912" w:rsidRDefault="00672912">
            <w:pPr>
              <w:pStyle w:val="TableText0"/>
              <w:rPr>
                <w:bCs/>
                <w:color w:val="000000"/>
                <w:szCs w:val="20"/>
                <w:highlight w:val="black"/>
                <w:lang w:eastAsia="en-US"/>
              </w:rPr>
            </w:pPr>
            <w:r>
              <w:rPr>
                <w:rFonts w:cs="Arial"/>
                <w:noProof/>
                <w:color w:val="000000"/>
                <w:szCs w:val="20"/>
                <w:highlight w:val="black"/>
                <w:lang w:eastAsia="en-US"/>
              </w:rPr>
              <w:t>''''''</w:t>
            </w:r>
          </w:p>
        </w:tc>
      </w:tr>
      <w:tr w:rsidR="00923872" w:rsidTr="00FB1CE3">
        <w:tc>
          <w:tcPr>
            <w:tcW w:w="1333" w:type="pct"/>
            <w:shd w:val="clear" w:color="auto" w:fill="auto"/>
            <w:vAlign w:val="center"/>
          </w:tcPr>
          <w:p w:rsidR="00923872" w:rsidRDefault="003F2B06">
            <w:pPr>
              <w:pStyle w:val="TableText0"/>
              <w:rPr>
                <w:szCs w:val="20"/>
                <w:lang w:eastAsia="en-US"/>
              </w:rPr>
            </w:pPr>
            <w:r>
              <w:rPr>
                <w:szCs w:val="20"/>
                <w:lang w:eastAsia="en-US"/>
              </w:rPr>
              <w:t>Number of scripts dispensed</w:t>
            </w:r>
          </w:p>
        </w:tc>
        <w:tc>
          <w:tcPr>
            <w:tcW w:w="611" w:type="pct"/>
            <w:tcBorders>
              <w:top w:val="single" w:sz="4" w:space="0" w:color="auto"/>
              <w:left w:val="single" w:sz="4" w:space="0" w:color="auto"/>
              <w:bottom w:val="single" w:sz="4" w:space="0" w:color="auto"/>
              <w:right w:val="single" w:sz="4" w:space="0" w:color="auto"/>
            </w:tcBorders>
            <w:shd w:val="clear" w:color="000000" w:fill="FFFFFF"/>
            <w:vAlign w:val="bottom"/>
          </w:tcPr>
          <w:p w:rsidR="00923872" w:rsidRPr="00672912" w:rsidRDefault="00672912">
            <w:pPr>
              <w:pStyle w:val="TableText0"/>
              <w:rPr>
                <w:bCs/>
                <w:color w:val="000000"/>
                <w:szCs w:val="20"/>
                <w:highlight w:val="black"/>
                <w:lang w:eastAsia="en-US"/>
              </w:rPr>
            </w:pPr>
            <w:r>
              <w:rPr>
                <w:rFonts w:cs="Calibri"/>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000000" w:fill="FFFFFF"/>
            <w:vAlign w:val="bottom"/>
          </w:tcPr>
          <w:p w:rsidR="00923872" w:rsidRPr="00672912" w:rsidRDefault="00672912">
            <w:pPr>
              <w:pStyle w:val="TableText0"/>
              <w:rPr>
                <w:bCs/>
                <w:color w:val="000000"/>
                <w:szCs w:val="20"/>
                <w:highlight w:val="black"/>
                <w:lang w:eastAsia="en-US"/>
              </w:rPr>
            </w:pPr>
            <w:r>
              <w:rPr>
                <w:rFonts w:cs="Calibri"/>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000000" w:fill="FFFFFF"/>
            <w:vAlign w:val="bottom"/>
          </w:tcPr>
          <w:p w:rsidR="00923872" w:rsidRPr="00672912" w:rsidRDefault="00672912">
            <w:pPr>
              <w:pStyle w:val="TableText0"/>
              <w:rPr>
                <w:bCs/>
                <w:color w:val="000000"/>
                <w:szCs w:val="20"/>
                <w:highlight w:val="black"/>
                <w:lang w:eastAsia="en-US"/>
              </w:rPr>
            </w:pPr>
            <w:r>
              <w:rPr>
                <w:rFonts w:cs="Calibri"/>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000000" w:fill="FFFFFF"/>
            <w:vAlign w:val="bottom"/>
          </w:tcPr>
          <w:p w:rsidR="00923872" w:rsidRPr="00672912" w:rsidRDefault="00672912">
            <w:pPr>
              <w:pStyle w:val="TableText0"/>
              <w:rPr>
                <w:bCs/>
                <w:color w:val="000000"/>
                <w:szCs w:val="20"/>
                <w:highlight w:val="black"/>
                <w:lang w:eastAsia="en-US"/>
              </w:rPr>
            </w:pPr>
            <w:r>
              <w:rPr>
                <w:rFonts w:cs="Calibri"/>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000000" w:fill="FFFFFF"/>
            <w:vAlign w:val="bottom"/>
          </w:tcPr>
          <w:p w:rsidR="00923872" w:rsidRPr="00672912" w:rsidRDefault="00672912">
            <w:pPr>
              <w:pStyle w:val="TableText0"/>
              <w:rPr>
                <w:bCs/>
                <w:color w:val="000000"/>
                <w:szCs w:val="20"/>
                <w:highlight w:val="black"/>
                <w:lang w:eastAsia="en-US"/>
              </w:rPr>
            </w:pPr>
            <w:r>
              <w:rPr>
                <w:rFonts w:cs="Calibri"/>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000000" w:fill="FFFFFF"/>
            <w:vAlign w:val="bottom"/>
          </w:tcPr>
          <w:p w:rsidR="00923872" w:rsidRPr="00672912" w:rsidRDefault="00672912">
            <w:pPr>
              <w:pStyle w:val="TableText0"/>
              <w:rPr>
                <w:bCs/>
                <w:color w:val="000000"/>
                <w:szCs w:val="20"/>
                <w:highlight w:val="black"/>
                <w:lang w:eastAsia="en-US"/>
              </w:rPr>
            </w:pPr>
            <w:r>
              <w:rPr>
                <w:rFonts w:cs="Calibri"/>
                <w:noProof/>
                <w:color w:val="000000"/>
                <w:szCs w:val="20"/>
                <w:highlight w:val="black"/>
                <w:lang w:eastAsia="en-US"/>
              </w:rPr>
              <w:t>''''''''''</w:t>
            </w:r>
          </w:p>
        </w:tc>
      </w:tr>
      <w:tr w:rsidR="00923872">
        <w:tc>
          <w:tcPr>
            <w:tcW w:w="5000" w:type="pct"/>
            <w:gridSpan w:val="7"/>
            <w:tcBorders>
              <w:right w:val="single" w:sz="4" w:space="0" w:color="auto"/>
            </w:tcBorders>
            <w:shd w:val="clear" w:color="auto" w:fill="auto"/>
            <w:vAlign w:val="center"/>
          </w:tcPr>
          <w:p w:rsidR="00923872" w:rsidRDefault="003F2B06">
            <w:pPr>
              <w:pStyle w:val="TableText0"/>
              <w:rPr>
                <w:rFonts w:cs="Arial"/>
                <w:b/>
                <w:bCs/>
                <w:color w:val="000000" w:themeColor="text1"/>
                <w:szCs w:val="20"/>
                <w:lang w:eastAsia="en-US"/>
              </w:rPr>
            </w:pPr>
            <w:r>
              <w:rPr>
                <w:rFonts w:cs="Arial"/>
                <w:b/>
                <w:bCs/>
                <w:color w:val="000000" w:themeColor="text1"/>
                <w:szCs w:val="20"/>
                <w:lang w:eastAsia="en-US"/>
              </w:rPr>
              <w:t>Estimated financial implications of fingolimod 250mcg</w:t>
            </w:r>
          </w:p>
        </w:tc>
      </w:tr>
      <w:tr w:rsidR="00923872" w:rsidTr="00FB1CE3">
        <w:tc>
          <w:tcPr>
            <w:tcW w:w="1333" w:type="pct"/>
            <w:shd w:val="clear" w:color="auto" w:fill="auto"/>
            <w:vAlign w:val="center"/>
          </w:tcPr>
          <w:p w:rsidR="00923872" w:rsidRDefault="003F2B06">
            <w:pPr>
              <w:pStyle w:val="TableText0"/>
              <w:rPr>
                <w:szCs w:val="20"/>
                <w:lang w:eastAsia="en-US"/>
              </w:rPr>
            </w:pPr>
            <w:r>
              <w:rPr>
                <w:szCs w:val="20"/>
                <w:lang w:eastAsia="en-US"/>
              </w:rPr>
              <w:t>Cost to PBS</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r>
      <w:tr w:rsidR="00923872" w:rsidTr="00FB1CE3">
        <w:tc>
          <w:tcPr>
            <w:tcW w:w="1333" w:type="pct"/>
            <w:shd w:val="clear" w:color="auto" w:fill="auto"/>
            <w:vAlign w:val="center"/>
          </w:tcPr>
          <w:p w:rsidR="00923872" w:rsidRDefault="003F2B06">
            <w:pPr>
              <w:pStyle w:val="TableText0"/>
              <w:rPr>
                <w:szCs w:val="20"/>
                <w:lang w:eastAsia="en-US"/>
              </w:rPr>
            </w:pPr>
            <w:r>
              <w:rPr>
                <w:szCs w:val="20"/>
                <w:lang w:eastAsia="en-US"/>
              </w:rPr>
              <w:t>Co-payments</w:t>
            </w:r>
          </w:p>
        </w:tc>
        <w:tc>
          <w:tcPr>
            <w:tcW w:w="611" w:type="pct"/>
            <w:tcBorders>
              <w:top w:val="nil"/>
              <w:left w:val="single" w:sz="4" w:space="0" w:color="auto"/>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c>
          <w:tcPr>
            <w:tcW w:w="611" w:type="pct"/>
            <w:tcBorders>
              <w:top w:val="nil"/>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c>
          <w:tcPr>
            <w:tcW w:w="611" w:type="pct"/>
            <w:tcBorders>
              <w:top w:val="nil"/>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c>
          <w:tcPr>
            <w:tcW w:w="611" w:type="pct"/>
            <w:tcBorders>
              <w:top w:val="nil"/>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c>
          <w:tcPr>
            <w:tcW w:w="611" w:type="pct"/>
            <w:tcBorders>
              <w:top w:val="nil"/>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c>
          <w:tcPr>
            <w:tcW w:w="611" w:type="pct"/>
            <w:tcBorders>
              <w:top w:val="nil"/>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r>
      <w:tr w:rsidR="00923872" w:rsidTr="00FB1CE3">
        <w:tc>
          <w:tcPr>
            <w:tcW w:w="1333" w:type="pct"/>
            <w:shd w:val="clear" w:color="auto" w:fill="auto"/>
            <w:vAlign w:val="center"/>
          </w:tcPr>
          <w:p w:rsidR="00923872" w:rsidRDefault="003F2B06">
            <w:pPr>
              <w:pStyle w:val="TableText0"/>
              <w:jc w:val="left"/>
              <w:rPr>
                <w:szCs w:val="20"/>
                <w:lang w:eastAsia="en-US"/>
              </w:rPr>
            </w:pPr>
            <w:r>
              <w:rPr>
                <w:szCs w:val="20"/>
                <w:lang w:eastAsia="en-US"/>
              </w:rPr>
              <w:t>Cost to PBS less co-payments</w:t>
            </w:r>
          </w:p>
        </w:tc>
        <w:tc>
          <w:tcPr>
            <w:tcW w:w="611" w:type="pct"/>
            <w:tcBorders>
              <w:top w:val="nil"/>
              <w:left w:val="single" w:sz="4" w:space="0" w:color="auto"/>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bCs/>
                <w:noProof/>
                <w:color w:val="000000"/>
                <w:szCs w:val="20"/>
                <w:highlight w:val="black"/>
                <w:lang w:eastAsia="en-US"/>
              </w:rPr>
              <w:t>''''''''''''''''''</w:t>
            </w:r>
          </w:p>
        </w:tc>
        <w:tc>
          <w:tcPr>
            <w:tcW w:w="611" w:type="pct"/>
            <w:tcBorders>
              <w:top w:val="nil"/>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bCs/>
                <w:noProof/>
                <w:color w:val="000000"/>
                <w:szCs w:val="20"/>
                <w:highlight w:val="black"/>
                <w:lang w:eastAsia="en-US"/>
              </w:rPr>
              <w:t>'''''''''''''''''''</w:t>
            </w:r>
          </w:p>
        </w:tc>
        <w:tc>
          <w:tcPr>
            <w:tcW w:w="611" w:type="pct"/>
            <w:tcBorders>
              <w:top w:val="nil"/>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bCs/>
                <w:noProof/>
                <w:color w:val="000000"/>
                <w:szCs w:val="20"/>
                <w:highlight w:val="black"/>
                <w:lang w:eastAsia="en-US"/>
              </w:rPr>
              <w:t>'''''''''''''''''''''</w:t>
            </w:r>
          </w:p>
        </w:tc>
        <w:tc>
          <w:tcPr>
            <w:tcW w:w="611" w:type="pct"/>
            <w:tcBorders>
              <w:top w:val="nil"/>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bCs/>
                <w:noProof/>
                <w:color w:val="000000"/>
                <w:szCs w:val="20"/>
                <w:highlight w:val="black"/>
                <w:lang w:eastAsia="en-US"/>
              </w:rPr>
              <w:t>''''''''''''''''''''''''</w:t>
            </w:r>
          </w:p>
        </w:tc>
        <w:tc>
          <w:tcPr>
            <w:tcW w:w="611" w:type="pct"/>
            <w:tcBorders>
              <w:top w:val="nil"/>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bCs/>
                <w:noProof/>
                <w:color w:val="000000"/>
                <w:szCs w:val="20"/>
                <w:highlight w:val="black"/>
                <w:lang w:eastAsia="en-US"/>
              </w:rPr>
              <w:t>'''''''''''''''''''''</w:t>
            </w:r>
          </w:p>
        </w:tc>
        <w:tc>
          <w:tcPr>
            <w:tcW w:w="611" w:type="pct"/>
            <w:tcBorders>
              <w:top w:val="nil"/>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bCs/>
                <w:noProof/>
                <w:color w:val="000000"/>
                <w:szCs w:val="20"/>
                <w:highlight w:val="black"/>
                <w:lang w:eastAsia="en-US"/>
              </w:rPr>
              <w:t>'''''''''''''''''''''''</w:t>
            </w:r>
          </w:p>
        </w:tc>
      </w:tr>
      <w:tr w:rsidR="00923872">
        <w:tc>
          <w:tcPr>
            <w:tcW w:w="5000" w:type="pct"/>
            <w:gridSpan w:val="7"/>
            <w:tcBorders>
              <w:right w:val="single" w:sz="4" w:space="0" w:color="auto"/>
            </w:tcBorders>
            <w:shd w:val="clear" w:color="auto" w:fill="auto"/>
            <w:vAlign w:val="center"/>
          </w:tcPr>
          <w:p w:rsidR="00923872" w:rsidRDefault="003F2B06">
            <w:pPr>
              <w:pStyle w:val="TableText0"/>
              <w:rPr>
                <w:rFonts w:cs="Arial"/>
                <w:b/>
                <w:bCs/>
                <w:color w:val="000000" w:themeColor="text1"/>
                <w:szCs w:val="20"/>
                <w:lang w:eastAsia="en-US"/>
              </w:rPr>
            </w:pPr>
            <w:r>
              <w:rPr>
                <w:rFonts w:cs="Arial"/>
                <w:b/>
                <w:bCs/>
                <w:color w:val="000000" w:themeColor="text1"/>
                <w:szCs w:val="20"/>
                <w:lang w:eastAsia="en-US"/>
              </w:rPr>
              <w:t>Estimated financial implications for displaced listings</w:t>
            </w:r>
          </w:p>
        </w:tc>
      </w:tr>
      <w:tr w:rsidR="00923872" w:rsidTr="00FB1CE3">
        <w:tc>
          <w:tcPr>
            <w:tcW w:w="1333" w:type="pct"/>
            <w:shd w:val="clear" w:color="auto" w:fill="auto"/>
            <w:vAlign w:val="center"/>
          </w:tcPr>
          <w:p w:rsidR="00923872" w:rsidRDefault="003F2B06">
            <w:pPr>
              <w:pStyle w:val="TableText0"/>
              <w:rPr>
                <w:szCs w:val="20"/>
                <w:lang w:eastAsia="en-US"/>
              </w:rPr>
            </w:pPr>
            <w:r>
              <w:rPr>
                <w:szCs w:val="20"/>
                <w:lang w:eastAsia="en-US"/>
              </w:rPr>
              <w:t>Cost to PBS</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r>
      <w:tr w:rsidR="00923872" w:rsidTr="00FB1CE3">
        <w:tc>
          <w:tcPr>
            <w:tcW w:w="1333" w:type="pct"/>
            <w:shd w:val="clear" w:color="auto" w:fill="auto"/>
            <w:vAlign w:val="center"/>
          </w:tcPr>
          <w:p w:rsidR="00923872" w:rsidRDefault="003F2B06">
            <w:pPr>
              <w:pStyle w:val="TableText0"/>
              <w:rPr>
                <w:szCs w:val="20"/>
                <w:lang w:eastAsia="en-US"/>
              </w:rPr>
            </w:pPr>
            <w:r>
              <w:rPr>
                <w:szCs w:val="20"/>
                <w:lang w:eastAsia="en-US"/>
              </w:rPr>
              <w:t>Co-payments</w:t>
            </w:r>
          </w:p>
        </w:tc>
        <w:tc>
          <w:tcPr>
            <w:tcW w:w="611" w:type="pct"/>
            <w:tcBorders>
              <w:top w:val="nil"/>
              <w:left w:val="single" w:sz="4" w:space="0" w:color="auto"/>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c>
          <w:tcPr>
            <w:tcW w:w="611" w:type="pct"/>
            <w:tcBorders>
              <w:top w:val="nil"/>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c>
          <w:tcPr>
            <w:tcW w:w="611" w:type="pct"/>
            <w:tcBorders>
              <w:top w:val="nil"/>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c>
          <w:tcPr>
            <w:tcW w:w="611" w:type="pct"/>
            <w:tcBorders>
              <w:top w:val="nil"/>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c>
          <w:tcPr>
            <w:tcW w:w="611" w:type="pct"/>
            <w:tcBorders>
              <w:top w:val="nil"/>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c>
          <w:tcPr>
            <w:tcW w:w="611" w:type="pct"/>
            <w:tcBorders>
              <w:top w:val="nil"/>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noProof/>
                <w:color w:val="000000"/>
                <w:szCs w:val="20"/>
                <w:highlight w:val="black"/>
                <w:lang w:eastAsia="en-US"/>
              </w:rPr>
              <w:t>'''''''''''''''''</w:t>
            </w:r>
          </w:p>
        </w:tc>
      </w:tr>
      <w:tr w:rsidR="00923872" w:rsidTr="00FB1CE3">
        <w:tc>
          <w:tcPr>
            <w:tcW w:w="1333" w:type="pct"/>
            <w:shd w:val="clear" w:color="auto" w:fill="auto"/>
            <w:vAlign w:val="center"/>
          </w:tcPr>
          <w:p w:rsidR="00923872" w:rsidRDefault="003F2B06">
            <w:pPr>
              <w:pStyle w:val="TableText0"/>
              <w:jc w:val="left"/>
              <w:rPr>
                <w:szCs w:val="20"/>
                <w:lang w:eastAsia="en-US"/>
              </w:rPr>
            </w:pPr>
            <w:r>
              <w:rPr>
                <w:szCs w:val="20"/>
                <w:lang w:eastAsia="en-US"/>
              </w:rPr>
              <w:t>Cost to PBS less co-payments</w:t>
            </w:r>
          </w:p>
        </w:tc>
        <w:tc>
          <w:tcPr>
            <w:tcW w:w="611" w:type="pct"/>
            <w:tcBorders>
              <w:top w:val="nil"/>
              <w:left w:val="single" w:sz="4" w:space="0" w:color="auto"/>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bCs/>
                <w:noProof/>
                <w:color w:val="000000"/>
                <w:szCs w:val="20"/>
                <w:highlight w:val="black"/>
                <w:lang w:eastAsia="en-US"/>
              </w:rPr>
              <w:t>''''''''''''''''''</w:t>
            </w:r>
          </w:p>
        </w:tc>
        <w:tc>
          <w:tcPr>
            <w:tcW w:w="611" w:type="pct"/>
            <w:tcBorders>
              <w:top w:val="nil"/>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bCs/>
                <w:noProof/>
                <w:color w:val="000000"/>
                <w:szCs w:val="20"/>
                <w:highlight w:val="black"/>
                <w:lang w:eastAsia="en-US"/>
              </w:rPr>
              <w:t>''''''''''''''''''</w:t>
            </w:r>
          </w:p>
        </w:tc>
        <w:tc>
          <w:tcPr>
            <w:tcW w:w="611" w:type="pct"/>
            <w:tcBorders>
              <w:top w:val="nil"/>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bCs/>
                <w:noProof/>
                <w:color w:val="000000"/>
                <w:szCs w:val="20"/>
                <w:highlight w:val="black"/>
                <w:lang w:eastAsia="en-US"/>
              </w:rPr>
              <w:t>'''''''''''''''''''''''</w:t>
            </w:r>
          </w:p>
        </w:tc>
        <w:tc>
          <w:tcPr>
            <w:tcW w:w="611" w:type="pct"/>
            <w:tcBorders>
              <w:top w:val="nil"/>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bCs/>
                <w:noProof/>
                <w:color w:val="000000"/>
                <w:szCs w:val="20"/>
                <w:highlight w:val="black"/>
                <w:lang w:eastAsia="en-US"/>
              </w:rPr>
              <w:t>'''''''''''''''''''''''</w:t>
            </w:r>
          </w:p>
        </w:tc>
        <w:tc>
          <w:tcPr>
            <w:tcW w:w="611" w:type="pct"/>
            <w:tcBorders>
              <w:top w:val="nil"/>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bCs/>
                <w:noProof/>
                <w:color w:val="000000"/>
                <w:szCs w:val="20"/>
                <w:highlight w:val="black"/>
                <w:lang w:eastAsia="en-US"/>
              </w:rPr>
              <w:t>''''''''''''''''''''''</w:t>
            </w:r>
          </w:p>
        </w:tc>
        <w:tc>
          <w:tcPr>
            <w:tcW w:w="611" w:type="pct"/>
            <w:tcBorders>
              <w:top w:val="nil"/>
              <w:left w:val="nil"/>
              <w:bottom w:val="single" w:sz="4" w:space="0" w:color="auto"/>
              <w:right w:val="single" w:sz="4" w:space="0" w:color="auto"/>
            </w:tcBorders>
            <w:shd w:val="clear" w:color="auto" w:fill="auto"/>
            <w:vAlign w:val="center"/>
          </w:tcPr>
          <w:p w:rsidR="00923872" w:rsidRPr="00672912" w:rsidRDefault="00672912">
            <w:pPr>
              <w:pStyle w:val="TableText0"/>
              <w:rPr>
                <w:rFonts w:cs="Arial"/>
                <w:bCs/>
                <w:color w:val="000000" w:themeColor="text1"/>
                <w:szCs w:val="20"/>
                <w:highlight w:val="black"/>
                <w:lang w:eastAsia="en-US"/>
              </w:rPr>
            </w:pPr>
            <w:r>
              <w:rPr>
                <w:rFonts w:cs="Arial"/>
                <w:bCs/>
                <w:noProof/>
                <w:color w:val="000000"/>
                <w:szCs w:val="20"/>
                <w:highlight w:val="black"/>
                <w:lang w:eastAsia="en-US"/>
              </w:rPr>
              <w:t>''''''''''''''''''''</w:t>
            </w:r>
          </w:p>
        </w:tc>
      </w:tr>
      <w:tr w:rsidR="00923872">
        <w:tc>
          <w:tcPr>
            <w:tcW w:w="5000" w:type="pct"/>
            <w:gridSpan w:val="7"/>
            <w:shd w:val="clear" w:color="auto" w:fill="auto"/>
            <w:vAlign w:val="center"/>
          </w:tcPr>
          <w:p w:rsidR="00923872" w:rsidRDefault="003F2B06">
            <w:pPr>
              <w:pStyle w:val="TableText0"/>
              <w:rPr>
                <w:bCs/>
                <w:color w:val="000000"/>
                <w:szCs w:val="20"/>
                <w:lang w:eastAsia="en-US"/>
              </w:rPr>
            </w:pPr>
            <w:r>
              <w:rPr>
                <w:b/>
                <w:bCs/>
                <w:color w:val="000000"/>
                <w:szCs w:val="20"/>
                <w:lang w:eastAsia="en-US"/>
              </w:rPr>
              <w:t>Net financial implications (effective price)</w:t>
            </w:r>
            <w:r>
              <w:rPr>
                <w:b/>
                <w:bCs/>
                <w:color w:val="4BACC6" w:themeColor="accent5"/>
                <w:szCs w:val="20"/>
                <w:lang w:eastAsia="en-US"/>
              </w:rPr>
              <w:t xml:space="preserve"> </w:t>
            </w:r>
          </w:p>
        </w:tc>
      </w:tr>
      <w:tr w:rsidR="00923872" w:rsidTr="00FB1CE3">
        <w:tc>
          <w:tcPr>
            <w:tcW w:w="1333" w:type="pct"/>
            <w:shd w:val="clear" w:color="auto" w:fill="auto"/>
            <w:vAlign w:val="center"/>
          </w:tcPr>
          <w:p w:rsidR="00923872" w:rsidRDefault="003F2B06">
            <w:pPr>
              <w:pStyle w:val="TableText0"/>
              <w:rPr>
                <w:szCs w:val="20"/>
                <w:lang w:eastAsia="en-US"/>
              </w:rPr>
            </w:pPr>
            <w:r>
              <w:rPr>
                <w:szCs w:val="20"/>
                <w:lang w:eastAsia="en-US"/>
              </w:rPr>
              <w:t>Net cost to PBS</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923872" w:rsidRPr="00672912" w:rsidRDefault="00672912">
            <w:pPr>
              <w:pStyle w:val="TableText0"/>
              <w:rPr>
                <w:bCs/>
                <w:color w:val="000000" w:themeColor="text1"/>
                <w:szCs w:val="20"/>
                <w:highlight w:val="black"/>
                <w:lang w:eastAsia="en-US"/>
              </w:rPr>
            </w:pPr>
            <w:r>
              <w:rPr>
                <w:rFonts w:cs="Arial"/>
                <w:bCs/>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auto" w:fill="auto"/>
            <w:vAlign w:val="center"/>
          </w:tcPr>
          <w:p w:rsidR="00923872" w:rsidRPr="00672912" w:rsidRDefault="00672912">
            <w:pPr>
              <w:pStyle w:val="TableText0"/>
              <w:rPr>
                <w:bCs/>
                <w:color w:val="000000" w:themeColor="text1"/>
                <w:szCs w:val="20"/>
                <w:highlight w:val="black"/>
                <w:lang w:eastAsia="en-US"/>
              </w:rPr>
            </w:pPr>
            <w:r>
              <w:rPr>
                <w:rFonts w:cs="Arial"/>
                <w:bCs/>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auto" w:fill="auto"/>
            <w:vAlign w:val="center"/>
          </w:tcPr>
          <w:p w:rsidR="00923872" w:rsidRPr="00672912" w:rsidRDefault="00672912">
            <w:pPr>
              <w:pStyle w:val="TableText0"/>
              <w:rPr>
                <w:bCs/>
                <w:color w:val="000000" w:themeColor="text1"/>
                <w:szCs w:val="20"/>
                <w:highlight w:val="black"/>
                <w:lang w:eastAsia="en-US"/>
              </w:rPr>
            </w:pPr>
            <w:r>
              <w:rPr>
                <w:rFonts w:cs="Arial"/>
                <w:bCs/>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auto" w:fill="auto"/>
            <w:vAlign w:val="center"/>
          </w:tcPr>
          <w:p w:rsidR="00923872" w:rsidRPr="00672912" w:rsidRDefault="00672912">
            <w:pPr>
              <w:pStyle w:val="TableText0"/>
              <w:rPr>
                <w:bCs/>
                <w:color w:val="000000" w:themeColor="text1"/>
                <w:szCs w:val="20"/>
                <w:highlight w:val="black"/>
                <w:lang w:eastAsia="en-US"/>
              </w:rPr>
            </w:pPr>
            <w:r>
              <w:rPr>
                <w:rFonts w:cs="Arial"/>
                <w:bCs/>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auto" w:fill="auto"/>
            <w:vAlign w:val="center"/>
          </w:tcPr>
          <w:p w:rsidR="00923872" w:rsidRPr="00672912" w:rsidRDefault="00672912">
            <w:pPr>
              <w:pStyle w:val="TableText0"/>
              <w:rPr>
                <w:bCs/>
                <w:color w:val="000000" w:themeColor="text1"/>
                <w:szCs w:val="20"/>
                <w:highlight w:val="black"/>
                <w:lang w:eastAsia="en-US"/>
              </w:rPr>
            </w:pPr>
            <w:r>
              <w:rPr>
                <w:rFonts w:cs="Arial"/>
                <w:bCs/>
                <w:noProof/>
                <w:color w:val="000000"/>
                <w:szCs w:val="20"/>
                <w:highlight w:val="black"/>
                <w:lang w:eastAsia="en-US"/>
              </w:rPr>
              <w:t>'''''''''''''''''''</w:t>
            </w:r>
          </w:p>
        </w:tc>
        <w:tc>
          <w:tcPr>
            <w:tcW w:w="611" w:type="pct"/>
            <w:tcBorders>
              <w:top w:val="single" w:sz="4" w:space="0" w:color="auto"/>
              <w:left w:val="nil"/>
              <w:bottom w:val="single" w:sz="4" w:space="0" w:color="auto"/>
              <w:right w:val="single" w:sz="4" w:space="0" w:color="auto"/>
            </w:tcBorders>
            <w:shd w:val="clear" w:color="auto" w:fill="auto"/>
            <w:vAlign w:val="center"/>
          </w:tcPr>
          <w:p w:rsidR="00923872" w:rsidRPr="00672912" w:rsidRDefault="00672912">
            <w:pPr>
              <w:pStyle w:val="TableText0"/>
              <w:rPr>
                <w:bCs/>
                <w:color w:val="000000" w:themeColor="text1"/>
                <w:szCs w:val="20"/>
                <w:highlight w:val="black"/>
                <w:lang w:eastAsia="en-US"/>
              </w:rPr>
            </w:pPr>
            <w:r>
              <w:rPr>
                <w:rFonts w:cs="Arial"/>
                <w:bCs/>
                <w:noProof/>
                <w:color w:val="000000"/>
                <w:szCs w:val="20"/>
                <w:highlight w:val="black"/>
                <w:lang w:eastAsia="en-US"/>
              </w:rPr>
              <w:t>''''''''''''''''''</w:t>
            </w:r>
          </w:p>
        </w:tc>
      </w:tr>
    </w:tbl>
    <w:p w:rsidR="00923872" w:rsidRDefault="003F2B06" w:rsidP="00FB1CE3">
      <w:pPr>
        <w:jc w:val="both"/>
        <w:rPr>
          <w:rFonts w:ascii="Arial Narrow" w:hAnsi="Arial Narrow"/>
          <w:sz w:val="18"/>
          <w:szCs w:val="18"/>
        </w:rPr>
      </w:pPr>
      <w:r>
        <w:rPr>
          <w:rFonts w:ascii="Arial Narrow" w:hAnsi="Arial Narrow"/>
          <w:sz w:val="18"/>
          <w:szCs w:val="18"/>
        </w:rPr>
        <w:t>Source: Compiled in minor overview from data provided in attachment 7 of the submission.</w:t>
      </w:r>
    </w:p>
    <w:p w:rsidR="00FB1CE3" w:rsidRPr="00FB1CE3" w:rsidRDefault="00FB1CE3" w:rsidP="00FB1CE3">
      <w:pPr>
        <w:jc w:val="both"/>
        <w:rPr>
          <w:rFonts w:ascii="Arial Narrow" w:hAnsi="Arial Narrow"/>
          <w:sz w:val="18"/>
          <w:szCs w:val="18"/>
        </w:rPr>
      </w:pPr>
    </w:p>
    <w:p w:rsidR="00923872" w:rsidRDefault="003F2B06">
      <w:pPr>
        <w:ind w:firstLine="720"/>
        <w:rPr>
          <w:rFonts w:asciiTheme="minorHAnsi" w:hAnsiTheme="minorHAnsi"/>
          <w:i/>
        </w:rPr>
      </w:pPr>
      <w:r>
        <w:rPr>
          <w:rFonts w:asciiTheme="minorHAnsi" w:hAnsiTheme="minorHAnsi"/>
          <w:i/>
        </w:rPr>
        <w:t>For more detail on PBAC’s view, see section 6 PBAC outcome.</w:t>
      </w:r>
    </w:p>
    <w:p w:rsidR="00923872" w:rsidRDefault="003F2B06">
      <w:pPr>
        <w:pStyle w:val="2Sections"/>
      </w:pPr>
      <w:r>
        <w:t>PBAC Outcome</w:t>
      </w:r>
    </w:p>
    <w:p w:rsidR="00923872" w:rsidRDefault="003F2B06">
      <w:pPr>
        <w:pStyle w:val="3Bodytext"/>
        <w:rPr>
          <w:snapToGrid w:val="0"/>
        </w:rPr>
      </w:pPr>
      <w:r>
        <w:rPr>
          <w:snapToGrid w:val="0"/>
        </w:rPr>
        <w:t xml:space="preserve">The PBAC recommended the Authority Required (telephone) listing of fingolimod, in the form 250 microgram capsules, on the general schedule for treatment of relapsing-remitting multiple sclerosis (RRMS) in patients weighing 40kg or less. In making this </w:t>
      </w:r>
      <w:r>
        <w:rPr>
          <w:snapToGrid w:val="0"/>
        </w:rPr>
        <w:lastRenderedPageBreak/>
        <w:t xml:space="preserve">recommendation, the PBAC considered that fingolimod 250 mcg used in RRMS patients weighing 40kg or less was equivalent to fingolimod 500 mcg used in RRMS patients weighing more than 40kg. </w:t>
      </w:r>
    </w:p>
    <w:p w:rsidR="00923872" w:rsidRDefault="003F2B06">
      <w:pPr>
        <w:pStyle w:val="3Bodytext"/>
        <w:rPr>
          <w:snapToGrid w:val="0"/>
        </w:rPr>
      </w:pPr>
      <w:r>
        <w:rPr>
          <w:snapToGrid w:val="0"/>
        </w:rPr>
        <w:t xml:space="preserve">The PBAC accepted that fingolimod 500 mcg taken once daily by patients weighing 40kg or less was likely to be replaced by fingolimod 250 mcg, but noted that in addition to this population, patients of any weight currently being treated with fingolimod 500 mcg every second day would also be likely to be prescribed fingolimod 250 mcg. </w:t>
      </w:r>
    </w:p>
    <w:p w:rsidR="00923872" w:rsidRDefault="003F2B06">
      <w:pPr>
        <w:pStyle w:val="3Bodytext"/>
        <w:rPr>
          <w:snapToGrid w:val="0"/>
        </w:rPr>
      </w:pPr>
      <w:r>
        <w:rPr>
          <w:snapToGrid w:val="0"/>
        </w:rPr>
        <w:t xml:space="preserve">The PBAC noted that the number of patients weighing 40kg or less in Study 2311 was very low, and therefore considered that the data to support the listing of fingolimod 250 mcg was minimal. While the PBAC considered it was likely that in patients weighing more than 40kg, the use of fingolimod 250 mcg would have inferior efficacy compared to fingolimod 500 mcg, it considered that non-inferior efficacy and safety of fingolimod 250 mcg in patients 40kg or less compared to fingolimod 500 mcg in patients more than 40kg was sufficiently demonstrated. </w:t>
      </w:r>
    </w:p>
    <w:p w:rsidR="00923872" w:rsidRDefault="003F2B06">
      <w:pPr>
        <w:pStyle w:val="3Bodytext"/>
        <w:rPr>
          <w:snapToGrid w:val="0"/>
        </w:rPr>
      </w:pPr>
      <w:r>
        <w:rPr>
          <w:snapToGrid w:val="0"/>
        </w:rPr>
        <w:t xml:space="preserve">While the submission requested the same restriction as for the current listing of fingolimod 500 mcg capsule, which is silent on patient age and weight, due to the lack of available data of the use of fingolimod 250 mcg in patients weighing over 40kg, the PBAC considered that it would be more appropriate to limit use of fingolimod 250 mcg to patients weighing 40kg or less. </w:t>
      </w:r>
    </w:p>
    <w:p w:rsidR="00923872" w:rsidRDefault="003F2B06">
      <w:pPr>
        <w:pStyle w:val="3Bodytext"/>
        <w:rPr>
          <w:snapToGrid w:val="0"/>
        </w:rPr>
      </w:pPr>
      <w:r>
        <w:rPr>
          <w:snapToGrid w:val="0"/>
        </w:rPr>
        <w:t xml:space="preserve">Due to the likely reduced efficacy of fingolimod 250mcg in patients weighing over 40kg, the PBAC considered that it would be appropriate for fingolimod 250 mcg to be priced equivalent to fingolimod 500 mcg only if the use of the lower strength was restricted to patients weighing 40kg or less. </w:t>
      </w:r>
    </w:p>
    <w:p w:rsidR="00923872" w:rsidRDefault="003F2B06">
      <w:pPr>
        <w:pStyle w:val="3Bodytext"/>
        <w:rPr>
          <w:snapToGrid w:val="0"/>
        </w:rPr>
      </w:pPr>
      <w:r>
        <w:rPr>
          <w:snapToGrid w:val="0"/>
        </w:rPr>
        <w:t xml:space="preserve">The PBAC considered that it would be appropriate for the existing subsidisation cap to be increased by the estimated cost of PBS patients under 40kg who are currently being treated with </w:t>
      </w:r>
      <w:r>
        <w:t>IFN β-1a and will switch to fingolimod 250 mcg</w:t>
      </w:r>
      <w:r>
        <w:rPr>
          <w:snapToGrid w:val="0"/>
        </w:rPr>
        <w:t>, as estimated in the submission.  The PBAC agreed with the sponsor that it is unlikely that natalizumab use on the PBS will change, and that any change from the 500 mcg strength of fingolimod will not result in any change to PBS net impact, and therefore these should not be considered for the purposes of the RSA Cap.</w:t>
      </w:r>
    </w:p>
    <w:p w:rsidR="00923872" w:rsidRDefault="003F2B06">
      <w:pPr>
        <w:pStyle w:val="3Bodytext"/>
        <w:rPr>
          <w:snapToGrid w:val="0"/>
        </w:rPr>
      </w:pPr>
      <w:r>
        <w:rPr>
          <w:snapToGrid w:val="0"/>
        </w:rPr>
        <w:t xml:space="preserve">The PBAC noted that its recommendation was on a cost-minimisation basis and advised that, because fingolimod 250 mcg is not expected to provide a substantial and clinically relevant improvement in efficacy, or reduction of toxicity over fingolimod 500 mcg, or not expected to address a high and urgent unmet clinical need over fingolimod 500 mcg, the criteria prescribed by the </w:t>
      </w:r>
      <w:r>
        <w:rPr>
          <w:i/>
          <w:snapToGrid w:val="0"/>
        </w:rPr>
        <w:t>National Health (Pharmaceuticals and Vaccines – Cost Recovery) Regulations 2009</w:t>
      </w:r>
      <w:r>
        <w:rPr>
          <w:snapToGrid w:val="0"/>
        </w:rPr>
        <w:t xml:space="preserve"> for Pricing Pathway A were not met.</w:t>
      </w:r>
    </w:p>
    <w:p w:rsidR="00923872" w:rsidRDefault="003F2B06">
      <w:pPr>
        <w:pStyle w:val="3Bodytext"/>
        <w:rPr>
          <w:snapToGrid w:val="0"/>
        </w:rPr>
      </w:pPr>
      <w:r>
        <w:rPr>
          <w:snapToGrid w:val="0"/>
        </w:rPr>
        <w:t xml:space="preserve">The PBAC advised that, consistent with the existing listing of fingolimod 500 mcg, fingolimod 250 mcg is not suitable for prescribing by nurse practitioners.  </w:t>
      </w:r>
    </w:p>
    <w:p w:rsidR="00923872" w:rsidRDefault="003F2B06">
      <w:pPr>
        <w:pStyle w:val="3Bodytext"/>
        <w:rPr>
          <w:snapToGrid w:val="0"/>
        </w:rPr>
      </w:pPr>
      <w:r>
        <w:rPr>
          <w:snapToGrid w:val="0"/>
        </w:rPr>
        <w:t>The PBAC noted that the Early Supply Rule currently applies to fingolimod 500 mcg, and recommended that it should al</w:t>
      </w:r>
      <w:r w:rsidR="00B810EB">
        <w:rPr>
          <w:snapToGrid w:val="0"/>
        </w:rPr>
        <w:t>so apply to fingolimod 250 mcg.</w:t>
      </w:r>
    </w:p>
    <w:p w:rsidR="00923872" w:rsidRDefault="003F2B06">
      <w:pPr>
        <w:pStyle w:val="3Bodytext"/>
        <w:rPr>
          <w:snapToGrid w:val="0"/>
        </w:rPr>
      </w:pPr>
      <w:r>
        <w:rPr>
          <w:snapToGrid w:val="0"/>
        </w:rPr>
        <w:lastRenderedPageBreak/>
        <w:t>The PBAC noted that this submission is not eligible for an Independent Review as it received a positive recommendation.</w:t>
      </w:r>
    </w:p>
    <w:p w:rsidR="00923872" w:rsidRDefault="003F2B06">
      <w:pPr>
        <w:spacing w:before="240"/>
        <w:jc w:val="both"/>
        <w:rPr>
          <w:rFonts w:asciiTheme="minorHAnsi" w:hAnsiTheme="minorHAnsi" w:cs="Arial"/>
          <w:b/>
          <w:bCs/>
          <w:snapToGrid w:val="0"/>
          <w:lang w:val="en-GB"/>
        </w:rPr>
      </w:pPr>
      <w:r>
        <w:rPr>
          <w:rFonts w:asciiTheme="minorHAnsi" w:hAnsiTheme="minorHAnsi" w:cs="Arial"/>
          <w:b/>
          <w:bCs/>
          <w:snapToGrid w:val="0"/>
          <w:lang w:val="en-GB"/>
        </w:rPr>
        <w:t>Outcome:</w:t>
      </w:r>
    </w:p>
    <w:p w:rsidR="00923872" w:rsidRDefault="003F2B06">
      <w:pPr>
        <w:spacing w:after="120"/>
        <w:jc w:val="both"/>
        <w:rPr>
          <w:rFonts w:asciiTheme="minorHAnsi" w:hAnsiTheme="minorHAnsi" w:cs="Arial"/>
          <w:bCs/>
          <w:snapToGrid w:val="0"/>
          <w:lang w:val="en-GB" w:eastAsia="en-US"/>
        </w:rPr>
      </w:pPr>
      <w:r>
        <w:rPr>
          <w:rFonts w:asciiTheme="minorHAnsi" w:hAnsiTheme="minorHAnsi" w:cs="Arial"/>
          <w:bCs/>
          <w:snapToGrid w:val="0"/>
          <w:lang w:val="en-GB" w:eastAsia="en-US"/>
        </w:rPr>
        <w:t xml:space="preserve">Recommended </w:t>
      </w:r>
    </w:p>
    <w:p w:rsidR="00923872" w:rsidRDefault="003F2B06">
      <w:pPr>
        <w:pStyle w:val="2Sections"/>
        <w:numPr>
          <w:ilvl w:val="0"/>
          <w:numId w:val="5"/>
        </w:numPr>
        <w:rPr>
          <w:i/>
          <w:lang w:val="en-GB"/>
        </w:rPr>
      </w:pPr>
      <w:r>
        <w:rPr>
          <w:lang w:val="en-GB"/>
        </w:rPr>
        <w:t>Recommended listing</w:t>
      </w:r>
    </w:p>
    <w:p w:rsidR="00923872" w:rsidRDefault="003F2B06">
      <w:pPr>
        <w:widowControl w:val="0"/>
        <w:spacing w:after="120"/>
        <w:ind w:firstLine="720"/>
        <w:jc w:val="both"/>
        <w:rPr>
          <w:rFonts w:asciiTheme="minorHAnsi" w:hAnsiTheme="minorHAnsi" w:cs="Arial"/>
          <w:bCs/>
          <w:snapToGrid w:val="0"/>
          <w:lang w:eastAsia="en-US"/>
        </w:rPr>
      </w:pPr>
      <w:r>
        <w:rPr>
          <w:rFonts w:asciiTheme="minorHAnsi" w:hAnsiTheme="minorHAnsi" w:cs="Arial"/>
          <w:bCs/>
          <w:snapToGrid w:val="0"/>
          <w:lang w:eastAsia="en-US"/>
        </w:rPr>
        <w:t>Add new item:</w:t>
      </w:r>
    </w:p>
    <w:tbl>
      <w:tblPr>
        <w:tblW w:w="5000" w:type="pct"/>
        <w:tblLook w:val="0000" w:firstRow="0" w:lastRow="0" w:firstColumn="0" w:lastColumn="0" w:noHBand="0" w:noVBand="0"/>
      </w:tblPr>
      <w:tblGrid>
        <w:gridCol w:w="3353"/>
        <w:gridCol w:w="565"/>
        <w:gridCol w:w="1020"/>
        <w:gridCol w:w="2397"/>
        <w:gridCol w:w="1691"/>
      </w:tblGrid>
      <w:tr w:rsidR="00923872" w:rsidTr="00317018">
        <w:trPr>
          <w:cantSplit/>
          <w:trHeight w:val="471"/>
        </w:trPr>
        <w:tc>
          <w:tcPr>
            <w:tcW w:w="1857" w:type="pct"/>
            <w:tcBorders>
              <w:bottom w:val="single" w:sz="4" w:space="0" w:color="auto"/>
            </w:tcBorders>
          </w:tcPr>
          <w:p w:rsidR="00923872" w:rsidRDefault="003F2B06">
            <w:pPr>
              <w:keepNext/>
              <w:ind w:left="-108"/>
              <w:rPr>
                <w:rFonts w:ascii="Arial Narrow" w:hAnsi="Arial Narrow" w:cs="Arial"/>
                <w:sz w:val="20"/>
                <w:szCs w:val="20"/>
              </w:rPr>
            </w:pPr>
            <w:r>
              <w:rPr>
                <w:rFonts w:ascii="Arial Narrow" w:hAnsi="Arial Narrow" w:cs="Arial"/>
                <w:sz w:val="20"/>
                <w:szCs w:val="20"/>
              </w:rPr>
              <w:t>Name, Restriction,</w:t>
            </w:r>
          </w:p>
          <w:p w:rsidR="00923872" w:rsidRDefault="003F2B06">
            <w:pPr>
              <w:keepNext/>
              <w:ind w:left="-108"/>
              <w:rPr>
                <w:rFonts w:ascii="Arial Narrow" w:hAnsi="Arial Narrow" w:cs="Arial"/>
                <w:sz w:val="20"/>
                <w:szCs w:val="20"/>
              </w:rPr>
            </w:pPr>
            <w:r>
              <w:rPr>
                <w:rFonts w:ascii="Arial Narrow" w:hAnsi="Arial Narrow" w:cs="Arial"/>
                <w:sz w:val="20"/>
                <w:szCs w:val="20"/>
              </w:rPr>
              <w:t>Manner of administration and form</w:t>
            </w:r>
          </w:p>
        </w:tc>
        <w:tc>
          <w:tcPr>
            <w:tcW w:w="313" w:type="pct"/>
            <w:tcBorders>
              <w:bottom w:val="single" w:sz="4" w:space="0" w:color="auto"/>
            </w:tcBorders>
          </w:tcPr>
          <w:p w:rsidR="00923872" w:rsidRDefault="003F2B06">
            <w:pPr>
              <w:keepNext/>
              <w:ind w:left="-108"/>
              <w:jc w:val="both"/>
              <w:rPr>
                <w:rFonts w:ascii="Arial Narrow" w:hAnsi="Arial Narrow" w:cs="Arial"/>
                <w:sz w:val="20"/>
                <w:szCs w:val="20"/>
              </w:rPr>
            </w:pPr>
            <w:r>
              <w:rPr>
                <w:rFonts w:ascii="Arial Narrow" w:hAnsi="Arial Narrow" w:cs="Arial"/>
                <w:sz w:val="20"/>
                <w:szCs w:val="20"/>
              </w:rPr>
              <w:t>Max.</w:t>
            </w:r>
          </w:p>
          <w:p w:rsidR="00923872" w:rsidRDefault="003F2B06">
            <w:pPr>
              <w:keepNext/>
              <w:ind w:left="-108"/>
              <w:jc w:val="both"/>
              <w:rPr>
                <w:rFonts w:ascii="Arial Narrow" w:hAnsi="Arial Narrow" w:cs="Arial"/>
                <w:sz w:val="20"/>
                <w:szCs w:val="20"/>
              </w:rPr>
            </w:pPr>
            <w:r>
              <w:rPr>
                <w:rFonts w:ascii="Arial Narrow" w:hAnsi="Arial Narrow" w:cs="Arial"/>
                <w:sz w:val="20"/>
                <w:szCs w:val="20"/>
              </w:rPr>
              <w:t>Qty</w:t>
            </w:r>
          </w:p>
        </w:tc>
        <w:tc>
          <w:tcPr>
            <w:tcW w:w="565" w:type="pct"/>
            <w:tcBorders>
              <w:bottom w:val="single" w:sz="4" w:space="0" w:color="auto"/>
            </w:tcBorders>
          </w:tcPr>
          <w:p w:rsidR="00923872" w:rsidRDefault="003F2B06">
            <w:pPr>
              <w:keepNext/>
              <w:ind w:left="-108"/>
              <w:jc w:val="both"/>
              <w:rPr>
                <w:rFonts w:ascii="Arial Narrow" w:hAnsi="Arial Narrow" w:cs="Arial"/>
                <w:sz w:val="20"/>
                <w:szCs w:val="20"/>
              </w:rPr>
            </w:pPr>
            <w:r>
              <w:rPr>
                <w:rFonts w:ascii="Arial Narrow" w:hAnsi="Arial Narrow" w:cs="Arial"/>
                <w:sz w:val="20"/>
                <w:szCs w:val="20"/>
              </w:rPr>
              <w:t>№.of</w:t>
            </w:r>
          </w:p>
          <w:p w:rsidR="00923872" w:rsidRDefault="003F2B06">
            <w:pPr>
              <w:keepNext/>
              <w:ind w:left="-108"/>
              <w:jc w:val="both"/>
              <w:rPr>
                <w:rFonts w:ascii="Arial Narrow" w:hAnsi="Arial Narrow" w:cs="Arial"/>
                <w:sz w:val="20"/>
                <w:szCs w:val="20"/>
              </w:rPr>
            </w:pPr>
            <w:r>
              <w:rPr>
                <w:rFonts w:ascii="Arial Narrow" w:hAnsi="Arial Narrow" w:cs="Arial"/>
                <w:sz w:val="20"/>
                <w:szCs w:val="20"/>
              </w:rPr>
              <w:t>Rpts</w:t>
            </w:r>
          </w:p>
        </w:tc>
        <w:tc>
          <w:tcPr>
            <w:tcW w:w="2265" w:type="pct"/>
            <w:gridSpan w:val="2"/>
            <w:tcBorders>
              <w:bottom w:val="single" w:sz="4" w:space="0" w:color="auto"/>
            </w:tcBorders>
          </w:tcPr>
          <w:p w:rsidR="00923872" w:rsidRDefault="003F2B06">
            <w:pPr>
              <w:keepNext/>
              <w:jc w:val="both"/>
              <w:rPr>
                <w:rFonts w:ascii="Arial Narrow" w:hAnsi="Arial Narrow" w:cs="Arial"/>
                <w:sz w:val="20"/>
                <w:szCs w:val="20"/>
                <w:lang w:val="fr-FR"/>
              </w:rPr>
            </w:pPr>
            <w:r>
              <w:rPr>
                <w:rFonts w:ascii="Arial Narrow" w:hAnsi="Arial Narrow" w:cs="Arial"/>
                <w:sz w:val="20"/>
                <w:szCs w:val="20"/>
              </w:rPr>
              <w:t>Proprietary Name and Manufacturer</w:t>
            </w:r>
          </w:p>
        </w:tc>
      </w:tr>
      <w:tr w:rsidR="00923872" w:rsidTr="00317018">
        <w:trPr>
          <w:cantSplit/>
          <w:trHeight w:val="577"/>
        </w:trPr>
        <w:tc>
          <w:tcPr>
            <w:tcW w:w="1857" w:type="pct"/>
          </w:tcPr>
          <w:p w:rsidR="00923872" w:rsidRDefault="003F2B06">
            <w:pPr>
              <w:pStyle w:val="PBACTableText"/>
              <w:ind w:hanging="77"/>
              <w:jc w:val="left"/>
            </w:pPr>
            <w:r>
              <w:t>FINGOLIMOD,</w:t>
            </w:r>
          </w:p>
          <w:p w:rsidR="00923872" w:rsidRDefault="003F2B06">
            <w:pPr>
              <w:pStyle w:val="PBACTableText"/>
              <w:ind w:left="-219" w:firstLine="142"/>
              <w:jc w:val="left"/>
            </w:pPr>
            <w:r>
              <w:t>250 microgram</w:t>
            </w:r>
          </w:p>
          <w:p w:rsidR="00923872" w:rsidRDefault="003F2B06">
            <w:pPr>
              <w:keepNext/>
              <w:ind w:left="-108"/>
              <w:rPr>
                <w:rFonts w:ascii="Arial Narrow" w:hAnsi="Arial Narrow" w:cs="Arial"/>
                <w:color w:val="FF0000"/>
                <w:sz w:val="20"/>
                <w:szCs w:val="20"/>
              </w:rPr>
            </w:pPr>
            <w:r>
              <w:rPr>
                <w:rFonts w:ascii="Arial Narrow" w:hAnsi="Arial Narrow"/>
                <w:sz w:val="20"/>
                <w:szCs w:val="20"/>
              </w:rPr>
              <w:t>Capsule, 28</w:t>
            </w:r>
          </w:p>
        </w:tc>
        <w:tc>
          <w:tcPr>
            <w:tcW w:w="313" w:type="pct"/>
          </w:tcPr>
          <w:p w:rsidR="00923872" w:rsidRDefault="00923872">
            <w:pPr>
              <w:keepNext/>
              <w:ind w:left="-108"/>
              <w:jc w:val="both"/>
              <w:rPr>
                <w:rFonts w:ascii="Arial Narrow" w:hAnsi="Arial Narrow" w:cs="Arial"/>
                <w:sz w:val="20"/>
                <w:szCs w:val="20"/>
              </w:rPr>
            </w:pPr>
          </w:p>
          <w:p w:rsidR="00923872" w:rsidRDefault="003F2B06">
            <w:pPr>
              <w:keepNext/>
              <w:ind w:left="-108"/>
              <w:jc w:val="both"/>
              <w:rPr>
                <w:rFonts w:ascii="Arial Narrow" w:hAnsi="Arial Narrow" w:cs="Arial"/>
                <w:sz w:val="20"/>
                <w:szCs w:val="20"/>
              </w:rPr>
            </w:pPr>
            <w:r>
              <w:rPr>
                <w:rFonts w:ascii="Arial Narrow" w:hAnsi="Arial Narrow" w:cs="Arial"/>
                <w:sz w:val="20"/>
                <w:szCs w:val="20"/>
              </w:rPr>
              <w:t>1</w:t>
            </w:r>
          </w:p>
        </w:tc>
        <w:tc>
          <w:tcPr>
            <w:tcW w:w="565" w:type="pct"/>
          </w:tcPr>
          <w:p w:rsidR="00923872" w:rsidRDefault="00923872">
            <w:pPr>
              <w:keepNext/>
              <w:ind w:left="-108"/>
              <w:jc w:val="both"/>
              <w:rPr>
                <w:rFonts w:ascii="Arial Narrow" w:hAnsi="Arial Narrow" w:cs="Arial"/>
                <w:sz w:val="20"/>
                <w:szCs w:val="20"/>
              </w:rPr>
            </w:pPr>
          </w:p>
          <w:p w:rsidR="00923872" w:rsidRDefault="003F2B06">
            <w:pPr>
              <w:keepNext/>
              <w:ind w:left="-108"/>
              <w:jc w:val="both"/>
              <w:rPr>
                <w:rFonts w:ascii="Arial Narrow" w:hAnsi="Arial Narrow" w:cs="Arial"/>
                <w:sz w:val="20"/>
                <w:szCs w:val="20"/>
              </w:rPr>
            </w:pPr>
            <w:r>
              <w:rPr>
                <w:rFonts w:ascii="Arial Narrow" w:hAnsi="Arial Narrow" w:cs="Arial"/>
                <w:sz w:val="20"/>
                <w:szCs w:val="20"/>
              </w:rPr>
              <w:t>5</w:t>
            </w:r>
          </w:p>
        </w:tc>
        <w:tc>
          <w:tcPr>
            <w:tcW w:w="1328" w:type="pct"/>
          </w:tcPr>
          <w:p w:rsidR="00923872" w:rsidRDefault="003F2B06">
            <w:pPr>
              <w:keepNext/>
              <w:jc w:val="both"/>
              <w:rPr>
                <w:rFonts w:ascii="Arial Narrow" w:hAnsi="Arial Narrow" w:cs="Arial"/>
                <w:sz w:val="20"/>
                <w:szCs w:val="20"/>
              </w:rPr>
            </w:pPr>
            <w:r>
              <w:rPr>
                <w:rFonts w:ascii="Arial Narrow" w:hAnsi="Arial Narrow" w:cs="Arial"/>
                <w:sz w:val="20"/>
                <w:szCs w:val="20"/>
              </w:rPr>
              <w:t>Gilenya</w:t>
            </w:r>
          </w:p>
        </w:tc>
        <w:tc>
          <w:tcPr>
            <w:tcW w:w="938" w:type="pct"/>
          </w:tcPr>
          <w:p w:rsidR="00923872" w:rsidRDefault="003F2B06">
            <w:pPr>
              <w:keepNext/>
              <w:jc w:val="both"/>
              <w:rPr>
                <w:rFonts w:ascii="Arial Narrow" w:hAnsi="Arial Narrow" w:cs="Arial"/>
                <w:sz w:val="20"/>
                <w:szCs w:val="20"/>
              </w:rPr>
            </w:pPr>
            <w:r>
              <w:rPr>
                <w:rFonts w:ascii="Arial Narrow" w:hAnsi="Arial Narrow" w:cs="Arial"/>
                <w:sz w:val="20"/>
                <w:szCs w:val="20"/>
              </w:rPr>
              <w:t>Novartis</w:t>
            </w:r>
          </w:p>
        </w:tc>
      </w:tr>
      <w:tr w:rsidR="00923872" w:rsidTr="00317018">
        <w:trPr>
          <w:cantSplit/>
          <w:trHeight w:val="360"/>
        </w:trPr>
        <w:tc>
          <w:tcPr>
            <w:tcW w:w="5000" w:type="pct"/>
            <w:gridSpan w:val="5"/>
            <w:tcBorders>
              <w:bottom w:val="single" w:sz="4" w:space="0" w:color="auto"/>
            </w:tcBorders>
          </w:tcPr>
          <w:p w:rsidR="00923872" w:rsidRDefault="00923872">
            <w:pPr>
              <w:spacing w:before="20" w:after="20"/>
              <w:rPr>
                <w:rFonts w:ascii="Arial Narrow" w:hAnsi="Arial Narrow"/>
                <w:sz w:val="20"/>
              </w:rPr>
            </w:pPr>
          </w:p>
        </w:tc>
      </w:tr>
      <w:tr w:rsidR="00923872" w:rsidTr="00317018">
        <w:trPr>
          <w:cantSplit/>
          <w:trHeight w:val="360"/>
        </w:trPr>
        <w:tc>
          <w:tcPr>
            <w:tcW w:w="1857" w:type="pct"/>
            <w:tcBorders>
              <w:top w:val="single" w:sz="4" w:space="0" w:color="auto"/>
              <w:left w:val="single" w:sz="4" w:space="0" w:color="auto"/>
              <w:bottom w:val="single" w:sz="4" w:space="0" w:color="auto"/>
              <w:right w:val="single" w:sz="4" w:space="0" w:color="auto"/>
            </w:tcBorders>
          </w:tcPr>
          <w:p w:rsidR="00923872" w:rsidRDefault="003F2B06">
            <w:pPr>
              <w:jc w:val="both"/>
              <w:rPr>
                <w:rFonts w:ascii="Arial Narrow" w:hAnsi="Arial Narrow" w:cs="Arial"/>
                <w:b/>
                <w:sz w:val="20"/>
                <w:szCs w:val="20"/>
              </w:rPr>
            </w:pPr>
            <w:r>
              <w:rPr>
                <w:rFonts w:ascii="Arial Narrow" w:hAnsi="Arial Narrow" w:cs="Arial"/>
                <w:b/>
                <w:sz w:val="20"/>
                <w:szCs w:val="20"/>
              </w:rPr>
              <w:t>Category / Program:</w:t>
            </w:r>
          </w:p>
        </w:tc>
        <w:tc>
          <w:tcPr>
            <w:tcW w:w="3143" w:type="pct"/>
            <w:gridSpan w:val="4"/>
            <w:tcBorders>
              <w:top w:val="single" w:sz="4" w:space="0" w:color="auto"/>
              <w:left w:val="single" w:sz="4" w:space="0" w:color="auto"/>
              <w:bottom w:val="single" w:sz="4" w:space="0" w:color="auto"/>
              <w:right w:val="single" w:sz="4" w:space="0" w:color="auto"/>
            </w:tcBorders>
          </w:tcPr>
          <w:p w:rsidR="00923872" w:rsidRDefault="003F2B06">
            <w:pPr>
              <w:rPr>
                <w:rFonts w:ascii="Arial Narrow" w:hAnsi="Arial Narrow" w:cs="Arial"/>
                <w:sz w:val="20"/>
                <w:szCs w:val="20"/>
              </w:rPr>
            </w:pPr>
            <w:r>
              <w:rPr>
                <w:rFonts w:ascii="Arial Narrow" w:hAnsi="Arial Narrow" w:cs="Arial"/>
                <w:sz w:val="20"/>
                <w:szCs w:val="20"/>
              </w:rPr>
              <w:t>GENERAL – General Schedule (Code GE)</w:t>
            </w:r>
          </w:p>
        </w:tc>
      </w:tr>
      <w:tr w:rsidR="00923872" w:rsidTr="00317018">
        <w:trPr>
          <w:cantSplit/>
          <w:trHeight w:val="360"/>
        </w:trPr>
        <w:tc>
          <w:tcPr>
            <w:tcW w:w="1857" w:type="pct"/>
            <w:tcBorders>
              <w:top w:val="single" w:sz="4" w:space="0" w:color="auto"/>
              <w:left w:val="single" w:sz="4" w:space="0" w:color="auto"/>
              <w:bottom w:val="single" w:sz="4" w:space="0" w:color="auto"/>
              <w:right w:val="single" w:sz="4" w:space="0" w:color="auto"/>
            </w:tcBorders>
          </w:tcPr>
          <w:p w:rsidR="00923872" w:rsidRDefault="003F2B06">
            <w:pPr>
              <w:jc w:val="both"/>
              <w:rPr>
                <w:rFonts w:ascii="Arial Narrow" w:hAnsi="Arial Narrow" w:cs="Arial"/>
                <w:b/>
                <w:sz w:val="20"/>
                <w:szCs w:val="20"/>
              </w:rPr>
            </w:pPr>
            <w:r>
              <w:rPr>
                <w:rFonts w:ascii="Arial Narrow" w:hAnsi="Arial Narrow" w:cs="Arial"/>
                <w:b/>
                <w:sz w:val="20"/>
                <w:szCs w:val="20"/>
              </w:rPr>
              <w:t>Prescriber type:</w:t>
            </w:r>
          </w:p>
          <w:p w:rsidR="00923872" w:rsidRDefault="00923872">
            <w:pPr>
              <w:jc w:val="both"/>
              <w:rPr>
                <w:rFonts w:ascii="Arial Narrow" w:hAnsi="Arial Narrow" w:cs="Arial"/>
                <w:b/>
                <w:sz w:val="20"/>
                <w:szCs w:val="20"/>
              </w:rPr>
            </w:pPr>
          </w:p>
        </w:tc>
        <w:tc>
          <w:tcPr>
            <w:tcW w:w="3143" w:type="pct"/>
            <w:gridSpan w:val="4"/>
            <w:tcBorders>
              <w:top w:val="single" w:sz="4" w:space="0" w:color="auto"/>
              <w:left w:val="single" w:sz="4" w:space="0" w:color="auto"/>
              <w:bottom w:val="single" w:sz="4" w:space="0" w:color="auto"/>
              <w:right w:val="single" w:sz="4" w:space="0" w:color="auto"/>
            </w:tcBorders>
          </w:tcPr>
          <w:p w:rsidR="00923872" w:rsidRDefault="003F2B06">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7D721E">
              <w:rPr>
                <w:rFonts w:ascii="Arial Narrow" w:hAnsi="Arial Narrow" w:cs="Arial"/>
                <w:sz w:val="20"/>
                <w:szCs w:val="20"/>
              </w:rPr>
            </w:r>
            <w:r w:rsidR="007D721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D721E">
              <w:rPr>
                <w:rFonts w:ascii="Arial Narrow" w:hAnsi="Arial Narrow" w:cs="Arial"/>
                <w:sz w:val="20"/>
                <w:szCs w:val="20"/>
              </w:rPr>
            </w:r>
            <w:r w:rsidR="007D721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7D721E">
              <w:rPr>
                <w:rFonts w:ascii="Arial Narrow" w:hAnsi="Arial Narrow" w:cs="Arial"/>
                <w:sz w:val="20"/>
                <w:szCs w:val="20"/>
              </w:rPr>
            </w:r>
            <w:r w:rsidR="007D721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7D721E">
              <w:rPr>
                <w:rFonts w:ascii="Arial Narrow" w:hAnsi="Arial Narrow" w:cs="Arial"/>
                <w:sz w:val="20"/>
                <w:szCs w:val="20"/>
              </w:rPr>
            </w:r>
            <w:r w:rsidR="007D721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923872" w:rsidRDefault="003F2B06">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7D721E">
              <w:rPr>
                <w:rFonts w:ascii="Arial Narrow" w:hAnsi="Arial Narrow" w:cs="Arial"/>
                <w:sz w:val="20"/>
                <w:szCs w:val="20"/>
              </w:rPr>
            </w:r>
            <w:r w:rsidR="007D721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923872" w:rsidTr="00317018">
        <w:trPr>
          <w:cantSplit/>
          <w:trHeight w:val="360"/>
        </w:trPr>
        <w:tc>
          <w:tcPr>
            <w:tcW w:w="1857" w:type="pct"/>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b/>
                <w:sz w:val="20"/>
              </w:rPr>
            </w:pPr>
            <w:r>
              <w:rPr>
                <w:rFonts w:ascii="Arial Narrow" w:hAnsi="Arial Narrow"/>
                <w:b/>
                <w:sz w:val="20"/>
              </w:rPr>
              <w:t xml:space="preserve">PBS indication: </w:t>
            </w:r>
          </w:p>
        </w:tc>
        <w:tc>
          <w:tcPr>
            <w:tcW w:w="3143" w:type="pct"/>
            <w:gridSpan w:val="4"/>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sz w:val="20"/>
              </w:rPr>
            </w:pPr>
            <w:r>
              <w:rPr>
                <w:rFonts w:ascii="Arial Narrow" w:hAnsi="Arial Narrow"/>
                <w:sz w:val="20"/>
              </w:rPr>
              <w:t>Multiple sclerosis</w:t>
            </w:r>
          </w:p>
        </w:tc>
      </w:tr>
      <w:tr w:rsidR="00923872" w:rsidTr="00317018">
        <w:trPr>
          <w:cantSplit/>
          <w:trHeight w:val="360"/>
        </w:trPr>
        <w:tc>
          <w:tcPr>
            <w:tcW w:w="1857" w:type="pct"/>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b/>
                <w:sz w:val="20"/>
              </w:rPr>
            </w:pPr>
            <w:r>
              <w:rPr>
                <w:rFonts w:ascii="Arial Narrow" w:hAnsi="Arial Narrow"/>
                <w:b/>
                <w:sz w:val="20"/>
              </w:rPr>
              <w:t>Treatment phase:</w:t>
            </w:r>
          </w:p>
        </w:tc>
        <w:tc>
          <w:tcPr>
            <w:tcW w:w="3143" w:type="pct"/>
            <w:gridSpan w:val="4"/>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sz w:val="20"/>
              </w:rPr>
            </w:pPr>
            <w:r>
              <w:rPr>
                <w:rFonts w:ascii="Arial Narrow" w:hAnsi="Arial Narrow"/>
                <w:sz w:val="20"/>
              </w:rPr>
              <w:t>Initial treatment</w:t>
            </w:r>
          </w:p>
        </w:tc>
      </w:tr>
      <w:tr w:rsidR="00923872" w:rsidTr="00317018">
        <w:trPr>
          <w:cantSplit/>
          <w:trHeight w:val="360"/>
        </w:trPr>
        <w:tc>
          <w:tcPr>
            <w:tcW w:w="1857" w:type="pct"/>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b/>
                <w:sz w:val="20"/>
              </w:rPr>
            </w:pPr>
            <w:r>
              <w:rPr>
                <w:rFonts w:ascii="Arial Narrow" w:hAnsi="Arial Narrow"/>
                <w:b/>
                <w:sz w:val="20"/>
              </w:rPr>
              <w:t>Restriction:</w:t>
            </w:r>
          </w:p>
        </w:tc>
        <w:tc>
          <w:tcPr>
            <w:tcW w:w="3143" w:type="pct"/>
            <w:gridSpan w:val="4"/>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sz w:val="20"/>
              </w:rPr>
            </w:pPr>
            <w:r>
              <w:rPr>
                <w:rFonts w:ascii="Arial Narrow" w:hAnsi="Arial Narrow"/>
                <w:sz w:val="20"/>
              </w:rPr>
              <w:t>Authority Required - Telephone</w:t>
            </w:r>
          </w:p>
        </w:tc>
      </w:tr>
      <w:tr w:rsidR="00923872" w:rsidTr="00317018">
        <w:trPr>
          <w:trHeight w:val="360"/>
        </w:trPr>
        <w:tc>
          <w:tcPr>
            <w:tcW w:w="1857" w:type="pct"/>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b/>
                <w:sz w:val="20"/>
              </w:rPr>
            </w:pPr>
            <w:r>
              <w:rPr>
                <w:rFonts w:ascii="Arial Narrow" w:hAnsi="Arial Narrow"/>
                <w:b/>
                <w:sz w:val="20"/>
              </w:rPr>
              <w:t>Clinical criteria:</w:t>
            </w:r>
          </w:p>
          <w:p w:rsidR="00923872" w:rsidRDefault="00923872">
            <w:pPr>
              <w:spacing w:before="20" w:after="20"/>
              <w:rPr>
                <w:rFonts w:ascii="Arial Narrow" w:hAnsi="Arial Narrow"/>
                <w:i/>
                <w:sz w:val="20"/>
              </w:rPr>
            </w:pPr>
          </w:p>
          <w:p w:rsidR="00923872" w:rsidRDefault="00923872">
            <w:pPr>
              <w:spacing w:before="20" w:after="20"/>
              <w:rPr>
                <w:rFonts w:ascii="Arial Narrow" w:hAnsi="Arial Narrow"/>
                <w:i/>
                <w:sz w:val="20"/>
              </w:rPr>
            </w:pPr>
          </w:p>
        </w:tc>
        <w:tc>
          <w:tcPr>
            <w:tcW w:w="3143" w:type="pct"/>
            <w:gridSpan w:val="4"/>
            <w:tcBorders>
              <w:top w:val="single" w:sz="4" w:space="0" w:color="auto"/>
              <w:left w:val="single" w:sz="4" w:space="0" w:color="auto"/>
              <w:bottom w:val="single" w:sz="4" w:space="0" w:color="auto"/>
              <w:right w:val="single" w:sz="4" w:space="0" w:color="auto"/>
            </w:tcBorders>
          </w:tcPr>
          <w:p w:rsidR="00923872" w:rsidRDefault="003F2B06">
            <w:pPr>
              <w:spacing w:before="120"/>
              <w:rPr>
                <w:rFonts w:ascii="Arial Narrow" w:hAnsi="Arial Narrow"/>
                <w:sz w:val="20"/>
              </w:rPr>
            </w:pPr>
            <w:r>
              <w:rPr>
                <w:rFonts w:ascii="Arial Narrow" w:hAnsi="Arial Narrow"/>
                <w:sz w:val="20"/>
              </w:rPr>
              <w:t xml:space="preserve">The condition must be diagnosed as clinically definite relapsing-remitting multiple sclerosis by magnetic resonance imaging of the brain and/or spinal cord; OR </w:t>
            </w:r>
          </w:p>
          <w:p w:rsidR="00923872" w:rsidRDefault="003F2B06">
            <w:pPr>
              <w:spacing w:before="120"/>
              <w:rPr>
                <w:rFonts w:ascii="Arial Narrow" w:hAnsi="Arial Narrow"/>
                <w:sz w:val="20"/>
              </w:rPr>
            </w:pPr>
            <w:r>
              <w:rPr>
                <w:rFonts w:ascii="Arial Narrow" w:hAnsi="Arial Narrow"/>
                <w:sz w:val="20"/>
              </w:rPr>
              <w:t xml:space="preserve">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w:t>
            </w:r>
          </w:p>
          <w:p w:rsidR="00923872" w:rsidRDefault="003F2B06">
            <w:pPr>
              <w:spacing w:before="120"/>
              <w:rPr>
                <w:rFonts w:ascii="Arial Narrow" w:hAnsi="Arial Narrow"/>
                <w:sz w:val="20"/>
              </w:rPr>
            </w:pPr>
            <w:r>
              <w:rPr>
                <w:rFonts w:ascii="Arial Narrow" w:hAnsi="Arial Narrow"/>
                <w:sz w:val="20"/>
              </w:rPr>
              <w:t>AND</w:t>
            </w:r>
          </w:p>
          <w:p w:rsidR="00923872" w:rsidRDefault="003F2B06">
            <w:pPr>
              <w:spacing w:before="120"/>
              <w:rPr>
                <w:rFonts w:ascii="Arial Narrow" w:hAnsi="Arial Narrow"/>
                <w:sz w:val="20"/>
              </w:rPr>
            </w:pPr>
            <w:r>
              <w:rPr>
                <w:rFonts w:ascii="Arial Narrow" w:hAnsi="Arial Narrow"/>
                <w:sz w:val="20"/>
              </w:rPr>
              <w:t>The treatment must be a sole PBS-subsidised disease modifying therapy for this condition,</w:t>
            </w:r>
          </w:p>
          <w:p w:rsidR="00923872" w:rsidRDefault="003F2B06">
            <w:pPr>
              <w:spacing w:before="120"/>
              <w:rPr>
                <w:rFonts w:ascii="Arial Narrow" w:hAnsi="Arial Narrow"/>
                <w:sz w:val="20"/>
              </w:rPr>
            </w:pPr>
            <w:r>
              <w:rPr>
                <w:rFonts w:ascii="Arial Narrow" w:hAnsi="Arial Narrow"/>
                <w:sz w:val="20"/>
              </w:rPr>
              <w:t>AND</w:t>
            </w:r>
          </w:p>
          <w:p w:rsidR="00923872" w:rsidRDefault="003F2B06">
            <w:pPr>
              <w:spacing w:before="120"/>
              <w:rPr>
                <w:rFonts w:ascii="Arial Narrow" w:hAnsi="Arial Narrow"/>
                <w:sz w:val="20"/>
              </w:rPr>
            </w:pPr>
            <w:r>
              <w:rPr>
                <w:rFonts w:ascii="Arial Narrow" w:hAnsi="Arial Narrow"/>
                <w:sz w:val="20"/>
              </w:rPr>
              <w:t xml:space="preserve">Patient must have experienced at least 2 documented attacks of neurological dysfunction, believed to be due to multiple sclerosis, in the preceding 2 years of commencing a PBS-subsidised disease modifying therapy for this condition, </w:t>
            </w:r>
          </w:p>
          <w:p w:rsidR="00923872" w:rsidRDefault="003F2B06">
            <w:pPr>
              <w:spacing w:before="120"/>
              <w:rPr>
                <w:rFonts w:ascii="Arial Narrow" w:hAnsi="Arial Narrow"/>
                <w:sz w:val="20"/>
              </w:rPr>
            </w:pPr>
            <w:r>
              <w:rPr>
                <w:rFonts w:ascii="Arial Narrow" w:hAnsi="Arial Narrow"/>
                <w:sz w:val="20"/>
              </w:rPr>
              <w:t>AND</w:t>
            </w:r>
          </w:p>
          <w:p w:rsidR="00923872" w:rsidRDefault="003F2B06">
            <w:pPr>
              <w:spacing w:before="120"/>
              <w:rPr>
                <w:rFonts w:ascii="Arial Narrow" w:hAnsi="Arial Narrow"/>
                <w:sz w:val="20"/>
              </w:rPr>
            </w:pPr>
            <w:r>
              <w:rPr>
                <w:rFonts w:ascii="Arial Narrow" w:hAnsi="Arial Narrow"/>
                <w:sz w:val="20"/>
              </w:rPr>
              <w:t xml:space="preserve">Patient must be ambulatory (without assistance or support). </w:t>
            </w:r>
          </w:p>
        </w:tc>
      </w:tr>
      <w:tr w:rsidR="00923872" w:rsidTr="00317018">
        <w:trPr>
          <w:trHeight w:val="360"/>
        </w:trPr>
        <w:tc>
          <w:tcPr>
            <w:tcW w:w="1857" w:type="pct"/>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b/>
                <w:sz w:val="20"/>
              </w:rPr>
            </w:pPr>
            <w:r>
              <w:rPr>
                <w:rFonts w:ascii="Arial Narrow" w:hAnsi="Arial Narrow"/>
                <w:b/>
                <w:sz w:val="20"/>
              </w:rPr>
              <w:t>Population criteria</w:t>
            </w:r>
          </w:p>
        </w:tc>
        <w:tc>
          <w:tcPr>
            <w:tcW w:w="3143" w:type="pct"/>
            <w:gridSpan w:val="4"/>
            <w:tcBorders>
              <w:top w:val="single" w:sz="4" w:space="0" w:color="auto"/>
              <w:left w:val="single" w:sz="4" w:space="0" w:color="auto"/>
              <w:bottom w:val="single" w:sz="4" w:space="0" w:color="auto"/>
              <w:right w:val="single" w:sz="4" w:space="0" w:color="auto"/>
            </w:tcBorders>
          </w:tcPr>
          <w:p w:rsidR="00923872" w:rsidRDefault="003F2B06">
            <w:pPr>
              <w:rPr>
                <w:rFonts w:ascii="Arial Narrow" w:hAnsi="Arial Narrow"/>
                <w:sz w:val="20"/>
              </w:rPr>
            </w:pPr>
            <w:r>
              <w:rPr>
                <w:rFonts w:ascii="Arial Narrow" w:hAnsi="Arial Narrow"/>
                <w:sz w:val="20"/>
              </w:rPr>
              <w:t>Patient must weigh 40 kg or less.</w:t>
            </w:r>
          </w:p>
        </w:tc>
      </w:tr>
      <w:tr w:rsidR="00923872" w:rsidTr="00317018">
        <w:trPr>
          <w:cantSplit/>
          <w:trHeight w:val="360"/>
        </w:trPr>
        <w:tc>
          <w:tcPr>
            <w:tcW w:w="1857" w:type="pct"/>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b/>
                <w:sz w:val="20"/>
              </w:rPr>
            </w:pPr>
            <w:r>
              <w:rPr>
                <w:rFonts w:ascii="Arial Narrow" w:hAnsi="Arial Narrow"/>
                <w:b/>
                <w:sz w:val="20"/>
              </w:rPr>
              <w:t>Prescriber instruction</w:t>
            </w:r>
          </w:p>
        </w:tc>
        <w:tc>
          <w:tcPr>
            <w:tcW w:w="3143" w:type="pct"/>
            <w:gridSpan w:val="4"/>
            <w:tcBorders>
              <w:top w:val="single" w:sz="4" w:space="0" w:color="auto"/>
              <w:left w:val="single" w:sz="4" w:space="0" w:color="auto"/>
              <w:bottom w:val="single" w:sz="4" w:space="0" w:color="auto"/>
              <w:right w:val="single" w:sz="4" w:space="0" w:color="auto"/>
            </w:tcBorders>
          </w:tcPr>
          <w:p w:rsidR="00923872" w:rsidRDefault="003F2B06">
            <w:pPr>
              <w:rPr>
                <w:rFonts w:ascii="Arial Narrow" w:hAnsi="Arial Narrow"/>
                <w:sz w:val="20"/>
              </w:rPr>
            </w:pPr>
            <w:r>
              <w:rPr>
                <w:rFonts w:ascii="Arial Narrow" w:hAnsi="Arial Narrow"/>
                <w:sz w:val="20"/>
              </w:rPr>
              <w:t>Where applicable, the date of the magnetic resonance imaging scan must be recorded in the patient's medical record.</w:t>
            </w:r>
          </w:p>
        </w:tc>
      </w:tr>
      <w:tr w:rsidR="00923872" w:rsidTr="00317018">
        <w:trPr>
          <w:cantSplit/>
          <w:trHeight w:val="360"/>
        </w:trPr>
        <w:tc>
          <w:tcPr>
            <w:tcW w:w="1857" w:type="pct"/>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b/>
                <w:sz w:val="20"/>
              </w:rPr>
            </w:pPr>
            <w:r>
              <w:rPr>
                <w:rFonts w:ascii="Arial Narrow" w:hAnsi="Arial Narrow"/>
                <w:b/>
                <w:sz w:val="20"/>
              </w:rPr>
              <w:lastRenderedPageBreak/>
              <w:t>Administrative Advice</w:t>
            </w:r>
          </w:p>
          <w:p w:rsidR="00923872" w:rsidRDefault="00923872">
            <w:pPr>
              <w:spacing w:before="20" w:after="20"/>
              <w:rPr>
                <w:rFonts w:ascii="Arial Narrow" w:hAnsi="Arial Narrow"/>
                <w:i/>
                <w:sz w:val="20"/>
              </w:rPr>
            </w:pPr>
          </w:p>
        </w:tc>
        <w:tc>
          <w:tcPr>
            <w:tcW w:w="3143" w:type="pct"/>
            <w:gridSpan w:val="4"/>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sz w:val="20"/>
              </w:rPr>
            </w:pPr>
            <w:r>
              <w:rPr>
                <w:rFonts w:ascii="Arial Narrow" w:hAnsi="Arial Narrow"/>
                <w:sz w:val="20"/>
              </w:rPr>
              <w:t>No increase in the maximum quantity or number of units may be authorised.</w:t>
            </w:r>
          </w:p>
          <w:p w:rsidR="00923872" w:rsidRDefault="003F2B06">
            <w:pPr>
              <w:spacing w:before="20" w:after="20"/>
              <w:rPr>
                <w:rFonts w:ascii="Arial Narrow" w:hAnsi="Arial Narrow"/>
                <w:sz w:val="20"/>
              </w:rPr>
            </w:pPr>
            <w:r>
              <w:rPr>
                <w:rFonts w:ascii="Arial Narrow" w:hAnsi="Arial Narrow"/>
                <w:sz w:val="20"/>
              </w:rPr>
              <w:t>No increase in the maximum number of repeats may be authorised.</w:t>
            </w:r>
          </w:p>
          <w:p w:rsidR="00923872" w:rsidRDefault="003F2B06">
            <w:pPr>
              <w:spacing w:before="20" w:after="20"/>
              <w:rPr>
                <w:rFonts w:ascii="Arial Narrow" w:hAnsi="Arial Narrow"/>
                <w:sz w:val="20"/>
              </w:rPr>
            </w:pPr>
            <w:r>
              <w:rPr>
                <w:rFonts w:ascii="Arial Narrow" w:hAnsi="Arial Narrow"/>
                <w:sz w:val="20"/>
              </w:rPr>
              <w:t>Special Pricing Arrangements apply.</w:t>
            </w:r>
          </w:p>
        </w:tc>
      </w:tr>
    </w:tbl>
    <w:p w:rsidR="00923872" w:rsidRDefault="00923872">
      <w:pPr>
        <w:rPr>
          <w:rFonts w:asciiTheme="minorHAnsi" w:hAnsiTheme="minorHAnsi"/>
          <w:sz w:val="22"/>
          <w:szCs w:val="22"/>
        </w:rPr>
      </w:pPr>
    </w:p>
    <w:tbl>
      <w:tblPr>
        <w:tblW w:w="9072" w:type="dxa"/>
        <w:tblInd w:w="-5" w:type="dxa"/>
        <w:tblLayout w:type="fixed"/>
        <w:tblLook w:val="0000" w:firstRow="0" w:lastRow="0" w:firstColumn="0" w:lastColumn="0" w:noHBand="0" w:noVBand="0"/>
      </w:tblPr>
      <w:tblGrid>
        <w:gridCol w:w="3368"/>
        <w:gridCol w:w="5704"/>
      </w:tblGrid>
      <w:tr w:rsidR="00923872">
        <w:trPr>
          <w:cantSplit/>
          <w:trHeight w:val="360"/>
        </w:trPr>
        <w:tc>
          <w:tcPr>
            <w:tcW w:w="3368" w:type="dxa"/>
            <w:tcBorders>
              <w:top w:val="single" w:sz="4" w:space="0" w:color="auto"/>
              <w:left w:val="single" w:sz="4" w:space="0" w:color="auto"/>
              <w:bottom w:val="single" w:sz="4" w:space="0" w:color="auto"/>
              <w:right w:val="single" w:sz="4" w:space="0" w:color="auto"/>
            </w:tcBorders>
          </w:tcPr>
          <w:p w:rsidR="00923872" w:rsidRDefault="003F2B06">
            <w:pPr>
              <w:jc w:val="both"/>
              <w:rPr>
                <w:rFonts w:ascii="Arial Narrow" w:hAnsi="Arial Narrow" w:cs="Arial"/>
                <w:b/>
                <w:sz w:val="20"/>
                <w:szCs w:val="20"/>
              </w:rPr>
            </w:pPr>
            <w:r>
              <w:rPr>
                <w:rFonts w:ascii="Arial Narrow" w:hAnsi="Arial Narrow" w:cs="Arial"/>
                <w:b/>
                <w:sz w:val="20"/>
                <w:szCs w:val="20"/>
              </w:rPr>
              <w:t>Category / Program:</w:t>
            </w:r>
          </w:p>
        </w:tc>
        <w:tc>
          <w:tcPr>
            <w:tcW w:w="5704" w:type="dxa"/>
            <w:tcBorders>
              <w:top w:val="single" w:sz="4" w:space="0" w:color="auto"/>
              <w:left w:val="single" w:sz="4" w:space="0" w:color="auto"/>
              <w:bottom w:val="single" w:sz="4" w:space="0" w:color="auto"/>
              <w:right w:val="single" w:sz="4" w:space="0" w:color="auto"/>
            </w:tcBorders>
          </w:tcPr>
          <w:p w:rsidR="00923872" w:rsidRDefault="003F2B06">
            <w:pPr>
              <w:rPr>
                <w:rFonts w:ascii="Arial Narrow" w:hAnsi="Arial Narrow" w:cs="Arial"/>
                <w:sz w:val="20"/>
                <w:szCs w:val="20"/>
              </w:rPr>
            </w:pPr>
            <w:r>
              <w:rPr>
                <w:rFonts w:ascii="Arial Narrow" w:hAnsi="Arial Narrow" w:cs="Arial"/>
                <w:sz w:val="20"/>
                <w:szCs w:val="20"/>
              </w:rPr>
              <w:t>GENERAL – General Schedule (Code GE)</w:t>
            </w:r>
          </w:p>
        </w:tc>
      </w:tr>
      <w:tr w:rsidR="00923872">
        <w:trPr>
          <w:cantSplit/>
          <w:trHeight w:val="360"/>
        </w:trPr>
        <w:tc>
          <w:tcPr>
            <w:tcW w:w="3368" w:type="dxa"/>
            <w:tcBorders>
              <w:top w:val="single" w:sz="4" w:space="0" w:color="auto"/>
              <w:left w:val="single" w:sz="4" w:space="0" w:color="auto"/>
              <w:bottom w:val="single" w:sz="4" w:space="0" w:color="auto"/>
              <w:right w:val="single" w:sz="4" w:space="0" w:color="auto"/>
            </w:tcBorders>
          </w:tcPr>
          <w:p w:rsidR="00923872" w:rsidRDefault="003F2B06">
            <w:pPr>
              <w:jc w:val="both"/>
              <w:rPr>
                <w:rFonts w:ascii="Arial Narrow" w:hAnsi="Arial Narrow" w:cs="Arial"/>
                <w:b/>
                <w:sz w:val="20"/>
                <w:szCs w:val="20"/>
              </w:rPr>
            </w:pPr>
            <w:r>
              <w:rPr>
                <w:rFonts w:ascii="Arial Narrow" w:hAnsi="Arial Narrow" w:cs="Arial"/>
                <w:b/>
                <w:sz w:val="20"/>
                <w:szCs w:val="20"/>
              </w:rPr>
              <w:t>Prescriber type:</w:t>
            </w:r>
          </w:p>
          <w:p w:rsidR="00923872" w:rsidRDefault="00923872">
            <w:pPr>
              <w:jc w:val="both"/>
              <w:rPr>
                <w:rFonts w:ascii="Arial Narrow" w:hAnsi="Arial Narrow" w:cs="Arial"/>
                <w:b/>
                <w:sz w:val="20"/>
                <w:szCs w:val="20"/>
              </w:rPr>
            </w:pPr>
          </w:p>
        </w:tc>
        <w:tc>
          <w:tcPr>
            <w:tcW w:w="5704" w:type="dxa"/>
            <w:tcBorders>
              <w:top w:val="single" w:sz="4" w:space="0" w:color="auto"/>
              <w:left w:val="single" w:sz="4" w:space="0" w:color="auto"/>
              <w:bottom w:val="single" w:sz="4" w:space="0" w:color="auto"/>
              <w:right w:val="single" w:sz="4" w:space="0" w:color="auto"/>
            </w:tcBorders>
          </w:tcPr>
          <w:p w:rsidR="00923872" w:rsidRDefault="003F2B06">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7D721E">
              <w:rPr>
                <w:rFonts w:ascii="Arial Narrow" w:hAnsi="Arial Narrow" w:cs="Arial"/>
                <w:sz w:val="20"/>
                <w:szCs w:val="20"/>
              </w:rPr>
            </w:r>
            <w:r w:rsidR="007D721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D721E">
              <w:rPr>
                <w:rFonts w:ascii="Arial Narrow" w:hAnsi="Arial Narrow" w:cs="Arial"/>
                <w:sz w:val="20"/>
                <w:szCs w:val="20"/>
              </w:rPr>
            </w:r>
            <w:r w:rsidR="007D721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7D721E">
              <w:rPr>
                <w:rFonts w:ascii="Arial Narrow" w:hAnsi="Arial Narrow" w:cs="Arial"/>
                <w:sz w:val="20"/>
                <w:szCs w:val="20"/>
              </w:rPr>
            </w:r>
            <w:r w:rsidR="007D721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7D721E">
              <w:rPr>
                <w:rFonts w:ascii="Arial Narrow" w:hAnsi="Arial Narrow" w:cs="Arial"/>
                <w:sz w:val="20"/>
                <w:szCs w:val="20"/>
              </w:rPr>
            </w:r>
            <w:r w:rsidR="007D721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923872" w:rsidRDefault="003F2B06">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7D721E">
              <w:rPr>
                <w:rFonts w:ascii="Arial Narrow" w:hAnsi="Arial Narrow" w:cs="Arial"/>
                <w:sz w:val="20"/>
                <w:szCs w:val="20"/>
              </w:rPr>
            </w:r>
            <w:r w:rsidR="007D721E">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923872">
        <w:trPr>
          <w:cantSplit/>
          <w:trHeight w:val="360"/>
        </w:trPr>
        <w:tc>
          <w:tcPr>
            <w:tcW w:w="3368" w:type="dxa"/>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b/>
                <w:sz w:val="20"/>
              </w:rPr>
            </w:pPr>
            <w:r>
              <w:rPr>
                <w:rFonts w:ascii="Arial Narrow" w:hAnsi="Arial Narrow"/>
                <w:b/>
                <w:sz w:val="20"/>
              </w:rPr>
              <w:t xml:space="preserve">PBS indication: </w:t>
            </w:r>
          </w:p>
        </w:tc>
        <w:tc>
          <w:tcPr>
            <w:tcW w:w="5704" w:type="dxa"/>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sz w:val="20"/>
              </w:rPr>
            </w:pPr>
            <w:r>
              <w:rPr>
                <w:rFonts w:ascii="Arial Narrow" w:hAnsi="Arial Narrow"/>
                <w:sz w:val="20"/>
              </w:rPr>
              <w:t>Multiple sclerosis</w:t>
            </w:r>
          </w:p>
        </w:tc>
      </w:tr>
      <w:tr w:rsidR="00923872">
        <w:trPr>
          <w:cantSplit/>
          <w:trHeight w:val="360"/>
        </w:trPr>
        <w:tc>
          <w:tcPr>
            <w:tcW w:w="3368" w:type="dxa"/>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b/>
                <w:sz w:val="20"/>
              </w:rPr>
            </w:pPr>
            <w:r>
              <w:rPr>
                <w:rFonts w:ascii="Arial Narrow" w:hAnsi="Arial Narrow"/>
                <w:b/>
                <w:sz w:val="20"/>
              </w:rPr>
              <w:t>Treatment phase:</w:t>
            </w:r>
          </w:p>
        </w:tc>
        <w:tc>
          <w:tcPr>
            <w:tcW w:w="5704" w:type="dxa"/>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sz w:val="20"/>
              </w:rPr>
            </w:pPr>
            <w:r>
              <w:rPr>
                <w:rFonts w:ascii="Arial Narrow" w:hAnsi="Arial Narrow"/>
                <w:sz w:val="20"/>
              </w:rPr>
              <w:t>Continuing treatment</w:t>
            </w:r>
          </w:p>
        </w:tc>
      </w:tr>
      <w:tr w:rsidR="00923872">
        <w:trPr>
          <w:cantSplit/>
          <w:trHeight w:val="360"/>
        </w:trPr>
        <w:tc>
          <w:tcPr>
            <w:tcW w:w="3368" w:type="dxa"/>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b/>
                <w:sz w:val="20"/>
              </w:rPr>
            </w:pPr>
            <w:r>
              <w:rPr>
                <w:rFonts w:ascii="Arial Narrow" w:hAnsi="Arial Narrow"/>
                <w:b/>
                <w:sz w:val="20"/>
              </w:rPr>
              <w:t>Restriction:</w:t>
            </w:r>
          </w:p>
        </w:tc>
        <w:tc>
          <w:tcPr>
            <w:tcW w:w="5704" w:type="dxa"/>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sz w:val="20"/>
              </w:rPr>
            </w:pPr>
            <w:r>
              <w:rPr>
                <w:rFonts w:ascii="Arial Narrow" w:hAnsi="Arial Narrow"/>
                <w:sz w:val="20"/>
              </w:rPr>
              <w:t>Authority Required - Telephone</w:t>
            </w:r>
          </w:p>
        </w:tc>
      </w:tr>
      <w:tr w:rsidR="00923872">
        <w:trPr>
          <w:trHeight w:val="360"/>
        </w:trPr>
        <w:tc>
          <w:tcPr>
            <w:tcW w:w="3368" w:type="dxa"/>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b/>
                <w:sz w:val="20"/>
              </w:rPr>
            </w:pPr>
            <w:r>
              <w:rPr>
                <w:rFonts w:ascii="Arial Narrow" w:hAnsi="Arial Narrow"/>
                <w:b/>
                <w:sz w:val="20"/>
              </w:rPr>
              <w:t>Clinical criteria:</w:t>
            </w:r>
          </w:p>
          <w:p w:rsidR="00923872" w:rsidRDefault="00923872">
            <w:pPr>
              <w:spacing w:before="20" w:after="20"/>
              <w:rPr>
                <w:rFonts w:ascii="Arial Narrow" w:hAnsi="Arial Narrow"/>
                <w:i/>
                <w:sz w:val="20"/>
              </w:rPr>
            </w:pPr>
          </w:p>
          <w:p w:rsidR="00923872" w:rsidRDefault="00923872">
            <w:pPr>
              <w:spacing w:before="20" w:after="20"/>
              <w:rPr>
                <w:rFonts w:ascii="Arial Narrow" w:hAnsi="Arial Narrow"/>
                <w:i/>
                <w:sz w:val="20"/>
              </w:rPr>
            </w:pPr>
          </w:p>
        </w:tc>
        <w:tc>
          <w:tcPr>
            <w:tcW w:w="5704" w:type="dxa"/>
            <w:tcBorders>
              <w:top w:val="single" w:sz="4" w:space="0" w:color="auto"/>
              <w:left w:val="single" w:sz="4" w:space="0" w:color="auto"/>
              <w:bottom w:val="single" w:sz="4" w:space="0" w:color="auto"/>
              <w:right w:val="single" w:sz="4" w:space="0" w:color="auto"/>
            </w:tcBorders>
          </w:tcPr>
          <w:p w:rsidR="00923872" w:rsidRDefault="003F2B06">
            <w:pPr>
              <w:spacing w:before="120"/>
              <w:rPr>
                <w:rFonts w:ascii="Arial Narrow" w:hAnsi="Arial Narrow"/>
                <w:sz w:val="20"/>
              </w:rPr>
            </w:pPr>
            <w:r>
              <w:rPr>
                <w:rFonts w:ascii="Arial Narrow" w:hAnsi="Arial Narrow"/>
                <w:sz w:val="20"/>
              </w:rPr>
              <w:t>The condition must be diagnosed as clinically definite relapsing-remitting multiple sclerosis</w:t>
            </w:r>
          </w:p>
          <w:p w:rsidR="00923872" w:rsidRDefault="003F2B06">
            <w:pPr>
              <w:spacing w:before="120"/>
              <w:rPr>
                <w:rFonts w:ascii="Arial Narrow" w:hAnsi="Arial Narrow"/>
                <w:sz w:val="20"/>
              </w:rPr>
            </w:pPr>
            <w:r>
              <w:rPr>
                <w:rFonts w:ascii="Arial Narrow" w:hAnsi="Arial Narrow"/>
                <w:sz w:val="20"/>
              </w:rPr>
              <w:t>AND</w:t>
            </w:r>
          </w:p>
          <w:p w:rsidR="00923872" w:rsidRDefault="003F2B06">
            <w:pPr>
              <w:spacing w:before="120"/>
              <w:rPr>
                <w:rFonts w:ascii="Arial Narrow" w:hAnsi="Arial Narrow"/>
                <w:sz w:val="20"/>
              </w:rPr>
            </w:pPr>
            <w:r>
              <w:rPr>
                <w:rFonts w:ascii="Arial Narrow" w:hAnsi="Arial Narrow"/>
                <w:sz w:val="20"/>
              </w:rPr>
              <w:t>The treatment must be a sole PBS-subsidised disease modifying therapy for this condition</w:t>
            </w:r>
          </w:p>
          <w:p w:rsidR="00923872" w:rsidRDefault="003F2B06">
            <w:pPr>
              <w:spacing w:before="120"/>
              <w:rPr>
                <w:rFonts w:ascii="Arial Narrow" w:hAnsi="Arial Narrow"/>
                <w:sz w:val="20"/>
              </w:rPr>
            </w:pPr>
            <w:r>
              <w:rPr>
                <w:rFonts w:ascii="Arial Narrow" w:hAnsi="Arial Narrow"/>
                <w:sz w:val="20"/>
              </w:rPr>
              <w:t>AND</w:t>
            </w:r>
          </w:p>
          <w:p w:rsidR="00923872" w:rsidRDefault="003F2B06">
            <w:pPr>
              <w:spacing w:before="120"/>
              <w:rPr>
                <w:rFonts w:ascii="Arial Narrow" w:hAnsi="Arial Narrow"/>
                <w:sz w:val="20"/>
              </w:rPr>
            </w:pPr>
            <w:r>
              <w:rPr>
                <w:rFonts w:ascii="Arial Narrow" w:hAnsi="Arial Narrow"/>
                <w:sz w:val="20"/>
              </w:rPr>
              <w:t>Patient must have previously received PBS-subsidised treatment with this drug for this condition</w:t>
            </w:r>
          </w:p>
          <w:p w:rsidR="00923872" w:rsidRDefault="003F2B06">
            <w:pPr>
              <w:spacing w:before="120"/>
              <w:rPr>
                <w:rFonts w:ascii="Arial Narrow" w:hAnsi="Arial Narrow"/>
                <w:sz w:val="20"/>
              </w:rPr>
            </w:pPr>
            <w:r>
              <w:rPr>
                <w:rFonts w:ascii="Arial Narrow" w:hAnsi="Arial Narrow"/>
                <w:sz w:val="20"/>
              </w:rPr>
              <w:t>AND</w:t>
            </w:r>
          </w:p>
          <w:p w:rsidR="00923872" w:rsidRDefault="003F2B06">
            <w:pPr>
              <w:spacing w:before="120"/>
              <w:rPr>
                <w:rFonts w:ascii="Arial Narrow" w:hAnsi="Arial Narrow"/>
                <w:sz w:val="20"/>
              </w:rPr>
            </w:pPr>
            <w:r>
              <w:rPr>
                <w:rFonts w:ascii="Arial Narrow" w:hAnsi="Arial Narrow"/>
                <w:sz w:val="20"/>
              </w:rPr>
              <w:t>Patient must not show continuing progression of disability while on treatment with this drug</w:t>
            </w:r>
          </w:p>
          <w:p w:rsidR="00923872" w:rsidRDefault="003F2B06">
            <w:pPr>
              <w:spacing w:before="120"/>
              <w:rPr>
                <w:rFonts w:ascii="Arial Narrow" w:hAnsi="Arial Narrow"/>
                <w:sz w:val="20"/>
              </w:rPr>
            </w:pPr>
            <w:r>
              <w:rPr>
                <w:rFonts w:ascii="Arial Narrow" w:hAnsi="Arial Narrow"/>
                <w:sz w:val="20"/>
              </w:rPr>
              <w:t>AND</w:t>
            </w:r>
          </w:p>
          <w:p w:rsidR="00923872" w:rsidRDefault="003F2B06">
            <w:pPr>
              <w:spacing w:before="120"/>
              <w:rPr>
                <w:rFonts w:ascii="Arial Narrow" w:hAnsi="Arial Narrow"/>
                <w:sz w:val="20"/>
              </w:rPr>
            </w:pPr>
            <w:r>
              <w:rPr>
                <w:rFonts w:ascii="Arial Narrow" w:hAnsi="Arial Narrow"/>
                <w:sz w:val="20"/>
              </w:rPr>
              <w:t xml:space="preserve">Patient must have demonstrated compliance with, and an ability to tolerate this therapy.  </w:t>
            </w:r>
          </w:p>
        </w:tc>
      </w:tr>
      <w:tr w:rsidR="00923872">
        <w:trPr>
          <w:trHeight w:val="360"/>
        </w:trPr>
        <w:tc>
          <w:tcPr>
            <w:tcW w:w="3368" w:type="dxa"/>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b/>
                <w:sz w:val="20"/>
              </w:rPr>
            </w:pPr>
            <w:r>
              <w:rPr>
                <w:rFonts w:ascii="Arial Narrow" w:hAnsi="Arial Narrow"/>
                <w:b/>
                <w:sz w:val="20"/>
              </w:rPr>
              <w:t>Population criteria</w:t>
            </w:r>
          </w:p>
        </w:tc>
        <w:tc>
          <w:tcPr>
            <w:tcW w:w="5704" w:type="dxa"/>
            <w:tcBorders>
              <w:top w:val="single" w:sz="4" w:space="0" w:color="auto"/>
              <w:left w:val="single" w:sz="4" w:space="0" w:color="auto"/>
              <w:bottom w:val="single" w:sz="4" w:space="0" w:color="auto"/>
              <w:right w:val="single" w:sz="4" w:space="0" w:color="auto"/>
            </w:tcBorders>
          </w:tcPr>
          <w:p w:rsidR="00923872" w:rsidRDefault="003F2B06">
            <w:pPr>
              <w:rPr>
                <w:rFonts w:ascii="Arial Narrow" w:hAnsi="Arial Narrow"/>
                <w:sz w:val="20"/>
              </w:rPr>
            </w:pPr>
            <w:r>
              <w:rPr>
                <w:rFonts w:ascii="Arial Narrow" w:hAnsi="Arial Narrow"/>
                <w:sz w:val="20"/>
              </w:rPr>
              <w:t>Patient must weigh 40 kg or less.</w:t>
            </w:r>
          </w:p>
        </w:tc>
      </w:tr>
      <w:tr w:rsidR="00923872">
        <w:trPr>
          <w:cantSplit/>
          <w:trHeight w:val="360"/>
        </w:trPr>
        <w:tc>
          <w:tcPr>
            <w:tcW w:w="3368" w:type="dxa"/>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b/>
                <w:sz w:val="20"/>
              </w:rPr>
            </w:pPr>
            <w:r>
              <w:rPr>
                <w:rFonts w:ascii="Arial Narrow" w:hAnsi="Arial Narrow"/>
                <w:b/>
                <w:sz w:val="20"/>
              </w:rPr>
              <w:t>Administrative Advice</w:t>
            </w:r>
          </w:p>
          <w:p w:rsidR="00923872" w:rsidRDefault="00923872">
            <w:pPr>
              <w:spacing w:before="20" w:after="20"/>
              <w:rPr>
                <w:rFonts w:ascii="Arial Narrow" w:hAnsi="Arial Narrow"/>
                <w:i/>
                <w:sz w:val="20"/>
              </w:rPr>
            </w:pPr>
          </w:p>
        </w:tc>
        <w:tc>
          <w:tcPr>
            <w:tcW w:w="5703" w:type="dxa"/>
            <w:tcBorders>
              <w:top w:val="single" w:sz="4" w:space="0" w:color="auto"/>
              <w:left w:val="single" w:sz="4" w:space="0" w:color="auto"/>
              <w:bottom w:val="single" w:sz="4" w:space="0" w:color="auto"/>
              <w:right w:val="single" w:sz="4" w:space="0" w:color="auto"/>
            </w:tcBorders>
          </w:tcPr>
          <w:p w:rsidR="00923872" w:rsidRDefault="003F2B06">
            <w:pPr>
              <w:spacing w:before="20" w:after="20"/>
              <w:rPr>
                <w:rFonts w:ascii="Arial Narrow" w:hAnsi="Arial Narrow"/>
                <w:sz w:val="20"/>
              </w:rPr>
            </w:pPr>
            <w:r>
              <w:rPr>
                <w:rFonts w:ascii="Arial Narrow" w:hAnsi="Arial Narrow"/>
                <w:sz w:val="20"/>
              </w:rPr>
              <w:t>No increase in the maximum quantity or number of units may be authorised.</w:t>
            </w:r>
          </w:p>
          <w:p w:rsidR="00923872" w:rsidRDefault="003F2B06">
            <w:pPr>
              <w:spacing w:before="20" w:after="20"/>
              <w:rPr>
                <w:rFonts w:ascii="Arial Narrow" w:hAnsi="Arial Narrow"/>
                <w:sz w:val="20"/>
              </w:rPr>
            </w:pPr>
            <w:r>
              <w:rPr>
                <w:rFonts w:ascii="Arial Narrow" w:hAnsi="Arial Narrow"/>
                <w:sz w:val="20"/>
              </w:rPr>
              <w:t>No increase in the maximum number of repeats may be authorised.</w:t>
            </w:r>
          </w:p>
          <w:p w:rsidR="00923872" w:rsidRDefault="003F2B06">
            <w:pPr>
              <w:spacing w:before="20" w:after="20"/>
              <w:rPr>
                <w:rFonts w:ascii="Arial Narrow" w:hAnsi="Arial Narrow"/>
                <w:sz w:val="20"/>
              </w:rPr>
            </w:pPr>
            <w:r>
              <w:rPr>
                <w:rFonts w:ascii="Arial Narrow" w:hAnsi="Arial Narrow"/>
                <w:sz w:val="20"/>
              </w:rPr>
              <w:t>Special Pricing Arrangements apply.</w:t>
            </w:r>
          </w:p>
        </w:tc>
      </w:tr>
    </w:tbl>
    <w:p w:rsidR="00923872" w:rsidRDefault="003F2B06">
      <w:pPr>
        <w:pStyle w:val="2Sections"/>
        <w:numPr>
          <w:ilvl w:val="0"/>
          <w:numId w:val="5"/>
        </w:numPr>
        <w:rPr>
          <w:lang w:val="en-GB"/>
        </w:rPr>
      </w:pPr>
      <w:r>
        <w:rPr>
          <w:lang w:val="en-GB"/>
        </w:rPr>
        <w:t>Context for Decision</w:t>
      </w:r>
    </w:p>
    <w:p w:rsidR="00FB1CE3" w:rsidRDefault="003F2B06">
      <w:pPr>
        <w:spacing w:line="276" w:lineRule="auto"/>
        <w:jc w:val="both"/>
        <w:rPr>
          <w:rFonts w:asciiTheme="minorHAnsi" w:eastAsiaTheme="minorHAnsi" w:hAnsiTheme="minorHAnsi" w:cs="Arial"/>
          <w:szCs w:val="22"/>
          <w:lang w:eastAsia="en-US"/>
        </w:rPr>
      </w:pPr>
      <w:r>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B1CE3" w:rsidRDefault="00FB1CE3">
      <w:pPr>
        <w:rPr>
          <w:rFonts w:asciiTheme="minorHAnsi" w:eastAsiaTheme="minorHAnsi" w:hAnsiTheme="minorHAnsi" w:cs="Arial"/>
          <w:szCs w:val="22"/>
          <w:lang w:eastAsia="en-US"/>
        </w:rPr>
      </w:pPr>
      <w:r>
        <w:rPr>
          <w:rFonts w:asciiTheme="minorHAnsi" w:eastAsiaTheme="minorHAnsi" w:hAnsiTheme="minorHAnsi" w:cs="Arial"/>
          <w:szCs w:val="22"/>
          <w:lang w:eastAsia="en-US"/>
        </w:rPr>
        <w:br w:type="page"/>
      </w:r>
    </w:p>
    <w:p w:rsidR="00923872" w:rsidRDefault="003F2B06">
      <w:pPr>
        <w:pStyle w:val="2Sections"/>
        <w:numPr>
          <w:ilvl w:val="0"/>
          <w:numId w:val="5"/>
        </w:numPr>
        <w:rPr>
          <w:lang w:val="en-GB"/>
        </w:rPr>
      </w:pPr>
      <w:r>
        <w:rPr>
          <w:lang w:val="en-GB"/>
        </w:rPr>
        <w:lastRenderedPageBreak/>
        <w:t>Sponsor’s Comment</w:t>
      </w:r>
    </w:p>
    <w:p w:rsidR="00923872" w:rsidRDefault="003F2B06">
      <w:pPr>
        <w:jc w:val="both"/>
        <w:rPr>
          <w:rFonts w:asciiTheme="minorHAnsi" w:hAnsiTheme="minorHAnsi"/>
        </w:rPr>
      </w:pPr>
      <w:r>
        <w:rPr>
          <w:rFonts w:asciiTheme="minorHAnsi" w:hAnsiTheme="minorHAnsi"/>
        </w:rPr>
        <w:t>Novartis is pleased that the PBAC has agreed to provide young patients with multiple sclerosis access to this treatment.</w:t>
      </w:r>
    </w:p>
    <w:sectPr w:rsidR="0092387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912" w:rsidRDefault="00672912">
      <w:r>
        <w:separator/>
      </w:r>
    </w:p>
    <w:p w:rsidR="00672912" w:rsidRDefault="00672912"/>
  </w:endnote>
  <w:endnote w:type="continuationSeparator" w:id="0">
    <w:p w:rsidR="00672912" w:rsidRDefault="00672912">
      <w:r>
        <w:continuationSeparator/>
      </w:r>
    </w:p>
    <w:p w:rsidR="00672912" w:rsidRDefault="00672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A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Sabon">
    <w:altName w:val="Times New Roman"/>
    <w:charset w:val="00"/>
    <w:family w:val="roman"/>
    <w:pitch w:val="variable"/>
    <w:sig w:usb0="00000287" w:usb1="08070000" w:usb2="00000010" w:usb3="00000000" w:csb0="0002009F" w:csb1="00000000"/>
  </w:font>
  <w:font w:name="Arial,Bold">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23872">
      <w:trPr>
        <w:trHeight w:val="151"/>
      </w:trPr>
      <w:tc>
        <w:tcPr>
          <w:tcW w:w="2250" w:type="pct"/>
          <w:tcBorders>
            <w:top w:val="nil"/>
            <w:left w:val="nil"/>
            <w:bottom w:val="single" w:sz="4" w:space="0" w:color="4F81BD"/>
            <w:right w:val="nil"/>
          </w:tcBorders>
        </w:tcPr>
        <w:p w:rsidR="00923872" w:rsidRDefault="00923872">
          <w:pPr>
            <w:pStyle w:val="Header"/>
            <w:spacing w:line="276" w:lineRule="auto"/>
            <w:rPr>
              <w:rFonts w:eastAsia="MS Gothic"/>
              <w:b/>
              <w:bCs/>
              <w:color w:val="4F81BD"/>
            </w:rPr>
          </w:pPr>
        </w:p>
      </w:tc>
      <w:tc>
        <w:tcPr>
          <w:tcW w:w="500" w:type="pct"/>
          <w:vMerge w:val="restart"/>
          <w:noWrap/>
          <w:vAlign w:val="center"/>
          <w:hideMark/>
        </w:tcPr>
        <w:p w:rsidR="00923872" w:rsidRDefault="003F2B06">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923872" w:rsidRDefault="00923872">
          <w:pPr>
            <w:pStyle w:val="Header"/>
            <w:spacing w:line="276" w:lineRule="auto"/>
            <w:rPr>
              <w:rFonts w:eastAsia="MS Gothic"/>
              <w:b/>
              <w:bCs/>
              <w:color w:val="4F81BD"/>
            </w:rPr>
          </w:pPr>
        </w:p>
      </w:tc>
    </w:tr>
    <w:tr w:rsidR="00923872">
      <w:trPr>
        <w:trHeight w:val="150"/>
      </w:trPr>
      <w:tc>
        <w:tcPr>
          <w:tcW w:w="2250" w:type="pct"/>
          <w:tcBorders>
            <w:top w:val="single" w:sz="4" w:space="0" w:color="4F81BD"/>
            <w:left w:val="nil"/>
            <w:bottom w:val="nil"/>
            <w:right w:val="nil"/>
          </w:tcBorders>
        </w:tcPr>
        <w:p w:rsidR="00923872" w:rsidRDefault="00923872">
          <w:pPr>
            <w:pStyle w:val="Header"/>
            <w:spacing w:line="276" w:lineRule="auto"/>
            <w:rPr>
              <w:rFonts w:eastAsia="MS Gothic"/>
              <w:b/>
              <w:bCs/>
              <w:color w:val="4F81BD"/>
            </w:rPr>
          </w:pPr>
        </w:p>
      </w:tc>
      <w:tc>
        <w:tcPr>
          <w:tcW w:w="0" w:type="auto"/>
          <w:vMerge/>
          <w:vAlign w:val="center"/>
          <w:hideMark/>
        </w:tcPr>
        <w:p w:rsidR="00923872" w:rsidRDefault="00923872">
          <w:pPr>
            <w:rPr>
              <w:color w:val="365F91"/>
              <w:sz w:val="22"/>
              <w:szCs w:val="22"/>
            </w:rPr>
          </w:pPr>
        </w:p>
      </w:tc>
      <w:tc>
        <w:tcPr>
          <w:tcW w:w="2250" w:type="pct"/>
          <w:tcBorders>
            <w:top w:val="single" w:sz="4" w:space="0" w:color="4F81BD"/>
            <w:left w:val="nil"/>
            <w:bottom w:val="nil"/>
            <w:right w:val="nil"/>
          </w:tcBorders>
        </w:tcPr>
        <w:p w:rsidR="00923872" w:rsidRDefault="00923872">
          <w:pPr>
            <w:pStyle w:val="Header"/>
            <w:spacing w:line="276" w:lineRule="auto"/>
            <w:rPr>
              <w:rFonts w:eastAsia="MS Gothic"/>
              <w:b/>
              <w:bCs/>
              <w:color w:val="4F81BD"/>
            </w:rPr>
          </w:pPr>
        </w:p>
      </w:tc>
    </w:tr>
  </w:tbl>
  <w:p w:rsidR="00923872" w:rsidRDefault="003F2B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3872" w:rsidRDefault="00923872">
    <w:pPr>
      <w:pStyle w:val="Footer"/>
    </w:pPr>
  </w:p>
  <w:p w:rsidR="00923872" w:rsidRDefault="0092387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960846"/>
      <w:docPartObj>
        <w:docPartGallery w:val="Page Numbers (Bottom of Page)"/>
        <w:docPartUnique/>
      </w:docPartObj>
    </w:sdtPr>
    <w:sdtEndPr>
      <w:rPr>
        <w:b/>
        <w:noProof/>
        <w:color w:val="808080" w:themeColor="background1" w:themeShade="80"/>
      </w:rPr>
    </w:sdtEndPr>
    <w:sdtContent>
      <w:p w:rsidR="00923872" w:rsidRDefault="00923872">
        <w:pPr>
          <w:pStyle w:val="Footer"/>
          <w:jc w:val="center"/>
        </w:pPr>
      </w:p>
      <w:p w:rsidR="00923872" w:rsidRDefault="003F2B06">
        <w:pPr>
          <w:pStyle w:val="Footer"/>
          <w:jc w:val="center"/>
          <w:rPr>
            <w:b/>
            <w:color w:val="808080" w:themeColor="background1" w:themeShade="80"/>
          </w:rPr>
        </w:pPr>
        <w:r>
          <w:rPr>
            <w:b/>
            <w:color w:val="808080" w:themeColor="background1" w:themeShade="80"/>
          </w:rPr>
          <w:fldChar w:fldCharType="begin"/>
        </w:r>
        <w:r>
          <w:rPr>
            <w:b/>
            <w:color w:val="808080" w:themeColor="background1" w:themeShade="80"/>
          </w:rPr>
          <w:instrText xml:space="preserve"> PAGE   \* MERGEFORMAT </w:instrText>
        </w:r>
        <w:r>
          <w:rPr>
            <w:b/>
            <w:color w:val="808080" w:themeColor="background1" w:themeShade="80"/>
          </w:rPr>
          <w:fldChar w:fldCharType="separate"/>
        </w:r>
        <w:r w:rsidR="007D721E">
          <w:rPr>
            <w:b/>
            <w:noProof/>
            <w:color w:val="808080" w:themeColor="background1" w:themeShade="80"/>
          </w:rPr>
          <w:t>10</w:t>
        </w:r>
        <w:r>
          <w:rPr>
            <w:b/>
            <w:noProof/>
            <w:color w:val="808080" w:themeColor="background1" w:themeShade="8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923872">
      <w:trPr>
        <w:trHeight w:val="151"/>
      </w:trPr>
      <w:tc>
        <w:tcPr>
          <w:tcW w:w="2250" w:type="pct"/>
          <w:tcBorders>
            <w:top w:val="nil"/>
            <w:left w:val="nil"/>
            <w:bottom w:val="single" w:sz="4" w:space="0" w:color="4F81BD"/>
            <w:right w:val="nil"/>
          </w:tcBorders>
        </w:tcPr>
        <w:p w:rsidR="00923872" w:rsidRDefault="00923872">
          <w:pPr>
            <w:pStyle w:val="Header"/>
            <w:spacing w:line="276" w:lineRule="auto"/>
            <w:rPr>
              <w:rFonts w:eastAsia="MS Gothic"/>
              <w:b/>
              <w:bCs/>
              <w:color w:val="4F81BD"/>
            </w:rPr>
          </w:pPr>
        </w:p>
      </w:tc>
      <w:tc>
        <w:tcPr>
          <w:tcW w:w="500" w:type="pct"/>
          <w:vMerge w:val="restart"/>
          <w:noWrap/>
          <w:vAlign w:val="center"/>
          <w:hideMark/>
        </w:tcPr>
        <w:p w:rsidR="00923872" w:rsidRDefault="003F2B06">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923872" w:rsidRDefault="00923872">
          <w:pPr>
            <w:pStyle w:val="Header"/>
            <w:spacing w:line="276" w:lineRule="auto"/>
            <w:rPr>
              <w:rFonts w:eastAsia="MS Gothic"/>
              <w:b/>
              <w:bCs/>
              <w:color w:val="4F81BD"/>
            </w:rPr>
          </w:pPr>
        </w:p>
      </w:tc>
    </w:tr>
    <w:tr w:rsidR="00923872">
      <w:trPr>
        <w:trHeight w:val="150"/>
      </w:trPr>
      <w:tc>
        <w:tcPr>
          <w:tcW w:w="2250" w:type="pct"/>
          <w:tcBorders>
            <w:top w:val="single" w:sz="4" w:space="0" w:color="4F81BD"/>
            <w:left w:val="nil"/>
            <w:bottom w:val="nil"/>
            <w:right w:val="nil"/>
          </w:tcBorders>
        </w:tcPr>
        <w:p w:rsidR="00923872" w:rsidRDefault="00923872">
          <w:pPr>
            <w:pStyle w:val="Header"/>
            <w:spacing w:line="276" w:lineRule="auto"/>
            <w:rPr>
              <w:rFonts w:eastAsia="MS Gothic"/>
              <w:b/>
              <w:bCs/>
              <w:color w:val="4F81BD"/>
            </w:rPr>
          </w:pPr>
        </w:p>
      </w:tc>
      <w:tc>
        <w:tcPr>
          <w:tcW w:w="0" w:type="auto"/>
          <w:vMerge/>
          <w:vAlign w:val="center"/>
          <w:hideMark/>
        </w:tcPr>
        <w:p w:rsidR="00923872" w:rsidRDefault="00923872">
          <w:pPr>
            <w:rPr>
              <w:color w:val="365F91"/>
              <w:sz w:val="22"/>
              <w:szCs w:val="22"/>
            </w:rPr>
          </w:pPr>
        </w:p>
      </w:tc>
      <w:tc>
        <w:tcPr>
          <w:tcW w:w="2250" w:type="pct"/>
          <w:tcBorders>
            <w:top w:val="single" w:sz="4" w:space="0" w:color="4F81BD"/>
            <w:left w:val="nil"/>
            <w:bottom w:val="nil"/>
            <w:right w:val="nil"/>
          </w:tcBorders>
        </w:tcPr>
        <w:p w:rsidR="00923872" w:rsidRDefault="00923872">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23872">
      <w:trPr>
        <w:trHeight w:val="151"/>
      </w:trPr>
      <w:tc>
        <w:tcPr>
          <w:tcW w:w="2250" w:type="pct"/>
          <w:tcBorders>
            <w:top w:val="nil"/>
            <w:left w:val="nil"/>
            <w:bottom w:val="single" w:sz="4" w:space="0" w:color="4F81BD"/>
            <w:right w:val="nil"/>
          </w:tcBorders>
        </w:tcPr>
        <w:p w:rsidR="00923872" w:rsidRDefault="00923872">
          <w:pPr>
            <w:pStyle w:val="Header"/>
            <w:spacing w:line="276" w:lineRule="auto"/>
            <w:rPr>
              <w:rFonts w:eastAsia="MS Gothic"/>
              <w:b/>
              <w:bCs/>
              <w:color w:val="4F81BD"/>
            </w:rPr>
          </w:pPr>
        </w:p>
      </w:tc>
      <w:tc>
        <w:tcPr>
          <w:tcW w:w="500" w:type="pct"/>
          <w:vMerge w:val="restart"/>
          <w:noWrap/>
          <w:vAlign w:val="center"/>
          <w:hideMark/>
        </w:tcPr>
        <w:p w:rsidR="00923872" w:rsidRDefault="003F2B06">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923872" w:rsidRDefault="00923872">
          <w:pPr>
            <w:pStyle w:val="Header"/>
            <w:spacing w:line="276" w:lineRule="auto"/>
            <w:rPr>
              <w:rFonts w:eastAsia="MS Gothic"/>
              <w:b/>
              <w:bCs/>
              <w:color w:val="4F81BD"/>
            </w:rPr>
          </w:pPr>
        </w:p>
      </w:tc>
    </w:tr>
    <w:tr w:rsidR="00923872">
      <w:trPr>
        <w:trHeight w:val="150"/>
      </w:trPr>
      <w:tc>
        <w:tcPr>
          <w:tcW w:w="2250" w:type="pct"/>
          <w:tcBorders>
            <w:top w:val="single" w:sz="4" w:space="0" w:color="4F81BD"/>
            <w:left w:val="nil"/>
            <w:bottom w:val="nil"/>
            <w:right w:val="nil"/>
          </w:tcBorders>
        </w:tcPr>
        <w:p w:rsidR="00923872" w:rsidRDefault="00923872">
          <w:pPr>
            <w:pStyle w:val="Header"/>
            <w:spacing w:line="276" w:lineRule="auto"/>
            <w:rPr>
              <w:rFonts w:eastAsia="MS Gothic"/>
              <w:b/>
              <w:bCs/>
              <w:color w:val="4F81BD"/>
            </w:rPr>
          </w:pPr>
        </w:p>
      </w:tc>
      <w:tc>
        <w:tcPr>
          <w:tcW w:w="0" w:type="auto"/>
          <w:vMerge/>
          <w:vAlign w:val="center"/>
          <w:hideMark/>
        </w:tcPr>
        <w:p w:rsidR="00923872" w:rsidRDefault="00923872">
          <w:pPr>
            <w:rPr>
              <w:color w:val="365F91"/>
              <w:sz w:val="22"/>
              <w:szCs w:val="22"/>
            </w:rPr>
          </w:pPr>
        </w:p>
      </w:tc>
      <w:tc>
        <w:tcPr>
          <w:tcW w:w="2250" w:type="pct"/>
          <w:tcBorders>
            <w:top w:val="single" w:sz="4" w:space="0" w:color="4F81BD"/>
            <w:left w:val="nil"/>
            <w:bottom w:val="nil"/>
            <w:right w:val="nil"/>
          </w:tcBorders>
        </w:tcPr>
        <w:p w:rsidR="00923872" w:rsidRDefault="00923872">
          <w:pPr>
            <w:pStyle w:val="Header"/>
            <w:spacing w:line="276" w:lineRule="auto"/>
            <w:rPr>
              <w:rFonts w:eastAsia="MS Gothic"/>
              <w:b/>
              <w:bCs/>
              <w:color w:val="4F81BD"/>
            </w:rPr>
          </w:pPr>
        </w:p>
      </w:tc>
    </w:tr>
  </w:tbl>
  <w:p w:rsidR="00923872" w:rsidRDefault="003F2B06">
    <w:pPr>
      <w:pStyle w:val="Footer"/>
      <w:jc w:val="center"/>
      <w:rPr>
        <w:b/>
        <w:i/>
        <w:sz w:val="20"/>
        <w:szCs w:val="20"/>
      </w:rPr>
    </w:pPr>
    <w:r>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b/>
        <w:i/>
        <w:sz w:val="20"/>
        <w:szCs w:val="20"/>
      </w:rPr>
      <w:t>BAC Meeting</w:t>
    </w:r>
  </w:p>
  <w:p w:rsidR="00923872" w:rsidRDefault="003F2B06">
    <w:pPr>
      <w:pStyle w:val="Footer"/>
      <w:jc w:val="center"/>
      <w:rPr>
        <w:b/>
        <w:i/>
        <w:sz w:val="20"/>
        <w:szCs w:val="20"/>
      </w:rPr>
    </w:pPr>
    <w:r>
      <w:rPr>
        <w:b/>
        <w:i/>
        <w:sz w:val="20"/>
        <w:szCs w:val="20"/>
      </w:rPr>
      <w:t>Commercial-in-Confidence</w:t>
    </w:r>
  </w:p>
  <w:p w:rsidR="00923872" w:rsidRDefault="009238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912" w:rsidRDefault="00672912">
      <w:r>
        <w:separator/>
      </w:r>
    </w:p>
    <w:p w:rsidR="00672912" w:rsidRDefault="00672912"/>
  </w:footnote>
  <w:footnote w:type="continuationSeparator" w:id="0">
    <w:p w:rsidR="00672912" w:rsidRDefault="00672912">
      <w:r>
        <w:continuationSeparator/>
      </w:r>
    </w:p>
    <w:p w:rsidR="00672912" w:rsidRDefault="006729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23872">
      <w:trPr>
        <w:trHeight w:val="151"/>
      </w:trPr>
      <w:tc>
        <w:tcPr>
          <w:tcW w:w="2389" w:type="pct"/>
          <w:tcBorders>
            <w:top w:val="nil"/>
            <w:left w:val="nil"/>
            <w:bottom w:val="single" w:sz="4" w:space="0" w:color="4F81BD"/>
            <w:right w:val="nil"/>
          </w:tcBorders>
        </w:tcPr>
        <w:p w:rsidR="00923872" w:rsidRDefault="00923872">
          <w:pPr>
            <w:pStyle w:val="Header"/>
            <w:spacing w:line="276" w:lineRule="auto"/>
            <w:rPr>
              <w:rFonts w:ascii="Cambria" w:eastAsia="MS Gothic" w:hAnsi="Cambria"/>
              <w:b/>
              <w:bCs/>
              <w:color w:val="4F81BD"/>
            </w:rPr>
          </w:pPr>
        </w:p>
      </w:tc>
      <w:tc>
        <w:tcPr>
          <w:tcW w:w="333" w:type="pct"/>
          <w:vMerge w:val="restart"/>
          <w:noWrap/>
          <w:vAlign w:val="center"/>
          <w:hideMark/>
        </w:tcPr>
        <w:p w:rsidR="00923872" w:rsidRDefault="003F2B06">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rsidR="00923872" w:rsidRDefault="00923872">
          <w:pPr>
            <w:pStyle w:val="Header"/>
            <w:spacing w:line="276" w:lineRule="auto"/>
            <w:rPr>
              <w:rFonts w:ascii="Cambria" w:eastAsia="MS Gothic" w:hAnsi="Cambria"/>
              <w:b/>
              <w:bCs/>
              <w:color w:val="4F81BD"/>
            </w:rPr>
          </w:pPr>
        </w:p>
      </w:tc>
    </w:tr>
    <w:tr w:rsidR="00923872">
      <w:trPr>
        <w:trHeight w:val="150"/>
      </w:trPr>
      <w:tc>
        <w:tcPr>
          <w:tcW w:w="2389" w:type="pct"/>
          <w:tcBorders>
            <w:top w:val="single" w:sz="4" w:space="0" w:color="4F81BD"/>
            <w:left w:val="nil"/>
            <w:bottom w:val="nil"/>
            <w:right w:val="nil"/>
          </w:tcBorders>
        </w:tcPr>
        <w:p w:rsidR="00923872" w:rsidRDefault="00923872">
          <w:pPr>
            <w:pStyle w:val="Header"/>
            <w:spacing w:line="276" w:lineRule="auto"/>
            <w:rPr>
              <w:rFonts w:ascii="Cambria" w:eastAsia="MS Gothic" w:hAnsi="Cambria"/>
              <w:b/>
              <w:bCs/>
              <w:color w:val="4F81BD"/>
            </w:rPr>
          </w:pPr>
        </w:p>
      </w:tc>
      <w:tc>
        <w:tcPr>
          <w:tcW w:w="0" w:type="auto"/>
          <w:vMerge/>
          <w:vAlign w:val="center"/>
          <w:hideMark/>
        </w:tcPr>
        <w:p w:rsidR="00923872" w:rsidRDefault="00923872">
          <w:pPr>
            <w:rPr>
              <w:rFonts w:ascii="Cambria" w:hAnsi="Cambria"/>
              <w:color w:val="4F81BD"/>
              <w:sz w:val="22"/>
              <w:szCs w:val="22"/>
            </w:rPr>
          </w:pPr>
        </w:p>
      </w:tc>
      <w:tc>
        <w:tcPr>
          <w:tcW w:w="2278" w:type="pct"/>
          <w:tcBorders>
            <w:top w:val="single" w:sz="4" w:space="0" w:color="4F81BD"/>
            <w:left w:val="nil"/>
            <w:bottom w:val="nil"/>
            <w:right w:val="nil"/>
          </w:tcBorders>
        </w:tcPr>
        <w:p w:rsidR="00923872" w:rsidRDefault="00923872">
          <w:pPr>
            <w:pStyle w:val="Header"/>
            <w:spacing w:line="276" w:lineRule="auto"/>
            <w:rPr>
              <w:rFonts w:ascii="Cambria" w:eastAsia="MS Gothic" w:hAnsi="Cambria"/>
              <w:b/>
              <w:bCs/>
              <w:color w:val="4F81BD"/>
            </w:rPr>
          </w:pPr>
        </w:p>
      </w:tc>
    </w:tr>
  </w:tbl>
  <w:p w:rsidR="00923872" w:rsidRDefault="00923872">
    <w:pPr>
      <w:pStyle w:val="Header"/>
    </w:pPr>
  </w:p>
  <w:p w:rsidR="00923872" w:rsidRDefault="0092387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72" w:rsidRDefault="003F2B06">
    <w:pPr>
      <w:pStyle w:val="PBACFooter"/>
      <w:rPr>
        <w:rFonts w:asciiTheme="minorHAnsi" w:hAnsiTheme="minorHAnsi" w:cstheme="minorHAnsi"/>
        <w:b w:val="0"/>
        <w:i/>
        <w:color w:val="808080" w:themeColor="background1" w:themeShade="80"/>
        <w:sz w:val="24"/>
      </w:rPr>
    </w:pPr>
    <w:r>
      <w:rPr>
        <w:rFonts w:asciiTheme="minorHAnsi" w:hAnsiTheme="minorHAnsi" w:cstheme="minorHAnsi"/>
        <w:b w:val="0"/>
        <w:i/>
        <w:color w:val="808080" w:themeColor="background1" w:themeShade="80"/>
        <w:sz w:val="24"/>
      </w:rPr>
      <w:t xml:space="preserve">Public Summary Document – July 2019 PBAC Meeting </w:t>
    </w:r>
  </w:p>
  <w:p w:rsidR="00923872" w:rsidRDefault="00923872">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912" w:rsidRDefault="00672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1421DA"/>
    <w:multiLevelType w:val="hybridMultilevel"/>
    <w:tmpl w:val="DFAA2C06"/>
    <w:lvl w:ilvl="0" w:tplc="68E47C6C">
      <w:start w:val="1"/>
      <w:numFmt w:val="bullet"/>
      <w:lvlText w:val=""/>
      <w:lvlJc w:val="left"/>
      <w:pPr>
        <w:ind w:left="-156" w:hanging="360"/>
      </w:pPr>
      <w:rPr>
        <w:rFonts w:ascii="Symbol" w:hAnsi="Symbol" w:hint="default"/>
        <w:color w:val="000000" w:themeColor="text1"/>
      </w:rPr>
    </w:lvl>
    <w:lvl w:ilvl="1" w:tplc="0C090003" w:tentative="1">
      <w:start w:val="1"/>
      <w:numFmt w:val="bullet"/>
      <w:lvlText w:val="o"/>
      <w:lvlJc w:val="left"/>
      <w:pPr>
        <w:ind w:left="564" w:hanging="360"/>
      </w:pPr>
      <w:rPr>
        <w:rFonts w:ascii="Courier New" w:hAnsi="Courier New" w:cs="Courier New" w:hint="default"/>
      </w:rPr>
    </w:lvl>
    <w:lvl w:ilvl="2" w:tplc="0C090005" w:tentative="1">
      <w:start w:val="1"/>
      <w:numFmt w:val="bullet"/>
      <w:lvlText w:val=""/>
      <w:lvlJc w:val="left"/>
      <w:pPr>
        <w:ind w:left="1284" w:hanging="360"/>
      </w:pPr>
      <w:rPr>
        <w:rFonts w:ascii="Wingdings" w:hAnsi="Wingdings" w:hint="default"/>
      </w:rPr>
    </w:lvl>
    <w:lvl w:ilvl="3" w:tplc="0C090001" w:tentative="1">
      <w:start w:val="1"/>
      <w:numFmt w:val="bullet"/>
      <w:lvlText w:val=""/>
      <w:lvlJc w:val="left"/>
      <w:pPr>
        <w:ind w:left="2004" w:hanging="360"/>
      </w:pPr>
      <w:rPr>
        <w:rFonts w:ascii="Symbol" w:hAnsi="Symbol" w:hint="default"/>
      </w:rPr>
    </w:lvl>
    <w:lvl w:ilvl="4" w:tplc="0C090003" w:tentative="1">
      <w:start w:val="1"/>
      <w:numFmt w:val="bullet"/>
      <w:lvlText w:val="o"/>
      <w:lvlJc w:val="left"/>
      <w:pPr>
        <w:ind w:left="2724" w:hanging="360"/>
      </w:pPr>
      <w:rPr>
        <w:rFonts w:ascii="Courier New" w:hAnsi="Courier New" w:cs="Courier New" w:hint="default"/>
      </w:rPr>
    </w:lvl>
    <w:lvl w:ilvl="5" w:tplc="0C090005" w:tentative="1">
      <w:start w:val="1"/>
      <w:numFmt w:val="bullet"/>
      <w:lvlText w:val=""/>
      <w:lvlJc w:val="left"/>
      <w:pPr>
        <w:ind w:left="3444" w:hanging="360"/>
      </w:pPr>
      <w:rPr>
        <w:rFonts w:ascii="Wingdings" w:hAnsi="Wingdings" w:hint="default"/>
      </w:rPr>
    </w:lvl>
    <w:lvl w:ilvl="6" w:tplc="0C090001" w:tentative="1">
      <w:start w:val="1"/>
      <w:numFmt w:val="bullet"/>
      <w:lvlText w:val=""/>
      <w:lvlJc w:val="left"/>
      <w:pPr>
        <w:ind w:left="4164" w:hanging="360"/>
      </w:pPr>
      <w:rPr>
        <w:rFonts w:ascii="Symbol" w:hAnsi="Symbol" w:hint="default"/>
      </w:rPr>
    </w:lvl>
    <w:lvl w:ilvl="7" w:tplc="0C090003" w:tentative="1">
      <w:start w:val="1"/>
      <w:numFmt w:val="bullet"/>
      <w:lvlText w:val="o"/>
      <w:lvlJc w:val="left"/>
      <w:pPr>
        <w:ind w:left="4884" w:hanging="360"/>
      </w:pPr>
      <w:rPr>
        <w:rFonts w:ascii="Courier New" w:hAnsi="Courier New" w:cs="Courier New" w:hint="default"/>
      </w:rPr>
    </w:lvl>
    <w:lvl w:ilvl="8" w:tplc="0C090005" w:tentative="1">
      <w:start w:val="1"/>
      <w:numFmt w:val="bullet"/>
      <w:lvlText w:val=""/>
      <w:lvlJc w:val="left"/>
      <w:pPr>
        <w:ind w:left="5604" w:hanging="360"/>
      </w:pPr>
      <w:rPr>
        <w:rFonts w:ascii="Wingdings" w:hAnsi="Wingdings" w:hint="default"/>
      </w:rPr>
    </w:lvl>
  </w:abstractNum>
  <w:abstractNum w:abstractNumId="13"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290C67"/>
    <w:multiLevelType w:val="hybridMultilevel"/>
    <w:tmpl w:val="F0464356"/>
    <w:lvl w:ilvl="0" w:tplc="C6F659A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84D033C"/>
    <w:multiLevelType w:val="multilevel"/>
    <w:tmpl w:val="A15A7B4A"/>
    <w:lvl w:ilvl="0">
      <w:start w:val="1"/>
      <w:numFmt w:val="decimal"/>
      <w:pStyle w:val="2Sections"/>
      <w:lvlText w:val="%1"/>
      <w:lvlJc w:val="left"/>
      <w:pPr>
        <w:ind w:left="720" w:hanging="720"/>
      </w:pPr>
      <w:rPr>
        <w:rFonts w:hint="default"/>
        <w:b/>
        <w:i w:val="0"/>
        <w:color w:val="000000" w:themeColor="text1"/>
      </w:rPr>
    </w:lvl>
    <w:lvl w:ilvl="1">
      <w:start w:val="1"/>
      <w:numFmt w:val="decimal"/>
      <w:pStyle w:val="3Bodytext"/>
      <w:lvlText w:val="%1.%2"/>
      <w:lvlJc w:val="left"/>
      <w:pPr>
        <w:ind w:left="720" w:hanging="720"/>
      </w:pPr>
      <w:rPr>
        <w:rFonts w:asciiTheme="minorHAnsi" w:hAnsiTheme="minorHAnsi" w:cstheme="minorHAnsi" w:hint="default"/>
        <w:b w:val="0"/>
        <w:i w:val="0"/>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500591"/>
    <w:multiLevelType w:val="hybridMultilevel"/>
    <w:tmpl w:val="6E448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A40E18"/>
    <w:multiLevelType w:val="hybridMultilevel"/>
    <w:tmpl w:val="79BEE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20"/>
  </w:num>
  <w:num w:numId="5">
    <w:abstractNumId w:val="26"/>
  </w:num>
  <w:num w:numId="6">
    <w:abstractNumId w:val="8"/>
  </w:num>
  <w:num w:numId="7">
    <w:abstractNumId w:val="18"/>
  </w:num>
  <w:num w:numId="8">
    <w:abstractNumId w:val="4"/>
  </w:num>
  <w:num w:numId="9">
    <w:abstractNumId w:val="17"/>
  </w:num>
  <w:num w:numId="10">
    <w:abstractNumId w:val="15"/>
  </w:num>
  <w:num w:numId="11">
    <w:abstractNumId w:val="13"/>
  </w:num>
  <w:num w:numId="12">
    <w:abstractNumId w:val="1"/>
  </w:num>
  <w:num w:numId="13">
    <w:abstractNumId w:val="0"/>
  </w:num>
  <w:num w:numId="14">
    <w:abstractNumId w:val="26"/>
  </w:num>
  <w:num w:numId="15">
    <w:abstractNumId w:val="26"/>
  </w:num>
  <w:num w:numId="16">
    <w:abstractNumId w:val="26"/>
  </w:num>
  <w:num w:numId="17">
    <w:abstractNumId w:val="25"/>
  </w:num>
  <w:num w:numId="18">
    <w:abstractNumId w:val="26"/>
  </w:num>
  <w:num w:numId="19">
    <w:abstractNumId w:val="19"/>
  </w:num>
  <w:num w:numId="20">
    <w:abstractNumId w:val="16"/>
  </w:num>
  <w:num w:numId="21">
    <w:abstractNumId w:val="26"/>
  </w:num>
  <w:num w:numId="22">
    <w:abstractNumId w:val="28"/>
  </w:num>
  <w:num w:numId="23">
    <w:abstractNumId w:val="27"/>
  </w:num>
  <w:num w:numId="24">
    <w:abstractNumId w:val="21"/>
  </w:num>
  <w:num w:numId="25">
    <w:abstractNumId w:val="12"/>
  </w:num>
  <w:num w:numId="26">
    <w:abstractNumId w:val="26"/>
  </w:num>
  <w:num w:numId="27">
    <w:abstractNumId w:val="22"/>
  </w:num>
  <w:num w:numId="28">
    <w:abstractNumId w:val="26"/>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23"/>
  </w:num>
  <w:num w:numId="37">
    <w:abstractNumId w:val="5"/>
  </w:num>
  <w:num w:numId="38">
    <w:abstractNumId w:val="24"/>
  </w:num>
  <w:num w:numId="39">
    <w:abstractNumId w:val="6"/>
  </w:num>
  <w:num w:numId="40">
    <w:abstractNumId w:val="2"/>
  </w:num>
  <w:num w:numId="41">
    <w:abstractNumId w:val="11"/>
  </w:num>
  <w:num w:numId="42">
    <w:abstractNumId w:val="14"/>
  </w:num>
  <w:num w:numId="43">
    <w:abstractNumId w:val="10"/>
  </w:num>
  <w:num w:numId="44">
    <w:abstractNumId w:val="26"/>
  </w:num>
  <w:num w:numId="45">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872"/>
    <w:rsid w:val="000A31CF"/>
    <w:rsid w:val="00205449"/>
    <w:rsid w:val="00213ABE"/>
    <w:rsid w:val="002742A1"/>
    <w:rsid w:val="00317018"/>
    <w:rsid w:val="00341037"/>
    <w:rsid w:val="003658E0"/>
    <w:rsid w:val="003F2B06"/>
    <w:rsid w:val="00433C5E"/>
    <w:rsid w:val="004446A9"/>
    <w:rsid w:val="004F331C"/>
    <w:rsid w:val="00616B7D"/>
    <w:rsid w:val="00644192"/>
    <w:rsid w:val="00672912"/>
    <w:rsid w:val="007D721E"/>
    <w:rsid w:val="00923872"/>
    <w:rsid w:val="009B037F"/>
    <w:rsid w:val="00A61DDE"/>
    <w:rsid w:val="00B810EB"/>
    <w:rsid w:val="00C65871"/>
    <w:rsid w:val="00DA3B28"/>
    <w:rsid w:val="00DA79CC"/>
    <w:rsid w:val="00E07A20"/>
    <w:rsid w:val="00E244EB"/>
    <w:rsid w:val="00EA0840"/>
    <w:rsid w:val="00EB2184"/>
    <w:rsid w:val="00F459A6"/>
    <w:rsid w:val="00FB1CE3"/>
    <w:rsid w:val="00FD21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4B5236A1-EE6A-448B-B161-8E0AB77F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sz w:val="24"/>
      <w:szCs w:val="24"/>
    </w:rPr>
  </w:style>
  <w:style w:type="paragraph" w:styleId="Heading1">
    <w:name w:val="heading 1"/>
    <w:basedOn w:val="ListParagraph"/>
    <w:next w:val="Normal"/>
    <w:link w:val="Heading1Char"/>
    <w:uiPriority w:val="1"/>
    <w:pPr>
      <w:ind w:left="0"/>
      <w:outlineLvl w:val="0"/>
    </w:pPr>
    <w:rPr>
      <w:b/>
      <w:szCs w:val="22"/>
    </w:rPr>
  </w:style>
  <w:style w:type="paragraph" w:styleId="Heading2">
    <w:name w:val="heading 2"/>
    <w:aliases w:val="Subsection Headings"/>
    <w:basedOn w:val="Normal"/>
    <w:next w:val="Normal"/>
    <w:link w:val="Heading2Char"/>
    <w:uiPriority w:val="1"/>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link w:val="NoSpacingChar"/>
    <w:uiPriority w:val="99"/>
    <w:qFormat/>
    <w:pPr>
      <w:jc w:val="both"/>
    </w:pPr>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pPr>
      <w:numPr>
        <w:numId w:val="12"/>
      </w:numPr>
      <w:contextualSpacing/>
    </w:pPr>
  </w:style>
  <w:style w:type="paragraph" w:styleId="ListContinue2">
    <w:name w:val="List Continue 2"/>
    <w:basedOn w:val="Normal"/>
    <w:pPr>
      <w:spacing w:after="120"/>
      <w:ind w:left="566"/>
      <w:contextualSpacing/>
    </w:pPr>
  </w:style>
  <w:style w:type="paragraph" w:styleId="ListNumber2">
    <w:name w:val="List Number 2"/>
    <w:basedOn w:val="Normal"/>
    <w:pPr>
      <w:tabs>
        <w:tab w:val="num" w:pos="643"/>
      </w:tabs>
      <w:ind w:left="643" w:hanging="360"/>
      <w:contextualSpacing/>
    </w:pPr>
  </w:style>
  <w:style w:type="character" w:customStyle="1" w:styleId="TitleChar">
    <w:name w:val="Title Char"/>
    <w:basedOn w:val="DefaultParagraphFont"/>
    <w:link w:val="Title"/>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Pr>
      <w:rFonts w:ascii="Arial" w:hAnsi="Arial" w:cs="Arial"/>
      <w:snapToGrid w:val="0"/>
      <w:sz w:val="22"/>
      <w:lang w:eastAsia="en-US"/>
    </w:rPr>
  </w:style>
  <w:style w:type="paragraph" w:customStyle="1" w:styleId="2Sections">
    <w:name w:val="2. Sections"/>
    <w:qFormat/>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Pr>
      <w:rFonts w:ascii="Arial" w:hAnsi="Arial"/>
      <w:b/>
      <w:i/>
      <w:sz w:val="22"/>
      <w:szCs w:val="24"/>
    </w:rPr>
  </w:style>
  <w:style w:type="paragraph" w:customStyle="1" w:styleId="1MainTitle">
    <w:name w:val="1. Main Title"/>
    <w:basedOn w:val="Title"/>
    <w:link w:val="1MainTitleChar"/>
    <w:qFormat/>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pPr>
      <w:jc w:val="right"/>
    </w:pPr>
    <w:rPr>
      <w:rFonts w:asciiTheme="minorHAnsi" w:hAnsiTheme="minorHAnsi" w:cs="Arial"/>
    </w:rPr>
  </w:style>
  <w:style w:type="character" w:customStyle="1" w:styleId="1MainTitleChar">
    <w:name w:val="1. Main Title Char"/>
    <w:basedOn w:val="TitleChar"/>
    <w:link w:val="1MainTitle"/>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pPr>
      <w:spacing w:after="60"/>
    </w:pPr>
    <w:rPr>
      <w:rFonts w:ascii="Arial Narrow" w:hAnsi="Arial Narrow"/>
      <w:b/>
      <w:sz w:val="20"/>
    </w:rPr>
  </w:style>
  <w:style w:type="character" w:customStyle="1" w:styleId="MinorOVRHeaderChar">
    <w:name w:val="Minor OVR Header Char"/>
    <w:basedOn w:val="HeaderChar"/>
    <w:link w:val="MinorOVRHeader"/>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Pr>
      <w:rFonts w:ascii="Arial" w:hAnsi="Arial"/>
      <w:sz w:val="22"/>
      <w:szCs w:val="22"/>
    </w:rPr>
  </w:style>
  <w:style w:type="character" w:customStyle="1" w:styleId="TabletitlesChar">
    <w:name w:val="Table titles Char"/>
    <w:basedOn w:val="NoSpacingChar"/>
    <w:link w:val="Tabletitles"/>
    <w:rPr>
      <w:rFonts w:ascii="Arial Narrow" w:hAnsi="Arial Narrow"/>
      <w:b/>
      <w:sz w:val="22"/>
      <w:szCs w:val="22"/>
    </w:rPr>
  </w:style>
  <w:style w:type="paragraph" w:customStyle="1" w:styleId="3Bodytext">
    <w:name w:val="3. Body text"/>
    <w:basedOn w:val="ListParagraph"/>
    <w:link w:val="3BodytextChar"/>
    <w:qFormat/>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pPr>
      <w:jc w:val="center"/>
    </w:pPr>
    <w:rPr>
      <w:rFonts w:ascii="Arial" w:hAnsi="Arial" w:cs="Arial"/>
      <w:b/>
      <w:sz w:val="20"/>
      <w:szCs w:val="20"/>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Pr>
      <w:rFonts w:ascii="Arial" w:hAnsi="Arial" w:cs="Arial"/>
      <w:b/>
      <w:sz w:val="24"/>
      <w:szCs w:val="24"/>
    </w:rPr>
  </w:style>
  <w:style w:type="paragraph" w:customStyle="1" w:styleId="PBACHeading1">
    <w:name w:val="PBAC Heading 1"/>
    <w:qFormat/>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Pr>
      <w:rFonts w:ascii="Arial Narrow" w:hAnsi="Arial Narrow"/>
      <w:sz w:val="20"/>
    </w:rPr>
  </w:style>
  <w:style w:type="paragraph" w:customStyle="1" w:styleId="Lists">
    <w:name w:val="Lists"/>
    <w:basedOn w:val="3Bodytext"/>
    <w:link w:val="ListsChar"/>
    <w:qFormat/>
    <w:pPr>
      <w:numPr>
        <w:ilvl w:val="0"/>
        <w:numId w:val="17"/>
      </w:numPr>
    </w:pPr>
  </w:style>
  <w:style w:type="character" w:customStyle="1" w:styleId="TableTextChar0">
    <w:name w:val="Table Text Char"/>
    <w:basedOn w:val="NoSpacingChar"/>
    <w:link w:val="TableText0"/>
    <w:rPr>
      <w:rFonts w:ascii="Arial Narrow" w:hAnsi="Arial Narrow"/>
      <w:sz w:val="22"/>
      <w:szCs w:val="22"/>
    </w:rPr>
  </w:style>
  <w:style w:type="character" w:styleId="FollowedHyperlink">
    <w:name w:val="FollowedHyperlink"/>
    <w:basedOn w:val="DefaultParagraphFont"/>
    <w:semiHidden/>
    <w:unhideWhenUsed/>
    <w:rPr>
      <w:color w:val="800080" w:themeColor="followedHyperlink"/>
      <w:u w:val="single"/>
    </w:rPr>
  </w:style>
  <w:style w:type="character" w:customStyle="1" w:styleId="ListsChar">
    <w:name w:val="Lists Char"/>
    <w:basedOn w:val="3BodytextChar"/>
    <w:link w:val="Lists"/>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pPr>
      <w:numPr>
        <w:numId w:val="19"/>
      </w:numPr>
      <w:ind w:left="425" w:hanging="425"/>
      <w:contextualSpacing w:val="0"/>
    </w:pPr>
    <w:rPr>
      <w:rFonts w:ascii="Calibri" w:hAnsi="Calibri"/>
      <w:sz w:val="24"/>
      <w:szCs w:val="24"/>
    </w:rPr>
  </w:style>
  <w:style w:type="paragraph" w:customStyle="1" w:styleId="TableFooter">
    <w:name w:val="Table Footer"/>
    <w:basedOn w:val="Normal"/>
    <w:link w:val="TableFooterChar"/>
    <w:qFormat/>
    <w:pPr>
      <w:widowControl w:val="0"/>
    </w:pPr>
    <w:rPr>
      <w:rFonts w:ascii="Arial Narrow" w:hAnsi="Arial Narrow" w:cs="Arial"/>
      <w:snapToGrid w:val="0"/>
      <w:sz w:val="18"/>
      <w:szCs w:val="22"/>
      <w:lang w:eastAsia="en-US"/>
    </w:rPr>
  </w:style>
  <w:style w:type="character" w:customStyle="1" w:styleId="TableFooterChar">
    <w:name w:val="Table Footer Char"/>
    <w:link w:val="TableFooter"/>
    <w:rPr>
      <w:rFonts w:ascii="Arial Narrow" w:hAnsi="Arial Narrow" w:cs="Arial"/>
      <w:snapToGrid w:val="0"/>
      <w:sz w:val="18"/>
      <w:szCs w:val="22"/>
      <w:lang w:eastAsia="en-US"/>
    </w:rPr>
  </w:style>
  <w:style w:type="character" w:customStyle="1" w:styleId="TabletextChar">
    <w:name w:val="Table text Char"/>
    <w:link w:val="Tabletext"/>
    <w:uiPriority w:val="2"/>
    <w:rPr>
      <w:rFonts w:ascii="Arial" w:hAnsi="Arial"/>
      <w:lang w:eastAsia="en-US"/>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 w:type="paragraph" w:customStyle="1" w:styleId="PBACTableText">
    <w:name w:val="PBAC Table Text"/>
    <w:basedOn w:val="Normal"/>
    <w:link w:val="PBACTableTextChar"/>
    <w:qFormat/>
    <w:pPr>
      <w:spacing w:before="40" w:after="40"/>
      <w:jc w:val="both"/>
    </w:pPr>
    <w:rPr>
      <w:rFonts w:ascii="Arial Narrow" w:hAnsi="Arial Narrow"/>
      <w:sz w:val="20"/>
      <w:szCs w:val="20"/>
      <w:lang w:eastAsia="en-US"/>
    </w:rPr>
  </w:style>
  <w:style w:type="character" w:customStyle="1" w:styleId="PBACTableTextChar">
    <w:name w:val="PBAC Table Text Char"/>
    <w:basedOn w:val="DefaultParagraphFont"/>
    <w:link w:val="PBACTableText"/>
    <w:rPr>
      <w:rFonts w:ascii="Arial Narrow" w:hAnsi="Arial Narrow"/>
      <w:lang w:eastAsia="en-US"/>
    </w:rPr>
  </w:style>
  <w:style w:type="paragraph" w:customStyle="1" w:styleId="PBACcaption">
    <w:name w:val="PBAC caption"/>
    <w:basedOn w:val="Normal"/>
    <w:link w:val="PBACcaptionChar"/>
    <w:qFormat/>
    <w:pPr>
      <w:spacing w:line="360" w:lineRule="auto"/>
      <w:jc w:val="both"/>
    </w:pPr>
    <w:rPr>
      <w:rFonts w:ascii="Sabon" w:eastAsiaTheme="minorHAnsi" w:hAnsi="Sabon" w:cs="Arial"/>
      <w:b/>
      <w:sz w:val="22"/>
      <w:szCs w:val="22"/>
      <w:lang w:eastAsia="en-US"/>
    </w:rPr>
  </w:style>
  <w:style w:type="character" w:customStyle="1" w:styleId="PBACcaptionChar">
    <w:name w:val="PBAC caption Char"/>
    <w:basedOn w:val="DefaultParagraphFont"/>
    <w:link w:val="PBACcaption"/>
    <w:rPr>
      <w:rFonts w:ascii="Sabon" w:eastAsiaTheme="minorHAnsi" w:hAnsi="Sabon" w:cs="Arial"/>
      <w:b/>
      <w:sz w:val="22"/>
      <w:szCs w:val="22"/>
      <w:lang w:eastAsia="en-US"/>
    </w:rPr>
  </w:style>
  <w:style w:type="paragraph" w:styleId="Caption">
    <w:name w:val="caption"/>
    <w:basedOn w:val="Normal"/>
    <w:next w:val="Normal"/>
    <w:unhideWhenUsed/>
    <w:qFormat/>
    <w:pPr>
      <w:spacing w:after="200"/>
    </w:pPr>
    <w:rPr>
      <w:i/>
      <w:iCs/>
      <w:color w:val="1F497D" w:themeColor="text2"/>
      <w:sz w:val="18"/>
      <w:szCs w:val="18"/>
    </w:rPr>
  </w:style>
  <w:style w:type="paragraph" w:customStyle="1" w:styleId="PbacTableHeading">
    <w:name w:val="Pbac Table Heading"/>
    <w:basedOn w:val="PBACcaption"/>
    <w:qFormat/>
    <w:rsid w:val="00FB1CE3"/>
    <w:pPr>
      <w:spacing w:line="240" w:lineRule="auto"/>
    </w:pPr>
    <w:rPr>
      <w:rFonts w:ascii="Arial Narrow" w:hAnsi="Arial Narrow"/>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8190850">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05070643">
      <w:bodyDiv w:val="1"/>
      <w:marLeft w:val="0"/>
      <w:marRight w:val="0"/>
      <w:marTop w:val="0"/>
      <w:marBottom w:val="0"/>
      <w:divBdr>
        <w:top w:val="none" w:sz="0" w:space="0" w:color="auto"/>
        <w:left w:val="none" w:sz="0" w:space="0" w:color="auto"/>
        <w:bottom w:val="none" w:sz="0" w:space="0" w:color="auto"/>
        <w:right w:val="none" w:sz="0" w:space="0" w:color="auto"/>
      </w:divBdr>
    </w:div>
    <w:div w:id="99765893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3EBCC-76EC-48F3-91BE-743215EA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3101</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Author</cp:lastModifiedBy>
  <cp:revision>2</cp:revision>
  <dcterms:created xsi:type="dcterms:W3CDTF">2019-10-17T04:00:00Z</dcterms:created>
  <dcterms:modified xsi:type="dcterms:W3CDTF">2019-10-25T01:00:00Z</dcterms:modified>
</cp:coreProperties>
</file>