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1D62" w:rsidRDefault="00065EB8">
      <w:pPr>
        <w:pStyle w:val="1MainTitle"/>
        <w:ind w:left="993" w:hanging="993"/>
      </w:pPr>
      <w:bookmarkStart w:id="0" w:name="_GoBack"/>
      <w:bookmarkEnd w:id="0"/>
      <w:r>
        <w:t>14.03</w:t>
      </w:r>
      <w:r>
        <w:tab/>
        <w:t>GLYCOMACROPEPTIDE FORMULA WITH    DOCOSAHEXAENOIC ACID AND LOW PHENYLALANINE</w:t>
      </w:r>
      <w:r>
        <w:br/>
        <w:t>Oral liquid 250 mL, 18</w:t>
      </w:r>
      <w:r>
        <w:br/>
        <w:t>PKU GMPro LQ</w:t>
      </w:r>
      <w:r>
        <w:rPr>
          <w:vertAlign w:val="superscript"/>
        </w:rPr>
        <w:t>®</w:t>
      </w:r>
      <w:r>
        <w:t>, Nutricia Australia Pty Ltd.</w:t>
      </w:r>
    </w:p>
    <w:p w:rsidR="00311D62" w:rsidRDefault="00065EB8">
      <w:pPr>
        <w:pStyle w:val="2Sections"/>
      </w:pPr>
      <w:r>
        <w:t xml:space="preserve">Purpose of Application </w:t>
      </w:r>
    </w:p>
    <w:p w:rsidR="00311D62" w:rsidRDefault="00065EB8">
      <w:pPr>
        <w:pStyle w:val="ListParagraph"/>
        <w:widowControl/>
        <w:numPr>
          <w:ilvl w:val="1"/>
          <w:numId w:val="5"/>
        </w:numPr>
        <w:spacing w:after="120"/>
        <w:contextualSpacing w:val="0"/>
        <w:rPr>
          <w:rFonts w:asciiTheme="minorHAnsi" w:hAnsiTheme="minorHAnsi"/>
          <w:sz w:val="24"/>
          <w:szCs w:val="24"/>
        </w:rPr>
      </w:pPr>
      <w:r>
        <w:rPr>
          <w:rFonts w:asciiTheme="minorHAnsi" w:eastAsiaTheme="minorHAnsi" w:hAnsiTheme="minorHAnsi" w:cstheme="minorBidi"/>
          <w:snapToGrid/>
          <w:sz w:val="24"/>
          <w:szCs w:val="22"/>
        </w:rPr>
        <w:t>The minor submission sought to list a liquid formulation of the recommended (but not yet listed) PKU GMPro powder formulation for the dietary management of phenylketonuria (PKU)</w:t>
      </w:r>
      <w:r>
        <w:rPr>
          <w:rFonts w:asciiTheme="minorHAnsi" w:hAnsiTheme="minorHAnsi"/>
          <w:sz w:val="24"/>
          <w:szCs w:val="24"/>
        </w:rPr>
        <w:t>.</w:t>
      </w:r>
    </w:p>
    <w:p w:rsidR="00311D62" w:rsidRDefault="00065EB8">
      <w:pPr>
        <w:pStyle w:val="2Sections"/>
      </w:pPr>
      <w:r>
        <w:t>Requested listing</w:t>
      </w:r>
    </w:p>
    <w:p w:rsidR="00311D62" w:rsidRDefault="00065EB8">
      <w:pPr>
        <w:pStyle w:val="3Bodytext"/>
      </w:pPr>
      <w:r>
        <w:t>The submission requested an identical listing to the recommended powder presentation of PKU GMPro, as a Restricted Benefit listing for phenylketonuria, as outlined below.</w:t>
      </w:r>
    </w:p>
    <w:tbl>
      <w:tblPr>
        <w:tblW w:w="5000" w:type="pct"/>
        <w:tblLook w:val="0000" w:firstRow="0" w:lastRow="0" w:firstColumn="0" w:lastColumn="0" w:noHBand="0" w:noVBand="0"/>
      </w:tblPr>
      <w:tblGrid>
        <w:gridCol w:w="1914"/>
        <w:gridCol w:w="1309"/>
        <w:gridCol w:w="695"/>
        <w:gridCol w:w="621"/>
        <w:gridCol w:w="1415"/>
        <w:gridCol w:w="1276"/>
        <w:gridCol w:w="1796"/>
      </w:tblGrid>
      <w:tr w:rsidR="00311D62">
        <w:trPr>
          <w:cantSplit/>
          <w:trHeight w:val="491"/>
        </w:trPr>
        <w:tc>
          <w:tcPr>
            <w:tcW w:w="1785" w:type="pct"/>
            <w:gridSpan w:val="2"/>
            <w:tcBorders>
              <w:bottom w:val="single" w:sz="4" w:space="0" w:color="auto"/>
            </w:tcBorders>
          </w:tcPr>
          <w:p w:rsidR="00311D62" w:rsidRDefault="00065EB8">
            <w:pPr>
              <w:keepNext/>
              <w:spacing w:before="40" w:after="40"/>
              <w:jc w:val="both"/>
              <w:rPr>
                <w:rFonts w:ascii="Arial Narrow" w:hAnsi="Arial Narrow" w:cs="Arial"/>
                <w:b/>
                <w:sz w:val="20"/>
                <w:szCs w:val="20"/>
              </w:rPr>
            </w:pPr>
            <w:r>
              <w:rPr>
                <w:rFonts w:ascii="Arial Narrow" w:hAnsi="Arial Narrow" w:cs="Arial"/>
                <w:b/>
                <w:sz w:val="20"/>
                <w:szCs w:val="20"/>
              </w:rPr>
              <w:t>Name, Restriction,</w:t>
            </w:r>
          </w:p>
          <w:p w:rsidR="00311D62" w:rsidRDefault="00065EB8">
            <w:pPr>
              <w:keepNext/>
              <w:spacing w:before="40" w:after="40"/>
              <w:jc w:val="both"/>
              <w:rPr>
                <w:rFonts w:ascii="Arial Narrow" w:hAnsi="Arial Narrow" w:cs="Arial"/>
                <w:b/>
                <w:sz w:val="20"/>
                <w:szCs w:val="20"/>
              </w:rPr>
            </w:pPr>
            <w:r>
              <w:rPr>
                <w:rFonts w:ascii="Arial Narrow" w:hAnsi="Arial Narrow" w:cs="Arial"/>
                <w:b/>
                <w:sz w:val="20"/>
                <w:szCs w:val="20"/>
              </w:rPr>
              <w:t>Manner of administration and form</w:t>
            </w:r>
          </w:p>
        </w:tc>
        <w:tc>
          <w:tcPr>
            <w:tcW w:w="385" w:type="pct"/>
            <w:tcBorders>
              <w:bottom w:val="single" w:sz="4" w:space="0" w:color="auto"/>
            </w:tcBorders>
            <w:vAlign w:val="center"/>
          </w:tcPr>
          <w:p w:rsidR="00311D62" w:rsidRDefault="00065EB8">
            <w:pPr>
              <w:keepNext/>
              <w:spacing w:before="40" w:after="40"/>
              <w:rPr>
                <w:rFonts w:ascii="Arial Narrow" w:hAnsi="Arial Narrow" w:cs="Arial"/>
                <w:b/>
                <w:sz w:val="20"/>
                <w:szCs w:val="20"/>
              </w:rPr>
            </w:pPr>
            <w:r>
              <w:rPr>
                <w:rFonts w:ascii="Arial Narrow" w:hAnsi="Arial Narrow" w:cs="Arial"/>
                <w:b/>
                <w:sz w:val="20"/>
                <w:szCs w:val="20"/>
              </w:rPr>
              <w:t>Max.</w:t>
            </w:r>
          </w:p>
          <w:p w:rsidR="00311D62" w:rsidRDefault="00065EB8">
            <w:pPr>
              <w:keepNext/>
              <w:spacing w:before="40" w:after="40"/>
              <w:rPr>
                <w:rFonts w:ascii="Arial Narrow" w:hAnsi="Arial Narrow" w:cs="Arial"/>
                <w:b/>
                <w:sz w:val="20"/>
                <w:szCs w:val="20"/>
              </w:rPr>
            </w:pPr>
            <w:r>
              <w:rPr>
                <w:rFonts w:ascii="Arial Narrow" w:hAnsi="Arial Narrow" w:cs="Arial"/>
                <w:b/>
                <w:sz w:val="20"/>
                <w:szCs w:val="20"/>
              </w:rPr>
              <w:t>Qty</w:t>
            </w:r>
          </w:p>
        </w:tc>
        <w:tc>
          <w:tcPr>
            <w:tcW w:w="344" w:type="pct"/>
            <w:tcBorders>
              <w:bottom w:val="single" w:sz="4" w:space="0" w:color="auto"/>
            </w:tcBorders>
            <w:vAlign w:val="center"/>
          </w:tcPr>
          <w:p w:rsidR="00311D62" w:rsidRDefault="00065EB8">
            <w:pPr>
              <w:keepNext/>
              <w:spacing w:before="40" w:after="40"/>
              <w:rPr>
                <w:rFonts w:ascii="Arial Narrow" w:hAnsi="Arial Narrow" w:cs="Arial"/>
                <w:b/>
                <w:sz w:val="20"/>
                <w:szCs w:val="20"/>
              </w:rPr>
            </w:pPr>
            <w:r>
              <w:rPr>
                <w:rFonts w:ascii="Arial Narrow" w:hAnsi="Arial Narrow" w:cs="Arial"/>
                <w:b/>
                <w:sz w:val="20"/>
                <w:szCs w:val="20"/>
              </w:rPr>
              <w:t>№.of</w:t>
            </w:r>
          </w:p>
          <w:p w:rsidR="00311D62" w:rsidRDefault="00065EB8">
            <w:pPr>
              <w:keepNext/>
              <w:spacing w:before="40" w:after="40"/>
              <w:rPr>
                <w:rFonts w:ascii="Arial Narrow" w:hAnsi="Arial Narrow" w:cs="Arial"/>
                <w:b/>
                <w:sz w:val="20"/>
                <w:szCs w:val="20"/>
              </w:rPr>
            </w:pPr>
            <w:r>
              <w:rPr>
                <w:rFonts w:ascii="Arial Narrow" w:hAnsi="Arial Narrow" w:cs="Arial"/>
                <w:b/>
                <w:sz w:val="20"/>
                <w:szCs w:val="20"/>
              </w:rPr>
              <w:t>Rpts</w:t>
            </w:r>
          </w:p>
        </w:tc>
        <w:tc>
          <w:tcPr>
            <w:tcW w:w="784" w:type="pct"/>
            <w:tcBorders>
              <w:bottom w:val="single" w:sz="4" w:space="0" w:color="auto"/>
            </w:tcBorders>
            <w:vAlign w:val="center"/>
          </w:tcPr>
          <w:p w:rsidR="00311D62" w:rsidRDefault="00065EB8">
            <w:pPr>
              <w:keepNext/>
              <w:spacing w:before="40" w:after="40"/>
              <w:rPr>
                <w:rFonts w:ascii="Arial Narrow" w:hAnsi="Arial Narrow" w:cs="Arial"/>
                <w:b/>
                <w:sz w:val="20"/>
                <w:szCs w:val="20"/>
              </w:rPr>
            </w:pPr>
            <w:r>
              <w:rPr>
                <w:rFonts w:ascii="Arial Narrow" w:hAnsi="Arial Narrow" w:cs="Arial"/>
                <w:b/>
                <w:sz w:val="20"/>
                <w:szCs w:val="20"/>
              </w:rPr>
              <w:t>Dispensed Price Max. Qty</w:t>
            </w:r>
          </w:p>
        </w:tc>
        <w:tc>
          <w:tcPr>
            <w:tcW w:w="1702" w:type="pct"/>
            <w:gridSpan w:val="2"/>
            <w:tcBorders>
              <w:bottom w:val="single" w:sz="4" w:space="0" w:color="auto"/>
            </w:tcBorders>
            <w:vAlign w:val="center"/>
          </w:tcPr>
          <w:p w:rsidR="00311D62" w:rsidRDefault="00065EB8">
            <w:pPr>
              <w:keepNext/>
              <w:spacing w:before="40" w:after="40"/>
              <w:rPr>
                <w:rFonts w:ascii="Arial Narrow" w:hAnsi="Arial Narrow" w:cs="Arial"/>
                <w:b/>
                <w:sz w:val="20"/>
                <w:szCs w:val="20"/>
                <w:lang w:val="fr-FR"/>
              </w:rPr>
            </w:pPr>
            <w:r>
              <w:rPr>
                <w:rFonts w:ascii="Arial Narrow" w:hAnsi="Arial Narrow" w:cs="Arial"/>
                <w:b/>
                <w:sz w:val="20"/>
                <w:szCs w:val="20"/>
              </w:rPr>
              <w:t>Proprietary Name and Manufacturer</w:t>
            </w:r>
          </w:p>
        </w:tc>
      </w:tr>
      <w:tr w:rsidR="00311D62">
        <w:trPr>
          <w:cantSplit/>
          <w:trHeight w:val="599"/>
        </w:trPr>
        <w:tc>
          <w:tcPr>
            <w:tcW w:w="1785" w:type="pct"/>
            <w:gridSpan w:val="2"/>
          </w:tcPr>
          <w:p w:rsidR="00311D62" w:rsidRDefault="00065EB8">
            <w:pPr>
              <w:keepNext/>
              <w:ind w:left="-108"/>
              <w:rPr>
                <w:rFonts w:ascii="Arial Narrow" w:hAnsi="Arial Narrow" w:cs="Arial"/>
                <w:sz w:val="20"/>
                <w:szCs w:val="20"/>
              </w:rPr>
            </w:pPr>
            <w:r>
              <w:rPr>
                <w:rFonts w:ascii="Arial Narrow" w:hAnsi="Arial Narrow" w:cs="Arial"/>
                <w:smallCaps/>
                <w:sz w:val="20"/>
                <w:szCs w:val="20"/>
              </w:rPr>
              <w:t>glycomacropeptide formula with docosahexaenoic acid AND low phenylalanine</w:t>
            </w:r>
          </w:p>
          <w:p w:rsidR="00311D62" w:rsidRDefault="00065EB8">
            <w:pPr>
              <w:keepNext/>
              <w:ind w:left="-108"/>
              <w:rPr>
                <w:rFonts w:ascii="Arial Narrow" w:hAnsi="Arial Narrow" w:cs="Arial"/>
                <w:sz w:val="20"/>
                <w:szCs w:val="20"/>
              </w:rPr>
            </w:pPr>
            <w:r>
              <w:rPr>
                <w:rFonts w:ascii="Arial Narrow" w:hAnsi="Arial Narrow" w:cs="Arial"/>
                <w:smallCaps/>
                <w:sz w:val="20"/>
                <w:szCs w:val="20"/>
              </w:rPr>
              <w:t>Oral liquid 250 mL, 18</w:t>
            </w:r>
          </w:p>
        </w:tc>
        <w:tc>
          <w:tcPr>
            <w:tcW w:w="385" w:type="pct"/>
          </w:tcPr>
          <w:p w:rsidR="00311D62" w:rsidRDefault="00311D62">
            <w:pPr>
              <w:keepNext/>
              <w:ind w:left="-108"/>
              <w:rPr>
                <w:rFonts w:ascii="Arial Narrow" w:hAnsi="Arial Narrow" w:cs="Arial"/>
                <w:smallCaps/>
                <w:sz w:val="20"/>
                <w:szCs w:val="20"/>
              </w:rPr>
            </w:pPr>
          </w:p>
          <w:p w:rsidR="00311D62" w:rsidRDefault="00311D62">
            <w:pPr>
              <w:keepNext/>
              <w:ind w:left="-108"/>
              <w:rPr>
                <w:rFonts w:ascii="Arial Narrow" w:hAnsi="Arial Narrow" w:cs="Arial"/>
                <w:smallCaps/>
                <w:sz w:val="20"/>
                <w:szCs w:val="20"/>
              </w:rPr>
            </w:pPr>
          </w:p>
          <w:p w:rsidR="00311D62" w:rsidRDefault="00311D62">
            <w:pPr>
              <w:keepNext/>
              <w:ind w:left="-108"/>
              <w:rPr>
                <w:rFonts w:ascii="Arial Narrow" w:hAnsi="Arial Narrow" w:cs="Arial"/>
                <w:smallCaps/>
                <w:sz w:val="20"/>
                <w:szCs w:val="20"/>
              </w:rPr>
            </w:pPr>
          </w:p>
          <w:p w:rsidR="00311D62" w:rsidRDefault="00065EB8">
            <w:pPr>
              <w:keepNext/>
              <w:ind w:left="-108"/>
              <w:rPr>
                <w:rFonts w:ascii="Arial Narrow" w:hAnsi="Arial Narrow" w:cs="Arial"/>
                <w:smallCaps/>
                <w:sz w:val="20"/>
                <w:szCs w:val="20"/>
              </w:rPr>
            </w:pPr>
            <w:r>
              <w:rPr>
                <w:rFonts w:ascii="Arial Narrow" w:hAnsi="Arial Narrow" w:cs="Arial"/>
                <w:smallCaps/>
                <w:sz w:val="20"/>
                <w:szCs w:val="20"/>
              </w:rPr>
              <w:t>10</w:t>
            </w:r>
          </w:p>
        </w:tc>
        <w:tc>
          <w:tcPr>
            <w:tcW w:w="344" w:type="pct"/>
          </w:tcPr>
          <w:p w:rsidR="00311D62" w:rsidRDefault="00311D62">
            <w:pPr>
              <w:keepNext/>
              <w:ind w:left="-108"/>
              <w:rPr>
                <w:rFonts w:ascii="Arial Narrow" w:hAnsi="Arial Narrow" w:cs="Arial"/>
                <w:smallCaps/>
                <w:sz w:val="20"/>
                <w:szCs w:val="20"/>
              </w:rPr>
            </w:pPr>
          </w:p>
          <w:p w:rsidR="00311D62" w:rsidRDefault="00311D62">
            <w:pPr>
              <w:keepNext/>
              <w:ind w:left="-108"/>
              <w:rPr>
                <w:rFonts w:ascii="Arial Narrow" w:hAnsi="Arial Narrow" w:cs="Arial"/>
                <w:smallCaps/>
                <w:sz w:val="20"/>
                <w:szCs w:val="20"/>
              </w:rPr>
            </w:pPr>
          </w:p>
          <w:p w:rsidR="00311D62" w:rsidRDefault="00311D62">
            <w:pPr>
              <w:keepNext/>
              <w:ind w:left="-108"/>
              <w:rPr>
                <w:rFonts w:ascii="Arial Narrow" w:hAnsi="Arial Narrow" w:cs="Arial"/>
                <w:smallCaps/>
                <w:sz w:val="20"/>
                <w:szCs w:val="20"/>
              </w:rPr>
            </w:pPr>
          </w:p>
          <w:p w:rsidR="00311D62" w:rsidRDefault="00065EB8">
            <w:pPr>
              <w:keepNext/>
              <w:ind w:left="-108"/>
              <w:rPr>
                <w:rFonts w:ascii="Arial Narrow" w:hAnsi="Arial Narrow" w:cs="Arial"/>
                <w:smallCaps/>
                <w:sz w:val="20"/>
                <w:szCs w:val="20"/>
              </w:rPr>
            </w:pPr>
            <w:r>
              <w:rPr>
                <w:rFonts w:ascii="Arial Narrow" w:hAnsi="Arial Narrow" w:cs="Arial"/>
                <w:smallCaps/>
                <w:sz w:val="20"/>
                <w:szCs w:val="20"/>
              </w:rPr>
              <w:t>5</w:t>
            </w:r>
          </w:p>
        </w:tc>
        <w:tc>
          <w:tcPr>
            <w:tcW w:w="784" w:type="pct"/>
          </w:tcPr>
          <w:p w:rsidR="00311D62" w:rsidRDefault="00311D62">
            <w:pPr>
              <w:keepNext/>
              <w:ind w:left="-108"/>
              <w:rPr>
                <w:rFonts w:ascii="Arial Narrow" w:hAnsi="Arial Narrow" w:cs="Arial"/>
                <w:smallCaps/>
                <w:sz w:val="20"/>
                <w:szCs w:val="20"/>
              </w:rPr>
            </w:pPr>
          </w:p>
          <w:p w:rsidR="00311D62" w:rsidRDefault="00311D62">
            <w:pPr>
              <w:keepNext/>
              <w:ind w:left="-108"/>
              <w:rPr>
                <w:rFonts w:ascii="Arial Narrow" w:hAnsi="Arial Narrow" w:cs="Arial"/>
                <w:smallCaps/>
                <w:sz w:val="20"/>
                <w:szCs w:val="20"/>
              </w:rPr>
            </w:pPr>
          </w:p>
          <w:p w:rsidR="00311D62" w:rsidRDefault="00311D62">
            <w:pPr>
              <w:keepNext/>
              <w:ind w:left="-108"/>
              <w:rPr>
                <w:rFonts w:ascii="Arial Narrow" w:hAnsi="Arial Narrow" w:cs="Arial"/>
                <w:smallCaps/>
                <w:sz w:val="20"/>
                <w:szCs w:val="20"/>
              </w:rPr>
            </w:pPr>
          </w:p>
          <w:p w:rsidR="00311D62" w:rsidRDefault="00065EB8">
            <w:pPr>
              <w:keepNext/>
              <w:ind w:left="-108"/>
              <w:rPr>
                <w:rFonts w:ascii="Arial Narrow" w:hAnsi="Arial Narrow" w:cs="Arial"/>
                <w:smallCaps/>
                <w:sz w:val="20"/>
                <w:szCs w:val="20"/>
              </w:rPr>
            </w:pPr>
            <w:r>
              <w:rPr>
                <w:rFonts w:ascii="Arial Narrow" w:hAnsi="Arial Narrow" w:cs="Arial"/>
                <w:smallCaps/>
                <w:sz w:val="20"/>
                <w:szCs w:val="20"/>
              </w:rPr>
              <w:t>$1,570.79</w:t>
            </w:r>
          </w:p>
        </w:tc>
        <w:tc>
          <w:tcPr>
            <w:tcW w:w="707" w:type="pct"/>
          </w:tcPr>
          <w:p w:rsidR="00311D62" w:rsidRDefault="00311D62">
            <w:pPr>
              <w:keepNext/>
              <w:ind w:left="-108"/>
              <w:rPr>
                <w:rFonts w:ascii="Arial Narrow" w:hAnsi="Arial Narrow" w:cs="Arial"/>
                <w:smallCaps/>
                <w:sz w:val="20"/>
                <w:szCs w:val="20"/>
              </w:rPr>
            </w:pPr>
          </w:p>
          <w:p w:rsidR="00311D62" w:rsidRDefault="00311D62">
            <w:pPr>
              <w:keepNext/>
              <w:ind w:left="-108"/>
              <w:rPr>
                <w:rFonts w:ascii="Arial Narrow" w:hAnsi="Arial Narrow" w:cs="Arial"/>
                <w:smallCaps/>
                <w:sz w:val="20"/>
                <w:szCs w:val="20"/>
              </w:rPr>
            </w:pPr>
          </w:p>
          <w:p w:rsidR="00311D62" w:rsidRDefault="00065EB8">
            <w:pPr>
              <w:keepNext/>
              <w:spacing w:before="40" w:after="40"/>
              <w:ind w:left="-108"/>
              <w:rPr>
                <w:rFonts w:ascii="Arial Narrow" w:hAnsi="Arial Narrow" w:cs="Arial"/>
                <w:smallCaps/>
                <w:sz w:val="20"/>
                <w:szCs w:val="20"/>
              </w:rPr>
            </w:pPr>
            <w:r>
              <w:rPr>
                <w:rFonts w:ascii="Arial Narrow" w:hAnsi="Arial Narrow" w:cs="Arial"/>
                <w:smallCaps/>
                <w:sz w:val="20"/>
                <w:szCs w:val="20"/>
              </w:rPr>
              <w:t>PKU GMPro LQ®</w:t>
            </w:r>
          </w:p>
        </w:tc>
        <w:tc>
          <w:tcPr>
            <w:tcW w:w="995" w:type="pct"/>
          </w:tcPr>
          <w:p w:rsidR="00311D62" w:rsidRDefault="00311D62">
            <w:pPr>
              <w:keepNext/>
              <w:ind w:left="-108"/>
              <w:rPr>
                <w:rFonts w:ascii="Arial Narrow" w:hAnsi="Arial Narrow" w:cs="Arial"/>
                <w:smallCaps/>
                <w:sz w:val="20"/>
                <w:szCs w:val="20"/>
              </w:rPr>
            </w:pPr>
          </w:p>
          <w:p w:rsidR="00311D62" w:rsidRDefault="00311D62">
            <w:pPr>
              <w:keepNext/>
              <w:ind w:left="-108"/>
              <w:rPr>
                <w:rFonts w:ascii="Arial Narrow" w:hAnsi="Arial Narrow" w:cs="Arial"/>
                <w:smallCaps/>
                <w:sz w:val="20"/>
                <w:szCs w:val="20"/>
              </w:rPr>
            </w:pPr>
          </w:p>
          <w:p w:rsidR="00311D62" w:rsidRDefault="00065EB8">
            <w:pPr>
              <w:keepNext/>
              <w:spacing w:before="40" w:after="40"/>
              <w:ind w:left="-108"/>
              <w:rPr>
                <w:rFonts w:ascii="Arial Narrow" w:hAnsi="Arial Narrow" w:cs="Arial"/>
                <w:smallCaps/>
                <w:sz w:val="20"/>
                <w:szCs w:val="20"/>
              </w:rPr>
            </w:pPr>
            <w:r>
              <w:rPr>
                <w:rFonts w:ascii="Arial Narrow" w:hAnsi="Arial Narrow" w:cs="Arial"/>
                <w:smallCaps/>
                <w:sz w:val="20"/>
                <w:szCs w:val="20"/>
              </w:rPr>
              <w:t>Nutricia Australia Pty Ltd</w:t>
            </w:r>
          </w:p>
        </w:tc>
      </w:tr>
      <w:tr w:rsidR="00311D62">
        <w:trPr>
          <w:cantSplit/>
          <w:trHeight w:val="360"/>
        </w:trPr>
        <w:tc>
          <w:tcPr>
            <w:tcW w:w="5000" w:type="pct"/>
            <w:gridSpan w:val="7"/>
            <w:tcBorders>
              <w:bottom w:val="single" w:sz="4" w:space="0" w:color="auto"/>
            </w:tcBorders>
          </w:tcPr>
          <w:p w:rsidR="00311D62" w:rsidRDefault="00311D62">
            <w:pPr>
              <w:jc w:val="both"/>
              <w:rPr>
                <w:rFonts w:ascii="Arial Narrow" w:hAnsi="Arial Narrow" w:cs="Arial"/>
                <w:sz w:val="20"/>
                <w:szCs w:val="20"/>
              </w:rPr>
            </w:pPr>
          </w:p>
        </w:tc>
      </w:tr>
      <w:tr w:rsidR="00311D62">
        <w:trPr>
          <w:cantSplit/>
          <w:trHeight w:val="360"/>
        </w:trPr>
        <w:tc>
          <w:tcPr>
            <w:tcW w:w="1060" w:type="pct"/>
            <w:tcBorders>
              <w:top w:val="single" w:sz="4" w:space="0" w:color="auto"/>
              <w:left w:val="single" w:sz="4" w:space="0" w:color="auto"/>
              <w:bottom w:val="single" w:sz="4" w:space="0" w:color="auto"/>
              <w:right w:val="single" w:sz="4" w:space="0" w:color="auto"/>
            </w:tcBorders>
          </w:tcPr>
          <w:p w:rsidR="00311D62" w:rsidRDefault="00065EB8">
            <w:pPr>
              <w:jc w:val="both"/>
              <w:rPr>
                <w:rFonts w:ascii="Arial Narrow" w:hAnsi="Arial Narrow" w:cs="Arial"/>
                <w:b/>
                <w:sz w:val="20"/>
                <w:szCs w:val="20"/>
              </w:rPr>
            </w:pPr>
            <w:r>
              <w:rPr>
                <w:rFonts w:ascii="Arial Narrow" w:hAnsi="Arial Narrow" w:cs="Arial"/>
                <w:b/>
                <w:sz w:val="20"/>
                <w:szCs w:val="20"/>
              </w:rPr>
              <w:t>Category / Program</w:t>
            </w:r>
          </w:p>
        </w:tc>
        <w:tc>
          <w:tcPr>
            <w:tcW w:w="3940" w:type="pct"/>
            <w:gridSpan w:val="6"/>
            <w:tcBorders>
              <w:top w:val="single" w:sz="4" w:space="0" w:color="auto"/>
              <w:left w:val="single" w:sz="4" w:space="0" w:color="auto"/>
              <w:bottom w:val="single" w:sz="4" w:space="0" w:color="auto"/>
              <w:right w:val="single" w:sz="4" w:space="0" w:color="auto"/>
            </w:tcBorders>
          </w:tcPr>
          <w:p w:rsidR="00311D62" w:rsidRDefault="00065EB8">
            <w:pPr>
              <w:rPr>
                <w:rFonts w:ascii="Arial Narrow" w:hAnsi="Arial Narrow" w:cs="Arial"/>
                <w:sz w:val="20"/>
                <w:szCs w:val="20"/>
              </w:rPr>
            </w:pPr>
            <w:r>
              <w:rPr>
                <w:rFonts w:ascii="Arial Narrow" w:hAnsi="Arial Narrow" w:cs="Arial"/>
                <w:sz w:val="20"/>
                <w:szCs w:val="20"/>
              </w:rPr>
              <w:t>Section 85 – General Schedule</w:t>
            </w:r>
          </w:p>
        </w:tc>
      </w:tr>
      <w:tr w:rsidR="00311D62">
        <w:trPr>
          <w:cantSplit/>
          <w:trHeight w:val="360"/>
        </w:trPr>
        <w:tc>
          <w:tcPr>
            <w:tcW w:w="1060" w:type="pct"/>
            <w:tcBorders>
              <w:top w:val="single" w:sz="4" w:space="0" w:color="auto"/>
              <w:left w:val="single" w:sz="4" w:space="0" w:color="auto"/>
              <w:bottom w:val="single" w:sz="4" w:space="0" w:color="auto"/>
              <w:right w:val="single" w:sz="4" w:space="0" w:color="auto"/>
            </w:tcBorders>
          </w:tcPr>
          <w:p w:rsidR="00311D62" w:rsidRDefault="00065EB8">
            <w:pPr>
              <w:jc w:val="both"/>
              <w:rPr>
                <w:rFonts w:ascii="Arial Narrow" w:hAnsi="Arial Narrow" w:cs="Arial"/>
                <w:b/>
                <w:sz w:val="20"/>
                <w:szCs w:val="20"/>
              </w:rPr>
            </w:pPr>
            <w:r>
              <w:rPr>
                <w:rFonts w:ascii="Arial Narrow" w:hAnsi="Arial Narrow" w:cs="Arial"/>
                <w:b/>
                <w:sz w:val="20"/>
                <w:szCs w:val="20"/>
              </w:rPr>
              <w:t>Prescriber type:</w:t>
            </w:r>
          </w:p>
        </w:tc>
        <w:tc>
          <w:tcPr>
            <w:tcW w:w="3940" w:type="pct"/>
            <w:gridSpan w:val="6"/>
            <w:tcBorders>
              <w:top w:val="single" w:sz="4" w:space="0" w:color="auto"/>
              <w:left w:val="single" w:sz="4" w:space="0" w:color="auto"/>
              <w:bottom w:val="single" w:sz="4" w:space="0" w:color="auto"/>
              <w:right w:val="single" w:sz="4" w:space="0" w:color="auto"/>
            </w:tcBorders>
          </w:tcPr>
          <w:p w:rsidR="00311D62" w:rsidRDefault="00065EB8">
            <w:pPr>
              <w:rPr>
                <w:rFonts w:ascii="Arial Narrow" w:hAnsi="Arial Narrow" w:cs="Arial"/>
                <w:sz w:val="20"/>
                <w:szCs w:val="20"/>
              </w:rPr>
            </w:pPr>
            <w:r>
              <w:rPr>
                <w:rFonts w:ascii="Arial Narrow" w:hAnsi="Arial Narrow" w:cs="Arial"/>
                <w:sz w:val="20"/>
                <w:szCs w:val="20"/>
              </w:rPr>
              <w:fldChar w:fldCharType="begin">
                <w:ffData>
                  <w:name w:val="Check1"/>
                  <w:enabled/>
                  <w:calcOnExit w:val="0"/>
                  <w:checkBox>
                    <w:sizeAuto/>
                    <w:default w:val="0"/>
                  </w:checkBox>
                </w:ffData>
              </w:fldChar>
            </w:r>
            <w:r>
              <w:rPr>
                <w:rFonts w:ascii="Arial Narrow" w:hAnsi="Arial Narrow" w:cs="Arial"/>
                <w:sz w:val="20"/>
                <w:szCs w:val="20"/>
              </w:rPr>
              <w:instrText xml:space="preserve"> FORMCHECKBOX </w:instrText>
            </w:r>
            <w:r w:rsidR="00D771CE">
              <w:rPr>
                <w:rFonts w:ascii="Arial Narrow" w:hAnsi="Arial Narrow" w:cs="Arial"/>
                <w:sz w:val="20"/>
                <w:szCs w:val="20"/>
              </w:rPr>
            </w:r>
            <w:r w:rsidR="00D771CE">
              <w:rPr>
                <w:rFonts w:ascii="Arial Narrow" w:hAnsi="Arial Narrow" w:cs="Arial"/>
                <w:sz w:val="20"/>
                <w:szCs w:val="20"/>
              </w:rPr>
              <w:fldChar w:fldCharType="separate"/>
            </w:r>
            <w:r>
              <w:rPr>
                <w:rFonts w:ascii="Arial Narrow" w:hAnsi="Arial Narrow" w:cs="Arial"/>
                <w:sz w:val="20"/>
                <w:szCs w:val="20"/>
              </w:rPr>
              <w:fldChar w:fldCharType="end"/>
            </w:r>
            <w:r>
              <w:rPr>
                <w:rFonts w:ascii="Arial Narrow" w:hAnsi="Arial Narrow" w:cs="Arial"/>
                <w:sz w:val="20"/>
                <w:szCs w:val="20"/>
              </w:rPr>
              <w:t xml:space="preserve">Dental  </w:t>
            </w: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D771CE">
              <w:rPr>
                <w:rFonts w:ascii="Arial Narrow" w:hAnsi="Arial Narrow" w:cs="Arial"/>
                <w:sz w:val="20"/>
                <w:szCs w:val="20"/>
              </w:rPr>
            </w:r>
            <w:r w:rsidR="00D771CE">
              <w:rPr>
                <w:rFonts w:ascii="Arial Narrow" w:hAnsi="Arial Narrow" w:cs="Arial"/>
                <w:sz w:val="20"/>
                <w:szCs w:val="20"/>
              </w:rPr>
              <w:fldChar w:fldCharType="separate"/>
            </w:r>
            <w:r>
              <w:rPr>
                <w:rFonts w:ascii="Arial Narrow" w:hAnsi="Arial Narrow" w:cs="Arial"/>
                <w:sz w:val="20"/>
                <w:szCs w:val="20"/>
              </w:rPr>
              <w:fldChar w:fldCharType="end"/>
            </w:r>
            <w:r>
              <w:rPr>
                <w:rFonts w:ascii="Arial Narrow" w:hAnsi="Arial Narrow" w:cs="Arial"/>
                <w:sz w:val="20"/>
                <w:szCs w:val="20"/>
              </w:rPr>
              <w:t xml:space="preserve">Medical Practitioners  </w:t>
            </w:r>
            <w:r>
              <w:rPr>
                <w:rFonts w:ascii="Arial Narrow" w:hAnsi="Arial Narrow" w:cs="Arial"/>
                <w:sz w:val="20"/>
                <w:szCs w:val="20"/>
              </w:rPr>
              <w:fldChar w:fldCharType="begin">
                <w:ffData>
                  <w:name w:val="Check3"/>
                  <w:enabled/>
                  <w:calcOnExit w:val="0"/>
                  <w:checkBox>
                    <w:sizeAuto/>
                    <w:default w:val="1"/>
                  </w:checkBox>
                </w:ffData>
              </w:fldChar>
            </w:r>
            <w:r>
              <w:rPr>
                <w:rFonts w:ascii="Arial Narrow" w:hAnsi="Arial Narrow" w:cs="Arial"/>
                <w:sz w:val="20"/>
                <w:szCs w:val="20"/>
              </w:rPr>
              <w:instrText xml:space="preserve"> FORMCHECKBOX </w:instrText>
            </w:r>
            <w:r w:rsidR="00D771CE">
              <w:rPr>
                <w:rFonts w:ascii="Arial Narrow" w:hAnsi="Arial Narrow" w:cs="Arial"/>
                <w:sz w:val="20"/>
                <w:szCs w:val="20"/>
              </w:rPr>
            </w:r>
            <w:r w:rsidR="00D771CE">
              <w:rPr>
                <w:rFonts w:ascii="Arial Narrow" w:hAnsi="Arial Narrow" w:cs="Arial"/>
                <w:sz w:val="20"/>
                <w:szCs w:val="20"/>
              </w:rPr>
              <w:fldChar w:fldCharType="separate"/>
            </w:r>
            <w:r>
              <w:rPr>
                <w:rFonts w:ascii="Arial Narrow" w:hAnsi="Arial Narrow" w:cs="Arial"/>
                <w:sz w:val="20"/>
                <w:szCs w:val="20"/>
              </w:rPr>
              <w:fldChar w:fldCharType="end"/>
            </w:r>
            <w:r>
              <w:rPr>
                <w:rFonts w:ascii="Arial Narrow" w:hAnsi="Arial Narrow" w:cs="Arial"/>
                <w:sz w:val="20"/>
                <w:szCs w:val="20"/>
              </w:rPr>
              <w:t xml:space="preserve">Nurse practitioners  </w:t>
            </w:r>
            <w:r>
              <w:rPr>
                <w:rFonts w:ascii="Arial Narrow" w:hAnsi="Arial Narrow" w:cs="Arial"/>
                <w:sz w:val="20"/>
                <w:szCs w:val="20"/>
              </w:rPr>
              <w:fldChar w:fldCharType="begin">
                <w:ffData>
                  <w:name w:val=""/>
                  <w:enabled/>
                  <w:calcOnExit w:val="0"/>
                  <w:checkBox>
                    <w:sizeAuto/>
                    <w:default w:val="0"/>
                  </w:checkBox>
                </w:ffData>
              </w:fldChar>
            </w:r>
            <w:r>
              <w:rPr>
                <w:rFonts w:ascii="Arial Narrow" w:hAnsi="Arial Narrow" w:cs="Arial"/>
                <w:sz w:val="20"/>
                <w:szCs w:val="20"/>
              </w:rPr>
              <w:instrText xml:space="preserve"> FORMCHECKBOX </w:instrText>
            </w:r>
            <w:r w:rsidR="00D771CE">
              <w:rPr>
                <w:rFonts w:ascii="Arial Narrow" w:hAnsi="Arial Narrow" w:cs="Arial"/>
                <w:sz w:val="20"/>
                <w:szCs w:val="20"/>
              </w:rPr>
            </w:r>
            <w:r w:rsidR="00D771CE">
              <w:rPr>
                <w:rFonts w:ascii="Arial Narrow" w:hAnsi="Arial Narrow" w:cs="Arial"/>
                <w:sz w:val="20"/>
                <w:szCs w:val="20"/>
              </w:rPr>
              <w:fldChar w:fldCharType="separate"/>
            </w:r>
            <w:r>
              <w:rPr>
                <w:rFonts w:ascii="Arial Narrow" w:hAnsi="Arial Narrow" w:cs="Arial"/>
                <w:sz w:val="20"/>
                <w:szCs w:val="20"/>
              </w:rPr>
              <w:fldChar w:fldCharType="end"/>
            </w:r>
            <w:r>
              <w:rPr>
                <w:rFonts w:ascii="Arial Narrow" w:hAnsi="Arial Narrow" w:cs="Arial"/>
                <w:sz w:val="20"/>
                <w:szCs w:val="20"/>
              </w:rPr>
              <w:t>Optometrists</w:t>
            </w:r>
          </w:p>
          <w:p w:rsidR="00311D62" w:rsidRDefault="00065EB8">
            <w:pPr>
              <w:rPr>
                <w:rFonts w:ascii="Arial Narrow" w:hAnsi="Arial Narrow" w:cs="Arial"/>
                <w:sz w:val="20"/>
                <w:szCs w:val="20"/>
              </w:rPr>
            </w:pPr>
            <w:r>
              <w:rPr>
                <w:rFonts w:ascii="Arial Narrow" w:hAnsi="Arial Narrow" w:cs="Arial"/>
                <w:sz w:val="20"/>
                <w:szCs w:val="20"/>
              </w:rPr>
              <w:fldChar w:fldCharType="begin">
                <w:ffData>
                  <w:name w:val="Check5"/>
                  <w:enabled/>
                  <w:calcOnExit w:val="0"/>
                  <w:checkBox>
                    <w:sizeAuto/>
                    <w:default w:val="0"/>
                  </w:checkBox>
                </w:ffData>
              </w:fldChar>
            </w:r>
            <w:r>
              <w:rPr>
                <w:rFonts w:ascii="Arial Narrow" w:hAnsi="Arial Narrow" w:cs="Arial"/>
                <w:sz w:val="20"/>
                <w:szCs w:val="20"/>
              </w:rPr>
              <w:instrText xml:space="preserve"> FORMCHECKBOX </w:instrText>
            </w:r>
            <w:r w:rsidR="00D771CE">
              <w:rPr>
                <w:rFonts w:ascii="Arial Narrow" w:hAnsi="Arial Narrow" w:cs="Arial"/>
                <w:sz w:val="20"/>
                <w:szCs w:val="20"/>
              </w:rPr>
            </w:r>
            <w:r w:rsidR="00D771CE">
              <w:rPr>
                <w:rFonts w:ascii="Arial Narrow" w:hAnsi="Arial Narrow" w:cs="Arial"/>
                <w:sz w:val="20"/>
                <w:szCs w:val="20"/>
              </w:rPr>
              <w:fldChar w:fldCharType="separate"/>
            </w:r>
            <w:r>
              <w:rPr>
                <w:rFonts w:ascii="Arial Narrow" w:hAnsi="Arial Narrow" w:cs="Arial"/>
                <w:sz w:val="20"/>
                <w:szCs w:val="20"/>
              </w:rPr>
              <w:fldChar w:fldCharType="end"/>
            </w:r>
            <w:r>
              <w:rPr>
                <w:rFonts w:ascii="Arial Narrow" w:hAnsi="Arial Narrow" w:cs="Arial"/>
                <w:sz w:val="20"/>
                <w:szCs w:val="20"/>
              </w:rPr>
              <w:t>Midwives</w:t>
            </w:r>
          </w:p>
        </w:tc>
      </w:tr>
      <w:tr w:rsidR="00311D62">
        <w:trPr>
          <w:cantSplit/>
          <w:trHeight w:val="360"/>
        </w:trPr>
        <w:tc>
          <w:tcPr>
            <w:tcW w:w="1060" w:type="pct"/>
            <w:tcBorders>
              <w:top w:val="single" w:sz="4" w:space="0" w:color="auto"/>
              <w:left w:val="single" w:sz="4" w:space="0" w:color="auto"/>
              <w:bottom w:val="single" w:sz="4" w:space="0" w:color="auto"/>
              <w:right w:val="single" w:sz="4" w:space="0" w:color="auto"/>
            </w:tcBorders>
          </w:tcPr>
          <w:p w:rsidR="00311D62" w:rsidRDefault="00065EB8">
            <w:pPr>
              <w:jc w:val="both"/>
              <w:rPr>
                <w:rFonts w:ascii="Arial Narrow" w:hAnsi="Arial Narrow" w:cs="Arial"/>
                <w:b/>
                <w:sz w:val="20"/>
                <w:szCs w:val="20"/>
              </w:rPr>
            </w:pPr>
            <w:r>
              <w:rPr>
                <w:rFonts w:ascii="Arial Narrow" w:hAnsi="Arial Narrow" w:cs="Arial"/>
                <w:b/>
                <w:sz w:val="20"/>
                <w:szCs w:val="20"/>
              </w:rPr>
              <w:t>PBS Indication:</w:t>
            </w:r>
          </w:p>
        </w:tc>
        <w:tc>
          <w:tcPr>
            <w:tcW w:w="3940" w:type="pct"/>
            <w:gridSpan w:val="6"/>
            <w:tcBorders>
              <w:top w:val="single" w:sz="4" w:space="0" w:color="auto"/>
              <w:left w:val="single" w:sz="4" w:space="0" w:color="auto"/>
              <w:bottom w:val="single" w:sz="4" w:space="0" w:color="auto"/>
              <w:right w:val="single" w:sz="4" w:space="0" w:color="auto"/>
            </w:tcBorders>
          </w:tcPr>
          <w:p w:rsidR="00311D62" w:rsidRDefault="00065EB8">
            <w:pPr>
              <w:rPr>
                <w:rFonts w:ascii="Arial Narrow" w:hAnsi="Arial Narrow" w:cs="Arial"/>
                <w:sz w:val="20"/>
                <w:szCs w:val="20"/>
              </w:rPr>
            </w:pPr>
            <w:r>
              <w:rPr>
                <w:rFonts w:ascii="Arial Narrow" w:hAnsi="Arial Narrow" w:cs="Arial"/>
                <w:sz w:val="20"/>
                <w:szCs w:val="20"/>
              </w:rPr>
              <w:t>Phenylketonuria</w:t>
            </w:r>
          </w:p>
        </w:tc>
      </w:tr>
      <w:tr w:rsidR="00311D62">
        <w:trPr>
          <w:cantSplit/>
          <w:trHeight w:val="360"/>
        </w:trPr>
        <w:tc>
          <w:tcPr>
            <w:tcW w:w="1060" w:type="pct"/>
            <w:tcBorders>
              <w:top w:val="single" w:sz="4" w:space="0" w:color="auto"/>
              <w:left w:val="single" w:sz="4" w:space="0" w:color="auto"/>
              <w:bottom w:val="single" w:sz="4" w:space="0" w:color="auto"/>
              <w:right w:val="single" w:sz="4" w:space="0" w:color="auto"/>
            </w:tcBorders>
          </w:tcPr>
          <w:p w:rsidR="00311D62" w:rsidRDefault="00065EB8">
            <w:pPr>
              <w:jc w:val="both"/>
              <w:rPr>
                <w:rFonts w:ascii="Arial Narrow" w:hAnsi="Arial Narrow" w:cs="Arial"/>
                <w:b/>
                <w:sz w:val="20"/>
                <w:szCs w:val="20"/>
              </w:rPr>
            </w:pPr>
            <w:r>
              <w:rPr>
                <w:rFonts w:ascii="Arial Narrow" w:hAnsi="Arial Narrow" w:cs="Arial"/>
                <w:b/>
                <w:sz w:val="20"/>
                <w:szCs w:val="20"/>
              </w:rPr>
              <w:t>Restriction Level / Method:</w:t>
            </w:r>
          </w:p>
        </w:tc>
        <w:tc>
          <w:tcPr>
            <w:tcW w:w="3940" w:type="pct"/>
            <w:gridSpan w:val="6"/>
            <w:tcBorders>
              <w:top w:val="single" w:sz="4" w:space="0" w:color="auto"/>
              <w:left w:val="single" w:sz="4" w:space="0" w:color="auto"/>
              <w:bottom w:val="single" w:sz="4" w:space="0" w:color="auto"/>
              <w:right w:val="single" w:sz="4" w:space="0" w:color="auto"/>
            </w:tcBorders>
          </w:tcPr>
          <w:p w:rsidR="00311D62" w:rsidRDefault="00065EB8">
            <w:pPr>
              <w:rPr>
                <w:rFonts w:ascii="Arial Narrow" w:hAnsi="Arial Narrow" w:cs="Arial"/>
                <w:sz w:val="20"/>
              </w:rPr>
            </w:pPr>
            <w:r>
              <w:rPr>
                <w:rFonts w:ascii="Arial Narrow" w:hAnsi="Arial Narrow" w:cs="Arial"/>
                <w:sz w:val="20"/>
              </w:rPr>
              <w:fldChar w:fldCharType="begin">
                <w:ffData>
                  <w:name w:val="Check1"/>
                  <w:enabled/>
                  <w:calcOnExit w:val="0"/>
                  <w:checkBox>
                    <w:sizeAuto/>
                    <w:default w:val="1"/>
                  </w:checkBox>
                </w:ffData>
              </w:fldChar>
            </w:r>
            <w:r>
              <w:rPr>
                <w:rFonts w:ascii="Arial Narrow" w:hAnsi="Arial Narrow" w:cs="Arial"/>
                <w:sz w:val="20"/>
              </w:rPr>
              <w:instrText xml:space="preserve"> FORMCHECKBOX </w:instrText>
            </w:r>
            <w:r w:rsidR="00D771CE">
              <w:rPr>
                <w:rFonts w:ascii="Arial Narrow" w:hAnsi="Arial Narrow" w:cs="Arial"/>
                <w:sz w:val="20"/>
              </w:rPr>
            </w:r>
            <w:r w:rsidR="00D771CE">
              <w:rPr>
                <w:rFonts w:ascii="Arial Narrow" w:hAnsi="Arial Narrow" w:cs="Arial"/>
                <w:sz w:val="20"/>
              </w:rPr>
              <w:fldChar w:fldCharType="separate"/>
            </w:r>
            <w:r>
              <w:rPr>
                <w:rFonts w:ascii="Arial Narrow" w:hAnsi="Arial Narrow" w:cs="Arial"/>
                <w:sz w:val="20"/>
              </w:rPr>
              <w:fldChar w:fldCharType="end"/>
            </w:r>
            <w:r>
              <w:rPr>
                <w:rFonts w:ascii="Arial Narrow" w:hAnsi="Arial Narrow" w:cs="Arial"/>
                <w:sz w:val="20"/>
              </w:rPr>
              <w:t>Restricted benefit</w:t>
            </w:r>
          </w:p>
          <w:p w:rsidR="00311D62" w:rsidRDefault="00065EB8">
            <w:pPr>
              <w:rPr>
                <w:rFonts w:ascii="Arial Narrow" w:hAnsi="Arial Narrow" w:cs="Arial"/>
                <w:sz w:val="20"/>
              </w:rPr>
            </w:pPr>
            <w:r>
              <w:rPr>
                <w:rFonts w:ascii="Arial Narrow" w:hAnsi="Arial Narrow" w:cs="Arial"/>
                <w:sz w:val="20"/>
              </w:rPr>
              <w:fldChar w:fldCharType="begin">
                <w:ffData>
                  <w:name w:val=""/>
                  <w:enabled/>
                  <w:calcOnExit w:val="0"/>
                  <w:checkBox>
                    <w:sizeAuto/>
                    <w:default w:val="0"/>
                  </w:checkBox>
                </w:ffData>
              </w:fldChar>
            </w:r>
            <w:r>
              <w:rPr>
                <w:rFonts w:ascii="Arial Narrow" w:hAnsi="Arial Narrow" w:cs="Arial"/>
                <w:sz w:val="20"/>
              </w:rPr>
              <w:instrText xml:space="preserve"> FORMCHECKBOX </w:instrText>
            </w:r>
            <w:r w:rsidR="00D771CE">
              <w:rPr>
                <w:rFonts w:ascii="Arial Narrow" w:hAnsi="Arial Narrow" w:cs="Arial"/>
                <w:sz w:val="20"/>
              </w:rPr>
            </w:r>
            <w:r w:rsidR="00D771CE">
              <w:rPr>
                <w:rFonts w:ascii="Arial Narrow" w:hAnsi="Arial Narrow" w:cs="Arial"/>
                <w:sz w:val="20"/>
              </w:rPr>
              <w:fldChar w:fldCharType="separate"/>
            </w:r>
            <w:r>
              <w:rPr>
                <w:rFonts w:ascii="Arial Narrow" w:hAnsi="Arial Narrow" w:cs="Arial"/>
                <w:sz w:val="20"/>
              </w:rPr>
              <w:fldChar w:fldCharType="end"/>
            </w:r>
            <w:r>
              <w:rPr>
                <w:rFonts w:ascii="Arial Narrow" w:hAnsi="Arial Narrow" w:cs="Arial"/>
                <w:sz w:val="20"/>
              </w:rPr>
              <w:t>Authority Required - In Writing</w:t>
            </w:r>
          </w:p>
          <w:p w:rsidR="00311D62" w:rsidRDefault="00065EB8">
            <w:pPr>
              <w:rPr>
                <w:rFonts w:ascii="Arial Narrow" w:hAnsi="Arial Narrow" w:cs="Arial"/>
                <w:sz w:val="20"/>
              </w:rPr>
            </w:pPr>
            <w:r>
              <w:rPr>
                <w:rFonts w:ascii="Arial Narrow" w:hAnsi="Arial Narrow" w:cs="Arial"/>
                <w:sz w:val="20"/>
              </w:rPr>
              <w:fldChar w:fldCharType="begin">
                <w:ffData>
                  <w:name w:val="Check3"/>
                  <w:enabled/>
                  <w:calcOnExit w:val="0"/>
                  <w:checkBox>
                    <w:sizeAuto/>
                    <w:default w:val="0"/>
                  </w:checkBox>
                </w:ffData>
              </w:fldChar>
            </w:r>
            <w:r>
              <w:rPr>
                <w:rFonts w:ascii="Arial Narrow" w:hAnsi="Arial Narrow" w:cs="Arial"/>
                <w:sz w:val="20"/>
              </w:rPr>
              <w:instrText xml:space="preserve"> FORMCHECKBOX </w:instrText>
            </w:r>
            <w:r w:rsidR="00D771CE">
              <w:rPr>
                <w:rFonts w:ascii="Arial Narrow" w:hAnsi="Arial Narrow" w:cs="Arial"/>
                <w:sz w:val="20"/>
              </w:rPr>
            </w:r>
            <w:r w:rsidR="00D771CE">
              <w:rPr>
                <w:rFonts w:ascii="Arial Narrow" w:hAnsi="Arial Narrow" w:cs="Arial"/>
                <w:sz w:val="20"/>
              </w:rPr>
              <w:fldChar w:fldCharType="separate"/>
            </w:r>
            <w:r>
              <w:rPr>
                <w:rFonts w:ascii="Arial Narrow" w:hAnsi="Arial Narrow" w:cs="Arial"/>
                <w:sz w:val="20"/>
              </w:rPr>
              <w:fldChar w:fldCharType="end"/>
            </w:r>
            <w:r>
              <w:rPr>
                <w:rFonts w:ascii="Arial Narrow" w:hAnsi="Arial Narrow" w:cs="Arial"/>
                <w:sz w:val="20"/>
              </w:rPr>
              <w:t>Authority Required - Telephone</w:t>
            </w:r>
          </w:p>
          <w:p w:rsidR="00311D62" w:rsidRDefault="00065EB8">
            <w:pPr>
              <w:rPr>
                <w:rFonts w:ascii="Arial Narrow" w:hAnsi="Arial Narrow" w:cs="Arial"/>
                <w:sz w:val="20"/>
              </w:rPr>
            </w:pPr>
            <w:r>
              <w:rPr>
                <w:rFonts w:ascii="Arial Narrow" w:hAnsi="Arial Narrow" w:cs="Arial"/>
                <w:sz w:val="20"/>
              </w:rPr>
              <w:fldChar w:fldCharType="begin">
                <w:ffData>
                  <w:name w:val=""/>
                  <w:enabled/>
                  <w:calcOnExit w:val="0"/>
                  <w:checkBox>
                    <w:sizeAuto/>
                    <w:default w:val="0"/>
                  </w:checkBox>
                </w:ffData>
              </w:fldChar>
            </w:r>
            <w:r>
              <w:rPr>
                <w:rFonts w:ascii="Arial Narrow" w:hAnsi="Arial Narrow" w:cs="Arial"/>
                <w:sz w:val="20"/>
              </w:rPr>
              <w:instrText xml:space="preserve"> FORMCHECKBOX </w:instrText>
            </w:r>
            <w:r w:rsidR="00D771CE">
              <w:rPr>
                <w:rFonts w:ascii="Arial Narrow" w:hAnsi="Arial Narrow" w:cs="Arial"/>
                <w:sz w:val="20"/>
              </w:rPr>
            </w:r>
            <w:r w:rsidR="00D771CE">
              <w:rPr>
                <w:rFonts w:ascii="Arial Narrow" w:hAnsi="Arial Narrow" w:cs="Arial"/>
                <w:sz w:val="20"/>
              </w:rPr>
              <w:fldChar w:fldCharType="separate"/>
            </w:r>
            <w:r>
              <w:rPr>
                <w:rFonts w:ascii="Arial Narrow" w:hAnsi="Arial Narrow" w:cs="Arial"/>
                <w:sz w:val="20"/>
              </w:rPr>
              <w:fldChar w:fldCharType="end"/>
            </w:r>
            <w:r>
              <w:rPr>
                <w:rFonts w:ascii="Arial Narrow" w:hAnsi="Arial Narrow" w:cs="Arial"/>
                <w:sz w:val="20"/>
              </w:rPr>
              <w:t>Authority Required – Emergency</w:t>
            </w:r>
          </w:p>
          <w:p w:rsidR="00311D62" w:rsidRDefault="00065EB8">
            <w:pPr>
              <w:rPr>
                <w:rFonts w:ascii="Arial Narrow" w:hAnsi="Arial Narrow" w:cs="Arial"/>
                <w:sz w:val="20"/>
              </w:rPr>
            </w:pPr>
            <w:r>
              <w:rPr>
                <w:rFonts w:ascii="Arial Narrow" w:hAnsi="Arial Narrow" w:cs="Arial"/>
                <w:sz w:val="20"/>
              </w:rPr>
              <w:fldChar w:fldCharType="begin">
                <w:ffData>
                  <w:name w:val="Check5"/>
                  <w:enabled/>
                  <w:calcOnExit w:val="0"/>
                  <w:checkBox>
                    <w:sizeAuto/>
                    <w:default w:val="0"/>
                  </w:checkBox>
                </w:ffData>
              </w:fldChar>
            </w:r>
            <w:r>
              <w:rPr>
                <w:rFonts w:ascii="Arial Narrow" w:hAnsi="Arial Narrow" w:cs="Arial"/>
                <w:sz w:val="20"/>
              </w:rPr>
              <w:instrText xml:space="preserve"> FORMCHECKBOX </w:instrText>
            </w:r>
            <w:r w:rsidR="00D771CE">
              <w:rPr>
                <w:rFonts w:ascii="Arial Narrow" w:hAnsi="Arial Narrow" w:cs="Arial"/>
                <w:sz w:val="20"/>
              </w:rPr>
            </w:r>
            <w:r w:rsidR="00D771CE">
              <w:rPr>
                <w:rFonts w:ascii="Arial Narrow" w:hAnsi="Arial Narrow" w:cs="Arial"/>
                <w:sz w:val="20"/>
              </w:rPr>
              <w:fldChar w:fldCharType="separate"/>
            </w:r>
            <w:r>
              <w:rPr>
                <w:rFonts w:ascii="Arial Narrow" w:hAnsi="Arial Narrow" w:cs="Arial"/>
                <w:sz w:val="20"/>
              </w:rPr>
              <w:fldChar w:fldCharType="end"/>
            </w:r>
            <w:r>
              <w:rPr>
                <w:rFonts w:ascii="Arial Narrow" w:hAnsi="Arial Narrow" w:cs="Arial"/>
                <w:sz w:val="20"/>
              </w:rPr>
              <w:t>Authority Required - Electronic</w:t>
            </w:r>
          </w:p>
          <w:p w:rsidR="00311D62" w:rsidRDefault="00065EB8">
            <w:pPr>
              <w:rPr>
                <w:rFonts w:ascii="Arial Narrow" w:hAnsi="Arial Narrow" w:cs="Arial"/>
                <w:strike/>
                <w:sz w:val="20"/>
                <w:szCs w:val="20"/>
              </w:rPr>
            </w:pPr>
            <w:r>
              <w:rPr>
                <w:rFonts w:ascii="Arial Narrow" w:hAnsi="Arial Narrow" w:cs="Arial"/>
                <w:sz w:val="20"/>
              </w:rPr>
              <w:fldChar w:fldCharType="begin">
                <w:ffData>
                  <w:name w:val="Check5"/>
                  <w:enabled/>
                  <w:calcOnExit w:val="0"/>
                  <w:checkBox>
                    <w:sizeAuto/>
                    <w:default w:val="0"/>
                  </w:checkBox>
                </w:ffData>
              </w:fldChar>
            </w:r>
            <w:r>
              <w:rPr>
                <w:rFonts w:ascii="Arial Narrow" w:hAnsi="Arial Narrow" w:cs="Arial"/>
                <w:sz w:val="20"/>
              </w:rPr>
              <w:instrText xml:space="preserve"> FORMCHECKBOX </w:instrText>
            </w:r>
            <w:r w:rsidR="00D771CE">
              <w:rPr>
                <w:rFonts w:ascii="Arial Narrow" w:hAnsi="Arial Narrow" w:cs="Arial"/>
                <w:sz w:val="20"/>
              </w:rPr>
            </w:r>
            <w:r w:rsidR="00D771CE">
              <w:rPr>
                <w:rFonts w:ascii="Arial Narrow" w:hAnsi="Arial Narrow" w:cs="Arial"/>
                <w:sz w:val="20"/>
              </w:rPr>
              <w:fldChar w:fldCharType="separate"/>
            </w:r>
            <w:r>
              <w:rPr>
                <w:rFonts w:ascii="Arial Narrow" w:hAnsi="Arial Narrow" w:cs="Arial"/>
                <w:sz w:val="20"/>
              </w:rPr>
              <w:fldChar w:fldCharType="end"/>
            </w:r>
            <w:r>
              <w:rPr>
                <w:rFonts w:ascii="Arial Narrow" w:hAnsi="Arial Narrow" w:cs="Arial"/>
                <w:sz w:val="20"/>
              </w:rPr>
              <w:t>Streamlined</w:t>
            </w:r>
          </w:p>
        </w:tc>
      </w:tr>
      <w:tr w:rsidR="00311D62">
        <w:trPr>
          <w:cantSplit/>
          <w:trHeight w:val="360"/>
        </w:trPr>
        <w:tc>
          <w:tcPr>
            <w:tcW w:w="1060" w:type="pct"/>
            <w:tcBorders>
              <w:top w:val="single" w:sz="4" w:space="0" w:color="auto"/>
              <w:left w:val="single" w:sz="4" w:space="0" w:color="auto"/>
              <w:bottom w:val="single" w:sz="4" w:space="0" w:color="auto"/>
              <w:right w:val="single" w:sz="4" w:space="0" w:color="auto"/>
            </w:tcBorders>
          </w:tcPr>
          <w:p w:rsidR="00311D62" w:rsidRDefault="00065EB8">
            <w:pPr>
              <w:jc w:val="both"/>
              <w:rPr>
                <w:rFonts w:ascii="Arial Narrow" w:hAnsi="Arial Narrow" w:cs="Arial"/>
                <w:b/>
                <w:sz w:val="20"/>
                <w:szCs w:val="20"/>
              </w:rPr>
            </w:pPr>
            <w:r>
              <w:rPr>
                <w:rFonts w:ascii="Arial Narrow" w:hAnsi="Arial Narrow" w:cs="Arial"/>
                <w:b/>
                <w:sz w:val="20"/>
                <w:szCs w:val="20"/>
              </w:rPr>
              <w:t>Administrative Advice</w:t>
            </w:r>
          </w:p>
        </w:tc>
        <w:tc>
          <w:tcPr>
            <w:tcW w:w="3940" w:type="pct"/>
            <w:gridSpan w:val="6"/>
            <w:tcBorders>
              <w:top w:val="single" w:sz="4" w:space="0" w:color="auto"/>
              <w:left w:val="single" w:sz="4" w:space="0" w:color="auto"/>
              <w:bottom w:val="single" w:sz="4" w:space="0" w:color="auto"/>
              <w:right w:val="single" w:sz="4" w:space="0" w:color="auto"/>
            </w:tcBorders>
          </w:tcPr>
          <w:p w:rsidR="00311D62" w:rsidRDefault="00065EB8">
            <w:pPr>
              <w:rPr>
                <w:rFonts w:ascii="Arial Narrow" w:hAnsi="Arial Narrow" w:cs="Arial"/>
                <w:sz w:val="20"/>
                <w:szCs w:val="20"/>
              </w:rPr>
            </w:pPr>
            <w:r>
              <w:rPr>
                <w:rFonts w:ascii="Arial Narrow" w:hAnsi="Arial Narrow" w:cs="Arial"/>
                <w:sz w:val="20"/>
                <w:szCs w:val="20"/>
              </w:rPr>
              <w:t>This product contains higher vitamin A levels than other PBS-listed glycomacropeptide products.</w:t>
            </w:r>
          </w:p>
        </w:tc>
      </w:tr>
    </w:tbl>
    <w:p w:rsidR="00311D62" w:rsidRDefault="00311D62">
      <w:pPr>
        <w:rPr>
          <w:szCs w:val="22"/>
        </w:rPr>
      </w:pPr>
    </w:p>
    <w:p w:rsidR="00311D62" w:rsidRDefault="00065EB8">
      <w:pPr>
        <w:pStyle w:val="2Sections"/>
      </w:pPr>
      <w:r>
        <w:t>Background</w:t>
      </w:r>
    </w:p>
    <w:p w:rsidR="00311D62" w:rsidRDefault="00065EB8">
      <w:pPr>
        <w:pStyle w:val="3Bodytext"/>
        <w:rPr>
          <w:color w:val="000000" w:themeColor="text1"/>
        </w:rPr>
      </w:pPr>
      <w:r>
        <w:rPr>
          <w:color w:val="000000" w:themeColor="text1"/>
        </w:rPr>
        <w:t xml:space="preserve">The sponsor of PKU GMPro LQ (Nutricia Australia Pty Ltd) confirmed the product meets the requirements for foods for medical purposes as set out under </w:t>
      </w:r>
      <w:r>
        <w:rPr>
          <w:i/>
          <w:color w:val="000000" w:themeColor="text1"/>
        </w:rPr>
        <w:t xml:space="preserve">The Australia </w:t>
      </w:r>
      <w:r>
        <w:rPr>
          <w:i/>
          <w:color w:val="000000" w:themeColor="text1"/>
        </w:rPr>
        <w:lastRenderedPageBreak/>
        <w:t>New Zealand Food Standards Code — Standard 2.9.5: Food for Special Medical Purposes.</w:t>
      </w:r>
    </w:p>
    <w:p w:rsidR="00311D62" w:rsidRDefault="00065EB8">
      <w:pPr>
        <w:pStyle w:val="3Bodytext"/>
        <w:rPr>
          <w:color w:val="000000" w:themeColor="text1"/>
        </w:rPr>
      </w:pPr>
      <w:r>
        <w:rPr>
          <w:color w:val="000000" w:themeColor="text1"/>
        </w:rPr>
        <w:t>At its November 2018 meeting, the PBAC recommended the listing of a powder presentation of PKU GMPro for the dietary management of PKU. The sponsor advised it is currently unable to guarantee supply of the powder formulation, and PBS listing of the liquid formulation will ensure the continued supply of PKU GMPro in Australia, under a different formulation.</w:t>
      </w:r>
    </w:p>
    <w:p w:rsidR="00311D62" w:rsidRDefault="00065EB8">
      <w:pPr>
        <w:pStyle w:val="Heading1"/>
        <w:keepNext/>
        <w:keepLines/>
        <w:widowControl/>
        <w:numPr>
          <w:ilvl w:val="0"/>
          <w:numId w:val="14"/>
        </w:numPr>
        <w:spacing w:before="240" w:after="120"/>
        <w:ind w:left="709" w:hanging="709"/>
        <w:contextualSpacing w:val="0"/>
        <w:jc w:val="left"/>
        <w:rPr>
          <w:rFonts w:asciiTheme="minorHAnsi" w:hAnsiTheme="minorHAnsi"/>
          <w:sz w:val="32"/>
          <w:szCs w:val="32"/>
        </w:rPr>
      </w:pPr>
      <w:r>
        <w:rPr>
          <w:rFonts w:asciiTheme="minorHAnsi" w:hAnsiTheme="minorHAnsi"/>
          <w:sz w:val="32"/>
          <w:szCs w:val="32"/>
        </w:rPr>
        <w:t>Consideration of the evidence</w:t>
      </w:r>
    </w:p>
    <w:p w:rsidR="00311D62" w:rsidRDefault="00065EB8">
      <w:pPr>
        <w:widowControl w:val="0"/>
        <w:spacing w:before="240" w:line="276" w:lineRule="auto"/>
        <w:jc w:val="both"/>
        <w:outlineLvl w:val="1"/>
        <w:rPr>
          <w:rFonts w:asciiTheme="minorHAnsi" w:hAnsiTheme="minorHAnsi" w:cs="Arial"/>
          <w:b/>
          <w:bCs/>
          <w:i/>
          <w:snapToGrid w:val="0"/>
          <w:sz w:val="28"/>
          <w:szCs w:val="28"/>
        </w:rPr>
      </w:pPr>
      <w:r>
        <w:rPr>
          <w:rFonts w:asciiTheme="minorHAnsi" w:hAnsiTheme="minorHAnsi" w:cs="Arial"/>
          <w:b/>
          <w:bCs/>
          <w:i/>
          <w:snapToGrid w:val="0"/>
          <w:sz w:val="28"/>
          <w:szCs w:val="28"/>
        </w:rPr>
        <w:t>Sponsor hearing</w:t>
      </w:r>
    </w:p>
    <w:p w:rsidR="00311D62" w:rsidRDefault="00065EB8">
      <w:pPr>
        <w:pStyle w:val="3Bodytext"/>
        <w:rPr>
          <w:rFonts w:eastAsia="Times New Roman" w:cs="Arial"/>
          <w:bCs/>
          <w:snapToGrid w:val="0"/>
          <w:szCs w:val="24"/>
          <w:lang w:eastAsia="en-AU"/>
        </w:rPr>
      </w:pPr>
      <w:r>
        <w:rPr>
          <w:rFonts w:eastAsia="Times New Roman" w:cs="Arial"/>
          <w:bCs/>
          <w:snapToGrid w:val="0"/>
          <w:szCs w:val="24"/>
          <w:lang w:eastAsia="en-AU"/>
        </w:rPr>
        <w:t>There was no hearing for this item as it was a minor submission.</w:t>
      </w:r>
    </w:p>
    <w:p w:rsidR="00311D62" w:rsidRDefault="00065EB8">
      <w:pPr>
        <w:widowControl w:val="0"/>
        <w:spacing w:before="240" w:line="276" w:lineRule="auto"/>
        <w:jc w:val="both"/>
        <w:outlineLvl w:val="1"/>
        <w:rPr>
          <w:rFonts w:asciiTheme="minorHAnsi" w:hAnsiTheme="minorHAnsi" w:cs="Arial"/>
          <w:b/>
          <w:bCs/>
          <w:i/>
          <w:snapToGrid w:val="0"/>
          <w:sz w:val="28"/>
          <w:szCs w:val="28"/>
        </w:rPr>
      </w:pPr>
      <w:r>
        <w:rPr>
          <w:rFonts w:asciiTheme="minorHAnsi" w:hAnsiTheme="minorHAnsi" w:cs="Arial"/>
          <w:b/>
          <w:bCs/>
          <w:i/>
          <w:snapToGrid w:val="0"/>
          <w:sz w:val="28"/>
          <w:szCs w:val="28"/>
        </w:rPr>
        <w:t>Consumer comments</w:t>
      </w:r>
    </w:p>
    <w:p w:rsidR="00311D62" w:rsidRDefault="00065EB8">
      <w:pPr>
        <w:widowControl w:val="0"/>
        <w:numPr>
          <w:ilvl w:val="1"/>
          <w:numId w:val="5"/>
        </w:numPr>
        <w:spacing w:after="120"/>
        <w:jc w:val="both"/>
        <w:rPr>
          <w:rFonts w:asciiTheme="minorHAnsi" w:hAnsiTheme="minorHAnsi" w:cs="Arial"/>
          <w:bCs/>
          <w:snapToGrid w:val="0"/>
        </w:rPr>
      </w:pPr>
      <w:r>
        <w:rPr>
          <w:rFonts w:asciiTheme="minorHAnsi" w:hAnsiTheme="minorHAnsi" w:cs="Arial"/>
          <w:bCs/>
          <w:snapToGrid w:val="0"/>
        </w:rPr>
        <w:t>The PBAC noted there were no consumer comments received for this item.</w:t>
      </w:r>
    </w:p>
    <w:p w:rsidR="00311D62" w:rsidRDefault="00065EB8">
      <w:pPr>
        <w:pStyle w:val="Heading2"/>
        <w:keepLines/>
        <w:spacing w:before="240" w:after="120"/>
        <w:rPr>
          <w:rFonts w:asciiTheme="minorHAnsi" w:eastAsiaTheme="majorEastAsia" w:hAnsiTheme="minorHAnsi" w:cstheme="majorBidi"/>
          <w:color w:val="000000" w:themeColor="text1"/>
          <w:sz w:val="28"/>
          <w:szCs w:val="28"/>
          <w:lang w:eastAsia="en-US"/>
        </w:rPr>
      </w:pPr>
      <w:r>
        <w:rPr>
          <w:rFonts w:asciiTheme="minorHAnsi" w:eastAsiaTheme="majorEastAsia" w:hAnsiTheme="minorHAnsi" w:cstheme="majorBidi"/>
          <w:color w:val="000000" w:themeColor="text1"/>
          <w:sz w:val="28"/>
          <w:szCs w:val="28"/>
          <w:lang w:eastAsia="en-US"/>
        </w:rPr>
        <w:t>Comparison with similar products</w:t>
      </w:r>
    </w:p>
    <w:p w:rsidR="00311D62" w:rsidRDefault="00065EB8">
      <w:pPr>
        <w:pStyle w:val="3Bodytext"/>
        <w:rPr>
          <w:color w:val="000000" w:themeColor="text1"/>
          <w:szCs w:val="24"/>
        </w:rPr>
      </w:pPr>
      <w:r>
        <w:rPr>
          <w:color w:val="000000" w:themeColor="text1"/>
        </w:rPr>
        <w:t>The sponsor provided a summary comparing PKU GMPro LQ with the powder formulation and established comparators from the November 2018 submission</w:t>
      </w:r>
      <w:r>
        <w:rPr>
          <w:rStyle w:val="FootnoteReference"/>
          <w:color w:val="000000" w:themeColor="text1"/>
        </w:rPr>
        <w:footnoteReference w:id="1"/>
      </w:r>
      <w:r>
        <w:rPr>
          <w:color w:val="000000" w:themeColor="text1"/>
        </w:rPr>
        <w:t>. The product contains the same amount of protein equivalent (PE), slightly lower calorific content, and has a similar nutritional profile to the powder form.</w:t>
      </w:r>
    </w:p>
    <w:p w:rsidR="00311D62" w:rsidRDefault="00065EB8">
      <w:pPr>
        <w:pStyle w:val="Heading2"/>
        <w:keepLines/>
        <w:spacing w:before="240" w:after="120"/>
        <w:rPr>
          <w:rFonts w:asciiTheme="minorHAnsi" w:eastAsiaTheme="majorEastAsia" w:hAnsiTheme="minorHAnsi" w:cstheme="majorBidi"/>
          <w:color w:val="000000" w:themeColor="text1"/>
          <w:sz w:val="28"/>
          <w:szCs w:val="28"/>
          <w:lang w:eastAsia="en-US"/>
        </w:rPr>
      </w:pPr>
      <w:r>
        <w:rPr>
          <w:rFonts w:asciiTheme="minorHAnsi" w:eastAsiaTheme="majorEastAsia" w:hAnsiTheme="minorHAnsi" w:cstheme="majorBidi"/>
          <w:color w:val="000000" w:themeColor="text1"/>
          <w:sz w:val="28"/>
          <w:szCs w:val="28"/>
          <w:lang w:eastAsia="en-US"/>
        </w:rPr>
        <w:t>Estimated PBS usage &amp; financial implications</w:t>
      </w:r>
    </w:p>
    <w:p w:rsidR="00311D62" w:rsidRDefault="00065EB8">
      <w:pPr>
        <w:pStyle w:val="ListParagraph"/>
        <w:widowControl/>
        <w:numPr>
          <w:ilvl w:val="1"/>
          <w:numId w:val="14"/>
        </w:numPr>
        <w:spacing w:after="120"/>
        <w:contextualSpacing w:val="0"/>
        <w:rPr>
          <w:rFonts w:asciiTheme="minorHAnsi" w:hAnsiTheme="minorHAnsi"/>
          <w:color w:val="000000" w:themeColor="text1"/>
        </w:rPr>
      </w:pPr>
      <w:r>
        <w:rPr>
          <w:rFonts w:asciiTheme="minorHAnsi" w:eastAsiaTheme="minorHAnsi" w:hAnsiTheme="minorHAnsi" w:cstheme="minorBidi"/>
          <w:snapToGrid/>
          <w:color w:val="000000" w:themeColor="text1"/>
          <w:sz w:val="24"/>
          <w:szCs w:val="22"/>
        </w:rPr>
        <w:t>The submission requested a price based on cost minimisation with PKU GMPro powder at the same price per gram of PE ($0.8016). The submission requested an approved ex-manufacturer price for the maximum quantity (1,800g PE) of $1,570.79, equivalent to other products with the same quantity of PE. The submission assumed PKU GMPro LQ would be the only substitute for PKU.</w:t>
      </w:r>
    </w:p>
    <w:p w:rsidR="00311D62" w:rsidRDefault="00065EB8">
      <w:pPr>
        <w:ind w:firstLine="720"/>
        <w:rPr>
          <w:rFonts w:asciiTheme="minorHAnsi" w:hAnsiTheme="minorHAnsi" w:cstheme="minorHAnsi"/>
          <w:i/>
        </w:rPr>
      </w:pPr>
      <w:r>
        <w:rPr>
          <w:rFonts w:asciiTheme="minorHAnsi" w:hAnsiTheme="minorHAnsi" w:cstheme="minorHAnsi"/>
          <w:i/>
        </w:rPr>
        <w:t>For more detail on PBAC’s view, see section 6 PBAC outcome.</w:t>
      </w:r>
    </w:p>
    <w:p w:rsidR="00311D62" w:rsidRDefault="00065EB8">
      <w:pPr>
        <w:pStyle w:val="2Sections"/>
      </w:pPr>
      <w:r>
        <w:t>NPWP Consideration</w:t>
      </w:r>
    </w:p>
    <w:p w:rsidR="00311D62" w:rsidRDefault="00065EB8">
      <w:pPr>
        <w:pStyle w:val="ListParagraph"/>
        <w:widowControl/>
        <w:numPr>
          <w:ilvl w:val="1"/>
          <w:numId w:val="14"/>
        </w:numPr>
        <w:spacing w:after="120"/>
        <w:contextualSpacing w:val="0"/>
        <w:rPr>
          <w:rFonts w:asciiTheme="minorHAnsi" w:eastAsiaTheme="minorHAnsi" w:hAnsiTheme="minorHAnsi" w:cstheme="minorBidi"/>
          <w:snapToGrid/>
          <w:color w:val="000000" w:themeColor="text1"/>
          <w:sz w:val="24"/>
          <w:szCs w:val="22"/>
        </w:rPr>
      </w:pPr>
      <w:r>
        <w:rPr>
          <w:rFonts w:asciiTheme="minorHAnsi" w:eastAsiaTheme="minorHAnsi" w:hAnsiTheme="minorHAnsi" w:cstheme="minorBidi"/>
          <w:snapToGrid/>
          <w:color w:val="000000" w:themeColor="text1"/>
          <w:sz w:val="24"/>
          <w:szCs w:val="22"/>
        </w:rPr>
        <w:t xml:space="preserve">The NPWP noted the requested listing of a liquid formulation of the PKU GMPro for the dietary management of phenylketonuria. The PBAC recommended PBS listing of PKU GMPro powder formulation at its November 2018 meeting, but the sponsor was unable to supply the product at the time of this minor submission. The NPWP noted the similarities in nutritional profiles between the liquid and powder formulations, and supported a listing at the same price-per-gram of PE as similar alternatives. The NPWP noted that at the requested maximum quantities, younger patients may receive a </w:t>
      </w:r>
      <w:r>
        <w:rPr>
          <w:rFonts w:asciiTheme="minorHAnsi" w:eastAsiaTheme="minorHAnsi" w:hAnsiTheme="minorHAnsi" w:cstheme="minorBidi"/>
          <w:snapToGrid/>
          <w:color w:val="000000" w:themeColor="text1"/>
          <w:sz w:val="24"/>
          <w:szCs w:val="22"/>
        </w:rPr>
        <w:lastRenderedPageBreak/>
        <w:t xml:space="preserve">substantial supply (3-4 months), which raised a modest concern regarding wastage if the product were to expire before being consumed, due to the shorter shelf-life of the liquid formulation. </w:t>
      </w:r>
    </w:p>
    <w:p w:rsidR="00311D62" w:rsidRDefault="00065EB8">
      <w:pPr>
        <w:widowControl w:val="0"/>
        <w:numPr>
          <w:ilvl w:val="0"/>
          <w:numId w:val="5"/>
        </w:numPr>
        <w:spacing w:before="240" w:after="120"/>
        <w:jc w:val="both"/>
        <w:outlineLvl w:val="0"/>
        <w:rPr>
          <w:rFonts w:asciiTheme="minorHAnsi" w:hAnsiTheme="minorHAnsi" w:cs="Arial"/>
          <w:b/>
          <w:bCs/>
          <w:snapToGrid w:val="0"/>
          <w:sz w:val="32"/>
        </w:rPr>
      </w:pPr>
      <w:r>
        <w:rPr>
          <w:rFonts w:asciiTheme="minorHAnsi" w:hAnsiTheme="minorHAnsi" w:cs="Arial"/>
          <w:b/>
          <w:bCs/>
          <w:snapToGrid w:val="0"/>
          <w:sz w:val="32"/>
        </w:rPr>
        <w:t>PBAC Outcome</w:t>
      </w:r>
    </w:p>
    <w:p w:rsidR="00311D62" w:rsidRDefault="00065EB8">
      <w:pPr>
        <w:widowControl w:val="0"/>
        <w:numPr>
          <w:ilvl w:val="1"/>
          <w:numId w:val="5"/>
        </w:numPr>
        <w:spacing w:after="120"/>
        <w:jc w:val="both"/>
        <w:rPr>
          <w:rFonts w:asciiTheme="minorHAnsi" w:hAnsiTheme="minorHAnsi" w:cs="Arial"/>
          <w:bCs/>
          <w:snapToGrid w:val="0"/>
          <w:lang w:val="en-GB"/>
        </w:rPr>
      </w:pPr>
      <w:r>
        <w:rPr>
          <w:rFonts w:asciiTheme="minorHAnsi" w:hAnsiTheme="minorHAnsi" w:cs="Arial"/>
          <w:bCs/>
          <w:snapToGrid w:val="0"/>
          <w:lang w:val="en-GB"/>
        </w:rPr>
        <w:t>The PBAC agreed with the listing of the glycomacropeptide formula, PKU GMPro</w:t>
      </w:r>
      <w:r>
        <w:rPr>
          <w:rFonts w:asciiTheme="minorHAnsi" w:hAnsiTheme="minorHAnsi" w:cstheme="minorHAnsi"/>
          <w:bCs/>
          <w:snapToGrid w:val="0"/>
          <w:lang w:val="en-GB"/>
        </w:rPr>
        <w:t>®</w:t>
      </w:r>
      <w:r>
        <w:rPr>
          <w:rFonts w:asciiTheme="minorHAnsi" w:hAnsiTheme="minorHAnsi" w:cs="Arial"/>
          <w:bCs/>
          <w:snapToGrid w:val="0"/>
          <w:lang w:val="en-GB"/>
        </w:rPr>
        <w:t xml:space="preserve"> LQ, for the dietary management of phenylketonuria (PKU) processed by the Secretariat. The PBAC advised that the pricing of the previously recommended powder and new liquid formulations should be set at the same cost per gram of protein equivalent (PE). The PBAC noted it had recommended the powder formulation of PKU GMPro on a cost minimisation basis with PKU Glytactin RTD 10 at the same cost per gram of PE.</w:t>
      </w:r>
    </w:p>
    <w:p w:rsidR="00311D62" w:rsidRDefault="00065EB8">
      <w:pPr>
        <w:widowControl w:val="0"/>
        <w:numPr>
          <w:ilvl w:val="1"/>
          <w:numId w:val="5"/>
        </w:numPr>
        <w:spacing w:after="120"/>
        <w:jc w:val="both"/>
        <w:rPr>
          <w:rFonts w:asciiTheme="minorHAnsi" w:hAnsiTheme="minorHAnsi" w:cs="Arial"/>
          <w:bCs/>
          <w:snapToGrid w:val="0"/>
          <w:lang w:val="en-GB"/>
        </w:rPr>
      </w:pPr>
      <w:r>
        <w:rPr>
          <w:rFonts w:asciiTheme="minorHAnsi" w:hAnsiTheme="minorHAnsi" w:cs="Arial"/>
          <w:bCs/>
          <w:snapToGrid w:val="0"/>
          <w:lang w:val="en-GB"/>
        </w:rPr>
        <w:t>Noting the NPWP advice, the PBAC agreed the nutritional profiles of the powder and liquid forms of PKU GMPro were similar, and the listings and restrictions should be the same, including the administrative note regarding vitamin A content.</w:t>
      </w:r>
    </w:p>
    <w:p w:rsidR="00311D62" w:rsidRDefault="00065EB8">
      <w:pPr>
        <w:pStyle w:val="ListParagraph"/>
        <w:widowControl/>
        <w:numPr>
          <w:ilvl w:val="1"/>
          <w:numId w:val="5"/>
        </w:numPr>
        <w:spacing w:after="120"/>
        <w:contextualSpacing w:val="0"/>
        <w:rPr>
          <w:rFonts w:asciiTheme="minorHAnsi" w:hAnsiTheme="minorHAnsi" w:cstheme="minorHAnsi"/>
          <w:sz w:val="24"/>
          <w:szCs w:val="24"/>
        </w:rPr>
      </w:pPr>
      <w:r>
        <w:rPr>
          <w:rFonts w:asciiTheme="minorHAnsi" w:hAnsiTheme="minorHAnsi" w:cstheme="minorHAnsi"/>
          <w:sz w:val="24"/>
          <w:szCs w:val="24"/>
        </w:rPr>
        <w:t>The PBAC agreed PKU GMPro LQ is suitable for inclusion in the PBS medicines for prescribing by nurse practitioners, similar to other nutritional product listings for PKU.</w:t>
      </w:r>
    </w:p>
    <w:p w:rsidR="00311D62" w:rsidRDefault="00065EB8">
      <w:pPr>
        <w:pStyle w:val="ListParagraph"/>
        <w:widowControl/>
        <w:numPr>
          <w:ilvl w:val="1"/>
          <w:numId w:val="5"/>
        </w:numPr>
        <w:spacing w:after="120"/>
        <w:contextualSpacing w:val="0"/>
        <w:rPr>
          <w:rFonts w:asciiTheme="minorHAnsi" w:hAnsiTheme="minorHAnsi" w:cstheme="minorHAnsi"/>
          <w:sz w:val="24"/>
          <w:szCs w:val="24"/>
        </w:rPr>
      </w:pPr>
      <w:r>
        <w:rPr>
          <w:rFonts w:asciiTheme="minorHAnsi" w:hAnsiTheme="minorHAnsi" w:cstheme="minorHAnsi"/>
          <w:sz w:val="24"/>
          <w:szCs w:val="24"/>
        </w:rPr>
        <w:t>The PBAC advised the Early Supply Rule should not apply to PKU GMPro LQ as it has generally been its view that nutritional product listings be exempt.</w:t>
      </w:r>
    </w:p>
    <w:p w:rsidR="00311D62" w:rsidRDefault="00065EB8">
      <w:pPr>
        <w:pStyle w:val="ListParagraph"/>
        <w:widowControl/>
        <w:numPr>
          <w:ilvl w:val="1"/>
          <w:numId w:val="5"/>
        </w:numPr>
        <w:spacing w:after="120"/>
        <w:contextualSpacing w:val="0"/>
        <w:rPr>
          <w:rFonts w:asciiTheme="minorHAnsi" w:hAnsiTheme="minorHAnsi" w:cstheme="minorHAnsi"/>
          <w:sz w:val="24"/>
          <w:szCs w:val="24"/>
        </w:rPr>
      </w:pPr>
      <w:r>
        <w:rPr>
          <w:rFonts w:asciiTheme="minorHAnsi" w:hAnsiTheme="minorHAnsi" w:cstheme="minorHAnsi"/>
          <w:sz w:val="24"/>
          <w:szCs w:val="24"/>
        </w:rPr>
        <w:t xml:space="preserve">The PBAC advised under Section 101(3BA) of the </w:t>
      </w:r>
      <w:r>
        <w:rPr>
          <w:rFonts w:asciiTheme="minorHAnsi" w:hAnsiTheme="minorHAnsi" w:cstheme="minorHAnsi"/>
          <w:i/>
          <w:sz w:val="24"/>
          <w:szCs w:val="24"/>
        </w:rPr>
        <w:t>National Health Act 1953</w:t>
      </w:r>
      <w:r>
        <w:rPr>
          <w:rFonts w:asciiTheme="minorHAnsi" w:hAnsiTheme="minorHAnsi" w:cstheme="minorHAnsi"/>
          <w:sz w:val="24"/>
          <w:szCs w:val="24"/>
        </w:rPr>
        <w:t xml:space="preserve"> that PKU GMPro LQ should be treated as interchangeable with similar nutritional products on an individual patient basis.</w:t>
      </w:r>
    </w:p>
    <w:p w:rsidR="00311D62" w:rsidRDefault="00065EB8">
      <w:pPr>
        <w:pStyle w:val="ListParagraph"/>
        <w:widowControl/>
        <w:numPr>
          <w:ilvl w:val="1"/>
          <w:numId w:val="5"/>
        </w:numPr>
        <w:spacing w:after="120"/>
        <w:contextualSpacing w:val="0"/>
        <w:rPr>
          <w:rFonts w:asciiTheme="minorHAnsi" w:hAnsiTheme="minorHAnsi" w:cstheme="minorHAnsi"/>
          <w:sz w:val="24"/>
          <w:szCs w:val="24"/>
        </w:rPr>
      </w:pPr>
      <w:r>
        <w:rPr>
          <w:rFonts w:asciiTheme="minorHAnsi" w:hAnsiTheme="minorHAnsi" w:cstheme="minorHAnsi"/>
          <w:sz w:val="24"/>
          <w:szCs w:val="24"/>
        </w:rPr>
        <w:t xml:space="preserve">The PBAC noted that its recommendation was on a cost-minimisation basis and advised that, because PKU GMPro LQ is not expected to provide a substantial and clinically relevant improvement in efficacy, or reduction of toxicity over PKU GMPro or not expected to address a high and urgent unmet clinical need over similar nutritional products for dietary management of PKU, the criteria prescribed by the </w:t>
      </w:r>
      <w:r>
        <w:rPr>
          <w:rFonts w:asciiTheme="minorHAnsi" w:hAnsiTheme="minorHAnsi" w:cstheme="minorHAnsi"/>
          <w:i/>
          <w:sz w:val="24"/>
          <w:szCs w:val="24"/>
        </w:rPr>
        <w:t>National Health (Pharmaceuticals and Vaccines – Cost Recovery) Regulations 2009</w:t>
      </w:r>
      <w:r>
        <w:rPr>
          <w:rFonts w:asciiTheme="minorHAnsi" w:hAnsiTheme="minorHAnsi" w:cstheme="minorHAnsi"/>
          <w:sz w:val="24"/>
          <w:szCs w:val="24"/>
        </w:rPr>
        <w:t xml:space="preserve"> for Pricing Pathway A were not met. </w:t>
      </w:r>
    </w:p>
    <w:p w:rsidR="00311D62" w:rsidRDefault="00065EB8">
      <w:pPr>
        <w:pStyle w:val="3Bodytext"/>
        <w:numPr>
          <w:ilvl w:val="1"/>
          <w:numId w:val="5"/>
        </w:numPr>
        <w:rPr>
          <w:rFonts w:cstheme="minorHAnsi"/>
          <w:szCs w:val="24"/>
        </w:rPr>
      </w:pPr>
      <w:r>
        <w:rPr>
          <w:rFonts w:cstheme="minorHAnsi"/>
          <w:szCs w:val="24"/>
        </w:rPr>
        <w:t>The submission is not eligible for independent review as it received a positive recommendation.</w:t>
      </w:r>
    </w:p>
    <w:p w:rsidR="00311D62" w:rsidRDefault="00065EB8">
      <w:pPr>
        <w:spacing w:before="240"/>
        <w:jc w:val="both"/>
        <w:outlineLvl w:val="1"/>
        <w:rPr>
          <w:rFonts w:asciiTheme="minorHAnsi" w:hAnsiTheme="minorHAnsi" w:cs="Arial"/>
          <w:b/>
          <w:bCs/>
          <w:snapToGrid w:val="0"/>
          <w:lang w:val="en-GB"/>
        </w:rPr>
      </w:pPr>
      <w:r>
        <w:rPr>
          <w:rFonts w:asciiTheme="minorHAnsi" w:hAnsiTheme="minorHAnsi" w:cs="Arial"/>
          <w:b/>
          <w:bCs/>
          <w:snapToGrid w:val="0"/>
          <w:lang w:val="en-GB"/>
        </w:rPr>
        <w:t xml:space="preserve">Outcome: </w:t>
      </w:r>
      <w:r>
        <w:rPr>
          <w:rFonts w:asciiTheme="minorHAnsi" w:hAnsiTheme="minorHAnsi" w:cs="Arial"/>
          <w:b/>
          <w:bCs/>
          <w:snapToGrid w:val="0"/>
          <w:lang w:val="en-GB"/>
        </w:rPr>
        <w:br/>
      </w:r>
      <w:r>
        <w:rPr>
          <w:rFonts w:asciiTheme="minorHAnsi" w:hAnsiTheme="minorHAnsi" w:cs="Arial"/>
          <w:bCs/>
          <w:snapToGrid w:val="0"/>
          <w:lang w:val="en-GB"/>
        </w:rPr>
        <w:t>Recommended</w:t>
      </w:r>
    </w:p>
    <w:p w:rsidR="00311D62" w:rsidRDefault="00065EB8">
      <w:pPr>
        <w:widowControl w:val="0"/>
        <w:numPr>
          <w:ilvl w:val="0"/>
          <w:numId w:val="5"/>
        </w:numPr>
        <w:spacing w:before="240" w:after="120"/>
        <w:jc w:val="both"/>
        <w:outlineLvl w:val="0"/>
        <w:rPr>
          <w:rFonts w:asciiTheme="minorHAnsi" w:hAnsiTheme="minorHAnsi" w:cs="Arial"/>
          <w:b/>
          <w:bCs/>
          <w:i/>
          <w:snapToGrid w:val="0"/>
          <w:sz w:val="32"/>
          <w:lang w:val="en-GB"/>
        </w:rPr>
      </w:pPr>
      <w:r>
        <w:rPr>
          <w:rFonts w:asciiTheme="minorHAnsi" w:hAnsiTheme="minorHAnsi" w:cs="Arial"/>
          <w:b/>
          <w:bCs/>
          <w:snapToGrid w:val="0"/>
          <w:sz w:val="32"/>
          <w:lang w:val="en-GB"/>
        </w:rPr>
        <w:t>Recommended listing</w:t>
      </w:r>
    </w:p>
    <w:p w:rsidR="00311D62" w:rsidRDefault="00065EB8">
      <w:pPr>
        <w:pStyle w:val="3Bodytext"/>
        <w:numPr>
          <w:ilvl w:val="1"/>
          <w:numId w:val="5"/>
        </w:numPr>
      </w:pPr>
      <w:r>
        <w:t>Add new item:</w:t>
      </w:r>
    </w:p>
    <w:p w:rsidR="00311D62" w:rsidRDefault="00311D62">
      <w:pPr>
        <w:pStyle w:val="NoSpacing"/>
        <w:rPr>
          <w:lang w:val="en-GB"/>
        </w:rPr>
      </w:pPr>
    </w:p>
    <w:tbl>
      <w:tblPr>
        <w:tblW w:w="5002" w:type="pct"/>
        <w:tblLook w:val="0000" w:firstRow="0" w:lastRow="0" w:firstColumn="0" w:lastColumn="0" w:noHBand="0" w:noVBand="0"/>
      </w:tblPr>
      <w:tblGrid>
        <w:gridCol w:w="1914"/>
        <w:gridCol w:w="1629"/>
        <w:gridCol w:w="921"/>
        <w:gridCol w:w="923"/>
        <w:gridCol w:w="284"/>
        <w:gridCol w:w="1562"/>
        <w:gridCol w:w="1640"/>
        <w:gridCol w:w="157"/>
      </w:tblGrid>
      <w:tr w:rsidR="00311D62">
        <w:trPr>
          <w:cantSplit/>
          <w:trHeight w:val="491"/>
        </w:trPr>
        <w:tc>
          <w:tcPr>
            <w:tcW w:w="1962" w:type="pct"/>
            <w:gridSpan w:val="2"/>
            <w:tcBorders>
              <w:bottom w:val="single" w:sz="4" w:space="0" w:color="auto"/>
            </w:tcBorders>
          </w:tcPr>
          <w:p w:rsidR="00311D62" w:rsidRDefault="00065EB8">
            <w:pPr>
              <w:keepNext/>
              <w:spacing w:before="40" w:after="40"/>
              <w:jc w:val="both"/>
              <w:rPr>
                <w:rFonts w:ascii="Arial Narrow" w:hAnsi="Arial Narrow" w:cs="Arial"/>
                <w:b/>
                <w:sz w:val="20"/>
                <w:szCs w:val="20"/>
              </w:rPr>
            </w:pPr>
            <w:r>
              <w:rPr>
                <w:rFonts w:ascii="Arial Narrow" w:hAnsi="Arial Narrow" w:cs="Arial"/>
                <w:b/>
                <w:sz w:val="20"/>
                <w:szCs w:val="20"/>
              </w:rPr>
              <w:lastRenderedPageBreak/>
              <w:t>Name, Restriction,</w:t>
            </w:r>
          </w:p>
          <w:p w:rsidR="00311D62" w:rsidRDefault="00065EB8">
            <w:pPr>
              <w:keepNext/>
              <w:spacing w:before="40" w:after="40"/>
              <w:jc w:val="both"/>
              <w:rPr>
                <w:rFonts w:ascii="Arial Narrow" w:hAnsi="Arial Narrow" w:cs="Arial"/>
                <w:b/>
                <w:sz w:val="20"/>
                <w:szCs w:val="20"/>
              </w:rPr>
            </w:pPr>
            <w:r>
              <w:rPr>
                <w:rFonts w:ascii="Arial Narrow" w:hAnsi="Arial Narrow" w:cs="Arial"/>
                <w:b/>
                <w:sz w:val="20"/>
                <w:szCs w:val="20"/>
              </w:rPr>
              <w:t>Manner of administration and form</w:t>
            </w:r>
          </w:p>
        </w:tc>
        <w:tc>
          <w:tcPr>
            <w:tcW w:w="510" w:type="pct"/>
            <w:tcBorders>
              <w:bottom w:val="single" w:sz="4" w:space="0" w:color="auto"/>
            </w:tcBorders>
          </w:tcPr>
          <w:p w:rsidR="00311D62" w:rsidRDefault="00065EB8">
            <w:pPr>
              <w:keepNext/>
              <w:spacing w:before="40" w:after="40"/>
              <w:jc w:val="center"/>
              <w:rPr>
                <w:rFonts w:ascii="Arial Narrow" w:hAnsi="Arial Narrow" w:cs="Arial"/>
                <w:b/>
                <w:sz w:val="20"/>
                <w:szCs w:val="20"/>
              </w:rPr>
            </w:pPr>
            <w:r>
              <w:rPr>
                <w:rFonts w:ascii="Arial Narrow" w:hAnsi="Arial Narrow" w:cs="Arial"/>
                <w:b/>
                <w:sz w:val="20"/>
                <w:szCs w:val="20"/>
              </w:rPr>
              <w:t>Max.</w:t>
            </w:r>
          </w:p>
          <w:p w:rsidR="00311D62" w:rsidRDefault="00065EB8">
            <w:pPr>
              <w:keepNext/>
              <w:spacing w:before="40" w:after="40"/>
              <w:jc w:val="center"/>
              <w:rPr>
                <w:rFonts w:ascii="Arial Narrow" w:hAnsi="Arial Narrow" w:cs="Arial"/>
                <w:b/>
                <w:sz w:val="20"/>
                <w:szCs w:val="20"/>
              </w:rPr>
            </w:pPr>
            <w:r>
              <w:rPr>
                <w:rFonts w:ascii="Arial Narrow" w:hAnsi="Arial Narrow" w:cs="Arial"/>
                <w:b/>
                <w:sz w:val="20"/>
                <w:szCs w:val="20"/>
              </w:rPr>
              <w:t>Qty</w:t>
            </w:r>
          </w:p>
        </w:tc>
        <w:tc>
          <w:tcPr>
            <w:tcW w:w="511" w:type="pct"/>
            <w:tcBorders>
              <w:bottom w:val="single" w:sz="4" w:space="0" w:color="auto"/>
            </w:tcBorders>
          </w:tcPr>
          <w:p w:rsidR="00311D62" w:rsidRDefault="00065EB8">
            <w:pPr>
              <w:keepNext/>
              <w:spacing w:before="40" w:after="40"/>
              <w:jc w:val="center"/>
              <w:rPr>
                <w:rFonts w:ascii="Arial Narrow" w:hAnsi="Arial Narrow" w:cs="Arial"/>
                <w:b/>
                <w:sz w:val="20"/>
                <w:szCs w:val="20"/>
              </w:rPr>
            </w:pPr>
            <w:r>
              <w:rPr>
                <w:rFonts w:ascii="Arial Narrow" w:hAnsi="Arial Narrow" w:cs="Arial"/>
                <w:b/>
                <w:sz w:val="20"/>
                <w:szCs w:val="20"/>
              </w:rPr>
              <w:t>№.of</w:t>
            </w:r>
          </w:p>
          <w:p w:rsidR="00311D62" w:rsidRDefault="00065EB8">
            <w:pPr>
              <w:keepNext/>
              <w:spacing w:before="40" w:after="40"/>
              <w:jc w:val="center"/>
              <w:rPr>
                <w:rFonts w:ascii="Arial Narrow" w:hAnsi="Arial Narrow" w:cs="Arial"/>
                <w:b/>
                <w:sz w:val="20"/>
                <w:szCs w:val="20"/>
              </w:rPr>
            </w:pPr>
            <w:r>
              <w:rPr>
                <w:rFonts w:ascii="Arial Narrow" w:hAnsi="Arial Narrow" w:cs="Arial"/>
                <w:b/>
                <w:sz w:val="20"/>
                <w:szCs w:val="20"/>
              </w:rPr>
              <w:t>Rpts</w:t>
            </w:r>
          </w:p>
        </w:tc>
        <w:tc>
          <w:tcPr>
            <w:tcW w:w="157" w:type="pct"/>
            <w:tcBorders>
              <w:bottom w:val="single" w:sz="4" w:space="0" w:color="auto"/>
            </w:tcBorders>
          </w:tcPr>
          <w:p w:rsidR="00311D62" w:rsidRDefault="00311D62">
            <w:pPr>
              <w:keepNext/>
              <w:spacing w:before="40" w:after="40"/>
              <w:jc w:val="both"/>
              <w:rPr>
                <w:rFonts w:ascii="Arial Narrow" w:hAnsi="Arial Narrow" w:cs="Arial"/>
                <w:b/>
                <w:sz w:val="20"/>
                <w:szCs w:val="20"/>
              </w:rPr>
            </w:pPr>
          </w:p>
        </w:tc>
        <w:tc>
          <w:tcPr>
            <w:tcW w:w="1860" w:type="pct"/>
            <w:gridSpan w:val="3"/>
            <w:tcBorders>
              <w:bottom w:val="single" w:sz="4" w:space="0" w:color="auto"/>
            </w:tcBorders>
          </w:tcPr>
          <w:p w:rsidR="00311D62" w:rsidRDefault="00065EB8">
            <w:pPr>
              <w:keepNext/>
              <w:spacing w:before="40" w:after="40"/>
              <w:rPr>
                <w:rFonts w:ascii="Arial Narrow" w:hAnsi="Arial Narrow" w:cs="Arial"/>
                <w:b/>
                <w:sz w:val="20"/>
                <w:szCs w:val="20"/>
                <w:lang w:val="fr-FR"/>
              </w:rPr>
            </w:pPr>
            <w:r>
              <w:rPr>
                <w:rFonts w:ascii="Arial Narrow" w:hAnsi="Arial Narrow" w:cs="Arial"/>
                <w:b/>
                <w:sz w:val="20"/>
                <w:szCs w:val="20"/>
              </w:rPr>
              <w:t>Proprietary Name and Manufacturer</w:t>
            </w:r>
          </w:p>
        </w:tc>
      </w:tr>
      <w:tr w:rsidR="00311D62">
        <w:trPr>
          <w:cantSplit/>
          <w:trHeight w:val="599"/>
        </w:trPr>
        <w:tc>
          <w:tcPr>
            <w:tcW w:w="1962" w:type="pct"/>
            <w:gridSpan w:val="2"/>
          </w:tcPr>
          <w:p w:rsidR="00311D62" w:rsidRDefault="00065EB8">
            <w:pPr>
              <w:keepNext/>
              <w:ind w:left="-108"/>
              <w:rPr>
                <w:rFonts w:ascii="Arial Narrow" w:hAnsi="Arial Narrow" w:cs="Arial"/>
                <w:smallCaps/>
                <w:sz w:val="20"/>
                <w:szCs w:val="20"/>
              </w:rPr>
            </w:pPr>
            <w:r>
              <w:rPr>
                <w:rFonts w:ascii="Arial Narrow" w:hAnsi="Arial Narrow" w:cs="Arial"/>
                <w:smallCaps/>
                <w:sz w:val="20"/>
                <w:szCs w:val="20"/>
              </w:rPr>
              <w:t>glycomacropeptide formula with docosahexaenoic acid and low phenylalanine</w:t>
            </w:r>
          </w:p>
          <w:p w:rsidR="00311D62" w:rsidRDefault="00065EB8">
            <w:pPr>
              <w:keepNext/>
              <w:ind w:left="-108"/>
              <w:rPr>
                <w:rFonts w:ascii="Arial Narrow" w:hAnsi="Arial Narrow" w:cs="Arial"/>
                <w:smallCaps/>
                <w:sz w:val="20"/>
                <w:szCs w:val="20"/>
              </w:rPr>
            </w:pPr>
            <w:r>
              <w:rPr>
                <w:rFonts w:ascii="Arial Narrow" w:hAnsi="Arial Narrow" w:cs="Arial"/>
                <w:smallCaps/>
                <w:sz w:val="20"/>
                <w:szCs w:val="20"/>
              </w:rPr>
              <w:t>Oral liquid 250 mL, 18</w:t>
            </w:r>
          </w:p>
        </w:tc>
        <w:tc>
          <w:tcPr>
            <w:tcW w:w="510" w:type="pct"/>
          </w:tcPr>
          <w:p w:rsidR="00311D62" w:rsidRDefault="00311D62">
            <w:pPr>
              <w:keepNext/>
              <w:ind w:left="-108"/>
              <w:jc w:val="center"/>
              <w:rPr>
                <w:rFonts w:ascii="Arial Narrow" w:hAnsi="Arial Narrow" w:cs="Arial"/>
                <w:smallCaps/>
                <w:sz w:val="20"/>
                <w:szCs w:val="20"/>
              </w:rPr>
            </w:pPr>
          </w:p>
          <w:p w:rsidR="00311D62" w:rsidRDefault="00311D62">
            <w:pPr>
              <w:keepNext/>
              <w:ind w:left="-108"/>
              <w:jc w:val="center"/>
              <w:rPr>
                <w:rFonts w:ascii="Arial Narrow" w:hAnsi="Arial Narrow" w:cs="Arial"/>
                <w:smallCaps/>
                <w:sz w:val="20"/>
                <w:szCs w:val="20"/>
              </w:rPr>
            </w:pPr>
          </w:p>
          <w:p w:rsidR="00311D62" w:rsidRDefault="00311D62">
            <w:pPr>
              <w:keepNext/>
              <w:ind w:left="-108"/>
              <w:jc w:val="center"/>
              <w:rPr>
                <w:rFonts w:ascii="Arial Narrow" w:hAnsi="Arial Narrow" w:cs="Arial"/>
                <w:smallCaps/>
                <w:sz w:val="20"/>
                <w:szCs w:val="20"/>
              </w:rPr>
            </w:pPr>
          </w:p>
          <w:p w:rsidR="00311D62" w:rsidRDefault="00065EB8">
            <w:pPr>
              <w:keepNext/>
              <w:ind w:left="-108"/>
              <w:jc w:val="center"/>
              <w:rPr>
                <w:rFonts w:ascii="Arial Narrow" w:hAnsi="Arial Narrow" w:cs="Arial"/>
                <w:smallCaps/>
                <w:sz w:val="20"/>
                <w:szCs w:val="20"/>
              </w:rPr>
            </w:pPr>
            <w:r>
              <w:rPr>
                <w:rFonts w:ascii="Arial Narrow" w:hAnsi="Arial Narrow" w:cs="Arial"/>
                <w:smallCaps/>
                <w:sz w:val="20"/>
                <w:szCs w:val="20"/>
              </w:rPr>
              <w:t>10</w:t>
            </w:r>
          </w:p>
        </w:tc>
        <w:tc>
          <w:tcPr>
            <w:tcW w:w="511" w:type="pct"/>
          </w:tcPr>
          <w:p w:rsidR="00311D62" w:rsidRDefault="00311D62">
            <w:pPr>
              <w:keepNext/>
              <w:ind w:left="-108"/>
              <w:jc w:val="center"/>
              <w:rPr>
                <w:rFonts w:ascii="Arial Narrow" w:hAnsi="Arial Narrow" w:cs="Arial"/>
                <w:smallCaps/>
                <w:sz w:val="20"/>
                <w:szCs w:val="20"/>
              </w:rPr>
            </w:pPr>
          </w:p>
          <w:p w:rsidR="00311D62" w:rsidRDefault="00311D62">
            <w:pPr>
              <w:keepNext/>
              <w:ind w:left="-108"/>
              <w:jc w:val="center"/>
              <w:rPr>
                <w:rFonts w:ascii="Arial Narrow" w:hAnsi="Arial Narrow" w:cs="Arial"/>
                <w:smallCaps/>
                <w:sz w:val="20"/>
                <w:szCs w:val="20"/>
              </w:rPr>
            </w:pPr>
          </w:p>
          <w:p w:rsidR="00311D62" w:rsidRDefault="00311D62">
            <w:pPr>
              <w:keepNext/>
              <w:ind w:left="-108"/>
              <w:jc w:val="center"/>
              <w:rPr>
                <w:rFonts w:ascii="Arial Narrow" w:hAnsi="Arial Narrow" w:cs="Arial"/>
                <w:smallCaps/>
                <w:sz w:val="20"/>
                <w:szCs w:val="20"/>
              </w:rPr>
            </w:pPr>
          </w:p>
          <w:p w:rsidR="00311D62" w:rsidRDefault="00065EB8">
            <w:pPr>
              <w:keepNext/>
              <w:ind w:left="-108"/>
              <w:jc w:val="center"/>
              <w:rPr>
                <w:rFonts w:ascii="Arial Narrow" w:hAnsi="Arial Narrow" w:cs="Arial"/>
                <w:smallCaps/>
                <w:sz w:val="20"/>
                <w:szCs w:val="20"/>
              </w:rPr>
            </w:pPr>
            <w:r>
              <w:rPr>
                <w:rFonts w:ascii="Arial Narrow" w:hAnsi="Arial Narrow" w:cs="Arial"/>
                <w:smallCaps/>
                <w:sz w:val="20"/>
                <w:szCs w:val="20"/>
              </w:rPr>
              <w:t>5</w:t>
            </w:r>
          </w:p>
        </w:tc>
        <w:tc>
          <w:tcPr>
            <w:tcW w:w="157" w:type="pct"/>
          </w:tcPr>
          <w:p w:rsidR="00311D62" w:rsidRDefault="00311D62">
            <w:pPr>
              <w:keepNext/>
              <w:ind w:left="-108"/>
              <w:rPr>
                <w:rFonts w:ascii="Arial Narrow" w:hAnsi="Arial Narrow" w:cs="Arial"/>
                <w:smallCaps/>
                <w:sz w:val="20"/>
                <w:szCs w:val="20"/>
              </w:rPr>
            </w:pPr>
          </w:p>
        </w:tc>
        <w:tc>
          <w:tcPr>
            <w:tcW w:w="865" w:type="pct"/>
          </w:tcPr>
          <w:p w:rsidR="00311D62" w:rsidRDefault="00311D62">
            <w:pPr>
              <w:keepNext/>
              <w:spacing w:before="40" w:after="40"/>
              <w:ind w:left="-108"/>
              <w:rPr>
                <w:rFonts w:ascii="Arial Narrow" w:hAnsi="Arial Narrow" w:cs="Arial"/>
                <w:smallCaps/>
                <w:sz w:val="20"/>
                <w:szCs w:val="20"/>
              </w:rPr>
            </w:pPr>
          </w:p>
          <w:p w:rsidR="00311D62" w:rsidRDefault="00065EB8">
            <w:pPr>
              <w:keepNext/>
              <w:spacing w:before="40" w:after="40"/>
              <w:ind w:left="-108"/>
              <w:rPr>
                <w:rFonts w:ascii="Arial Narrow" w:hAnsi="Arial Narrow" w:cs="Arial"/>
                <w:smallCaps/>
                <w:sz w:val="20"/>
                <w:szCs w:val="20"/>
              </w:rPr>
            </w:pPr>
            <w:r>
              <w:rPr>
                <w:rFonts w:ascii="Arial Narrow" w:hAnsi="Arial Narrow" w:cs="Arial"/>
                <w:smallCaps/>
                <w:sz w:val="20"/>
                <w:szCs w:val="20"/>
              </w:rPr>
              <w:t>PKU GMPro LQ®</w:t>
            </w:r>
          </w:p>
        </w:tc>
        <w:tc>
          <w:tcPr>
            <w:tcW w:w="995" w:type="pct"/>
            <w:gridSpan w:val="2"/>
          </w:tcPr>
          <w:p w:rsidR="00311D62" w:rsidRDefault="00311D62">
            <w:pPr>
              <w:keepNext/>
              <w:spacing w:before="40" w:after="40"/>
              <w:ind w:left="-108"/>
              <w:rPr>
                <w:rFonts w:ascii="Arial Narrow" w:hAnsi="Arial Narrow" w:cs="Arial"/>
                <w:smallCaps/>
                <w:sz w:val="20"/>
                <w:szCs w:val="20"/>
              </w:rPr>
            </w:pPr>
          </w:p>
          <w:p w:rsidR="00311D62" w:rsidRDefault="00065EB8">
            <w:pPr>
              <w:keepNext/>
              <w:spacing w:before="40" w:after="40"/>
              <w:ind w:left="-108"/>
              <w:rPr>
                <w:rFonts w:ascii="Arial Narrow" w:hAnsi="Arial Narrow" w:cs="Arial"/>
                <w:smallCaps/>
                <w:sz w:val="20"/>
                <w:szCs w:val="20"/>
              </w:rPr>
            </w:pPr>
            <w:r>
              <w:rPr>
                <w:rFonts w:ascii="Arial Narrow" w:hAnsi="Arial Narrow" w:cs="Arial"/>
                <w:smallCaps/>
                <w:sz w:val="20"/>
                <w:szCs w:val="20"/>
              </w:rPr>
              <w:t>Nutricia Australia Pty Ltd</w:t>
            </w:r>
          </w:p>
        </w:tc>
      </w:tr>
      <w:tr w:rsidR="00311D62">
        <w:trPr>
          <w:gridAfter w:val="1"/>
          <w:wAfter w:w="87" w:type="pct"/>
          <w:cantSplit/>
          <w:trHeight w:val="360"/>
        </w:trPr>
        <w:tc>
          <w:tcPr>
            <w:tcW w:w="4913" w:type="pct"/>
            <w:gridSpan w:val="7"/>
            <w:tcBorders>
              <w:bottom w:val="single" w:sz="4" w:space="0" w:color="auto"/>
            </w:tcBorders>
          </w:tcPr>
          <w:p w:rsidR="00311D62" w:rsidRDefault="00311D62">
            <w:pPr>
              <w:jc w:val="both"/>
              <w:rPr>
                <w:rFonts w:ascii="Arial Narrow" w:hAnsi="Arial Narrow" w:cs="Arial"/>
                <w:sz w:val="20"/>
                <w:szCs w:val="20"/>
              </w:rPr>
            </w:pPr>
          </w:p>
        </w:tc>
      </w:tr>
      <w:tr w:rsidR="00311D62">
        <w:trPr>
          <w:cantSplit/>
          <w:trHeight w:val="360"/>
        </w:trPr>
        <w:tc>
          <w:tcPr>
            <w:tcW w:w="1060" w:type="pct"/>
            <w:tcBorders>
              <w:top w:val="single" w:sz="4" w:space="0" w:color="auto"/>
              <w:left w:val="single" w:sz="4" w:space="0" w:color="auto"/>
              <w:bottom w:val="single" w:sz="4" w:space="0" w:color="auto"/>
              <w:right w:val="single" w:sz="4" w:space="0" w:color="auto"/>
            </w:tcBorders>
          </w:tcPr>
          <w:p w:rsidR="00311D62" w:rsidRDefault="00065EB8">
            <w:pPr>
              <w:jc w:val="both"/>
              <w:rPr>
                <w:rFonts w:ascii="Arial Narrow" w:hAnsi="Arial Narrow" w:cs="Arial"/>
                <w:b/>
                <w:sz w:val="20"/>
                <w:szCs w:val="20"/>
              </w:rPr>
            </w:pPr>
            <w:r>
              <w:rPr>
                <w:rFonts w:ascii="Arial Narrow" w:hAnsi="Arial Narrow" w:cs="Arial"/>
                <w:b/>
                <w:sz w:val="20"/>
                <w:szCs w:val="20"/>
              </w:rPr>
              <w:t>Category / Program</w:t>
            </w:r>
          </w:p>
        </w:tc>
        <w:tc>
          <w:tcPr>
            <w:tcW w:w="3940" w:type="pct"/>
            <w:gridSpan w:val="7"/>
            <w:tcBorders>
              <w:top w:val="single" w:sz="4" w:space="0" w:color="auto"/>
              <w:left w:val="single" w:sz="4" w:space="0" w:color="auto"/>
              <w:bottom w:val="single" w:sz="4" w:space="0" w:color="auto"/>
              <w:right w:val="single" w:sz="4" w:space="0" w:color="auto"/>
            </w:tcBorders>
          </w:tcPr>
          <w:p w:rsidR="00311D62" w:rsidRDefault="00065EB8">
            <w:pPr>
              <w:rPr>
                <w:rFonts w:ascii="Arial Narrow" w:hAnsi="Arial Narrow" w:cs="Arial"/>
                <w:sz w:val="20"/>
                <w:szCs w:val="20"/>
              </w:rPr>
            </w:pPr>
            <w:r>
              <w:rPr>
                <w:rFonts w:ascii="Arial Narrow" w:hAnsi="Arial Narrow" w:cs="Arial"/>
                <w:sz w:val="20"/>
                <w:szCs w:val="20"/>
              </w:rPr>
              <w:t>Section 85 – General Schedule</w:t>
            </w:r>
          </w:p>
        </w:tc>
      </w:tr>
      <w:tr w:rsidR="00311D62">
        <w:trPr>
          <w:cantSplit/>
          <w:trHeight w:val="360"/>
        </w:trPr>
        <w:tc>
          <w:tcPr>
            <w:tcW w:w="1060" w:type="pct"/>
            <w:tcBorders>
              <w:top w:val="single" w:sz="4" w:space="0" w:color="auto"/>
              <w:left w:val="single" w:sz="4" w:space="0" w:color="auto"/>
              <w:bottom w:val="single" w:sz="4" w:space="0" w:color="auto"/>
              <w:right w:val="single" w:sz="4" w:space="0" w:color="auto"/>
            </w:tcBorders>
          </w:tcPr>
          <w:p w:rsidR="00311D62" w:rsidRDefault="00065EB8">
            <w:pPr>
              <w:jc w:val="both"/>
              <w:rPr>
                <w:rFonts w:ascii="Arial Narrow" w:hAnsi="Arial Narrow" w:cs="Arial"/>
                <w:b/>
                <w:sz w:val="20"/>
                <w:szCs w:val="20"/>
              </w:rPr>
            </w:pPr>
            <w:r>
              <w:rPr>
                <w:rFonts w:ascii="Arial Narrow" w:hAnsi="Arial Narrow" w:cs="Arial"/>
                <w:b/>
                <w:sz w:val="20"/>
                <w:szCs w:val="20"/>
              </w:rPr>
              <w:t>Prescriber type:</w:t>
            </w:r>
          </w:p>
        </w:tc>
        <w:tc>
          <w:tcPr>
            <w:tcW w:w="3940" w:type="pct"/>
            <w:gridSpan w:val="7"/>
            <w:tcBorders>
              <w:top w:val="single" w:sz="4" w:space="0" w:color="auto"/>
              <w:left w:val="single" w:sz="4" w:space="0" w:color="auto"/>
              <w:bottom w:val="single" w:sz="4" w:space="0" w:color="auto"/>
              <w:right w:val="single" w:sz="4" w:space="0" w:color="auto"/>
            </w:tcBorders>
          </w:tcPr>
          <w:p w:rsidR="00311D62" w:rsidRDefault="00065EB8">
            <w:pPr>
              <w:rPr>
                <w:rFonts w:ascii="Arial Narrow" w:hAnsi="Arial Narrow" w:cs="Arial"/>
                <w:sz w:val="20"/>
                <w:szCs w:val="20"/>
              </w:rPr>
            </w:pPr>
            <w:r>
              <w:rPr>
                <w:rFonts w:ascii="Arial Narrow" w:hAnsi="Arial Narrow" w:cs="Arial"/>
                <w:sz w:val="20"/>
                <w:szCs w:val="20"/>
              </w:rPr>
              <w:fldChar w:fldCharType="begin">
                <w:ffData>
                  <w:name w:val="Check1"/>
                  <w:enabled/>
                  <w:calcOnExit w:val="0"/>
                  <w:checkBox>
                    <w:sizeAuto/>
                    <w:default w:val="0"/>
                  </w:checkBox>
                </w:ffData>
              </w:fldChar>
            </w:r>
            <w:r>
              <w:rPr>
                <w:rFonts w:ascii="Arial Narrow" w:hAnsi="Arial Narrow" w:cs="Arial"/>
                <w:sz w:val="20"/>
                <w:szCs w:val="20"/>
              </w:rPr>
              <w:instrText xml:space="preserve"> FORMCHECKBOX </w:instrText>
            </w:r>
            <w:r w:rsidR="00D771CE">
              <w:rPr>
                <w:rFonts w:ascii="Arial Narrow" w:hAnsi="Arial Narrow" w:cs="Arial"/>
                <w:sz w:val="20"/>
                <w:szCs w:val="20"/>
              </w:rPr>
            </w:r>
            <w:r w:rsidR="00D771CE">
              <w:rPr>
                <w:rFonts w:ascii="Arial Narrow" w:hAnsi="Arial Narrow" w:cs="Arial"/>
                <w:sz w:val="20"/>
                <w:szCs w:val="20"/>
              </w:rPr>
              <w:fldChar w:fldCharType="separate"/>
            </w:r>
            <w:r>
              <w:rPr>
                <w:rFonts w:ascii="Arial Narrow" w:hAnsi="Arial Narrow" w:cs="Arial"/>
                <w:sz w:val="20"/>
                <w:szCs w:val="20"/>
              </w:rPr>
              <w:fldChar w:fldCharType="end"/>
            </w:r>
            <w:r>
              <w:rPr>
                <w:rFonts w:ascii="Arial Narrow" w:hAnsi="Arial Narrow" w:cs="Arial"/>
                <w:sz w:val="20"/>
                <w:szCs w:val="20"/>
              </w:rPr>
              <w:t xml:space="preserve">Dental  </w:t>
            </w: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D771CE">
              <w:rPr>
                <w:rFonts w:ascii="Arial Narrow" w:hAnsi="Arial Narrow" w:cs="Arial"/>
                <w:sz w:val="20"/>
                <w:szCs w:val="20"/>
              </w:rPr>
            </w:r>
            <w:r w:rsidR="00D771CE">
              <w:rPr>
                <w:rFonts w:ascii="Arial Narrow" w:hAnsi="Arial Narrow" w:cs="Arial"/>
                <w:sz w:val="20"/>
                <w:szCs w:val="20"/>
              </w:rPr>
              <w:fldChar w:fldCharType="separate"/>
            </w:r>
            <w:r>
              <w:rPr>
                <w:rFonts w:ascii="Arial Narrow" w:hAnsi="Arial Narrow" w:cs="Arial"/>
                <w:sz w:val="20"/>
                <w:szCs w:val="20"/>
              </w:rPr>
              <w:fldChar w:fldCharType="end"/>
            </w:r>
            <w:r>
              <w:rPr>
                <w:rFonts w:ascii="Arial Narrow" w:hAnsi="Arial Narrow" w:cs="Arial"/>
                <w:sz w:val="20"/>
                <w:szCs w:val="20"/>
              </w:rPr>
              <w:t xml:space="preserve">Medical Practitioners  </w:t>
            </w:r>
            <w:r>
              <w:rPr>
                <w:rFonts w:ascii="Arial Narrow" w:hAnsi="Arial Narrow" w:cs="Arial"/>
                <w:sz w:val="20"/>
                <w:szCs w:val="20"/>
              </w:rPr>
              <w:fldChar w:fldCharType="begin">
                <w:ffData>
                  <w:name w:val="Check3"/>
                  <w:enabled/>
                  <w:calcOnExit w:val="0"/>
                  <w:checkBox>
                    <w:sizeAuto/>
                    <w:default w:val="1"/>
                  </w:checkBox>
                </w:ffData>
              </w:fldChar>
            </w:r>
            <w:r>
              <w:rPr>
                <w:rFonts w:ascii="Arial Narrow" w:hAnsi="Arial Narrow" w:cs="Arial"/>
                <w:sz w:val="20"/>
                <w:szCs w:val="20"/>
              </w:rPr>
              <w:instrText xml:space="preserve"> FORMCHECKBOX </w:instrText>
            </w:r>
            <w:r w:rsidR="00D771CE">
              <w:rPr>
                <w:rFonts w:ascii="Arial Narrow" w:hAnsi="Arial Narrow" w:cs="Arial"/>
                <w:sz w:val="20"/>
                <w:szCs w:val="20"/>
              </w:rPr>
            </w:r>
            <w:r w:rsidR="00D771CE">
              <w:rPr>
                <w:rFonts w:ascii="Arial Narrow" w:hAnsi="Arial Narrow" w:cs="Arial"/>
                <w:sz w:val="20"/>
                <w:szCs w:val="20"/>
              </w:rPr>
              <w:fldChar w:fldCharType="separate"/>
            </w:r>
            <w:r>
              <w:rPr>
                <w:rFonts w:ascii="Arial Narrow" w:hAnsi="Arial Narrow" w:cs="Arial"/>
                <w:sz w:val="20"/>
                <w:szCs w:val="20"/>
              </w:rPr>
              <w:fldChar w:fldCharType="end"/>
            </w:r>
            <w:r>
              <w:rPr>
                <w:rFonts w:ascii="Arial Narrow" w:hAnsi="Arial Narrow" w:cs="Arial"/>
                <w:sz w:val="20"/>
                <w:szCs w:val="20"/>
              </w:rPr>
              <w:t xml:space="preserve">Nurse practitioners  </w:t>
            </w:r>
            <w:r>
              <w:rPr>
                <w:rFonts w:ascii="Arial Narrow" w:hAnsi="Arial Narrow" w:cs="Arial"/>
                <w:sz w:val="20"/>
                <w:szCs w:val="20"/>
              </w:rPr>
              <w:fldChar w:fldCharType="begin">
                <w:ffData>
                  <w:name w:val=""/>
                  <w:enabled/>
                  <w:calcOnExit w:val="0"/>
                  <w:checkBox>
                    <w:sizeAuto/>
                    <w:default w:val="0"/>
                  </w:checkBox>
                </w:ffData>
              </w:fldChar>
            </w:r>
            <w:r>
              <w:rPr>
                <w:rFonts w:ascii="Arial Narrow" w:hAnsi="Arial Narrow" w:cs="Arial"/>
                <w:sz w:val="20"/>
                <w:szCs w:val="20"/>
              </w:rPr>
              <w:instrText xml:space="preserve"> FORMCHECKBOX </w:instrText>
            </w:r>
            <w:r w:rsidR="00D771CE">
              <w:rPr>
                <w:rFonts w:ascii="Arial Narrow" w:hAnsi="Arial Narrow" w:cs="Arial"/>
                <w:sz w:val="20"/>
                <w:szCs w:val="20"/>
              </w:rPr>
            </w:r>
            <w:r w:rsidR="00D771CE">
              <w:rPr>
                <w:rFonts w:ascii="Arial Narrow" w:hAnsi="Arial Narrow" w:cs="Arial"/>
                <w:sz w:val="20"/>
                <w:szCs w:val="20"/>
              </w:rPr>
              <w:fldChar w:fldCharType="separate"/>
            </w:r>
            <w:r>
              <w:rPr>
                <w:rFonts w:ascii="Arial Narrow" w:hAnsi="Arial Narrow" w:cs="Arial"/>
                <w:sz w:val="20"/>
                <w:szCs w:val="20"/>
              </w:rPr>
              <w:fldChar w:fldCharType="end"/>
            </w:r>
            <w:r>
              <w:rPr>
                <w:rFonts w:ascii="Arial Narrow" w:hAnsi="Arial Narrow" w:cs="Arial"/>
                <w:sz w:val="20"/>
                <w:szCs w:val="20"/>
              </w:rPr>
              <w:t>Optometrists</w:t>
            </w:r>
          </w:p>
          <w:p w:rsidR="00311D62" w:rsidRDefault="00065EB8">
            <w:pPr>
              <w:rPr>
                <w:rFonts w:ascii="Arial Narrow" w:hAnsi="Arial Narrow" w:cs="Arial"/>
                <w:sz w:val="20"/>
                <w:szCs w:val="20"/>
              </w:rPr>
            </w:pPr>
            <w:r>
              <w:rPr>
                <w:rFonts w:ascii="Arial Narrow" w:hAnsi="Arial Narrow" w:cs="Arial"/>
                <w:sz w:val="20"/>
                <w:szCs w:val="20"/>
              </w:rPr>
              <w:fldChar w:fldCharType="begin">
                <w:ffData>
                  <w:name w:val="Check5"/>
                  <w:enabled/>
                  <w:calcOnExit w:val="0"/>
                  <w:checkBox>
                    <w:sizeAuto/>
                    <w:default w:val="0"/>
                  </w:checkBox>
                </w:ffData>
              </w:fldChar>
            </w:r>
            <w:r>
              <w:rPr>
                <w:rFonts w:ascii="Arial Narrow" w:hAnsi="Arial Narrow" w:cs="Arial"/>
                <w:sz w:val="20"/>
                <w:szCs w:val="20"/>
              </w:rPr>
              <w:instrText xml:space="preserve"> FORMCHECKBOX </w:instrText>
            </w:r>
            <w:r w:rsidR="00D771CE">
              <w:rPr>
                <w:rFonts w:ascii="Arial Narrow" w:hAnsi="Arial Narrow" w:cs="Arial"/>
                <w:sz w:val="20"/>
                <w:szCs w:val="20"/>
              </w:rPr>
            </w:r>
            <w:r w:rsidR="00D771CE">
              <w:rPr>
                <w:rFonts w:ascii="Arial Narrow" w:hAnsi="Arial Narrow" w:cs="Arial"/>
                <w:sz w:val="20"/>
                <w:szCs w:val="20"/>
              </w:rPr>
              <w:fldChar w:fldCharType="separate"/>
            </w:r>
            <w:r>
              <w:rPr>
                <w:rFonts w:ascii="Arial Narrow" w:hAnsi="Arial Narrow" w:cs="Arial"/>
                <w:sz w:val="20"/>
                <w:szCs w:val="20"/>
              </w:rPr>
              <w:fldChar w:fldCharType="end"/>
            </w:r>
            <w:r>
              <w:rPr>
                <w:rFonts w:ascii="Arial Narrow" w:hAnsi="Arial Narrow" w:cs="Arial"/>
                <w:sz w:val="20"/>
                <w:szCs w:val="20"/>
              </w:rPr>
              <w:t>Midwives</w:t>
            </w:r>
          </w:p>
        </w:tc>
      </w:tr>
      <w:tr w:rsidR="00311D62">
        <w:trPr>
          <w:cantSplit/>
          <w:trHeight w:val="360"/>
        </w:trPr>
        <w:tc>
          <w:tcPr>
            <w:tcW w:w="1060" w:type="pct"/>
            <w:tcBorders>
              <w:top w:val="single" w:sz="4" w:space="0" w:color="auto"/>
              <w:left w:val="single" w:sz="4" w:space="0" w:color="auto"/>
              <w:bottom w:val="single" w:sz="4" w:space="0" w:color="auto"/>
              <w:right w:val="single" w:sz="4" w:space="0" w:color="auto"/>
            </w:tcBorders>
          </w:tcPr>
          <w:p w:rsidR="00311D62" w:rsidRDefault="00065EB8">
            <w:pPr>
              <w:jc w:val="both"/>
              <w:rPr>
                <w:rFonts w:ascii="Arial Narrow" w:hAnsi="Arial Narrow" w:cs="Arial"/>
                <w:b/>
                <w:sz w:val="20"/>
                <w:szCs w:val="20"/>
              </w:rPr>
            </w:pPr>
            <w:r>
              <w:rPr>
                <w:rFonts w:ascii="Arial Narrow" w:hAnsi="Arial Narrow" w:cs="Arial"/>
                <w:b/>
                <w:sz w:val="20"/>
                <w:szCs w:val="20"/>
              </w:rPr>
              <w:t>PBS Indication:</w:t>
            </w:r>
          </w:p>
        </w:tc>
        <w:tc>
          <w:tcPr>
            <w:tcW w:w="3940" w:type="pct"/>
            <w:gridSpan w:val="7"/>
            <w:tcBorders>
              <w:top w:val="single" w:sz="4" w:space="0" w:color="auto"/>
              <w:left w:val="single" w:sz="4" w:space="0" w:color="auto"/>
              <w:bottom w:val="single" w:sz="4" w:space="0" w:color="auto"/>
              <w:right w:val="single" w:sz="4" w:space="0" w:color="auto"/>
            </w:tcBorders>
          </w:tcPr>
          <w:p w:rsidR="00311D62" w:rsidRDefault="00065EB8">
            <w:pPr>
              <w:rPr>
                <w:rFonts w:ascii="Arial Narrow" w:hAnsi="Arial Narrow" w:cs="Arial"/>
                <w:sz w:val="20"/>
                <w:szCs w:val="20"/>
              </w:rPr>
            </w:pPr>
            <w:r>
              <w:rPr>
                <w:rFonts w:ascii="Arial Narrow" w:hAnsi="Arial Narrow" w:cs="Arial"/>
                <w:sz w:val="20"/>
                <w:szCs w:val="20"/>
              </w:rPr>
              <w:t>Phenylketonuria</w:t>
            </w:r>
          </w:p>
        </w:tc>
      </w:tr>
      <w:tr w:rsidR="00311D62">
        <w:trPr>
          <w:cantSplit/>
          <w:trHeight w:val="360"/>
        </w:trPr>
        <w:tc>
          <w:tcPr>
            <w:tcW w:w="1060" w:type="pct"/>
            <w:tcBorders>
              <w:top w:val="single" w:sz="4" w:space="0" w:color="auto"/>
              <w:left w:val="single" w:sz="4" w:space="0" w:color="auto"/>
              <w:bottom w:val="single" w:sz="4" w:space="0" w:color="auto"/>
              <w:right w:val="single" w:sz="4" w:space="0" w:color="auto"/>
            </w:tcBorders>
          </w:tcPr>
          <w:p w:rsidR="00311D62" w:rsidRDefault="00065EB8">
            <w:pPr>
              <w:jc w:val="both"/>
              <w:rPr>
                <w:rFonts w:ascii="Arial Narrow" w:hAnsi="Arial Narrow" w:cs="Arial"/>
                <w:b/>
                <w:sz w:val="20"/>
                <w:szCs w:val="20"/>
              </w:rPr>
            </w:pPr>
            <w:r>
              <w:rPr>
                <w:rFonts w:ascii="Arial Narrow" w:hAnsi="Arial Narrow" w:cs="Arial"/>
                <w:b/>
                <w:sz w:val="20"/>
                <w:szCs w:val="20"/>
              </w:rPr>
              <w:t>Restriction Level / Method:</w:t>
            </w:r>
          </w:p>
        </w:tc>
        <w:tc>
          <w:tcPr>
            <w:tcW w:w="3940" w:type="pct"/>
            <w:gridSpan w:val="7"/>
            <w:tcBorders>
              <w:top w:val="single" w:sz="4" w:space="0" w:color="auto"/>
              <w:left w:val="single" w:sz="4" w:space="0" w:color="auto"/>
              <w:bottom w:val="single" w:sz="4" w:space="0" w:color="auto"/>
              <w:right w:val="single" w:sz="4" w:space="0" w:color="auto"/>
            </w:tcBorders>
          </w:tcPr>
          <w:p w:rsidR="00311D62" w:rsidRDefault="00065EB8">
            <w:pPr>
              <w:rPr>
                <w:rFonts w:ascii="Arial Narrow" w:hAnsi="Arial Narrow" w:cs="Arial"/>
                <w:sz w:val="20"/>
              </w:rPr>
            </w:pPr>
            <w:r>
              <w:rPr>
                <w:rFonts w:ascii="Arial Narrow" w:hAnsi="Arial Narrow" w:cs="Arial"/>
                <w:sz w:val="20"/>
              </w:rPr>
              <w:fldChar w:fldCharType="begin">
                <w:ffData>
                  <w:name w:val="Check1"/>
                  <w:enabled/>
                  <w:calcOnExit w:val="0"/>
                  <w:checkBox>
                    <w:sizeAuto/>
                    <w:default w:val="1"/>
                  </w:checkBox>
                </w:ffData>
              </w:fldChar>
            </w:r>
            <w:r>
              <w:rPr>
                <w:rFonts w:ascii="Arial Narrow" w:hAnsi="Arial Narrow" w:cs="Arial"/>
                <w:sz w:val="20"/>
              </w:rPr>
              <w:instrText xml:space="preserve"> FORMCHECKBOX </w:instrText>
            </w:r>
            <w:r w:rsidR="00D771CE">
              <w:rPr>
                <w:rFonts w:ascii="Arial Narrow" w:hAnsi="Arial Narrow" w:cs="Arial"/>
                <w:sz w:val="20"/>
              </w:rPr>
            </w:r>
            <w:r w:rsidR="00D771CE">
              <w:rPr>
                <w:rFonts w:ascii="Arial Narrow" w:hAnsi="Arial Narrow" w:cs="Arial"/>
                <w:sz w:val="20"/>
              </w:rPr>
              <w:fldChar w:fldCharType="separate"/>
            </w:r>
            <w:r>
              <w:rPr>
                <w:rFonts w:ascii="Arial Narrow" w:hAnsi="Arial Narrow" w:cs="Arial"/>
                <w:sz w:val="20"/>
              </w:rPr>
              <w:fldChar w:fldCharType="end"/>
            </w:r>
            <w:r>
              <w:rPr>
                <w:rFonts w:ascii="Arial Narrow" w:hAnsi="Arial Narrow" w:cs="Arial"/>
                <w:sz w:val="20"/>
              </w:rPr>
              <w:t>Restricted benefit</w:t>
            </w:r>
          </w:p>
          <w:p w:rsidR="00311D62" w:rsidRDefault="00065EB8">
            <w:pPr>
              <w:rPr>
                <w:rFonts w:ascii="Arial Narrow" w:hAnsi="Arial Narrow" w:cs="Arial"/>
                <w:sz w:val="20"/>
              </w:rPr>
            </w:pPr>
            <w:r>
              <w:rPr>
                <w:rFonts w:ascii="Arial Narrow" w:hAnsi="Arial Narrow" w:cs="Arial"/>
                <w:sz w:val="20"/>
              </w:rPr>
              <w:fldChar w:fldCharType="begin">
                <w:ffData>
                  <w:name w:val=""/>
                  <w:enabled/>
                  <w:calcOnExit w:val="0"/>
                  <w:checkBox>
                    <w:sizeAuto/>
                    <w:default w:val="0"/>
                  </w:checkBox>
                </w:ffData>
              </w:fldChar>
            </w:r>
            <w:r>
              <w:rPr>
                <w:rFonts w:ascii="Arial Narrow" w:hAnsi="Arial Narrow" w:cs="Arial"/>
                <w:sz w:val="20"/>
              </w:rPr>
              <w:instrText xml:space="preserve"> FORMCHECKBOX </w:instrText>
            </w:r>
            <w:r w:rsidR="00D771CE">
              <w:rPr>
                <w:rFonts w:ascii="Arial Narrow" w:hAnsi="Arial Narrow" w:cs="Arial"/>
                <w:sz w:val="20"/>
              </w:rPr>
            </w:r>
            <w:r w:rsidR="00D771CE">
              <w:rPr>
                <w:rFonts w:ascii="Arial Narrow" w:hAnsi="Arial Narrow" w:cs="Arial"/>
                <w:sz w:val="20"/>
              </w:rPr>
              <w:fldChar w:fldCharType="separate"/>
            </w:r>
            <w:r>
              <w:rPr>
                <w:rFonts w:ascii="Arial Narrow" w:hAnsi="Arial Narrow" w:cs="Arial"/>
                <w:sz w:val="20"/>
              </w:rPr>
              <w:fldChar w:fldCharType="end"/>
            </w:r>
            <w:r>
              <w:rPr>
                <w:rFonts w:ascii="Arial Narrow" w:hAnsi="Arial Narrow" w:cs="Arial"/>
                <w:sz w:val="20"/>
              </w:rPr>
              <w:t>Authority Required – In Writing</w:t>
            </w:r>
          </w:p>
          <w:p w:rsidR="00311D62" w:rsidRDefault="00065EB8">
            <w:pPr>
              <w:rPr>
                <w:rFonts w:ascii="Arial Narrow" w:hAnsi="Arial Narrow" w:cs="Arial"/>
                <w:sz w:val="20"/>
              </w:rPr>
            </w:pPr>
            <w:r>
              <w:rPr>
                <w:rFonts w:ascii="Arial Narrow" w:hAnsi="Arial Narrow" w:cs="Arial"/>
                <w:sz w:val="20"/>
              </w:rPr>
              <w:fldChar w:fldCharType="begin">
                <w:ffData>
                  <w:name w:val="Check3"/>
                  <w:enabled/>
                  <w:calcOnExit w:val="0"/>
                  <w:checkBox>
                    <w:sizeAuto/>
                    <w:default w:val="0"/>
                  </w:checkBox>
                </w:ffData>
              </w:fldChar>
            </w:r>
            <w:r>
              <w:rPr>
                <w:rFonts w:ascii="Arial Narrow" w:hAnsi="Arial Narrow" w:cs="Arial"/>
                <w:sz w:val="20"/>
              </w:rPr>
              <w:instrText xml:space="preserve"> FORMCHECKBOX </w:instrText>
            </w:r>
            <w:r w:rsidR="00D771CE">
              <w:rPr>
                <w:rFonts w:ascii="Arial Narrow" w:hAnsi="Arial Narrow" w:cs="Arial"/>
                <w:sz w:val="20"/>
              </w:rPr>
            </w:r>
            <w:r w:rsidR="00D771CE">
              <w:rPr>
                <w:rFonts w:ascii="Arial Narrow" w:hAnsi="Arial Narrow" w:cs="Arial"/>
                <w:sz w:val="20"/>
              </w:rPr>
              <w:fldChar w:fldCharType="separate"/>
            </w:r>
            <w:r>
              <w:rPr>
                <w:rFonts w:ascii="Arial Narrow" w:hAnsi="Arial Narrow" w:cs="Arial"/>
                <w:sz w:val="20"/>
              </w:rPr>
              <w:fldChar w:fldCharType="end"/>
            </w:r>
            <w:r>
              <w:rPr>
                <w:rFonts w:ascii="Arial Narrow" w:hAnsi="Arial Narrow" w:cs="Arial"/>
                <w:sz w:val="20"/>
              </w:rPr>
              <w:t>Authority Required – Telephone</w:t>
            </w:r>
          </w:p>
          <w:p w:rsidR="00311D62" w:rsidRDefault="00065EB8">
            <w:pPr>
              <w:rPr>
                <w:rFonts w:ascii="Arial Narrow" w:hAnsi="Arial Narrow" w:cs="Arial"/>
                <w:sz w:val="20"/>
              </w:rPr>
            </w:pPr>
            <w:r>
              <w:rPr>
                <w:rFonts w:ascii="Arial Narrow" w:hAnsi="Arial Narrow" w:cs="Arial"/>
                <w:sz w:val="20"/>
              </w:rPr>
              <w:fldChar w:fldCharType="begin">
                <w:ffData>
                  <w:name w:val=""/>
                  <w:enabled/>
                  <w:calcOnExit w:val="0"/>
                  <w:checkBox>
                    <w:sizeAuto/>
                    <w:default w:val="0"/>
                  </w:checkBox>
                </w:ffData>
              </w:fldChar>
            </w:r>
            <w:r>
              <w:rPr>
                <w:rFonts w:ascii="Arial Narrow" w:hAnsi="Arial Narrow" w:cs="Arial"/>
                <w:sz w:val="20"/>
              </w:rPr>
              <w:instrText xml:space="preserve"> FORMCHECKBOX </w:instrText>
            </w:r>
            <w:r w:rsidR="00D771CE">
              <w:rPr>
                <w:rFonts w:ascii="Arial Narrow" w:hAnsi="Arial Narrow" w:cs="Arial"/>
                <w:sz w:val="20"/>
              </w:rPr>
            </w:r>
            <w:r w:rsidR="00D771CE">
              <w:rPr>
                <w:rFonts w:ascii="Arial Narrow" w:hAnsi="Arial Narrow" w:cs="Arial"/>
                <w:sz w:val="20"/>
              </w:rPr>
              <w:fldChar w:fldCharType="separate"/>
            </w:r>
            <w:r>
              <w:rPr>
                <w:rFonts w:ascii="Arial Narrow" w:hAnsi="Arial Narrow" w:cs="Arial"/>
                <w:sz w:val="20"/>
              </w:rPr>
              <w:fldChar w:fldCharType="end"/>
            </w:r>
            <w:r>
              <w:rPr>
                <w:rFonts w:ascii="Arial Narrow" w:hAnsi="Arial Narrow" w:cs="Arial"/>
                <w:sz w:val="20"/>
              </w:rPr>
              <w:t>Authority Required – Emergency</w:t>
            </w:r>
          </w:p>
          <w:p w:rsidR="00311D62" w:rsidRDefault="00065EB8">
            <w:pPr>
              <w:rPr>
                <w:rFonts w:ascii="Arial Narrow" w:hAnsi="Arial Narrow" w:cs="Arial"/>
                <w:sz w:val="20"/>
              </w:rPr>
            </w:pPr>
            <w:r>
              <w:rPr>
                <w:rFonts w:ascii="Arial Narrow" w:hAnsi="Arial Narrow" w:cs="Arial"/>
                <w:sz w:val="20"/>
              </w:rPr>
              <w:fldChar w:fldCharType="begin">
                <w:ffData>
                  <w:name w:val="Check5"/>
                  <w:enabled/>
                  <w:calcOnExit w:val="0"/>
                  <w:checkBox>
                    <w:sizeAuto/>
                    <w:default w:val="0"/>
                  </w:checkBox>
                </w:ffData>
              </w:fldChar>
            </w:r>
            <w:r>
              <w:rPr>
                <w:rFonts w:ascii="Arial Narrow" w:hAnsi="Arial Narrow" w:cs="Arial"/>
                <w:sz w:val="20"/>
              </w:rPr>
              <w:instrText xml:space="preserve"> FORMCHECKBOX </w:instrText>
            </w:r>
            <w:r w:rsidR="00D771CE">
              <w:rPr>
                <w:rFonts w:ascii="Arial Narrow" w:hAnsi="Arial Narrow" w:cs="Arial"/>
                <w:sz w:val="20"/>
              </w:rPr>
            </w:r>
            <w:r w:rsidR="00D771CE">
              <w:rPr>
                <w:rFonts w:ascii="Arial Narrow" w:hAnsi="Arial Narrow" w:cs="Arial"/>
                <w:sz w:val="20"/>
              </w:rPr>
              <w:fldChar w:fldCharType="separate"/>
            </w:r>
            <w:r>
              <w:rPr>
                <w:rFonts w:ascii="Arial Narrow" w:hAnsi="Arial Narrow" w:cs="Arial"/>
                <w:sz w:val="20"/>
              </w:rPr>
              <w:fldChar w:fldCharType="end"/>
            </w:r>
            <w:r>
              <w:rPr>
                <w:rFonts w:ascii="Arial Narrow" w:hAnsi="Arial Narrow" w:cs="Arial"/>
                <w:sz w:val="20"/>
              </w:rPr>
              <w:t>Authority Required – Electronic</w:t>
            </w:r>
          </w:p>
          <w:p w:rsidR="00311D62" w:rsidRDefault="00065EB8">
            <w:pPr>
              <w:rPr>
                <w:rFonts w:ascii="Arial Narrow" w:hAnsi="Arial Narrow" w:cs="Arial"/>
                <w:strike/>
                <w:sz w:val="20"/>
                <w:szCs w:val="20"/>
              </w:rPr>
            </w:pPr>
            <w:r>
              <w:rPr>
                <w:rFonts w:ascii="Arial Narrow" w:hAnsi="Arial Narrow" w:cs="Arial"/>
                <w:sz w:val="20"/>
              </w:rPr>
              <w:fldChar w:fldCharType="begin">
                <w:ffData>
                  <w:name w:val="Check5"/>
                  <w:enabled/>
                  <w:calcOnExit w:val="0"/>
                  <w:checkBox>
                    <w:sizeAuto/>
                    <w:default w:val="0"/>
                  </w:checkBox>
                </w:ffData>
              </w:fldChar>
            </w:r>
            <w:r>
              <w:rPr>
                <w:rFonts w:ascii="Arial Narrow" w:hAnsi="Arial Narrow" w:cs="Arial"/>
                <w:sz w:val="20"/>
              </w:rPr>
              <w:instrText xml:space="preserve"> FORMCHECKBOX </w:instrText>
            </w:r>
            <w:r w:rsidR="00D771CE">
              <w:rPr>
                <w:rFonts w:ascii="Arial Narrow" w:hAnsi="Arial Narrow" w:cs="Arial"/>
                <w:sz w:val="20"/>
              </w:rPr>
            </w:r>
            <w:r w:rsidR="00D771CE">
              <w:rPr>
                <w:rFonts w:ascii="Arial Narrow" w:hAnsi="Arial Narrow" w:cs="Arial"/>
                <w:sz w:val="20"/>
              </w:rPr>
              <w:fldChar w:fldCharType="separate"/>
            </w:r>
            <w:r>
              <w:rPr>
                <w:rFonts w:ascii="Arial Narrow" w:hAnsi="Arial Narrow" w:cs="Arial"/>
                <w:sz w:val="20"/>
              </w:rPr>
              <w:fldChar w:fldCharType="end"/>
            </w:r>
            <w:r>
              <w:rPr>
                <w:rFonts w:ascii="Arial Narrow" w:hAnsi="Arial Narrow" w:cs="Arial"/>
                <w:sz w:val="20"/>
              </w:rPr>
              <w:t>Streamlined</w:t>
            </w:r>
          </w:p>
        </w:tc>
      </w:tr>
      <w:tr w:rsidR="00311D62">
        <w:trPr>
          <w:cantSplit/>
          <w:trHeight w:val="360"/>
        </w:trPr>
        <w:tc>
          <w:tcPr>
            <w:tcW w:w="1060" w:type="pct"/>
            <w:tcBorders>
              <w:top w:val="single" w:sz="4" w:space="0" w:color="auto"/>
              <w:left w:val="single" w:sz="4" w:space="0" w:color="auto"/>
              <w:bottom w:val="single" w:sz="4" w:space="0" w:color="auto"/>
              <w:right w:val="single" w:sz="4" w:space="0" w:color="auto"/>
            </w:tcBorders>
          </w:tcPr>
          <w:p w:rsidR="00311D62" w:rsidRDefault="00065EB8">
            <w:pPr>
              <w:jc w:val="both"/>
              <w:rPr>
                <w:rFonts w:ascii="Arial Narrow" w:hAnsi="Arial Narrow" w:cs="Arial"/>
                <w:b/>
                <w:sz w:val="20"/>
                <w:szCs w:val="20"/>
              </w:rPr>
            </w:pPr>
            <w:r>
              <w:rPr>
                <w:rFonts w:ascii="Arial Narrow" w:hAnsi="Arial Narrow" w:cs="Arial"/>
                <w:b/>
                <w:sz w:val="20"/>
                <w:szCs w:val="20"/>
              </w:rPr>
              <w:t>Administrative Advice</w:t>
            </w:r>
          </w:p>
        </w:tc>
        <w:tc>
          <w:tcPr>
            <w:tcW w:w="3940" w:type="pct"/>
            <w:gridSpan w:val="7"/>
            <w:tcBorders>
              <w:top w:val="single" w:sz="4" w:space="0" w:color="auto"/>
              <w:left w:val="single" w:sz="4" w:space="0" w:color="auto"/>
              <w:bottom w:val="single" w:sz="4" w:space="0" w:color="auto"/>
              <w:right w:val="single" w:sz="4" w:space="0" w:color="auto"/>
            </w:tcBorders>
          </w:tcPr>
          <w:p w:rsidR="00311D62" w:rsidRDefault="00065EB8">
            <w:pPr>
              <w:rPr>
                <w:rFonts w:ascii="Arial Narrow" w:hAnsi="Arial Narrow" w:cs="Arial"/>
                <w:sz w:val="20"/>
                <w:szCs w:val="20"/>
              </w:rPr>
            </w:pPr>
            <w:r>
              <w:rPr>
                <w:rFonts w:ascii="Arial Narrow" w:hAnsi="Arial Narrow" w:cs="Arial"/>
                <w:sz w:val="20"/>
                <w:szCs w:val="20"/>
              </w:rPr>
              <w:t>This product contains higher vitamin A levels than other PBS-listed glycomacropeptide products.</w:t>
            </w:r>
          </w:p>
        </w:tc>
      </w:tr>
    </w:tbl>
    <w:p w:rsidR="00311D62" w:rsidRDefault="00311D62">
      <w:pPr>
        <w:pStyle w:val="NoSpacing"/>
        <w:rPr>
          <w:lang w:val="en-GB"/>
        </w:rPr>
      </w:pPr>
    </w:p>
    <w:p w:rsidR="00311D62" w:rsidRDefault="00065EB8">
      <w:pPr>
        <w:widowControl w:val="0"/>
        <w:numPr>
          <w:ilvl w:val="0"/>
          <w:numId w:val="5"/>
        </w:numPr>
        <w:spacing w:before="240" w:after="120"/>
        <w:jc w:val="both"/>
        <w:outlineLvl w:val="0"/>
        <w:rPr>
          <w:rFonts w:asciiTheme="minorHAnsi" w:hAnsiTheme="minorHAnsi" w:cs="Arial"/>
          <w:b/>
          <w:bCs/>
          <w:snapToGrid w:val="0"/>
          <w:sz w:val="32"/>
          <w:lang w:val="en-GB"/>
        </w:rPr>
      </w:pPr>
      <w:r>
        <w:rPr>
          <w:rFonts w:asciiTheme="minorHAnsi" w:hAnsiTheme="minorHAnsi" w:cs="Arial"/>
          <w:b/>
          <w:bCs/>
          <w:snapToGrid w:val="0"/>
          <w:sz w:val="32"/>
          <w:lang w:val="en-GB"/>
        </w:rPr>
        <w:t>Context for Decision</w:t>
      </w:r>
    </w:p>
    <w:p w:rsidR="00311D62" w:rsidRDefault="00065EB8">
      <w:pPr>
        <w:spacing w:line="276" w:lineRule="auto"/>
        <w:jc w:val="both"/>
        <w:rPr>
          <w:rFonts w:asciiTheme="minorHAnsi" w:eastAsiaTheme="minorHAnsi" w:hAnsiTheme="minorHAnsi" w:cs="Arial"/>
          <w:szCs w:val="22"/>
          <w:lang w:eastAsia="en-US"/>
        </w:rPr>
      </w:pPr>
      <w:r>
        <w:rPr>
          <w:rFonts w:asciiTheme="minorHAnsi" w:eastAsiaTheme="minorHAnsi" w:hAnsiTheme="minorHAnsi" w:cs="Arial"/>
          <w:szCs w:val="22"/>
          <w:lang w:eastAsia="en-US"/>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311D62" w:rsidRDefault="00311D62">
      <w:pPr>
        <w:spacing w:after="200" w:line="276" w:lineRule="auto"/>
        <w:ind w:left="426"/>
        <w:jc w:val="both"/>
        <w:rPr>
          <w:rFonts w:ascii="Arial" w:eastAsiaTheme="minorHAnsi" w:hAnsi="Arial" w:cs="Arial"/>
          <w:sz w:val="22"/>
          <w:szCs w:val="22"/>
          <w:lang w:eastAsia="en-US"/>
        </w:rPr>
      </w:pPr>
    </w:p>
    <w:p w:rsidR="00311D62" w:rsidRDefault="00065EB8">
      <w:pPr>
        <w:widowControl w:val="0"/>
        <w:numPr>
          <w:ilvl w:val="0"/>
          <w:numId w:val="5"/>
        </w:numPr>
        <w:spacing w:before="240" w:after="120"/>
        <w:jc w:val="both"/>
        <w:outlineLvl w:val="0"/>
        <w:rPr>
          <w:rFonts w:asciiTheme="minorHAnsi" w:hAnsiTheme="minorHAnsi" w:cs="Arial"/>
          <w:b/>
          <w:bCs/>
          <w:snapToGrid w:val="0"/>
          <w:sz w:val="32"/>
          <w:lang w:val="en-GB"/>
        </w:rPr>
      </w:pPr>
      <w:r>
        <w:rPr>
          <w:rFonts w:asciiTheme="minorHAnsi" w:hAnsiTheme="minorHAnsi" w:cs="Arial"/>
          <w:b/>
          <w:bCs/>
          <w:snapToGrid w:val="0"/>
          <w:sz w:val="32"/>
          <w:lang w:val="en-GB"/>
        </w:rPr>
        <w:t>Sponsor’s Comment</w:t>
      </w:r>
    </w:p>
    <w:p w:rsidR="00311D62" w:rsidRDefault="00065EB8">
      <w:pPr>
        <w:spacing w:after="120" w:line="276" w:lineRule="auto"/>
        <w:jc w:val="both"/>
        <w:rPr>
          <w:rFonts w:asciiTheme="minorHAnsi" w:eastAsiaTheme="minorHAnsi" w:hAnsiTheme="minorHAnsi" w:cs="Arial"/>
          <w:bCs/>
          <w:szCs w:val="22"/>
          <w:lang w:eastAsia="en-US"/>
        </w:rPr>
      </w:pPr>
      <w:r>
        <w:rPr>
          <w:rFonts w:asciiTheme="minorHAnsi" w:eastAsiaTheme="minorHAnsi" w:hAnsiTheme="minorHAnsi" w:cs="Arial"/>
          <w:bCs/>
          <w:szCs w:val="22"/>
          <w:lang w:eastAsia="en-US"/>
        </w:rPr>
        <w:t>The sponsor had no comment.</w:t>
      </w:r>
    </w:p>
    <w:p w:rsidR="00311D62" w:rsidRDefault="00311D62">
      <w:pPr>
        <w:jc w:val="both"/>
        <w:rPr>
          <w:rFonts w:asciiTheme="minorHAnsi" w:hAnsiTheme="minorHAnsi"/>
          <w:sz w:val="22"/>
          <w:szCs w:val="22"/>
        </w:rPr>
      </w:pPr>
    </w:p>
    <w:sectPr w:rsidR="00311D62">
      <w:headerReference w:type="even" r:id="rId8"/>
      <w:headerReference w:type="default" r:id="rId9"/>
      <w:footerReference w:type="even" r:id="rId10"/>
      <w:footerReference w:type="default" r:id="rId11"/>
      <w:footerReference w:type="first" r:id="rId12"/>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1D62" w:rsidRDefault="00065EB8">
      <w:r>
        <w:separator/>
      </w:r>
    </w:p>
    <w:p w:rsidR="00311D62" w:rsidRDefault="00311D62"/>
  </w:endnote>
  <w:endnote w:type="continuationSeparator" w:id="0">
    <w:p w:rsidR="00311D62" w:rsidRDefault="00065EB8">
      <w:r>
        <w:continuationSeparator/>
      </w:r>
    </w:p>
    <w:p w:rsidR="00311D62" w:rsidRDefault="00311D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00000000" w:usb1="28CFFCFA" w:usb2="00000016" w:usb3="00000000" w:csb0="00100001" w:csb1="00000000"/>
  </w:font>
  <w:font w:name="Arial Bold">
    <w:altName w:val="Arial"/>
    <w:panose1 w:val="020B0704020202020204"/>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311D62">
      <w:trPr>
        <w:trHeight w:val="151"/>
      </w:trPr>
      <w:tc>
        <w:tcPr>
          <w:tcW w:w="2250" w:type="pct"/>
          <w:tcBorders>
            <w:top w:val="nil"/>
            <w:left w:val="nil"/>
            <w:bottom w:val="single" w:sz="4" w:space="0" w:color="4F81BD"/>
            <w:right w:val="nil"/>
          </w:tcBorders>
        </w:tcPr>
        <w:p w:rsidR="00311D62" w:rsidRDefault="00311D62">
          <w:pPr>
            <w:pStyle w:val="Header"/>
            <w:spacing w:line="276" w:lineRule="auto"/>
            <w:rPr>
              <w:rFonts w:ascii="Calibri" w:eastAsia="MS Gothic" w:hAnsi="Calibri"/>
              <w:b/>
              <w:bCs/>
              <w:color w:val="4F81BD"/>
            </w:rPr>
          </w:pPr>
        </w:p>
      </w:tc>
      <w:tc>
        <w:tcPr>
          <w:tcW w:w="500" w:type="pct"/>
          <w:vMerge w:val="restart"/>
          <w:noWrap/>
          <w:vAlign w:val="center"/>
          <w:hideMark/>
        </w:tcPr>
        <w:p w:rsidR="00311D62" w:rsidRDefault="00065EB8">
          <w:pPr>
            <w:pStyle w:val="MediumGrid21"/>
            <w:spacing w:line="276" w:lineRule="auto"/>
            <w:rPr>
              <w:rFonts w:ascii="Calibri" w:hAnsi="Calibri"/>
              <w:color w:val="365F91"/>
            </w:rPr>
          </w:pPr>
          <w:r>
            <w:rPr>
              <w:rFonts w:ascii="Cambria" w:hAnsi="Cambria"/>
              <w:color w:val="365F91"/>
            </w:rPr>
            <w:t>[Type text]</w:t>
          </w:r>
        </w:p>
      </w:tc>
      <w:tc>
        <w:tcPr>
          <w:tcW w:w="2250" w:type="pct"/>
          <w:tcBorders>
            <w:top w:val="nil"/>
            <w:left w:val="nil"/>
            <w:bottom w:val="single" w:sz="4" w:space="0" w:color="4F81BD"/>
            <w:right w:val="nil"/>
          </w:tcBorders>
        </w:tcPr>
        <w:p w:rsidR="00311D62" w:rsidRDefault="00311D62">
          <w:pPr>
            <w:pStyle w:val="Header"/>
            <w:spacing w:line="276" w:lineRule="auto"/>
            <w:rPr>
              <w:rFonts w:ascii="Calibri" w:eastAsia="MS Gothic" w:hAnsi="Calibri"/>
              <w:b/>
              <w:bCs/>
              <w:color w:val="4F81BD"/>
            </w:rPr>
          </w:pPr>
        </w:p>
      </w:tc>
    </w:tr>
    <w:tr w:rsidR="00311D62">
      <w:trPr>
        <w:trHeight w:val="150"/>
      </w:trPr>
      <w:tc>
        <w:tcPr>
          <w:tcW w:w="2250" w:type="pct"/>
          <w:tcBorders>
            <w:top w:val="single" w:sz="4" w:space="0" w:color="4F81BD"/>
            <w:left w:val="nil"/>
            <w:bottom w:val="nil"/>
            <w:right w:val="nil"/>
          </w:tcBorders>
        </w:tcPr>
        <w:p w:rsidR="00311D62" w:rsidRDefault="00311D62">
          <w:pPr>
            <w:pStyle w:val="Header"/>
            <w:spacing w:line="276" w:lineRule="auto"/>
            <w:rPr>
              <w:rFonts w:ascii="Calibri" w:eastAsia="MS Gothic" w:hAnsi="Calibri"/>
              <w:b/>
              <w:bCs/>
              <w:color w:val="4F81BD"/>
            </w:rPr>
          </w:pPr>
        </w:p>
      </w:tc>
      <w:tc>
        <w:tcPr>
          <w:tcW w:w="0" w:type="auto"/>
          <w:vMerge/>
          <w:vAlign w:val="center"/>
          <w:hideMark/>
        </w:tcPr>
        <w:p w:rsidR="00311D62" w:rsidRDefault="00311D62">
          <w:pPr>
            <w:rPr>
              <w:rFonts w:ascii="Calibri" w:hAnsi="Calibri"/>
              <w:color w:val="365F91"/>
              <w:sz w:val="22"/>
              <w:szCs w:val="22"/>
            </w:rPr>
          </w:pPr>
        </w:p>
      </w:tc>
      <w:tc>
        <w:tcPr>
          <w:tcW w:w="2250" w:type="pct"/>
          <w:tcBorders>
            <w:top w:val="single" w:sz="4" w:space="0" w:color="4F81BD"/>
            <w:left w:val="nil"/>
            <w:bottom w:val="nil"/>
            <w:right w:val="nil"/>
          </w:tcBorders>
        </w:tcPr>
        <w:p w:rsidR="00311D62" w:rsidRDefault="00311D62">
          <w:pPr>
            <w:pStyle w:val="Header"/>
            <w:spacing w:line="276" w:lineRule="auto"/>
            <w:rPr>
              <w:rFonts w:ascii="Calibri" w:eastAsia="MS Gothic" w:hAnsi="Calibri"/>
              <w:b/>
              <w:bCs/>
              <w:color w:val="4F81BD"/>
            </w:rPr>
          </w:pPr>
        </w:p>
      </w:tc>
    </w:tr>
  </w:tbl>
  <w:p w:rsidR="00311D62" w:rsidRDefault="00065EB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11D62" w:rsidRDefault="00311D62">
    <w:pPr>
      <w:pStyle w:val="Footer"/>
    </w:pPr>
  </w:p>
  <w:p w:rsidR="00311D62" w:rsidRDefault="00311D62"/>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1D62" w:rsidRDefault="00311D62">
    <w:pPr>
      <w:pStyle w:val="PBACFooter"/>
      <w:rPr>
        <w:rFonts w:asciiTheme="minorHAnsi" w:hAnsiTheme="minorHAnsi" w:cstheme="minorHAnsi"/>
        <w:sz w:val="24"/>
      </w:rPr>
    </w:pPr>
  </w:p>
  <w:p w:rsidR="00311D62" w:rsidRDefault="00065EB8">
    <w:pPr>
      <w:pStyle w:val="Footer"/>
      <w:ind w:left="360"/>
      <w:jc w:val="center"/>
      <w:rPr>
        <w:rFonts w:ascii="Calibri" w:hAnsi="Calibri" w:cs="Arial"/>
        <w:b/>
      </w:rPr>
    </w:pPr>
    <w:r>
      <w:rPr>
        <w:rFonts w:ascii="Calibri" w:hAnsi="Calibri" w:cs="Arial"/>
        <w:b/>
      </w:rPr>
      <w:fldChar w:fldCharType="begin"/>
    </w:r>
    <w:r>
      <w:rPr>
        <w:rFonts w:ascii="Calibri" w:hAnsi="Calibri" w:cs="Arial"/>
        <w:b/>
      </w:rPr>
      <w:instrText xml:space="preserve"> PAGE   \* MERGEFORMAT </w:instrText>
    </w:r>
    <w:r>
      <w:rPr>
        <w:rFonts w:ascii="Calibri" w:hAnsi="Calibri" w:cs="Arial"/>
        <w:b/>
      </w:rPr>
      <w:fldChar w:fldCharType="separate"/>
    </w:r>
    <w:r w:rsidR="00D771CE">
      <w:rPr>
        <w:rFonts w:ascii="Calibri" w:hAnsi="Calibri" w:cs="Arial"/>
        <w:b/>
        <w:noProof/>
      </w:rPr>
      <w:t>4</w:t>
    </w:r>
    <w:r>
      <w:rPr>
        <w:rFonts w:ascii="Calibri" w:hAnsi="Calibri" w:cs="Arial"/>
        <w:b/>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4A0" w:firstRow="1" w:lastRow="0" w:firstColumn="1" w:lastColumn="0" w:noHBand="0" w:noVBand="1"/>
    </w:tblPr>
    <w:tblGrid>
      <w:gridCol w:w="3995"/>
      <w:gridCol w:w="1252"/>
      <w:gridCol w:w="3995"/>
    </w:tblGrid>
    <w:tr w:rsidR="00311D62">
      <w:trPr>
        <w:trHeight w:val="151"/>
      </w:trPr>
      <w:tc>
        <w:tcPr>
          <w:tcW w:w="2250" w:type="pct"/>
          <w:tcBorders>
            <w:top w:val="nil"/>
            <w:left w:val="nil"/>
            <w:bottom w:val="single" w:sz="4" w:space="0" w:color="4F81BD"/>
            <w:right w:val="nil"/>
          </w:tcBorders>
        </w:tcPr>
        <w:p w:rsidR="00311D62" w:rsidRDefault="00311D62">
          <w:pPr>
            <w:pStyle w:val="Header"/>
            <w:spacing w:line="276" w:lineRule="auto"/>
            <w:rPr>
              <w:rFonts w:ascii="Calibri" w:eastAsia="MS Gothic" w:hAnsi="Calibri"/>
              <w:b/>
              <w:bCs/>
              <w:color w:val="4F81BD"/>
            </w:rPr>
          </w:pPr>
        </w:p>
      </w:tc>
      <w:tc>
        <w:tcPr>
          <w:tcW w:w="500" w:type="pct"/>
          <w:vMerge w:val="restart"/>
          <w:noWrap/>
          <w:vAlign w:val="center"/>
          <w:hideMark/>
        </w:tcPr>
        <w:p w:rsidR="00311D62" w:rsidRDefault="00065EB8">
          <w:pPr>
            <w:pStyle w:val="MediumGrid21"/>
            <w:spacing w:line="276" w:lineRule="auto"/>
            <w:rPr>
              <w:rFonts w:ascii="Calibri" w:hAnsi="Calibri"/>
              <w:color w:val="365F91"/>
            </w:rPr>
          </w:pPr>
          <w:r>
            <w:rPr>
              <w:rFonts w:ascii="Cambria" w:hAnsi="Cambria"/>
              <w:color w:val="365F91"/>
            </w:rPr>
            <w:t>[Type text]</w:t>
          </w:r>
        </w:p>
      </w:tc>
      <w:tc>
        <w:tcPr>
          <w:tcW w:w="2250" w:type="pct"/>
          <w:tcBorders>
            <w:top w:val="nil"/>
            <w:left w:val="nil"/>
            <w:bottom w:val="single" w:sz="4" w:space="0" w:color="4F81BD"/>
            <w:right w:val="nil"/>
          </w:tcBorders>
        </w:tcPr>
        <w:p w:rsidR="00311D62" w:rsidRDefault="00311D62">
          <w:pPr>
            <w:pStyle w:val="Header"/>
            <w:spacing w:line="276" w:lineRule="auto"/>
            <w:rPr>
              <w:rFonts w:ascii="Calibri" w:eastAsia="MS Gothic" w:hAnsi="Calibri"/>
              <w:b/>
              <w:bCs/>
              <w:color w:val="4F81BD"/>
            </w:rPr>
          </w:pPr>
        </w:p>
      </w:tc>
    </w:tr>
    <w:tr w:rsidR="00311D62">
      <w:trPr>
        <w:trHeight w:val="150"/>
      </w:trPr>
      <w:tc>
        <w:tcPr>
          <w:tcW w:w="2250" w:type="pct"/>
          <w:tcBorders>
            <w:top w:val="single" w:sz="4" w:space="0" w:color="4F81BD"/>
            <w:left w:val="nil"/>
            <w:bottom w:val="nil"/>
            <w:right w:val="nil"/>
          </w:tcBorders>
        </w:tcPr>
        <w:p w:rsidR="00311D62" w:rsidRDefault="00311D62">
          <w:pPr>
            <w:pStyle w:val="Header"/>
            <w:spacing w:line="276" w:lineRule="auto"/>
            <w:rPr>
              <w:rFonts w:ascii="Calibri" w:eastAsia="MS Gothic" w:hAnsi="Calibri"/>
              <w:b/>
              <w:bCs/>
              <w:color w:val="4F81BD"/>
            </w:rPr>
          </w:pPr>
        </w:p>
      </w:tc>
      <w:tc>
        <w:tcPr>
          <w:tcW w:w="0" w:type="auto"/>
          <w:vMerge/>
          <w:vAlign w:val="center"/>
          <w:hideMark/>
        </w:tcPr>
        <w:p w:rsidR="00311D62" w:rsidRDefault="00311D62">
          <w:pPr>
            <w:rPr>
              <w:rFonts w:ascii="Calibri" w:hAnsi="Calibri"/>
              <w:color w:val="365F91"/>
              <w:sz w:val="22"/>
              <w:szCs w:val="22"/>
            </w:rPr>
          </w:pPr>
        </w:p>
      </w:tc>
      <w:tc>
        <w:tcPr>
          <w:tcW w:w="2250" w:type="pct"/>
          <w:tcBorders>
            <w:top w:val="single" w:sz="4" w:space="0" w:color="4F81BD"/>
            <w:left w:val="nil"/>
            <w:bottom w:val="nil"/>
            <w:right w:val="nil"/>
          </w:tcBorders>
        </w:tcPr>
        <w:p w:rsidR="00311D62" w:rsidRDefault="00311D62">
          <w:pPr>
            <w:pStyle w:val="Header"/>
            <w:spacing w:line="276" w:lineRule="auto"/>
            <w:rPr>
              <w:rFonts w:ascii="Calibri" w:eastAsia="MS Gothic" w:hAnsi="Calibri"/>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311D62">
      <w:trPr>
        <w:trHeight w:val="151"/>
      </w:trPr>
      <w:tc>
        <w:tcPr>
          <w:tcW w:w="2250" w:type="pct"/>
          <w:tcBorders>
            <w:top w:val="nil"/>
            <w:left w:val="nil"/>
            <w:bottom w:val="single" w:sz="4" w:space="0" w:color="4F81BD"/>
            <w:right w:val="nil"/>
          </w:tcBorders>
        </w:tcPr>
        <w:p w:rsidR="00311D62" w:rsidRDefault="00311D62">
          <w:pPr>
            <w:pStyle w:val="Header"/>
            <w:spacing w:line="276" w:lineRule="auto"/>
            <w:rPr>
              <w:rFonts w:ascii="Calibri" w:eastAsia="MS Gothic" w:hAnsi="Calibri"/>
              <w:b/>
              <w:bCs/>
              <w:color w:val="4F81BD"/>
            </w:rPr>
          </w:pPr>
        </w:p>
      </w:tc>
      <w:tc>
        <w:tcPr>
          <w:tcW w:w="500" w:type="pct"/>
          <w:vMerge w:val="restart"/>
          <w:noWrap/>
          <w:vAlign w:val="center"/>
          <w:hideMark/>
        </w:tcPr>
        <w:p w:rsidR="00311D62" w:rsidRDefault="00065EB8">
          <w:pPr>
            <w:pStyle w:val="MediumGrid21"/>
            <w:spacing w:line="276" w:lineRule="auto"/>
            <w:rPr>
              <w:rFonts w:ascii="Calibri" w:hAnsi="Calibri"/>
              <w:color w:val="365F91"/>
            </w:rPr>
          </w:pPr>
          <w:r>
            <w:rPr>
              <w:rFonts w:ascii="Cambria" w:hAnsi="Cambria"/>
              <w:color w:val="365F91"/>
            </w:rPr>
            <w:t>[Type text]</w:t>
          </w:r>
        </w:p>
      </w:tc>
      <w:tc>
        <w:tcPr>
          <w:tcW w:w="2250" w:type="pct"/>
          <w:tcBorders>
            <w:top w:val="nil"/>
            <w:left w:val="nil"/>
            <w:bottom w:val="single" w:sz="4" w:space="0" w:color="4F81BD"/>
            <w:right w:val="nil"/>
          </w:tcBorders>
        </w:tcPr>
        <w:p w:rsidR="00311D62" w:rsidRDefault="00311D62">
          <w:pPr>
            <w:pStyle w:val="Header"/>
            <w:spacing w:line="276" w:lineRule="auto"/>
            <w:rPr>
              <w:rFonts w:ascii="Calibri" w:eastAsia="MS Gothic" w:hAnsi="Calibri"/>
              <w:b/>
              <w:bCs/>
              <w:color w:val="4F81BD"/>
            </w:rPr>
          </w:pPr>
        </w:p>
      </w:tc>
    </w:tr>
    <w:tr w:rsidR="00311D62">
      <w:trPr>
        <w:trHeight w:val="150"/>
      </w:trPr>
      <w:tc>
        <w:tcPr>
          <w:tcW w:w="2250" w:type="pct"/>
          <w:tcBorders>
            <w:top w:val="single" w:sz="4" w:space="0" w:color="4F81BD"/>
            <w:left w:val="nil"/>
            <w:bottom w:val="nil"/>
            <w:right w:val="nil"/>
          </w:tcBorders>
        </w:tcPr>
        <w:p w:rsidR="00311D62" w:rsidRDefault="00311D62">
          <w:pPr>
            <w:pStyle w:val="Header"/>
            <w:spacing w:line="276" w:lineRule="auto"/>
            <w:rPr>
              <w:rFonts w:ascii="Calibri" w:eastAsia="MS Gothic" w:hAnsi="Calibri"/>
              <w:b/>
              <w:bCs/>
              <w:color w:val="4F81BD"/>
            </w:rPr>
          </w:pPr>
        </w:p>
      </w:tc>
      <w:tc>
        <w:tcPr>
          <w:tcW w:w="0" w:type="auto"/>
          <w:vMerge/>
          <w:vAlign w:val="center"/>
          <w:hideMark/>
        </w:tcPr>
        <w:p w:rsidR="00311D62" w:rsidRDefault="00311D62">
          <w:pPr>
            <w:rPr>
              <w:rFonts w:ascii="Calibri" w:hAnsi="Calibri"/>
              <w:color w:val="365F91"/>
              <w:sz w:val="22"/>
              <w:szCs w:val="22"/>
            </w:rPr>
          </w:pPr>
        </w:p>
      </w:tc>
      <w:tc>
        <w:tcPr>
          <w:tcW w:w="2250" w:type="pct"/>
          <w:tcBorders>
            <w:top w:val="single" w:sz="4" w:space="0" w:color="4F81BD"/>
            <w:left w:val="nil"/>
            <w:bottom w:val="nil"/>
            <w:right w:val="nil"/>
          </w:tcBorders>
        </w:tcPr>
        <w:p w:rsidR="00311D62" w:rsidRDefault="00311D62">
          <w:pPr>
            <w:pStyle w:val="Header"/>
            <w:spacing w:line="276" w:lineRule="auto"/>
            <w:rPr>
              <w:rFonts w:ascii="Calibri" w:eastAsia="MS Gothic" w:hAnsi="Calibri"/>
              <w:b/>
              <w:bCs/>
              <w:color w:val="4F81BD"/>
            </w:rPr>
          </w:pPr>
        </w:p>
      </w:tc>
    </w:tr>
  </w:tbl>
  <w:p w:rsidR="00311D62" w:rsidRDefault="00065EB8">
    <w:pPr>
      <w:pStyle w:val="Footer"/>
      <w:jc w:val="center"/>
      <w:rPr>
        <w:b/>
        <w:i/>
        <w:sz w:val="20"/>
        <w:szCs w:val="20"/>
      </w:rPr>
    </w:pPr>
    <w:r>
      <w:rPr>
        <w:b/>
        <w:i/>
        <w:sz w:val="20"/>
        <w:szCs w:val="20"/>
      </w:rPr>
      <w:t>Draft Minutes November 2011 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Pr>
        <w:b/>
        <w:i/>
        <w:sz w:val="20"/>
        <w:szCs w:val="20"/>
      </w:rPr>
      <w:t>BAC Meeting</w:t>
    </w:r>
  </w:p>
  <w:p w:rsidR="00311D62" w:rsidRDefault="00065EB8">
    <w:pPr>
      <w:pStyle w:val="Footer"/>
      <w:jc w:val="center"/>
      <w:rPr>
        <w:b/>
        <w:i/>
        <w:sz w:val="20"/>
        <w:szCs w:val="20"/>
      </w:rPr>
    </w:pPr>
    <w:r>
      <w:rPr>
        <w:b/>
        <w:i/>
        <w:sz w:val="20"/>
        <w:szCs w:val="20"/>
      </w:rPr>
      <w:t>Commercial-in-Confidence</w:t>
    </w:r>
  </w:p>
  <w:p w:rsidR="00311D62" w:rsidRDefault="00311D62"/>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1D62" w:rsidRDefault="00065EB8">
      <w:r>
        <w:separator/>
      </w:r>
    </w:p>
    <w:p w:rsidR="00311D62" w:rsidRDefault="00311D62"/>
  </w:footnote>
  <w:footnote w:type="continuationSeparator" w:id="0">
    <w:p w:rsidR="00311D62" w:rsidRDefault="00065EB8">
      <w:r>
        <w:continuationSeparator/>
      </w:r>
    </w:p>
    <w:p w:rsidR="00311D62" w:rsidRDefault="00311D62"/>
  </w:footnote>
  <w:footnote w:id="1">
    <w:p w:rsidR="00311D62" w:rsidRDefault="00065EB8">
      <w:pPr>
        <w:pStyle w:val="tablenotes"/>
        <w:rPr>
          <w:rFonts w:ascii="Arial Narrow" w:hAnsi="Arial Narrow"/>
        </w:rPr>
      </w:pPr>
      <w:r>
        <w:rPr>
          <w:rStyle w:val="FootnoteReference"/>
          <w:rFonts w:ascii="Arial Narrow" w:hAnsi="Arial Narrow"/>
        </w:rPr>
        <w:footnoteRef/>
      </w:r>
      <w:r>
        <w:rPr>
          <w:rFonts w:ascii="Arial Narrow" w:hAnsi="Arial Narrow"/>
        </w:rPr>
        <w:t xml:space="preserve"> November 2018 PBAC, Glycomacropeptide formula (PKU GMPro) Public Summary Document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bottomFromText="200" w:vertAnchor="text" w:tblpY="1"/>
      <w:tblW w:w="4937" w:type="pct"/>
      <w:tblLook w:val="04A0" w:firstRow="1" w:lastRow="0" w:firstColumn="1" w:lastColumn="0" w:noHBand="0" w:noVBand="1"/>
    </w:tblPr>
    <w:tblGrid>
      <w:gridCol w:w="4038"/>
      <w:gridCol w:w="1252"/>
      <w:gridCol w:w="3836"/>
    </w:tblGrid>
    <w:tr w:rsidR="00311D62">
      <w:trPr>
        <w:trHeight w:val="151"/>
      </w:trPr>
      <w:tc>
        <w:tcPr>
          <w:tcW w:w="2389" w:type="pct"/>
          <w:tcBorders>
            <w:top w:val="nil"/>
            <w:left w:val="nil"/>
            <w:bottom w:val="single" w:sz="4" w:space="0" w:color="4F81BD"/>
            <w:right w:val="nil"/>
          </w:tcBorders>
        </w:tcPr>
        <w:p w:rsidR="00311D62" w:rsidRDefault="00311D62">
          <w:pPr>
            <w:pStyle w:val="Header"/>
            <w:spacing w:line="276" w:lineRule="auto"/>
            <w:rPr>
              <w:rFonts w:ascii="Cambria" w:eastAsia="MS Gothic" w:hAnsi="Cambria"/>
              <w:b/>
              <w:bCs/>
              <w:color w:val="4F81BD"/>
            </w:rPr>
          </w:pPr>
        </w:p>
      </w:tc>
      <w:tc>
        <w:tcPr>
          <w:tcW w:w="333" w:type="pct"/>
          <w:vMerge w:val="restart"/>
          <w:noWrap/>
          <w:vAlign w:val="center"/>
          <w:hideMark/>
        </w:tcPr>
        <w:p w:rsidR="00311D62" w:rsidRDefault="00065EB8">
          <w:pPr>
            <w:pStyle w:val="MediumGrid21"/>
            <w:rPr>
              <w:rFonts w:ascii="Cambria" w:hAnsi="Cambria"/>
              <w:color w:val="4F81BD"/>
              <w:szCs w:val="20"/>
            </w:rPr>
          </w:pPr>
          <w:r>
            <w:rPr>
              <w:rFonts w:ascii="Cambria" w:hAnsi="Cambria"/>
              <w:color w:val="4F81BD"/>
            </w:rPr>
            <w:t>[Type text]</w:t>
          </w:r>
        </w:p>
      </w:tc>
      <w:tc>
        <w:tcPr>
          <w:tcW w:w="2278" w:type="pct"/>
          <w:tcBorders>
            <w:top w:val="nil"/>
            <w:left w:val="nil"/>
            <w:bottom w:val="single" w:sz="4" w:space="0" w:color="4F81BD"/>
            <w:right w:val="nil"/>
          </w:tcBorders>
        </w:tcPr>
        <w:p w:rsidR="00311D62" w:rsidRDefault="00311D62">
          <w:pPr>
            <w:pStyle w:val="Header"/>
            <w:spacing w:line="276" w:lineRule="auto"/>
            <w:rPr>
              <w:rFonts w:ascii="Cambria" w:eastAsia="MS Gothic" w:hAnsi="Cambria"/>
              <w:b/>
              <w:bCs/>
              <w:color w:val="4F81BD"/>
            </w:rPr>
          </w:pPr>
        </w:p>
      </w:tc>
    </w:tr>
    <w:tr w:rsidR="00311D62">
      <w:trPr>
        <w:trHeight w:val="150"/>
      </w:trPr>
      <w:tc>
        <w:tcPr>
          <w:tcW w:w="2389" w:type="pct"/>
          <w:tcBorders>
            <w:top w:val="single" w:sz="4" w:space="0" w:color="4F81BD"/>
            <w:left w:val="nil"/>
            <w:bottom w:val="nil"/>
            <w:right w:val="nil"/>
          </w:tcBorders>
        </w:tcPr>
        <w:p w:rsidR="00311D62" w:rsidRDefault="00311D62">
          <w:pPr>
            <w:pStyle w:val="Header"/>
            <w:spacing w:line="276" w:lineRule="auto"/>
            <w:rPr>
              <w:rFonts w:ascii="Cambria" w:eastAsia="MS Gothic" w:hAnsi="Cambria"/>
              <w:b/>
              <w:bCs/>
              <w:color w:val="4F81BD"/>
            </w:rPr>
          </w:pPr>
        </w:p>
      </w:tc>
      <w:tc>
        <w:tcPr>
          <w:tcW w:w="0" w:type="auto"/>
          <w:vMerge/>
          <w:vAlign w:val="center"/>
          <w:hideMark/>
        </w:tcPr>
        <w:p w:rsidR="00311D62" w:rsidRDefault="00311D62">
          <w:pPr>
            <w:rPr>
              <w:rFonts w:ascii="Cambria" w:hAnsi="Cambria"/>
              <w:color w:val="4F81BD"/>
              <w:sz w:val="22"/>
              <w:szCs w:val="22"/>
            </w:rPr>
          </w:pPr>
        </w:p>
      </w:tc>
      <w:tc>
        <w:tcPr>
          <w:tcW w:w="2278" w:type="pct"/>
          <w:tcBorders>
            <w:top w:val="single" w:sz="4" w:space="0" w:color="4F81BD"/>
            <w:left w:val="nil"/>
            <w:bottom w:val="nil"/>
            <w:right w:val="nil"/>
          </w:tcBorders>
        </w:tcPr>
        <w:p w:rsidR="00311D62" w:rsidRDefault="00311D62">
          <w:pPr>
            <w:pStyle w:val="Header"/>
            <w:spacing w:line="276" w:lineRule="auto"/>
            <w:rPr>
              <w:rFonts w:ascii="Cambria" w:eastAsia="MS Gothic" w:hAnsi="Cambria"/>
              <w:b/>
              <w:bCs/>
              <w:color w:val="4F81BD"/>
            </w:rPr>
          </w:pPr>
        </w:p>
      </w:tc>
    </w:tr>
  </w:tbl>
  <w:p w:rsidR="00311D62" w:rsidRDefault="00311D62">
    <w:pPr>
      <w:pStyle w:val="Header"/>
    </w:pPr>
  </w:p>
  <w:p w:rsidR="00311D62" w:rsidRDefault="00311D62"/>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1D62" w:rsidRDefault="00065EB8">
    <w:pPr>
      <w:pStyle w:val="Header"/>
      <w:ind w:left="360"/>
      <w:jc w:val="center"/>
      <w:rPr>
        <w:rFonts w:asciiTheme="minorHAnsi" w:hAnsiTheme="minorHAnsi" w:cs="Arial"/>
        <w:i/>
        <w:color w:val="808080"/>
      </w:rPr>
    </w:pPr>
    <w:r>
      <w:rPr>
        <w:rFonts w:asciiTheme="minorHAnsi" w:hAnsiTheme="minorHAnsi" w:cs="Arial"/>
        <w:i/>
        <w:color w:val="808080"/>
      </w:rPr>
      <w:t>Public Summary Document – July 2019 PBAC Meeting</w:t>
    </w:r>
  </w:p>
  <w:p w:rsidR="00311D62" w:rsidRDefault="00311D62">
    <w:pPr>
      <w:pStyle w:val="Header"/>
      <w:ind w:left="360"/>
      <w:jc w:val="center"/>
      <w:rPr>
        <w:rFonts w:asciiTheme="minorHAnsi" w:hAnsiTheme="minorHAnsi" w:cs="Arial"/>
        <w:i/>
        <w:color w:val="808080"/>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0B200EBA"/>
    <w:lvl w:ilvl="0">
      <w:start w:val="1"/>
      <w:numFmt w:val="decimal"/>
      <w:lvlText w:val="%1"/>
      <w:lvlJc w:val="left"/>
      <w:pPr>
        <w:tabs>
          <w:tab w:val="num" w:pos="643"/>
        </w:tabs>
        <w:ind w:left="643" w:hanging="360"/>
      </w:pPr>
      <w:rPr>
        <w:rFonts w:hint="default"/>
      </w:rPr>
    </w:lvl>
  </w:abstractNum>
  <w:abstractNum w:abstractNumId="1" w15:restartNumberingAfterBreak="0">
    <w:nsid w:val="FFFFFF88"/>
    <w:multiLevelType w:val="singleLevel"/>
    <w:tmpl w:val="EE52495A"/>
    <w:lvl w:ilvl="0">
      <w:start w:val="1"/>
      <w:numFmt w:val="decimal"/>
      <w:pStyle w:val="ListNumber"/>
      <w:lvlText w:val="%1."/>
      <w:lvlJc w:val="left"/>
      <w:pPr>
        <w:tabs>
          <w:tab w:val="num" w:pos="360"/>
        </w:tabs>
        <w:ind w:left="360" w:hanging="360"/>
      </w:pPr>
    </w:lvl>
  </w:abstractNum>
  <w:abstractNum w:abstractNumId="2"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0AC0811"/>
    <w:multiLevelType w:val="hybridMultilevel"/>
    <w:tmpl w:val="9E3E2776"/>
    <w:lvl w:ilvl="0" w:tplc="369A0A56">
      <w:start w:val="1"/>
      <w:numFmt w:val="bullet"/>
      <w:lvlText w:val=""/>
      <w:lvlJc w:val="left"/>
      <w:pPr>
        <w:tabs>
          <w:tab w:val="num" w:pos="720"/>
        </w:tabs>
        <w:ind w:left="720" w:hanging="360"/>
      </w:pPr>
      <w:rPr>
        <w:rFonts w:ascii="Symbol" w:hAnsi="Symbol" w:hint="default"/>
      </w:rPr>
    </w:lvl>
    <w:lvl w:ilvl="1" w:tplc="E4321262">
      <w:start w:val="1"/>
      <w:numFmt w:val="bullet"/>
      <w:lvlText w:val="o"/>
      <w:lvlJc w:val="left"/>
      <w:pPr>
        <w:tabs>
          <w:tab w:val="num" w:pos="1440"/>
        </w:tabs>
        <w:ind w:left="1440" w:hanging="360"/>
      </w:pPr>
      <w:rPr>
        <w:rFonts w:ascii="Courier New" w:hAnsi="Courier New" w:cs="Courier New" w:hint="default"/>
      </w:rPr>
    </w:lvl>
    <w:lvl w:ilvl="2" w:tplc="8E7CC4D4">
      <w:start w:val="1"/>
      <w:numFmt w:val="bullet"/>
      <w:lvlText w:val=""/>
      <w:lvlJc w:val="left"/>
      <w:pPr>
        <w:tabs>
          <w:tab w:val="num" w:pos="2160"/>
        </w:tabs>
        <w:ind w:left="2160" w:hanging="360"/>
      </w:pPr>
      <w:rPr>
        <w:rFonts w:ascii="Wingdings" w:hAnsi="Wingdings" w:hint="default"/>
      </w:rPr>
    </w:lvl>
    <w:lvl w:ilvl="3" w:tplc="B172EB80" w:tentative="1">
      <w:start w:val="1"/>
      <w:numFmt w:val="bullet"/>
      <w:lvlText w:val=""/>
      <w:lvlJc w:val="left"/>
      <w:pPr>
        <w:tabs>
          <w:tab w:val="num" w:pos="2880"/>
        </w:tabs>
        <w:ind w:left="2880" w:hanging="360"/>
      </w:pPr>
      <w:rPr>
        <w:rFonts w:ascii="Symbol" w:hAnsi="Symbol" w:hint="default"/>
      </w:rPr>
    </w:lvl>
    <w:lvl w:ilvl="4" w:tplc="1F10EB0A" w:tentative="1">
      <w:start w:val="1"/>
      <w:numFmt w:val="bullet"/>
      <w:lvlText w:val="o"/>
      <w:lvlJc w:val="left"/>
      <w:pPr>
        <w:tabs>
          <w:tab w:val="num" w:pos="3600"/>
        </w:tabs>
        <w:ind w:left="3600" w:hanging="360"/>
      </w:pPr>
      <w:rPr>
        <w:rFonts w:ascii="Courier New" w:hAnsi="Courier New" w:cs="Courier New" w:hint="default"/>
      </w:rPr>
    </w:lvl>
    <w:lvl w:ilvl="5" w:tplc="7D4EB088" w:tentative="1">
      <w:start w:val="1"/>
      <w:numFmt w:val="bullet"/>
      <w:lvlText w:val=""/>
      <w:lvlJc w:val="left"/>
      <w:pPr>
        <w:tabs>
          <w:tab w:val="num" w:pos="4320"/>
        </w:tabs>
        <w:ind w:left="4320" w:hanging="360"/>
      </w:pPr>
      <w:rPr>
        <w:rFonts w:ascii="Wingdings" w:hAnsi="Wingdings" w:hint="default"/>
      </w:rPr>
    </w:lvl>
    <w:lvl w:ilvl="6" w:tplc="EF8EA542" w:tentative="1">
      <w:start w:val="1"/>
      <w:numFmt w:val="bullet"/>
      <w:lvlText w:val=""/>
      <w:lvlJc w:val="left"/>
      <w:pPr>
        <w:tabs>
          <w:tab w:val="num" w:pos="5040"/>
        </w:tabs>
        <w:ind w:left="5040" w:hanging="360"/>
      </w:pPr>
      <w:rPr>
        <w:rFonts w:ascii="Symbol" w:hAnsi="Symbol" w:hint="default"/>
      </w:rPr>
    </w:lvl>
    <w:lvl w:ilvl="7" w:tplc="5A12F5AE" w:tentative="1">
      <w:start w:val="1"/>
      <w:numFmt w:val="bullet"/>
      <w:lvlText w:val="o"/>
      <w:lvlJc w:val="left"/>
      <w:pPr>
        <w:tabs>
          <w:tab w:val="num" w:pos="5760"/>
        </w:tabs>
        <w:ind w:left="5760" w:hanging="360"/>
      </w:pPr>
      <w:rPr>
        <w:rFonts w:ascii="Courier New" w:hAnsi="Courier New" w:cs="Courier New" w:hint="default"/>
      </w:rPr>
    </w:lvl>
    <w:lvl w:ilvl="8" w:tplc="D292A61E"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C9011D"/>
    <w:multiLevelType w:val="hybridMultilevel"/>
    <w:tmpl w:val="54025948"/>
    <w:lvl w:ilvl="0" w:tplc="48F662A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F0015B3"/>
    <w:multiLevelType w:val="hybridMultilevel"/>
    <w:tmpl w:val="67C6A6E6"/>
    <w:lvl w:ilvl="0" w:tplc="18143B82">
      <w:start w:val="1"/>
      <w:numFmt w:val="bullet"/>
      <w:lvlText w:val=""/>
      <w:lvlJc w:val="left"/>
      <w:pPr>
        <w:tabs>
          <w:tab w:val="num" w:pos="720"/>
        </w:tabs>
        <w:ind w:left="720" w:hanging="360"/>
      </w:pPr>
      <w:rPr>
        <w:rFonts w:ascii="Symbol" w:hAnsi="Symbol" w:hint="default"/>
      </w:rPr>
    </w:lvl>
    <w:lvl w:ilvl="1" w:tplc="3BB87880" w:tentative="1">
      <w:start w:val="1"/>
      <w:numFmt w:val="bullet"/>
      <w:lvlText w:val="o"/>
      <w:lvlJc w:val="left"/>
      <w:pPr>
        <w:tabs>
          <w:tab w:val="num" w:pos="1440"/>
        </w:tabs>
        <w:ind w:left="1440" w:hanging="360"/>
      </w:pPr>
      <w:rPr>
        <w:rFonts w:ascii="Courier New" w:hAnsi="Courier New" w:cs="Courier New" w:hint="default"/>
      </w:rPr>
    </w:lvl>
    <w:lvl w:ilvl="2" w:tplc="32008766" w:tentative="1">
      <w:start w:val="1"/>
      <w:numFmt w:val="bullet"/>
      <w:lvlText w:val=""/>
      <w:lvlJc w:val="left"/>
      <w:pPr>
        <w:tabs>
          <w:tab w:val="num" w:pos="2160"/>
        </w:tabs>
        <w:ind w:left="2160" w:hanging="360"/>
      </w:pPr>
      <w:rPr>
        <w:rFonts w:ascii="Wingdings" w:hAnsi="Wingdings" w:hint="default"/>
      </w:rPr>
    </w:lvl>
    <w:lvl w:ilvl="3" w:tplc="E45AFFCC" w:tentative="1">
      <w:start w:val="1"/>
      <w:numFmt w:val="bullet"/>
      <w:lvlText w:val=""/>
      <w:lvlJc w:val="left"/>
      <w:pPr>
        <w:tabs>
          <w:tab w:val="num" w:pos="2880"/>
        </w:tabs>
        <w:ind w:left="2880" w:hanging="360"/>
      </w:pPr>
      <w:rPr>
        <w:rFonts w:ascii="Symbol" w:hAnsi="Symbol" w:hint="default"/>
      </w:rPr>
    </w:lvl>
    <w:lvl w:ilvl="4" w:tplc="E9C82456" w:tentative="1">
      <w:start w:val="1"/>
      <w:numFmt w:val="bullet"/>
      <w:lvlText w:val="o"/>
      <w:lvlJc w:val="left"/>
      <w:pPr>
        <w:tabs>
          <w:tab w:val="num" w:pos="3600"/>
        </w:tabs>
        <w:ind w:left="3600" w:hanging="360"/>
      </w:pPr>
      <w:rPr>
        <w:rFonts w:ascii="Courier New" w:hAnsi="Courier New" w:cs="Courier New" w:hint="default"/>
      </w:rPr>
    </w:lvl>
    <w:lvl w:ilvl="5" w:tplc="7640D61A" w:tentative="1">
      <w:start w:val="1"/>
      <w:numFmt w:val="bullet"/>
      <w:lvlText w:val=""/>
      <w:lvlJc w:val="left"/>
      <w:pPr>
        <w:tabs>
          <w:tab w:val="num" w:pos="4320"/>
        </w:tabs>
        <w:ind w:left="4320" w:hanging="360"/>
      </w:pPr>
      <w:rPr>
        <w:rFonts w:ascii="Wingdings" w:hAnsi="Wingdings" w:hint="default"/>
      </w:rPr>
    </w:lvl>
    <w:lvl w:ilvl="6" w:tplc="591CF4A6" w:tentative="1">
      <w:start w:val="1"/>
      <w:numFmt w:val="bullet"/>
      <w:lvlText w:val=""/>
      <w:lvlJc w:val="left"/>
      <w:pPr>
        <w:tabs>
          <w:tab w:val="num" w:pos="5040"/>
        </w:tabs>
        <w:ind w:left="5040" w:hanging="360"/>
      </w:pPr>
      <w:rPr>
        <w:rFonts w:ascii="Symbol" w:hAnsi="Symbol" w:hint="default"/>
      </w:rPr>
    </w:lvl>
    <w:lvl w:ilvl="7" w:tplc="0C2E83BC" w:tentative="1">
      <w:start w:val="1"/>
      <w:numFmt w:val="bullet"/>
      <w:lvlText w:val="o"/>
      <w:lvlJc w:val="left"/>
      <w:pPr>
        <w:tabs>
          <w:tab w:val="num" w:pos="5760"/>
        </w:tabs>
        <w:ind w:left="5760" w:hanging="360"/>
      </w:pPr>
      <w:rPr>
        <w:rFonts w:ascii="Courier New" w:hAnsi="Courier New" w:cs="Courier New" w:hint="default"/>
      </w:rPr>
    </w:lvl>
    <w:lvl w:ilvl="8" w:tplc="55C6FBAE"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7F422C"/>
    <w:multiLevelType w:val="hybridMultilevel"/>
    <w:tmpl w:val="BCDA96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E821623"/>
    <w:multiLevelType w:val="hybridMultilevel"/>
    <w:tmpl w:val="DFFEA42C"/>
    <w:lvl w:ilvl="0" w:tplc="27E62F28">
      <w:start w:val="1"/>
      <w:numFmt w:val="bullet"/>
      <w:lvlText w:val=""/>
      <w:lvlJc w:val="left"/>
      <w:pPr>
        <w:tabs>
          <w:tab w:val="num" w:pos="720"/>
        </w:tabs>
        <w:ind w:left="720" w:hanging="360"/>
      </w:pPr>
      <w:rPr>
        <w:rFonts w:ascii="Symbol" w:hAnsi="Symbol" w:hint="default"/>
      </w:rPr>
    </w:lvl>
    <w:lvl w:ilvl="1" w:tplc="869C860E" w:tentative="1">
      <w:start w:val="1"/>
      <w:numFmt w:val="bullet"/>
      <w:lvlText w:val="o"/>
      <w:lvlJc w:val="left"/>
      <w:pPr>
        <w:tabs>
          <w:tab w:val="num" w:pos="1440"/>
        </w:tabs>
        <w:ind w:left="1440" w:hanging="360"/>
      </w:pPr>
      <w:rPr>
        <w:rFonts w:ascii="Courier New" w:hAnsi="Courier New" w:cs="Courier New" w:hint="default"/>
      </w:rPr>
    </w:lvl>
    <w:lvl w:ilvl="2" w:tplc="41EE92A0" w:tentative="1">
      <w:start w:val="1"/>
      <w:numFmt w:val="bullet"/>
      <w:lvlText w:val=""/>
      <w:lvlJc w:val="left"/>
      <w:pPr>
        <w:tabs>
          <w:tab w:val="num" w:pos="2160"/>
        </w:tabs>
        <w:ind w:left="2160" w:hanging="360"/>
      </w:pPr>
      <w:rPr>
        <w:rFonts w:ascii="Wingdings" w:hAnsi="Wingdings" w:hint="default"/>
      </w:rPr>
    </w:lvl>
    <w:lvl w:ilvl="3" w:tplc="7BE80782" w:tentative="1">
      <w:start w:val="1"/>
      <w:numFmt w:val="bullet"/>
      <w:lvlText w:val=""/>
      <w:lvlJc w:val="left"/>
      <w:pPr>
        <w:tabs>
          <w:tab w:val="num" w:pos="2880"/>
        </w:tabs>
        <w:ind w:left="2880" w:hanging="360"/>
      </w:pPr>
      <w:rPr>
        <w:rFonts w:ascii="Symbol" w:hAnsi="Symbol" w:hint="default"/>
      </w:rPr>
    </w:lvl>
    <w:lvl w:ilvl="4" w:tplc="66BCBC84" w:tentative="1">
      <w:start w:val="1"/>
      <w:numFmt w:val="bullet"/>
      <w:lvlText w:val="o"/>
      <w:lvlJc w:val="left"/>
      <w:pPr>
        <w:tabs>
          <w:tab w:val="num" w:pos="3600"/>
        </w:tabs>
        <w:ind w:left="3600" w:hanging="360"/>
      </w:pPr>
      <w:rPr>
        <w:rFonts w:ascii="Courier New" w:hAnsi="Courier New" w:cs="Courier New" w:hint="default"/>
      </w:rPr>
    </w:lvl>
    <w:lvl w:ilvl="5" w:tplc="B920B2C2" w:tentative="1">
      <w:start w:val="1"/>
      <w:numFmt w:val="bullet"/>
      <w:lvlText w:val=""/>
      <w:lvlJc w:val="left"/>
      <w:pPr>
        <w:tabs>
          <w:tab w:val="num" w:pos="4320"/>
        </w:tabs>
        <w:ind w:left="4320" w:hanging="360"/>
      </w:pPr>
      <w:rPr>
        <w:rFonts w:ascii="Wingdings" w:hAnsi="Wingdings" w:hint="default"/>
      </w:rPr>
    </w:lvl>
    <w:lvl w:ilvl="6" w:tplc="59EE8322" w:tentative="1">
      <w:start w:val="1"/>
      <w:numFmt w:val="bullet"/>
      <w:lvlText w:val=""/>
      <w:lvlJc w:val="left"/>
      <w:pPr>
        <w:tabs>
          <w:tab w:val="num" w:pos="5040"/>
        </w:tabs>
        <w:ind w:left="5040" w:hanging="360"/>
      </w:pPr>
      <w:rPr>
        <w:rFonts w:ascii="Symbol" w:hAnsi="Symbol" w:hint="default"/>
      </w:rPr>
    </w:lvl>
    <w:lvl w:ilvl="7" w:tplc="52D41B08" w:tentative="1">
      <w:start w:val="1"/>
      <w:numFmt w:val="bullet"/>
      <w:lvlText w:val="o"/>
      <w:lvlJc w:val="left"/>
      <w:pPr>
        <w:tabs>
          <w:tab w:val="num" w:pos="5760"/>
        </w:tabs>
        <w:ind w:left="5760" w:hanging="360"/>
      </w:pPr>
      <w:rPr>
        <w:rFonts w:ascii="Courier New" w:hAnsi="Courier New" w:cs="Courier New" w:hint="default"/>
      </w:rPr>
    </w:lvl>
    <w:lvl w:ilvl="8" w:tplc="4ADC39B2"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0459B2"/>
    <w:multiLevelType w:val="hybridMultilevel"/>
    <w:tmpl w:val="75D4E64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317E6951"/>
    <w:multiLevelType w:val="hybridMultilevel"/>
    <w:tmpl w:val="10389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4E904E0"/>
    <w:multiLevelType w:val="hybridMultilevel"/>
    <w:tmpl w:val="B4FCD872"/>
    <w:lvl w:ilvl="0" w:tplc="21D66824">
      <w:start w:val="1"/>
      <w:numFmt w:val="lowerLetter"/>
      <w:lvlText w:val="(%1)"/>
      <w:lvlJc w:val="left"/>
      <w:pPr>
        <w:ind w:left="720" w:hanging="360"/>
      </w:pPr>
      <w:rPr>
        <w:rFonts w:hint="default"/>
        <w:i/>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7D703EF"/>
    <w:multiLevelType w:val="hybridMultilevel"/>
    <w:tmpl w:val="52B2F7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A2B0988"/>
    <w:multiLevelType w:val="hybridMultilevel"/>
    <w:tmpl w:val="90AA54FC"/>
    <w:lvl w:ilvl="0" w:tplc="FFFFFFF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4C430CE"/>
    <w:multiLevelType w:val="hybridMultilevel"/>
    <w:tmpl w:val="FC862758"/>
    <w:lvl w:ilvl="0" w:tplc="0C09000F">
      <w:start w:val="1"/>
      <w:numFmt w:val="decimal"/>
      <w:lvlText w:val="%1."/>
      <w:lvlJc w:val="left"/>
      <w:pPr>
        <w:tabs>
          <w:tab w:val="num" w:pos="360"/>
        </w:tabs>
        <w:ind w:left="360" w:hanging="360"/>
      </w:pPr>
      <w:rPr>
        <w:rFonts w:cs="Times New Roman"/>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16"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DAC5FFD"/>
    <w:multiLevelType w:val="hybridMultilevel"/>
    <w:tmpl w:val="36F4BAC2"/>
    <w:lvl w:ilvl="0" w:tplc="309414AC">
      <w:start w:val="1"/>
      <w:numFmt w:val="decimal"/>
      <w:pStyle w:val="Lists"/>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8" w15:restartNumberingAfterBreak="0">
    <w:nsid w:val="784D033C"/>
    <w:multiLevelType w:val="multilevel"/>
    <w:tmpl w:val="525C2952"/>
    <w:lvl w:ilvl="0">
      <w:start w:val="1"/>
      <w:numFmt w:val="decimal"/>
      <w:pStyle w:val="2Sections"/>
      <w:lvlText w:val="%1"/>
      <w:lvlJc w:val="left"/>
      <w:pPr>
        <w:ind w:left="720" w:hanging="720"/>
      </w:pPr>
      <w:rPr>
        <w:rFonts w:hint="default"/>
        <w:b/>
        <w:i w:val="0"/>
      </w:rPr>
    </w:lvl>
    <w:lvl w:ilvl="1">
      <w:start w:val="1"/>
      <w:numFmt w:val="decimal"/>
      <w:pStyle w:val="3Bodytext"/>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8"/>
  </w:num>
  <w:num w:numId="2">
    <w:abstractNumId w:val="3"/>
  </w:num>
  <w:num w:numId="3">
    <w:abstractNumId w:val="6"/>
  </w:num>
  <w:num w:numId="4">
    <w:abstractNumId w:val="14"/>
  </w:num>
  <w:num w:numId="5">
    <w:abstractNumId w:val="18"/>
  </w:num>
  <w:num w:numId="6">
    <w:abstractNumId w:val="7"/>
  </w:num>
  <w:num w:numId="7">
    <w:abstractNumId w:val="13"/>
  </w:num>
  <w:num w:numId="8">
    <w:abstractNumId w:val="4"/>
  </w:num>
  <w:num w:numId="9">
    <w:abstractNumId w:val="12"/>
  </w:num>
  <w:num w:numId="10">
    <w:abstractNumId w:val="11"/>
  </w:num>
  <w:num w:numId="11">
    <w:abstractNumId w:val="10"/>
  </w:num>
  <w:num w:numId="12">
    <w:abstractNumId w:val="1"/>
  </w:num>
  <w:num w:numId="13">
    <w:abstractNumId w:val="0"/>
  </w:num>
  <w:num w:numId="14">
    <w:abstractNumId w:val="18"/>
  </w:num>
  <w:num w:numId="15">
    <w:abstractNumId w:val="18"/>
  </w:num>
  <w:num w:numId="16">
    <w:abstractNumId w:val="18"/>
  </w:num>
  <w:num w:numId="17">
    <w:abstractNumId w:val="17"/>
  </w:num>
  <w:num w:numId="18">
    <w:abstractNumId w:val="15"/>
  </w:num>
  <w:num w:numId="19">
    <w:abstractNumId w:val="16"/>
  </w:num>
  <w:num w:numId="20">
    <w:abstractNumId w:val="5"/>
  </w:num>
  <w:num w:numId="21">
    <w:abstractNumId w:val="2"/>
  </w:num>
  <w:num w:numId="22">
    <w:abstractNumId w:val="9"/>
  </w:num>
  <w:num w:numId="23">
    <w:abstractNumId w:val="1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30"/>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noPunctuationKerning/>
  <w:characterSpacingControl w:val="doNotCompress"/>
  <w:hdrShapeDefaults>
    <o:shapedefaults v:ext="edit" spidmax="1720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D62"/>
    <w:rsid w:val="00065EB8"/>
    <w:rsid w:val="00311D62"/>
    <w:rsid w:val="00D771CE"/>
    <w:rsid w:val="00F16A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2033"/>
    <o:shapelayout v:ext="edit">
      <o:idmap v:ext="edit" data="1"/>
    </o:shapelayout>
  </w:shapeDefaults>
  <w:decimalSymbol w:val="."/>
  <w:listSeparator w:val=","/>
  <w15:docId w15:val="{E6AC8298-E797-430F-B4EE-3D818A007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1"/>
    <w:lsdException w:name="heading 2" w:uiPriority="1" w:qFormat="1"/>
    <w:lsdException w:name="heading 3" w:semiHidden="1" w:unhideWhenUsed="1" w:qFormat="1"/>
    <w:lsdException w:name="heading 4"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ListParagraph"/>
    <w:next w:val="Normal"/>
    <w:link w:val="Heading1Char"/>
    <w:uiPriority w:val="1"/>
    <w:pPr>
      <w:ind w:left="0"/>
      <w:outlineLvl w:val="0"/>
    </w:pPr>
    <w:rPr>
      <w:b/>
      <w:szCs w:val="22"/>
    </w:rPr>
  </w:style>
  <w:style w:type="paragraph" w:styleId="Heading2">
    <w:name w:val="heading 2"/>
    <w:aliases w:val="Subsection Headings"/>
    <w:basedOn w:val="Normal"/>
    <w:next w:val="Normal"/>
    <w:link w:val="Heading2Char"/>
    <w:uiPriority w:val="1"/>
    <w:qFormat/>
    <w:pPr>
      <w:keepNext/>
      <w:outlineLvl w:val="1"/>
    </w:pPr>
    <w:rPr>
      <w:rFonts w:ascii="Arial" w:hAnsi="Arial"/>
      <w:b/>
      <w:i/>
      <w:sz w:val="22"/>
    </w:rPr>
  </w:style>
  <w:style w:type="paragraph" w:styleId="Heading3">
    <w:name w:val="heading 3"/>
    <w:basedOn w:val="Normal"/>
    <w:next w:val="Normal"/>
    <w:link w:val="Heading3Char"/>
    <w:semiHidden/>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pPr>
      <w:spacing w:before="240" w:after="60"/>
      <w:outlineLvl w:val="4"/>
    </w:pPr>
    <w:rPr>
      <w:b/>
      <w:bCs/>
      <w:i/>
      <w:iCs/>
      <w:sz w:val="26"/>
      <w:szCs w:val="26"/>
    </w:rPr>
  </w:style>
  <w:style w:type="paragraph" w:styleId="Heading6">
    <w:name w:val="heading 6"/>
    <w:basedOn w:val="Normal"/>
    <w:next w:val="Normal"/>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pPr>
      <w:jc w:val="both"/>
    </w:pPr>
    <w:rPr>
      <w:sz w:val="20"/>
      <w:szCs w:val="20"/>
      <w:lang w:eastAsia="en-US"/>
    </w:rPr>
  </w:style>
  <w:style w:type="character" w:customStyle="1" w:styleId="HeaderChar">
    <w:name w:val="Header Char"/>
    <w:aliases w:val="Page Header Char,Header title Char,he=header Char,cntr/bld Char"/>
    <w:link w:val="Header"/>
    <w:uiPriority w:val="99"/>
    <w:rPr>
      <w:sz w:val="24"/>
      <w:szCs w:val="24"/>
      <w:lang w:eastAsia="en-AU"/>
    </w:rPr>
  </w:style>
  <w:style w:type="paragraph" w:customStyle="1" w:styleId="MediumGrid21">
    <w:name w:val="Medium Grid 21"/>
    <w:link w:val="MediumGrid2Char"/>
    <w:rPr>
      <w:rFonts w:ascii="PMingLiU" w:eastAsia="MS Mincho" w:hAnsi="PMingLiU"/>
      <w:sz w:val="22"/>
      <w:szCs w:val="22"/>
      <w:lang w:val="en-US" w:eastAsia="en-US"/>
    </w:rPr>
  </w:style>
  <w:style w:type="character" w:customStyle="1" w:styleId="MediumGrid2Char">
    <w:name w:val="Medium Grid 2 Char"/>
    <w:link w:val="MediumGrid21"/>
    <w:rPr>
      <w:rFonts w:ascii="PMingLiU" w:eastAsia="MS Mincho" w:hAnsi="PMingLiU"/>
      <w:sz w:val="22"/>
      <w:szCs w:val="22"/>
      <w:lang w:val="en-US"/>
    </w:rPr>
  </w:style>
  <w:style w:type="table" w:customStyle="1" w:styleId="IntenseQuote1">
    <w:name w:val="Intense Quote1"/>
    <w:basedOn w:val="TableNormal"/>
    <w:uiPriority w:val="60"/>
    <w:qFormat/>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Pr>
      <w:sz w:val="24"/>
      <w:szCs w:val="24"/>
    </w:rPr>
  </w:style>
  <w:style w:type="paragraph" w:styleId="ListParagraph">
    <w:name w:val="List Paragraph"/>
    <w:aliases w:val="BulletPoints"/>
    <w:basedOn w:val="Normal"/>
    <w:link w:val="ListParagraphChar"/>
    <w:uiPriority w:val="34"/>
    <w:qFormat/>
    <w:pPr>
      <w:widowControl w:val="0"/>
      <w:ind w:left="720"/>
      <w:contextualSpacing/>
      <w:jc w:val="both"/>
    </w:pPr>
    <w:rPr>
      <w:rFonts w:ascii="Arial" w:hAnsi="Arial" w:cs="Arial"/>
      <w:snapToGrid w:val="0"/>
      <w:sz w:val="22"/>
      <w:szCs w:val="20"/>
      <w:lang w:eastAsia="en-US"/>
    </w:rPr>
  </w:style>
  <w:style w:type="character" w:styleId="CommentReference">
    <w:name w:val="annotation reference"/>
    <w:aliases w:val="Table Title"/>
    <w:basedOn w:val="DefaultParagraphFont"/>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b/>
      <w:bCs/>
    </w:rPr>
  </w:style>
  <w:style w:type="character" w:customStyle="1" w:styleId="Heading3Char">
    <w:name w:val="Heading 3 Char"/>
    <w:basedOn w:val="DefaultParagraphFont"/>
    <w:link w:val="Heading3"/>
    <w:semiHidden/>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style>
  <w:style w:type="paragraph" w:styleId="NoSpacing">
    <w:name w:val="No Spacing"/>
    <w:basedOn w:val="Normal"/>
    <w:link w:val="NoSpacingChar"/>
    <w:uiPriority w:val="1"/>
    <w:qFormat/>
    <w:pPr>
      <w:jc w:val="both"/>
    </w:pPr>
    <w:rPr>
      <w:rFonts w:ascii="Arial" w:hAnsi="Arial"/>
      <w:sz w:val="22"/>
      <w:szCs w:val="22"/>
    </w:rPr>
  </w:style>
  <w:style w:type="character" w:styleId="Hyperlink">
    <w:name w:val="Hyperlink"/>
    <w:uiPriority w:val="99"/>
    <w:rPr>
      <w:color w:val="0000FF"/>
      <w:u w:val="single"/>
    </w:rPr>
  </w:style>
  <w:style w:type="paragraph" w:styleId="Title">
    <w:name w:val="Title"/>
    <w:basedOn w:val="Normal"/>
    <w:next w:val="Normal"/>
    <w:link w:val="TitleChar"/>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pPr>
      <w:numPr>
        <w:numId w:val="12"/>
      </w:numPr>
      <w:contextualSpacing/>
    </w:pPr>
  </w:style>
  <w:style w:type="paragraph" w:styleId="ListContinue2">
    <w:name w:val="List Continue 2"/>
    <w:basedOn w:val="Normal"/>
    <w:pPr>
      <w:spacing w:after="120"/>
      <w:ind w:left="566"/>
      <w:contextualSpacing/>
    </w:pPr>
  </w:style>
  <w:style w:type="paragraph" w:styleId="ListNumber2">
    <w:name w:val="List Number 2"/>
    <w:basedOn w:val="Normal"/>
    <w:pPr>
      <w:tabs>
        <w:tab w:val="num" w:pos="643"/>
      </w:tabs>
      <w:ind w:left="643" w:hanging="360"/>
      <w:contextualSpacing/>
    </w:pPr>
  </w:style>
  <w:style w:type="character" w:customStyle="1" w:styleId="TitleChar">
    <w:name w:val="Title Char"/>
    <w:basedOn w:val="DefaultParagraphFont"/>
    <w:link w:val="Title"/>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
    <w:basedOn w:val="DefaultParagraphFont"/>
    <w:link w:val="ListParagraph"/>
    <w:uiPriority w:val="72"/>
    <w:rPr>
      <w:rFonts w:ascii="Arial" w:hAnsi="Arial" w:cs="Arial"/>
      <w:snapToGrid w:val="0"/>
      <w:sz w:val="22"/>
      <w:lang w:eastAsia="en-US"/>
    </w:rPr>
  </w:style>
  <w:style w:type="paragraph" w:customStyle="1" w:styleId="2Sections">
    <w:name w:val="2. Sections"/>
    <w:qFormat/>
    <w:pPr>
      <w:numPr>
        <w:numId w:val="14"/>
      </w:numPr>
      <w:spacing w:before="240" w:after="120"/>
      <w:outlineLvl w:val="0"/>
    </w:pPr>
    <w:rPr>
      <w:rFonts w:asciiTheme="minorHAnsi" w:hAnsiTheme="minorHAnsi" w:cs="Arial"/>
      <w:b/>
      <w:snapToGrid w:val="0"/>
      <w:sz w:val="32"/>
      <w:szCs w:val="32"/>
      <w:lang w:eastAsia="en-US"/>
    </w:rPr>
  </w:style>
  <w:style w:type="character" w:customStyle="1" w:styleId="Heading1Char">
    <w:name w:val="Heading 1 Char"/>
    <w:basedOn w:val="DefaultParagraphFont"/>
    <w:link w:val="Heading1"/>
    <w:uiPriority w:val="1"/>
    <w:rPr>
      <w:rFonts w:ascii="Arial" w:hAnsi="Arial" w:cs="Arial"/>
      <w:b/>
      <w:snapToGrid w:val="0"/>
      <w:sz w:val="22"/>
      <w:szCs w:val="22"/>
      <w:lang w:eastAsia="en-US"/>
    </w:rPr>
  </w:style>
  <w:style w:type="character" w:customStyle="1" w:styleId="Heading2Char">
    <w:name w:val="Heading 2 Char"/>
    <w:aliases w:val="Subsection Headings Char"/>
    <w:basedOn w:val="DefaultParagraphFont"/>
    <w:link w:val="Heading2"/>
    <w:uiPriority w:val="1"/>
    <w:rPr>
      <w:rFonts w:ascii="Arial" w:hAnsi="Arial"/>
      <w:b/>
      <w:i/>
      <w:sz w:val="22"/>
      <w:szCs w:val="24"/>
    </w:rPr>
  </w:style>
  <w:style w:type="paragraph" w:customStyle="1" w:styleId="1MainTitle">
    <w:name w:val="1. Main Title"/>
    <w:basedOn w:val="Title"/>
    <w:link w:val="1MainTitleChar"/>
    <w:qFormat/>
    <w:pPr>
      <w:spacing w:before="120" w:after="160"/>
      <w:ind w:left="720" w:hanging="720"/>
    </w:pPr>
    <w:rPr>
      <w:rFonts w:asciiTheme="minorHAnsi" w:hAnsiTheme="minorHAnsi"/>
      <w:sz w:val="36"/>
      <w:szCs w:val="36"/>
    </w:rPr>
  </w:style>
  <w:style w:type="paragraph" w:customStyle="1" w:styleId="MinorOVRHeader">
    <w:name w:val="Minor OVR Header"/>
    <w:basedOn w:val="Header"/>
    <w:link w:val="MinorOVRHeaderChar"/>
    <w:pPr>
      <w:jc w:val="right"/>
    </w:pPr>
    <w:rPr>
      <w:rFonts w:asciiTheme="minorHAnsi" w:hAnsiTheme="minorHAnsi" w:cs="Arial"/>
    </w:rPr>
  </w:style>
  <w:style w:type="character" w:customStyle="1" w:styleId="1MainTitleChar">
    <w:name w:val="1. Main Title Char"/>
    <w:basedOn w:val="TitleChar"/>
    <w:link w:val="1MainTitle"/>
    <w:rPr>
      <w:rFonts w:asciiTheme="minorHAnsi" w:eastAsiaTheme="majorEastAsia" w:hAnsiTheme="minorHAnsi" w:cstheme="majorBidi"/>
      <w:b/>
      <w:spacing w:val="5"/>
      <w:kern w:val="28"/>
      <w:sz w:val="36"/>
      <w:szCs w:val="36"/>
    </w:rPr>
  </w:style>
  <w:style w:type="paragraph" w:customStyle="1" w:styleId="Tabletitles">
    <w:name w:val="Table titles"/>
    <w:basedOn w:val="NoSpacing"/>
    <w:link w:val="TabletitlesChar"/>
    <w:qFormat/>
    <w:pPr>
      <w:spacing w:after="60"/>
    </w:pPr>
    <w:rPr>
      <w:rFonts w:ascii="Arial Narrow" w:hAnsi="Arial Narrow"/>
      <w:b/>
      <w:sz w:val="20"/>
    </w:rPr>
  </w:style>
  <w:style w:type="character" w:customStyle="1" w:styleId="MinorOVRHeaderChar">
    <w:name w:val="Minor OVR Header Char"/>
    <w:basedOn w:val="HeaderChar"/>
    <w:link w:val="MinorOVRHeader"/>
    <w:rPr>
      <w:rFonts w:asciiTheme="minorHAnsi" w:hAnsiTheme="minorHAnsi" w:cs="Arial"/>
      <w:sz w:val="24"/>
      <w:szCs w:val="24"/>
      <w:lang w:eastAsia="en-AU"/>
    </w:rPr>
  </w:style>
  <w:style w:type="character" w:customStyle="1" w:styleId="NoSpacingChar">
    <w:name w:val="No Spacing Char"/>
    <w:basedOn w:val="DefaultParagraphFont"/>
    <w:link w:val="NoSpacing"/>
    <w:uiPriority w:val="99"/>
    <w:rPr>
      <w:rFonts w:ascii="Arial" w:hAnsi="Arial"/>
      <w:sz w:val="22"/>
      <w:szCs w:val="22"/>
    </w:rPr>
  </w:style>
  <w:style w:type="character" w:customStyle="1" w:styleId="TabletitlesChar">
    <w:name w:val="Table titles Char"/>
    <w:basedOn w:val="NoSpacingChar"/>
    <w:link w:val="Tabletitles"/>
    <w:rPr>
      <w:rFonts w:ascii="Arial Narrow" w:hAnsi="Arial Narrow"/>
      <w:b/>
      <w:sz w:val="22"/>
      <w:szCs w:val="22"/>
    </w:rPr>
  </w:style>
  <w:style w:type="paragraph" w:customStyle="1" w:styleId="3Bodytext">
    <w:name w:val="3. Body text"/>
    <w:basedOn w:val="ListParagraph"/>
    <w:link w:val="3BodytextChar"/>
    <w:qFormat/>
    <w:pPr>
      <w:widowControl/>
      <w:numPr>
        <w:ilvl w:val="1"/>
        <w:numId w:val="14"/>
      </w:numPr>
      <w:spacing w:after="120"/>
      <w:contextualSpacing w:val="0"/>
    </w:pPr>
    <w:rPr>
      <w:rFonts w:asciiTheme="minorHAnsi" w:eastAsiaTheme="minorHAnsi" w:hAnsiTheme="minorHAnsi" w:cstheme="minorBidi"/>
      <w:snapToGrid/>
      <w:sz w:val="24"/>
      <w:szCs w:val="22"/>
    </w:rPr>
  </w:style>
  <w:style w:type="paragraph" w:customStyle="1" w:styleId="PBACFooter">
    <w:name w:val="PBAC Footer"/>
    <w:basedOn w:val="Footer"/>
    <w:link w:val="PBACFooterChar"/>
    <w:qFormat/>
    <w:pPr>
      <w:jc w:val="center"/>
    </w:pPr>
    <w:rPr>
      <w:rFonts w:ascii="Arial" w:hAnsi="Arial" w:cs="Arial"/>
      <w:b/>
      <w:sz w:val="20"/>
      <w:szCs w:val="20"/>
    </w:rPr>
  </w:style>
  <w:style w:type="character" w:customStyle="1" w:styleId="3BodytextChar">
    <w:name w:val="3. Body text Char"/>
    <w:basedOn w:val="ListParagraphChar"/>
    <w:link w:val="3Bodytext"/>
    <w:rPr>
      <w:rFonts w:asciiTheme="minorHAnsi" w:eastAsiaTheme="minorHAnsi" w:hAnsiTheme="minorHAnsi" w:cstheme="minorBidi"/>
      <w:snapToGrid/>
      <w:sz w:val="24"/>
      <w:szCs w:val="22"/>
      <w:lang w:eastAsia="en-US"/>
    </w:rPr>
  </w:style>
  <w:style w:type="character" w:customStyle="1" w:styleId="PBACFooterChar">
    <w:name w:val="PBAC Footer Char"/>
    <w:basedOn w:val="FooterChar"/>
    <w:link w:val="PBACFooter"/>
    <w:rPr>
      <w:rFonts w:ascii="Arial" w:hAnsi="Arial" w:cs="Arial"/>
      <w:b/>
      <w:sz w:val="24"/>
      <w:szCs w:val="24"/>
    </w:rPr>
  </w:style>
  <w:style w:type="paragraph" w:customStyle="1" w:styleId="PBACHeading1">
    <w:name w:val="PBAC Heading 1"/>
    <w:qFormat/>
    <w:pPr>
      <w:ind w:left="720" w:hanging="720"/>
      <w:outlineLvl w:val="0"/>
    </w:pPr>
    <w:rPr>
      <w:rFonts w:ascii="Arial" w:hAnsi="Arial" w:cs="Arial"/>
      <w:b/>
      <w:snapToGrid w:val="0"/>
      <w:sz w:val="22"/>
      <w:szCs w:val="22"/>
      <w:lang w:eastAsia="en-US"/>
    </w:rPr>
  </w:style>
  <w:style w:type="paragraph" w:customStyle="1" w:styleId="TableText0">
    <w:name w:val="Table Text"/>
    <w:basedOn w:val="NoSpacing"/>
    <w:link w:val="TableTextChar"/>
    <w:qFormat/>
    <w:rPr>
      <w:rFonts w:ascii="Arial Narrow" w:hAnsi="Arial Narrow"/>
      <w:sz w:val="20"/>
    </w:rPr>
  </w:style>
  <w:style w:type="paragraph" w:customStyle="1" w:styleId="Lists">
    <w:name w:val="Lists"/>
    <w:basedOn w:val="3Bodytext"/>
    <w:link w:val="ListsChar"/>
    <w:qFormat/>
    <w:pPr>
      <w:numPr>
        <w:ilvl w:val="0"/>
        <w:numId w:val="17"/>
      </w:numPr>
    </w:pPr>
  </w:style>
  <w:style w:type="character" w:customStyle="1" w:styleId="TableTextChar">
    <w:name w:val="Table Text Char"/>
    <w:basedOn w:val="NoSpacingChar"/>
    <w:link w:val="TableText0"/>
    <w:rPr>
      <w:rFonts w:ascii="Arial Narrow" w:hAnsi="Arial Narrow"/>
      <w:sz w:val="22"/>
      <w:szCs w:val="22"/>
    </w:rPr>
  </w:style>
  <w:style w:type="character" w:styleId="FollowedHyperlink">
    <w:name w:val="FollowedHyperlink"/>
    <w:basedOn w:val="DefaultParagraphFont"/>
    <w:semiHidden/>
    <w:unhideWhenUsed/>
    <w:rPr>
      <w:color w:val="800080" w:themeColor="followedHyperlink"/>
      <w:u w:val="single"/>
    </w:rPr>
  </w:style>
  <w:style w:type="character" w:customStyle="1" w:styleId="ListsChar">
    <w:name w:val="Lists Char"/>
    <w:basedOn w:val="3BodytextChar"/>
    <w:link w:val="Lists"/>
    <w:rPr>
      <w:rFonts w:asciiTheme="minorHAnsi" w:eastAsiaTheme="minorHAnsi" w:hAnsiTheme="minorHAnsi" w:cstheme="minorBidi"/>
      <w:snapToGrid/>
      <w:sz w:val="24"/>
      <w:szCs w:val="22"/>
      <w:lang w:eastAsia="en-US"/>
    </w:rPr>
  </w:style>
  <w:style w:type="paragraph" w:styleId="FootnoteText">
    <w:name w:val="footnote text"/>
    <w:basedOn w:val="Normal"/>
    <w:link w:val="FootnoteTextChar"/>
    <w:semiHidden/>
    <w:unhideWhenUsed/>
    <w:rPr>
      <w:sz w:val="20"/>
      <w:szCs w:val="20"/>
    </w:rPr>
  </w:style>
  <w:style w:type="character" w:customStyle="1" w:styleId="FootnoteTextChar">
    <w:name w:val="Footnote Text Char"/>
    <w:basedOn w:val="DefaultParagraphFont"/>
    <w:link w:val="FootnoteText"/>
    <w:semiHidden/>
  </w:style>
  <w:style w:type="character" w:styleId="FootnoteReference">
    <w:name w:val="footnote reference"/>
    <w:basedOn w:val="DefaultParagraphFont"/>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47954">
      <w:bodyDiv w:val="1"/>
      <w:marLeft w:val="0"/>
      <w:marRight w:val="0"/>
      <w:marTop w:val="0"/>
      <w:marBottom w:val="0"/>
      <w:divBdr>
        <w:top w:val="none" w:sz="0" w:space="0" w:color="auto"/>
        <w:left w:val="none" w:sz="0" w:space="0" w:color="auto"/>
        <w:bottom w:val="none" w:sz="0" w:space="0" w:color="auto"/>
        <w:right w:val="none" w:sz="0" w:space="0" w:color="auto"/>
      </w:divBdr>
    </w:div>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6C1212-ED73-4554-9536-1B024BF0E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1052</Words>
  <Characters>6194</Characters>
  <Application>Microsoft Office Word</Application>
  <DocSecurity>2</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KRSTIK, Dejan</dc:creator>
  <cp:lastModifiedBy>Author</cp:lastModifiedBy>
  <cp:revision>5</cp:revision>
  <cp:lastPrinted>2019-10-20T21:57:00Z</cp:lastPrinted>
  <dcterms:created xsi:type="dcterms:W3CDTF">2019-08-01T07:42:00Z</dcterms:created>
  <dcterms:modified xsi:type="dcterms:W3CDTF">2019-10-20T21:57:00Z</dcterms:modified>
</cp:coreProperties>
</file>