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21" w:rsidRDefault="003962FF">
      <w:pPr>
        <w:pStyle w:val="1MainTitle"/>
      </w:pPr>
      <w:bookmarkStart w:id="0" w:name="_GoBack"/>
      <w:bookmarkEnd w:id="0"/>
      <w:r>
        <w:t>5.18</w:t>
      </w:r>
      <w:r>
        <w:tab/>
        <w:t>GLYCOMACROPEPTIDE AND ESSENTIAL AMINO ACIDS WITH VITAMINS AND MINERALS</w:t>
      </w:r>
      <w:r>
        <w:br/>
        <w:t>Sachets containing oral powder 35 g, 30</w:t>
      </w:r>
      <w:r>
        <w:br/>
        <w:t>TYR Sphere 20®, Vitaflo Australia Pty Limited.</w:t>
      </w:r>
    </w:p>
    <w:p w:rsidR="00654B21" w:rsidRDefault="003962FF">
      <w:pPr>
        <w:pStyle w:val="2Sections"/>
      </w:pPr>
      <w:r>
        <w:t xml:space="preserve">Purpose of Application </w:t>
      </w:r>
    </w:p>
    <w:p w:rsidR="00654B21" w:rsidRDefault="003962FF">
      <w:pPr>
        <w:pStyle w:val="3Bodytext"/>
        <w:rPr>
          <w:szCs w:val="24"/>
        </w:rPr>
      </w:pPr>
      <w:r>
        <w:t>The minor submission sought listing of a new glycomacropeptide (GMP) formula for the dietary management of tyrosinaemia.</w:t>
      </w:r>
    </w:p>
    <w:p w:rsidR="00654B21" w:rsidRDefault="003962FF">
      <w:pPr>
        <w:pStyle w:val="2Sections"/>
      </w:pPr>
      <w:r>
        <w:t>Requested listing</w:t>
      </w:r>
    </w:p>
    <w:p w:rsidR="00654B21" w:rsidRDefault="003962FF">
      <w:pPr>
        <w:pStyle w:val="3Bodytext"/>
      </w:pPr>
      <w:r>
        <w:t xml:space="preserve">The submission requested a new Restricted Benefit listing of TYR Sphere 20 aligned with existing listings for nutritional products currently listed for tyrosinaemia. </w:t>
      </w:r>
    </w:p>
    <w:tbl>
      <w:tblPr>
        <w:tblW w:w="5131" w:type="pct"/>
        <w:tblLook w:val="0000" w:firstRow="0" w:lastRow="0" w:firstColumn="0" w:lastColumn="0" w:noHBand="0" w:noVBand="0"/>
      </w:tblPr>
      <w:tblGrid>
        <w:gridCol w:w="2835"/>
        <w:gridCol w:w="474"/>
        <w:gridCol w:w="713"/>
        <w:gridCol w:w="637"/>
        <w:gridCol w:w="1571"/>
        <w:gridCol w:w="1141"/>
        <w:gridCol w:w="1843"/>
        <w:gridCol w:w="48"/>
      </w:tblGrid>
      <w:tr w:rsidR="00654B21">
        <w:trPr>
          <w:cantSplit/>
          <w:trHeight w:val="491"/>
        </w:trPr>
        <w:tc>
          <w:tcPr>
            <w:tcW w:w="1786" w:type="pct"/>
            <w:gridSpan w:val="2"/>
            <w:tcBorders>
              <w:bottom w:val="single" w:sz="4" w:space="0" w:color="auto"/>
            </w:tcBorders>
          </w:tcPr>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Name, Restriction,</w:t>
            </w:r>
          </w:p>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Manner of administration and form</w:t>
            </w:r>
          </w:p>
        </w:tc>
        <w:tc>
          <w:tcPr>
            <w:tcW w:w="385" w:type="pct"/>
            <w:tcBorders>
              <w:bottom w:val="single" w:sz="4" w:space="0" w:color="auto"/>
            </w:tcBorders>
          </w:tcPr>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Max.</w:t>
            </w:r>
          </w:p>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Qty</w:t>
            </w:r>
          </w:p>
        </w:tc>
        <w:tc>
          <w:tcPr>
            <w:tcW w:w="344" w:type="pct"/>
            <w:tcBorders>
              <w:bottom w:val="single" w:sz="4" w:space="0" w:color="auto"/>
            </w:tcBorders>
          </w:tcPr>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№.of</w:t>
            </w:r>
          </w:p>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Rpts</w:t>
            </w:r>
          </w:p>
        </w:tc>
        <w:tc>
          <w:tcPr>
            <w:tcW w:w="848" w:type="pct"/>
            <w:tcBorders>
              <w:bottom w:val="single" w:sz="4" w:space="0" w:color="auto"/>
            </w:tcBorders>
          </w:tcPr>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Dispensed Price for Max. Qty</w:t>
            </w:r>
          </w:p>
        </w:tc>
        <w:tc>
          <w:tcPr>
            <w:tcW w:w="1637" w:type="pct"/>
            <w:gridSpan w:val="3"/>
            <w:tcBorders>
              <w:bottom w:val="single" w:sz="4" w:space="0" w:color="auto"/>
            </w:tcBorders>
          </w:tcPr>
          <w:p w:rsidR="00654B21" w:rsidRDefault="003962FF">
            <w:pPr>
              <w:keepNext/>
              <w:spacing w:before="40" w:after="40"/>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654B21">
        <w:trPr>
          <w:cantSplit/>
          <w:trHeight w:val="599"/>
        </w:trPr>
        <w:tc>
          <w:tcPr>
            <w:tcW w:w="1786" w:type="pct"/>
            <w:gridSpan w:val="2"/>
          </w:tcPr>
          <w:p w:rsidR="00654B21" w:rsidRDefault="003962FF">
            <w:pPr>
              <w:keepNext/>
              <w:spacing w:before="40" w:after="40"/>
              <w:rPr>
                <w:rFonts w:ascii="Arial Narrow" w:hAnsi="Arial Narrow" w:cs="Arial"/>
                <w:smallCaps/>
                <w:sz w:val="20"/>
                <w:szCs w:val="20"/>
              </w:rPr>
            </w:pPr>
            <w:r>
              <w:rPr>
                <w:rFonts w:ascii="Arial Narrow" w:hAnsi="Arial Narrow" w:cs="Arial"/>
                <w:smallCaps/>
                <w:sz w:val="20"/>
                <w:szCs w:val="20"/>
              </w:rPr>
              <w:t xml:space="preserve">GLYCOMACROPEPTIDE and ESSENTIAL AMINO ACIDS with VITAMINS AND MINERALS </w:t>
            </w:r>
          </w:p>
          <w:p w:rsidR="00654B21" w:rsidRDefault="00654B21">
            <w:pPr>
              <w:keepNext/>
              <w:spacing w:before="40" w:after="40"/>
              <w:jc w:val="both"/>
              <w:rPr>
                <w:rFonts w:ascii="Arial Narrow" w:hAnsi="Arial Narrow" w:cs="Arial"/>
                <w:smallCaps/>
                <w:sz w:val="20"/>
                <w:szCs w:val="20"/>
              </w:rPr>
            </w:pPr>
          </w:p>
          <w:p w:rsidR="00654B21" w:rsidRDefault="003962FF">
            <w:pPr>
              <w:keepNext/>
              <w:spacing w:before="40" w:after="40"/>
              <w:rPr>
                <w:rFonts w:ascii="Arial Narrow" w:hAnsi="Arial Narrow" w:cs="Arial"/>
                <w:sz w:val="20"/>
                <w:szCs w:val="20"/>
              </w:rPr>
            </w:pPr>
            <w:r>
              <w:rPr>
                <w:rFonts w:ascii="Arial Narrow" w:hAnsi="Arial Narrow" w:cs="Arial"/>
                <w:sz w:val="20"/>
                <w:szCs w:val="20"/>
              </w:rPr>
              <w:t>Sachets containing oral powder 35 g, 30</w:t>
            </w:r>
          </w:p>
        </w:tc>
        <w:tc>
          <w:tcPr>
            <w:tcW w:w="385" w:type="pct"/>
          </w:tcPr>
          <w:p w:rsidR="00654B21" w:rsidRDefault="00654B21">
            <w:pPr>
              <w:keepNext/>
              <w:spacing w:before="40" w:after="40"/>
              <w:jc w:val="both"/>
              <w:rPr>
                <w:rFonts w:ascii="Arial Narrow" w:hAnsi="Arial Narrow" w:cs="Arial"/>
                <w:sz w:val="20"/>
                <w:szCs w:val="20"/>
              </w:rPr>
            </w:pPr>
          </w:p>
          <w:p w:rsidR="00654B21" w:rsidRDefault="00654B21">
            <w:pPr>
              <w:keepNext/>
              <w:spacing w:before="40" w:after="40"/>
              <w:jc w:val="both"/>
              <w:rPr>
                <w:rFonts w:ascii="Arial Narrow" w:hAnsi="Arial Narrow" w:cs="Arial"/>
                <w:sz w:val="20"/>
                <w:szCs w:val="20"/>
              </w:rPr>
            </w:pPr>
          </w:p>
          <w:p w:rsidR="00654B21" w:rsidRDefault="00654B21">
            <w:pPr>
              <w:keepNext/>
              <w:spacing w:before="40" w:after="240"/>
              <w:jc w:val="both"/>
              <w:rPr>
                <w:rFonts w:ascii="Arial Narrow" w:hAnsi="Arial Narrow" w:cs="Arial"/>
                <w:sz w:val="20"/>
                <w:szCs w:val="20"/>
              </w:rPr>
            </w:pPr>
          </w:p>
          <w:p w:rsidR="00654B21" w:rsidRDefault="003962FF">
            <w:pPr>
              <w:keepNext/>
              <w:spacing w:before="40" w:after="40"/>
              <w:jc w:val="both"/>
              <w:rPr>
                <w:rFonts w:ascii="Arial Narrow" w:hAnsi="Arial Narrow" w:cs="Arial"/>
                <w:sz w:val="20"/>
                <w:szCs w:val="20"/>
              </w:rPr>
            </w:pPr>
            <w:r>
              <w:rPr>
                <w:rFonts w:ascii="Arial Narrow" w:hAnsi="Arial Narrow" w:cs="Arial"/>
                <w:sz w:val="20"/>
                <w:szCs w:val="20"/>
              </w:rPr>
              <w:t>4</w:t>
            </w:r>
          </w:p>
        </w:tc>
        <w:tc>
          <w:tcPr>
            <w:tcW w:w="344" w:type="pct"/>
          </w:tcPr>
          <w:p w:rsidR="00654B21" w:rsidRDefault="00654B21">
            <w:pPr>
              <w:keepNext/>
              <w:spacing w:before="40" w:after="40"/>
              <w:jc w:val="both"/>
              <w:rPr>
                <w:rFonts w:ascii="Arial Narrow" w:hAnsi="Arial Narrow" w:cs="Arial"/>
                <w:sz w:val="20"/>
                <w:szCs w:val="20"/>
              </w:rPr>
            </w:pPr>
          </w:p>
          <w:p w:rsidR="00654B21" w:rsidRDefault="00654B21">
            <w:pPr>
              <w:keepNext/>
              <w:spacing w:before="40" w:after="240"/>
              <w:jc w:val="both"/>
              <w:rPr>
                <w:rFonts w:ascii="Arial Narrow" w:hAnsi="Arial Narrow" w:cs="Arial"/>
                <w:sz w:val="20"/>
                <w:szCs w:val="20"/>
              </w:rPr>
            </w:pPr>
          </w:p>
          <w:p w:rsidR="00654B21" w:rsidRDefault="00654B21">
            <w:pPr>
              <w:keepNext/>
              <w:spacing w:before="40" w:after="40"/>
              <w:jc w:val="both"/>
              <w:rPr>
                <w:rFonts w:ascii="Arial Narrow" w:hAnsi="Arial Narrow" w:cs="Arial"/>
                <w:sz w:val="20"/>
                <w:szCs w:val="20"/>
              </w:rPr>
            </w:pPr>
          </w:p>
          <w:p w:rsidR="00654B21" w:rsidRDefault="003962FF">
            <w:pPr>
              <w:keepNext/>
              <w:spacing w:before="40" w:after="40"/>
              <w:jc w:val="both"/>
              <w:rPr>
                <w:rFonts w:ascii="Arial Narrow" w:hAnsi="Arial Narrow" w:cs="Arial"/>
                <w:sz w:val="20"/>
                <w:szCs w:val="20"/>
              </w:rPr>
            </w:pPr>
            <w:r>
              <w:rPr>
                <w:rFonts w:ascii="Arial Narrow" w:hAnsi="Arial Narrow" w:cs="Arial"/>
                <w:sz w:val="20"/>
                <w:szCs w:val="20"/>
              </w:rPr>
              <w:t>5</w:t>
            </w:r>
          </w:p>
        </w:tc>
        <w:tc>
          <w:tcPr>
            <w:tcW w:w="848" w:type="pct"/>
          </w:tcPr>
          <w:p w:rsidR="00654B21" w:rsidRDefault="00654B21">
            <w:pPr>
              <w:keepNext/>
              <w:spacing w:before="40" w:after="40"/>
              <w:jc w:val="both"/>
              <w:rPr>
                <w:rFonts w:ascii="Arial Narrow" w:hAnsi="Arial Narrow" w:cs="Arial"/>
                <w:sz w:val="20"/>
                <w:szCs w:val="20"/>
              </w:rPr>
            </w:pPr>
          </w:p>
          <w:p w:rsidR="00654B21" w:rsidRDefault="00654B21">
            <w:pPr>
              <w:keepNext/>
              <w:spacing w:before="40" w:after="240"/>
              <w:jc w:val="both"/>
              <w:rPr>
                <w:rFonts w:ascii="Arial Narrow" w:hAnsi="Arial Narrow" w:cs="Arial"/>
                <w:sz w:val="20"/>
                <w:szCs w:val="20"/>
              </w:rPr>
            </w:pPr>
          </w:p>
          <w:p w:rsidR="00654B21" w:rsidRDefault="00654B21">
            <w:pPr>
              <w:keepNext/>
              <w:spacing w:before="40" w:after="40"/>
              <w:jc w:val="both"/>
              <w:rPr>
                <w:rFonts w:ascii="Arial Narrow" w:hAnsi="Arial Narrow" w:cs="Arial"/>
                <w:sz w:val="20"/>
                <w:szCs w:val="20"/>
              </w:rPr>
            </w:pPr>
          </w:p>
          <w:p w:rsidR="00654B21" w:rsidRPr="00811CEC" w:rsidRDefault="00811CEC">
            <w:pPr>
              <w:keepNext/>
              <w:spacing w:before="40" w:after="40"/>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16" w:type="pct"/>
          </w:tcPr>
          <w:p w:rsidR="00654B21" w:rsidRDefault="00654B21">
            <w:pPr>
              <w:keepNext/>
              <w:spacing w:before="40" w:after="40"/>
              <w:jc w:val="both"/>
              <w:rPr>
                <w:rFonts w:ascii="Arial Narrow" w:hAnsi="Arial Narrow" w:cs="Arial"/>
                <w:sz w:val="20"/>
                <w:szCs w:val="20"/>
              </w:rPr>
            </w:pPr>
          </w:p>
          <w:p w:rsidR="00654B21" w:rsidRDefault="00654B21">
            <w:pPr>
              <w:keepNext/>
              <w:spacing w:before="40" w:after="40"/>
              <w:jc w:val="both"/>
              <w:rPr>
                <w:rFonts w:ascii="Arial Narrow" w:hAnsi="Arial Narrow" w:cs="Arial"/>
                <w:sz w:val="20"/>
                <w:szCs w:val="20"/>
              </w:rPr>
            </w:pPr>
          </w:p>
          <w:p w:rsidR="00654B21" w:rsidRDefault="00654B21">
            <w:pPr>
              <w:keepNext/>
              <w:spacing w:before="40" w:after="40"/>
              <w:jc w:val="both"/>
              <w:rPr>
                <w:rFonts w:ascii="Arial Narrow" w:hAnsi="Arial Narrow" w:cs="Arial"/>
                <w:sz w:val="20"/>
                <w:szCs w:val="20"/>
              </w:rPr>
            </w:pPr>
          </w:p>
          <w:p w:rsidR="00654B21" w:rsidRDefault="003962FF">
            <w:pPr>
              <w:keepNext/>
              <w:spacing w:before="40" w:after="40"/>
              <w:jc w:val="both"/>
              <w:rPr>
                <w:rFonts w:ascii="Arial Narrow" w:hAnsi="Arial Narrow" w:cs="Arial"/>
                <w:sz w:val="20"/>
                <w:szCs w:val="20"/>
                <w:vertAlign w:val="superscript"/>
              </w:rPr>
            </w:pPr>
            <w:r>
              <w:rPr>
                <w:rFonts w:ascii="Arial Narrow" w:hAnsi="Arial Narrow" w:cs="Arial"/>
                <w:sz w:val="20"/>
                <w:szCs w:val="20"/>
              </w:rPr>
              <w:t>TYR Sphere 20</w:t>
            </w:r>
            <w:r>
              <w:rPr>
                <w:rFonts w:ascii="Arial Narrow" w:hAnsi="Arial Narrow" w:cs="Arial"/>
                <w:sz w:val="20"/>
                <w:szCs w:val="20"/>
                <w:vertAlign w:val="superscript"/>
              </w:rPr>
              <w:t>®</w:t>
            </w:r>
          </w:p>
        </w:tc>
        <w:tc>
          <w:tcPr>
            <w:tcW w:w="1021" w:type="pct"/>
            <w:gridSpan w:val="2"/>
          </w:tcPr>
          <w:p w:rsidR="00654B21" w:rsidRDefault="00654B21">
            <w:pPr>
              <w:keepNext/>
              <w:spacing w:before="40" w:after="40"/>
              <w:jc w:val="both"/>
              <w:rPr>
                <w:rFonts w:ascii="Arial Narrow" w:hAnsi="Arial Narrow" w:cs="Arial"/>
                <w:sz w:val="20"/>
                <w:szCs w:val="20"/>
              </w:rPr>
            </w:pPr>
          </w:p>
          <w:p w:rsidR="00654B21" w:rsidRDefault="00654B21">
            <w:pPr>
              <w:keepNext/>
              <w:spacing w:before="40" w:after="40"/>
              <w:jc w:val="both"/>
              <w:rPr>
                <w:rFonts w:ascii="Arial Narrow" w:hAnsi="Arial Narrow" w:cs="Arial"/>
                <w:sz w:val="20"/>
                <w:szCs w:val="20"/>
              </w:rPr>
            </w:pPr>
          </w:p>
          <w:p w:rsidR="00654B21" w:rsidRDefault="00654B21">
            <w:pPr>
              <w:keepNext/>
              <w:spacing w:before="40" w:after="240"/>
              <w:jc w:val="both"/>
              <w:rPr>
                <w:rFonts w:ascii="Arial Narrow" w:hAnsi="Arial Narrow" w:cs="Arial"/>
                <w:sz w:val="20"/>
                <w:szCs w:val="20"/>
              </w:rPr>
            </w:pPr>
          </w:p>
          <w:p w:rsidR="00654B21" w:rsidRDefault="003962FF">
            <w:pPr>
              <w:keepNext/>
              <w:spacing w:before="40" w:after="40"/>
              <w:jc w:val="both"/>
              <w:rPr>
                <w:rFonts w:ascii="Arial Narrow" w:hAnsi="Arial Narrow" w:cs="Arial"/>
                <w:sz w:val="20"/>
                <w:szCs w:val="20"/>
              </w:rPr>
            </w:pPr>
            <w:r>
              <w:rPr>
                <w:rFonts w:ascii="Arial Narrow" w:hAnsi="Arial Narrow" w:cs="Arial"/>
                <w:sz w:val="20"/>
                <w:szCs w:val="20"/>
              </w:rPr>
              <w:t>Vitaflo Australia Pty Ltd</w:t>
            </w:r>
          </w:p>
        </w:tc>
      </w:tr>
      <w:tr w:rsidR="00654B21">
        <w:trPr>
          <w:cantSplit/>
          <w:trHeight w:val="381"/>
        </w:trPr>
        <w:tc>
          <w:tcPr>
            <w:tcW w:w="5000" w:type="pct"/>
            <w:gridSpan w:val="8"/>
            <w:tcBorders>
              <w:bottom w:val="single" w:sz="4" w:space="0" w:color="auto"/>
            </w:tcBorders>
          </w:tcPr>
          <w:p w:rsidR="00654B21" w:rsidRDefault="00654B21">
            <w:pPr>
              <w:spacing w:before="40" w:after="40"/>
              <w:jc w:val="both"/>
              <w:rPr>
                <w:rFonts w:ascii="Arial Narrow" w:hAnsi="Arial Narrow" w:cs="Arial"/>
                <w:sz w:val="20"/>
                <w:szCs w:val="20"/>
              </w:rPr>
            </w:pPr>
          </w:p>
          <w:p w:rsidR="00654B21" w:rsidRDefault="00654B21">
            <w:pPr>
              <w:spacing w:before="40" w:after="40"/>
              <w:jc w:val="both"/>
              <w:rPr>
                <w:rFonts w:ascii="Arial Narrow" w:hAnsi="Arial Narrow" w:cs="Arial"/>
                <w:sz w:val="20"/>
                <w:szCs w:val="20"/>
              </w:rPr>
            </w:pPr>
          </w:p>
        </w:tc>
      </w:tr>
      <w:tr w:rsidR="00654B21">
        <w:trPr>
          <w:gridAfter w:val="1"/>
          <w:wAfter w:w="26" w:type="pct"/>
          <w:cantSplit/>
          <w:trHeight w:val="369"/>
        </w:trPr>
        <w:tc>
          <w:tcPr>
            <w:tcW w:w="1530" w:type="pct"/>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b/>
                <w:sz w:val="20"/>
                <w:szCs w:val="20"/>
              </w:rPr>
            </w:pPr>
            <w:r>
              <w:rPr>
                <w:rFonts w:ascii="Arial Narrow" w:hAnsi="Arial Narrow" w:cs="Arial"/>
                <w:b/>
                <w:sz w:val="20"/>
                <w:szCs w:val="20"/>
              </w:rPr>
              <w:t>Category / Program:</w:t>
            </w:r>
          </w:p>
        </w:tc>
        <w:tc>
          <w:tcPr>
            <w:tcW w:w="3444" w:type="pct"/>
            <w:gridSpan w:val="6"/>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sz w:val="20"/>
                <w:szCs w:val="20"/>
              </w:rPr>
            </w:pPr>
            <w:r>
              <w:rPr>
                <w:rFonts w:ascii="Arial Narrow" w:hAnsi="Arial Narrow" w:cs="Arial"/>
                <w:sz w:val="20"/>
                <w:szCs w:val="20"/>
              </w:rPr>
              <w:t>Section 85 – General Schedule</w:t>
            </w:r>
          </w:p>
          <w:p w:rsidR="00654B21" w:rsidRDefault="00654B21">
            <w:pPr>
              <w:jc w:val="both"/>
              <w:rPr>
                <w:rFonts w:ascii="Arial Narrow" w:hAnsi="Arial Narrow" w:cs="Arial"/>
                <w:sz w:val="20"/>
                <w:szCs w:val="20"/>
              </w:rPr>
            </w:pPr>
          </w:p>
        </w:tc>
      </w:tr>
      <w:tr w:rsidR="00654B21">
        <w:trPr>
          <w:gridAfter w:val="1"/>
          <w:wAfter w:w="26" w:type="pct"/>
          <w:cantSplit/>
          <w:trHeight w:val="369"/>
        </w:trPr>
        <w:tc>
          <w:tcPr>
            <w:tcW w:w="1530" w:type="pct"/>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b/>
                <w:sz w:val="20"/>
                <w:szCs w:val="20"/>
              </w:rPr>
            </w:pPr>
            <w:r>
              <w:rPr>
                <w:rFonts w:ascii="Arial Narrow" w:hAnsi="Arial Narrow" w:cs="Arial"/>
                <w:b/>
                <w:sz w:val="20"/>
                <w:szCs w:val="20"/>
              </w:rPr>
              <w:t>Prescriber type:</w:t>
            </w:r>
          </w:p>
          <w:p w:rsidR="00654B21" w:rsidRDefault="00654B21">
            <w:pPr>
              <w:jc w:val="both"/>
              <w:rPr>
                <w:rFonts w:ascii="Arial Narrow" w:hAnsi="Arial Narrow" w:cs="Arial"/>
                <w:b/>
                <w:sz w:val="20"/>
                <w:szCs w:val="20"/>
              </w:rPr>
            </w:pPr>
          </w:p>
        </w:tc>
        <w:tc>
          <w:tcPr>
            <w:tcW w:w="3444" w:type="pct"/>
            <w:gridSpan w:val="6"/>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0D27C2">
              <w:rPr>
                <w:rFonts w:ascii="Arial Narrow" w:hAnsi="Arial Narrow" w:cs="Arial"/>
                <w:sz w:val="20"/>
                <w:szCs w:val="20"/>
              </w:rPr>
            </w:r>
            <w:r w:rsidR="000D27C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D27C2">
              <w:rPr>
                <w:rFonts w:ascii="Arial Narrow" w:hAnsi="Arial Narrow" w:cs="Arial"/>
                <w:sz w:val="20"/>
                <w:szCs w:val="20"/>
              </w:rPr>
            </w:r>
            <w:r w:rsidR="000D27C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0D27C2">
              <w:rPr>
                <w:rFonts w:ascii="Arial Narrow" w:hAnsi="Arial Narrow" w:cs="Arial"/>
                <w:sz w:val="20"/>
                <w:szCs w:val="20"/>
              </w:rPr>
            </w:r>
            <w:r w:rsidR="000D27C2">
              <w:rPr>
                <w:rFonts w:ascii="Arial Narrow" w:hAnsi="Arial Narrow" w:cs="Arial"/>
                <w:sz w:val="20"/>
                <w:szCs w:val="20"/>
              </w:rPr>
              <w:fldChar w:fldCharType="separate"/>
            </w:r>
            <w:r>
              <w:rPr>
                <w:rFonts w:ascii="Arial Narrow" w:hAnsi="Arial Narrow" w:cs="Arial"/>
                <w:sz w:val="20"/>
                <w:szCs w:val="20"/>
              </w:rPr>
              <w:fldChar w:fldCharType="end"/>
            </w:r>
            <w:bookmarkEnd w:id="1"/>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0D27C2">
              <w:rPr>
                <w:rFonts w:ascii="Arial Narrow" w:hAnsi="Arial Narrow" w:cs="Arial"/>
                <w:sz w:val="20"/>
                <w:szCs w:val="20"/>
              </w:rPr>
            </w:r>
            <w:r w:rsidR="000D27C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654B21" w:rsidRDefault="003962FF">
            <w:pPr>
              <w:jc w:val="both"/>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0D27C2">
              <w:rPr>
                <w:rFonts w:ascii="Arial Narrow" w:hAnsi="Arial Narrow" w:cs="Arial"/>
                <w:sz w:val="20"/>
                <w:szCs w:val="20"/>
              </w:rPr>
            </w:r>
            <w:r w:rsidR="000D27C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654B21">
        <w:trPr>
          <w:gridAfter w:val="1"/>
          <w:wAfter w:w="26" w:type="pct"/>
          <w:cantSplit/>
          <w:trHeight w:val="369"/>
        </w:trPr>
        <w:tc>
          <w:tcPr>
            <w:tcW w:w="1530" w:type="pct"/>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b/>
                <w:sz w:val="20"/>
                <w:szCs w:val="20"/>
              </w:rPr>
            </w:pPr>
            <w:r>
              <w:rPr>
                <w:rFonts w:ascii="Arial Narrow" w:hAnsi="Arial Narrow" w:cs="Arial"/>
                <w:b/>
                <w:sz w:val="20"/>
                <w:szCs w:val="20"/>
              </w:rPr>
              <w:t>PBS Indication:</w:t>
            </w:r>
          </w:p>
        </w:tc>
        <w:tc>
          <w:tcPr>
            <w:tcW w:w="3444" w:type="pct"/>
            <w:gridSpan w:val="6"/>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sz w:val="20"/>
                <w:szCs w:val="20"/>
              </w:rPr>
            </w:pPr>
            <w:r>
              <w:rPr>
                <w:rFonts w:ascii="Arial Narrow" w:hAnsi="Arial Narrow" w:cs="Arial"/>
                <w:sz w:val="20"/>
                <w:szCs w:val="20"/>
              </w:rPr>
              <w:t>Tyrosinaemia</w:t>
            </w:r>
          </w:p>
        </w:tc>
      </w:tr>
      <w:tr w:rsidR="00654B21">
        <w:trPr>
          <w:gridAfter w:val="1"/>
          <w:wAfter w:w="26" w:type="pct"/>
          <w:cantSplit/>
          <w:trHeight w:val="369"/>
        </w:trPr>
        <w:tc>
          <w:tcPr>
            <w:tcW w:w="1530" w:type="pct"/>
            <w:tcBorders>
              <w:top w:val="single" w:sz="4" w:space="0" w:color="auto"/>
              <w:left w:val="single" w:sz="4" w:space="0" w:color="auto"/>
              <w:bottom w:val="single" w:sz="4" w:space="0" w:color="auto"/>
              <w:right w:val="single" w:sz="4" w:space="0" w:color="auto"/>
            </w:tcBorders>
          </w:tcPr>
          <w:p w:rsidR="00654B21" w:rsidRDefault="003962FF">
            <w:pPr>
              <w:rPr>
                <w:rFonts w:ascii="Arial Narrow" w:hAnsi="Arial Narrow" w:cs="Arial"/>
                <w:b/>
                <w:sz w:val="20"/>
              </w:rPr>
            </w:pPr>
            <w:r>
              <w:rPr>
                <w:rFonts w:ascii="Arial Narrow" w:hAnsi="Arial Narrow" w:cs="Arial"/>
                <w:b/>
                <w:sz w:val="20"/>
              </w:rPr>
              <w:t>Restriction Level / Method:</w:t>
            </w:r>
          </w:p>
          <w:p w:rsidR="00654B21" w:rsidRDefault="00654B21">
            <w:pPr>
              <w:jc w:val="both"/>
              <w:rPr>
                <w:rFonts w:ascii="Arial Narrow" w:hAnsi="Arial Narrow" w:cs="Arial"/>
                <w:b/>
                <w:sz w:val="20"/>
                <w:szCs w:val="20"/>
              </w:rPr>
            </w:pPr>
          </w:p>
        </w:tc>
        <w:tc>
          <w:tcPr>
            <w:tcW w:w="3444" w:type="pct"/>
            <w:gridSpan w:val="6"/>
            <w:tcBorders>
              <w:top w:val="single" w:sz="4" w:space="0" w:color="auto"/>
              <w:left w:val="single" w:sz="4" w:space="0" w:color="auto"/>
              <w:bottom w:val="single" w:sz="4" w:space="0" w:color="auto"/>
              <w:right w:val="single" w:sz="4" w:space="0" w:color="auto"/>
            </w:tcBorders>
          </w:tcPr>
          <w:p w:rsidR="00654B21" w:rsidRDefault="003962FF">
            <w:pPr>
              <w:rPr>
                <w:rFonts w:ascii="Arial Narrow" w:hAnsi="Arial Narrow" w:cs="Arial"/>
                <w:sz w:val="20"/>
              </w:rPr>
            </w:pPr>
            <w:r>
              <w:rPr>
                <w:rFonts w:ascii="Arial Narrow" w:hAnsi="Arial Narrow" w:cs="Arial"/>
                <w:sz w:val="20"/>
              </w:rPr>
              <w:fldChar w:fldCharType="begin">
                <w:ffData>
                  <w:name w:val="Check1"/>
                  <w:enabled/>
                  <w:calcOnExit w:val="0"/>
                  <w:checkBox>
                    <w:sizeAuto/>
                    <w:default w:val="1"/>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Restricted benefit</w:t>
            </w:r>
          </w:p>
          <w:p w:rsidR="00654B21" w:rsidRDefault="003962FF">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In Writing</w:t>
            </w:r>
          </w:p>
          <w:p w:rsidR="00654B21" w:rsidRDefault="003962FF">
            <w:pPr>
              <w:rPr>
                <w:rFonts w:ascii="Arial Narrow" w:hAnsi="Arial Narrow" w:cs="Arial"/>
                <w:sz w:val="20"/>
              </w:rPr>
            </w:pP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Telephone</w:t>
            </w:r>
          </w:p>
          <w:p w:rsidR="00654B21" w:rsidRDefault="003962FF">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Emergency</w:t>
            </w:r>
          </w:p>
          <w:p w:rsidR="00654B21" w:rsidRDefault="003962FF">
            <w:pPr>
              <w:rPr>
                <w:rFonts w:ascii="Arial Narrow" w:hAnsi="Arial Narrow" w:cs="Arial"/>
                <w:sz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Electronic</w:t>
            </w:r>
          </w:p>
          <w:p w:rsidR="00654B21" w:rsidRDefault="003962FF">
            <w:pPr>
              <w:jc w:val="both"/>
              <w:rPr>
                <w:rFonts w:ascii="Arial Narrow" w:hAnsi="Arial Narrow" w:cs="Arial"/>
                <w:sz w:val="20"/>
                <w:szCs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Streamlined</w:t>
            </w:r>
          </w:p>
        </w:tc>
      </w:tr>
    </w:tbl>
    <w:p w:rsidR="00654B21" w:rsidRDefault="003962FF">
      <w:pPr>
        <w:pStyle w:val="2Sections"/>
      </w:pPr>
      <w:r>
        <w:t>Background</w:t>
      </w:r>
    </w:p>
    <w:p w:rsidR="00654B21" w:rsidRDefault="003962FF">
      <w:pPr>
        <w:pStyle w:val="3Bodytext"/>
      </w:pPr>
      <w:r>
        <w:t xml:space="preserve">The sponsor of TYR Sphere 20 (Vitaflo Australia Pty Ltd) confirmed the product meets the requirements for foods for medical purposes as set out under </w:t>
      </w:r>
      <w:r>
        <w:rPr>
          <w:i/>
        </w:rPr>
        <w:t>The Australia New Zealand Food Standards Code — Standard 2.9.5: Food for Special Medical Purposes</w:t>
      </w:r>
      <w:r>
        <w:t>.</w:t>
      </w:r>
    </w:p>
    <w:p w:rsidR="00730222" w:rsidRDefault="00730222">
      <w:pPr>
        <w:rPr>
          <w:rFonts w:asciiTheme="minorHAnsi" w:hAnsiTheme="minorHAnsi" w:cs="Arial"/>
          <w:b/>
          <w:snapToGrid w:val="0"/>
          <w:sz w:val="32"/>
          <w:szCs w:val="32"/>
          <w:lang w:eastAsia="en-US"/>
        </w:rPr>
      </w:pPr>
      <w:r>
        <w:rPr>
          <w:rFonts w:asciiTheme="minorHAnsi" w:hAnsiTheme="minorHAnsi"/>
          <w:sz w:val="32"/>
          <w:szCs w:val="32"/>
        </w:rPr>
        <w:br w:type="page"/>
      </w:r>
    </w:p>
    <w:p w:rsidR="00654B21" w:rsidRDefault="003962F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lastRenderedPageBreak/>
        <w:t>Consideration of the evidence</w:t>
      </w:r>
    </w:p>
    <w:p w:rsidR="00654B21" w:rsidRDefault="003962FF">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Sponsor hearing</w:t>
      </w:r>
    </w:p>
    <w:p w:rsidR="00654B21" w:rsidRDefault="003962FF">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There was no hearing for this item as it was a minor submission.</w:t>
      </w:r>
    </w:p>
    <w:p w:rsidR="00654B21" w:rsidRDefault="003962FF">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Consumer comments</w:t>
      </w:r>
    </w:p>
    <w:p w:rsidR="00654B21" w:rsidRDefault="003962FF">
      <w:pPr>
        <w:pStyle w:val="3Bodytext"/>
        <w:rPr>
          <w:snapToGrid w:val="0"/>
        </w:rPr>
      </w:pPr>
      <w:r>
        <w:rPr>
          <w:rFonts w:eastAsia="Times New Roman" w:cs="Arial"/>
          <w:bCs/>
          <w:snapToGrid w:val="0"/>
          <w:szCs w:val="24"/>
          <w:lang w:eastAsia="en-AU"/>
        </w:rPr>
        <w:t>The PBAC noted that no consumer comments were received for this item</w:t>
      </w:r>
      <w:r>
        <w:rPr>
          <w:snapToGrid w:val="0"/>
        </w:rPr>
        <w:t>.</w:t>
      </w:r>
    </w:p>
    <w:p w:rsidR="00654B21" w:rsidRDefault="003962F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trials</w:t>
      </w:r>
    </w:p>
    <w:p w:rsidR="00654B21" w:rsidRDefault="003962FF">
      <w:pPr>
        <w:pStyle w:val="3Bodytext"/>
      </w:pPr>
      <w:r>
        <w:t>As a minor submission, no clinical trials were presented, however the submission stated that TYR Sphere 20 was therapeutically equivalent to similar glycomacropeptide formulas used in the dietary management of tyrosinaemia.</w:t>
      </w:r>
    </w:p>
    <w:p w:rsidR="00654B21" w:rsidRDefault="003962F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Other matters</w:t>
      </w:r>
    </w:p>
    <w:p w:rsidR="00654B21" w:rsidRDefault="003962FF">
      <w:pPr>
        <w:pStyle w:val="3Bodytext"/>
        <w:numPr>
          <w:ilvl w:val="1"/>
          <w:numId w:val="5"/>
        </w:numPr>
      </w:pPr>
      <w:r>
        <w:t>The submission stated that TYR Sphere 20 represents a suitable dietary management option for people with tyrosinaemia and claimed that the product offers a number of advantages over currently listed products, including:</w:t>
      </w:r>
    </w:p>
    <w:p w:rsidR="00654B21" w:rsidRDefault="003962FF">
      <w:pPr>
        <w:pStyle w:val="3Bodytext"/>
        <w:numPr>
          <w:ilvl w:val="0"/>
          <w:numId w:val="18"/>
        </w:numPr>
      </w:pPr>
      <w:r>
        <w:t>TYR Sphere has a lower calorific content than alternative GMP formulas for tyrosinaemia, and is 54% lower in calories than Tylactin RTD per gram of protein equivalent (PE). The submission argued that obesity is a specific issue in phenylketonuria (PKU); and that obesity, as well as metabolic disorders, tend to be greater with PKU than in the general population. This is due to a higher need to use carbohydrates for energy intake in a low tyrosine and/or phenylalanine diet.</w:t>
      </w:r>
    </w:p>
    <w:p w:rsidR="00654B21" w:rsidRDefault="003962FF">
      <w:pPr>
        <w:pStyle w:val="3Bodytext"/>
        <w:numPr>
          <w:ilvl w:val="0"/>
          <w:numId w:val="18"/>
        </w:numPr>
      </w:pPr>
      <w:r>
        <w:t>TYR Sphere has a higher concentration of PE, meaning patients need to consume 58% less volume of prepared formula per day.</w:t>
      </w:r>
    </w:p>
    <w:p w:rsidR="00654B21" w:rsidRDefault="003962FF">
      <w:pPr>
        <w:pStyle w:val="3Bodytext"/>
        <w:numPr>
          <w:ilvl w:val="0"/>
          <w:numId w:val="18"/>
        </w:numPr>
      </w:pPr>
      <w:r>
        <w:t>TYR Sphere is enriched with docosahexaenoic acid (DHA) meaning alternative sources are not required.</w:t>
      </w:r>
      <w:r>
        <w:rPr>
          <w:rFonts w:eastAsia="Times New Roman" w:cs="Arial"/>
          <w:snapToGrid w:val="0"/>
          <w:szCs w:val="24"/>
        </w:rPr>
        <w:t xml:space="preserve"> </w:t>
      </w:r>
    </w:p>
    <w:p w:rsidR="00654B21" w:rsidRDefault="003962FF">
      <w:pPr>
        <w:pStyle w:val="3Bodytext"/>
        <w:rPr>
          <w:rFonts w:eastAsia="Times New Roman" w:cs="Arial"/>
          <w:snapToGrid w:val="0"/>
          <w:szCs w:val="24"/>
        </w:rPr>
      </w:pPr>
      <w:r>
        <w:rPr>
          <w:rFonts w:eastAsia="Times New Roman" w:cs="Arial"/>
          <w:snapToGrid w:val="0"/>
          <w:szCs w:val="24"/>
        </w:rPr>
        <w:t>Based on these claimed benefits, the submission requested a price premium of 5% over the price-per-gram of protein equivalent, at the approved ex-manufacturer price (AEMP) level. The submission derived a requested price-per-gram of PE with the named comparator(s) (Tylactin RTD/Tylactin Complete</w:t>
      </w:r>
      <w:r>
        <w:rPr>
          <w:rStyle w:val="FootnoteReference"/>
          <w:rFonts w:eastAsia="Times New Roman" w:cs="Arial"/>
          <w:snapToGrid w:val="0"/>
          <w:szCs w:val="24"/>
        </w:rPr>
        <w:footnoteReference w:id="1"/>
      </w:r>
      <w:r>
        <w:rPr>
          <w:rFonts w:eastAsia="Times New Roman" w:cs="Arial"/>
          <w:snapToGrid w:val="0"/>
          <w:szCs w:val="24"/>
        </w:rPr>
        <w:t xml:space="preserve">) of $1.722, with a resultant AEMP of </w:t>
      </w:r>
      <w:r w:rsidR="00811CEC">
        <w:rPr>
          <w:rFonts w:eastAsia="Times New Roman" w:cs="Arial"/>
          <w:noProof/>
          <w:snapToGrid w:val="0"/>
          <w:color w:val="000000"/>
          <w:szCs w:val="24"/>
          <w:highlight w:val="black"/>
        </w:rPr>
        <w:t>'''''''''''''''''''</w:t>
      </w:r>
      <w:r>
        <w:rPr>
          <w:rFonts w:eastAsia="Times New Roman" w:cs="Arial"/>
          <w:snapToGrid w:val="0"/>
          <w:szCs w:val="24"/>
        </w:rPr>
        <w:t xml:space="preserve"> per carton. </w:t>
      </w:r>
    </w:p>
    <w:p w:rsidR="00654B21" w:rsidRDefault="003962F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Drug cost/patient/year: $51,406.08.</w:t>
      </w:r>
    </w:p>
    <w:p w:rsidR="00654B21" w:rsidRDefault="003962FF">
      <w:pPr>
        <w:pStyle w:val="3Bodytext"/>
      </w:pPr>
      <w:r>
        <w:t>The above calculation of nutritional product cost per patient per year is derived from the DPMQ for one month’s supply (</w:t>
      </w:r>
      <w:r w:rsidR="00811CEC">
        <w:rPr>
          <w:noProof/>
          <w:color w:val="000000"/>
          <w:highlight w:val="black"/>
        </w:rPr>
        <w:t>''''''''''''''''''</w:t>
      </w:r>
      <w:r>
        <w:t>) for 12 months, and assumes that a patient would receive the maximum quantity (4 packs) per dispensing, however this may not occur in practice due to variations in individual patient needs.</w:t>
      </w:r>
    </w:p>
    <w:p w:rsidR="00654B21" w:rsidRDefault="003962F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654B21" w:rsidRDefault="003962FF">
      <w:pPr>
        <w:pStyle w:val="3Bodytext"/>
      </w:pPr>
      <w:r>
        <w:t xml:space="preserve">The submission argued the listing of TYR Sphere was unlikely to grow the market and would only substitute for existing GMP formulations for tyrosinaemia. It also argued a disproportionate number of comparator scripts were expected to be replaced due to differences in the amount of PE per carton </w:t>
      </w:r>
      <w:r>
        <w:rPr>
          <w:rFonts w:eastAsia="Times New Roman" w:cs="Arial"/>
          <w:snapToGrid w:val="0"/>
          <w:szCs w:val="24"/>
        </w:rPr>
        <w:t xml:space="preserve">(TYR Sphere 20 provides 2,400g of PE per maximum quantity (MQ) whilst Tylactin RTD has 1,800g of PE per MQ). Table 1 includes utilisation and financial estimates over six years as estimated in the submission. </w:t>
      </w:r>
    </w:p>
    <w:p w:rsidR="006E2770" w:rsidRDefault="006E2770" w:rsidP="006E2770">
      <w:pPr>
        <w:pStyle w:val="Caption"/>
        <w:keepNext/>
      </w:pPr>
      <w:r>
        <w:t xml:space="preserve">Table </w:t>
      </w:r>
      <w:r w:rsidR="000D27C2">
        <w:fldChar w:fldCharType="begin"/>
      </w:r>
      <w:r w:rsidR="000D27C2">
        <w:instrText xml:space="preserve"> SEQ Table \* ARABIC </w:instrText>
      </w:r>
      <w:r w:rsidR="000D27C2">
        <w:fldChar w:fldCharType="separate"/>
      </w:r>
      <w:r w:rsidR="0079509F">
        <w:rPr>
          <w:noProof/>
        </w:rPr>
        <w:t>1</w:t>
      </w:r>
      <w:r w:rsidR="000D27C2">
        <w:rPr>
          <w:noProof/>
        </w:rPr>
        <w:fldChar w:fldCharType="end"/>
      </w:r>
      <w:r w:rsidRPr="000E7BCB">
        <w:t>: Estimated PBS utilisation and financial estimates</w:t>
      </w:r>
    </w:p>
    <w:tbl>
      <w:tblPr>
        <w:tblStyle w:val="TableGrid"/>
        <w:tblW w:w="0" w:type="auto"/>
        <w:tblLayout w:type="fixed"/>
        <w:tblLook w:val="04A0" w:firstRow="1" w:lastRow="0" w:firstColumn="1" w:lastColumn="0" w:noHBand="0" w:noVBand="1"/>
        <w:tblCaption w:val="Table 1: Estimated PBS utilisation and financial estimates"/>
      </w:tblPr>
      <w:tblGrid>
        <w:gridCol w:w="1980"/>
        <w:gridCol w:w="1172"/>
        <w:gridCol w:w="1173"/>
        <w:gridCol w:w="1173"/>
        <w:gridCol w:w="1172"/>
        <w:gridCol w:w="1173"/>
        <w:gridCol w:w="1173"/>
      </w:tblGrid>
      <w:tr w:rsidR="00654B21" w:rsidTr="00DC02A5">
        <w:trPr>
          <w:tblHeader/>
        </w:trPr>
        <w:tc>
          <w:tcPr>
            <w:tcW w:w="1980" w:type="dxa"/>
          </w:tcPr>
          <w:p w:rsidR="00654B21" w:rsidRDefault="00654B21"/>
        </w:tc>
        <w:tc>
          <w:tcPr>
            <w:tcW w:w="1172" w:type="dxa"/>
          </w:tcPr>
          <w:p w:rsidR="00654B21" w:rsidRDefault="003962FF">
            <w:pPr>
              <w:pStyle w:val="PBSnormal"/>
              <w:spacing w:before="40" w:after="40" w:line="240" w:lineRule="auto"/>
              <w:jc w:val="center"/>
              <w:rPr>
                <w:rFonts w:ascii="Arial Narrow" w:hAnsi="Arial Narrow"/>
                <w:b/>
                <w:sz w:val="20"/>
              </w:rPr>
            </w:pPr>
            <w:r>
              <w:rPr>
                <w:rFonts w:ascii="Arial Narrow" w:hAnsi="Arial Narrow"/>
                <w:b/>
                <w:sz w:val="20"/>
              </w:rPr>
              <w:t>Year 1</w:t>
            </w:r>
          </w:p>
        </w:tc>
        <w:tc>
          <w:tcPr>
            <w:tcW w:w="1173" w:type="dxa"/>
          </w:tcPr>
          <w:p w:rsidR="00654B21" w:rsidRDefault="003962FF">
            <w:pPr>
              <w:pStyle w:val="PBSnormal"/>
              <w:spacing w:before="40" w:after="40" w:line="240" w:lineRule="auto"/>
              <w:jc w:val="center"/>
              <w:rPr>
                <w:rFonts w:ascii="Arial Narrow" w:hAnsi="Arial Narrow"/>
                <w:b/>
                <w:sz w:val="20"/>
              </w:rPr>
            </w:pPr>
            <w:r>
              <w:rPr>
                <w:rFonts w:ascii="Arial Narrow" w:hAnsi="Arial Narrow"/>
                <w:b/>
                <w:sz w:val="20"/>
              </w:rPr>
              <w:t>Year 2</w:t>
            </w:r>
          </w:p>
        </w:tc>
        <w:tc>
          <w:tcPr>
            <w:tcW w:w="1173" w:type="dxa"/>
          </w:tcPr>
          <w:p w:rsidR="00654B21" w:rsidRDefault="003962FF">
            <w:pPr>
              <w:pStyle w:val="PBSnormal"/>
              <w:spacing w:before="40" w:after="40" w:line="240" w:lineRule="auto"/>
              <w:jc w:val="center"/>
              <w:rPr>
                <w:rFonts w:ascii="Arial Narrow" w:hAnsi="Arial Narrow"/>
                <w:b/>
                <w:sz w:val="20"/>
              </w:rPr>
            </w:pPr>
            <w:r>
              <w:rPr>
                <w:rFonts w:ascii="Arial Narrow" w:hAnsi="Arial Narrow"/>
                <w:b/>
                <w:sz w:val="20"/>
              </w:rPr>
              <w:t>Year 3</w:t>
            </w:r>
          </w:p>
        </w:tc>
        <w:tc>
          <w:tcPr>
            <w:tcW w:w="1172" w:type="dxa"/>
          </w:tcPr>
          <w:p w:rsidR="00654B21" w:rsidRDefault="003962FF">
            <w:pPr>
              <w:pStyle w:val="PBSnormal"/>
              <w:spacing w:before="40" w:after="40" w:line="240" w:lineRule="auto"/>
              <w:jc w:val="center"/>
              <w:rPr>
                <w:rFonts w:ascii="Arial Narrow" w:hAnsi="Arial Narrow"/>
                <w:b/>
                <w:sz w:val="20"/>
              </w:rPr>
            </w:pPr>
            <w:r>
              <w:rPr>
                <w:rFonts w:ascii="Arial Narrow" w:hAnsi="Arial Narrow"/>
                <w:b/>
                <w:sz w:val="20"/>
              </w:rPr>
              <w:t>Year 4</w:t>
            </w:r>
          </w:p>
        </w:tc>
        <w:tc>
          <w:tcPr>
            <w:tcW w:w="1173" w:type="dxa"/>
          </w:tcPr>
          <w:p w:rsidR="00654B21" w:rsidRDefault="003962FF">
            <w:pPr>
              <w:pStyle w:val="PBSnormal"/>
              <w:spacing w:before="40" w:after="40" w:line="240" w:lineRule="auto"/>
              <w:jc w:val="center"/>
              <w:rPr>
                <w:rFonts w:ascii="Arial Narrow" w:hAnsi="Arial Narrow"/>
                <w:b/>
                <w:sz w:val="20"/>
              </w:rPr>
            </w:pPr>
            <w:r>
              <w:rPr>
                <w:rFonts w:ascii="Arial Narrow" w:hAnsi="Arial Narrow"/>
                <w:b/>
                <w:sz w:val="20"/>
              </w:rPr>
              <w:t>Year 5</w:t>
            </w:r>
          </w:p>
        </w:tc>
        <w:tc>
          <w:tcPr>
            <w:tcW w:w="1173" w:type="dxa"/>
          </w:tcPr>
          <w:p w:rsidR="00654B21" w:rsidRDefault="003962FF">
            <w:pPr>
              <w:pStyle w:val="PBSnormal"/>
              <w:spacing w:before="40" w:after="40" w:line="240" w:lineRule="auto"/>
              <w:jc w:val="center"/>
              <w:rPr>
                <w:rFonts w:ascii="Arial Narrow" w:hAnsi="Arial Narrow"/>
                <w:b/>
                <w:sz w:val="20"/>
              </w:rPr>
            </w:pPr>
            <w:r>
              <w:rPr>
                <w:rFonts w:ascii="Arial Narrow" w:hAnsi="Arial Narrow"/>
                <w:b/>
                <w:sz w:val="20"/>
              </w:rPr>
              <w:t>Year 6</w:t>
            </w:r>
          </w:p>
        </w:tc>
      </w:tr>
      <w:tr w:rsidR="00654B21">
        <w:tc>
          <w:tcPr>
            <w:tcW w:w="1980" w:type="dxa"/>
          </w:tcPr>
          <w:p w:rsidR="00654B21" w:rsidRDefault="003962FF">
            <w:pPr>
              <w:pStyle w:val="PBSnormal"/>
              <w:spacing w:before="40" w:after="40" w:line="240" w:lineRule="auto"/>
              <w:jc w:val="left"/>
              <w:rPr>
                <w:rFonts w:ascii="Arial Narrow" w:hAnsi="Arial Narrow"/>
                <w:b/>
                <w:sz w:val="20"/>
              </w:rPr>
            </w:pPr>
            <w:r>
              <w:rPr>
                <w:rFonts w:ascii="Arial Narrow" w:hAnsi="Arial Narrow"/>
                <w:b/>
                <w:sz w:val="20"/>
              </w:rPr>
              <w:t>TYR Sphere 20 scripts</w:t>
            </w:r>
          </w:p>
        </w:tc>
        <w:tc>
          <w:tcPr>
            <w:tcW w:w="1172"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73"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73"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 xml:space="preserve">'''''' </w:t>
            </w:r>
          </w:p>
        </w:tc>
        <w:tc>
          <w:tcPr>
            <w:tcW w:w="1172"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73"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73"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r>
      <w:tr w:rsidR="00654B21">
        <w:tc>
          <w:tcPr>
            <w:tcW w:w="1980" w:type="dxa"/>
          </w:tcPr>
          <w:p w:rsidR="00654B21" w:rsidRDefault="003962FF">
            <w:pPr>
              <w:pStyle w:val="PBSnormal"/>
              <w:spacing w:before="40" w:after="40" w:line="240" w:lineRule="auto"/>
              <w:jc w:val="left"/>
              <w:rPr>
                <w:rFonts w:ascii="Arial Narrow" w:hAnsi="Arial Narrow"/>
                <w:b/>
                <w:sz w:val="20"/>
              </w:rPr>
            </w:pPr>
            <w:r>
              <w:rPr>
                <w:rFonts w:ascii="Arial Narrow" w:hAnsi="Arial Narrow"/>
                <w:b/>
                <w:sz w:val="20"/>
              </w:rPr>
              <w:t>Cost at DPMQ ($4,283.84)</w:t>
            </w:r>
          </w:p>
        </w:tc>
        <w:tc>
          <w:tcPr>
            <w:tcW w:w="1172"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 xml:space="preserve"> '''''''''''''''''''''</w:t>
            </w:r>
            <w:r w:rsidR="003962FF" w:rsidRPr="00811CEC">
              <w:rPr>
                <w:rFonts w:ascii="Arial Narrow" w:hAnsi="Arial Narrow"/>
                <w:sz w:val="20"/>
                <w:highlight w:val="black"/>
              </w:rPr>
              <w:t xml:space="preserve"> </w:t>
            </w:r>
          </w:p>
        </w:tc>
        <w:tc>
          <w:tcPr>
            <w:tcW w:w="1173"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 xml:space="preserve"> '''''''''''''''''</w:t>
            </w:r>
            <w:r w:rsidR="003962FF" w:rsidRPr="00811CEC">
              <w:rPr>
                <w:rFonts w:ascii="Arial Narrow" w:hAnsi="Arial Narrow"/>
                <w:sz w:val="20"/>
                <w:highlight w:val="black"/>
              </w:rPr>
              <w:t xml:space="preserve"> </w:t>
            </w:r>
          </w:p>
        </w:tc>
        <w:tc>
          <w:tcPr>
            <w:tcW w:w="1173"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 xml:space="preserve"> '''''''''''''''''''</w:t>
            </w:r>
            <w:r w:rsidR="003962FF" w:rsidRPr="00811CEC">
              <w:rPr>
                <w:rFonts w:ascii="Arial Narrow" w:hAnsi="Arial Narrow"/>
                <w:sz w:val="20"/>
                <w:highlight w:val="black"/>
              </w:rPr>
              <w:t xml:space="preserve"> </w:t>
            </w:r>
          </w:p>
        </w:tc>
        <w:tc>
          <w:tcPr>
            <w:tcW w:w="1172"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 xml:space="preserve"> ''''''''''''''''''''</w:t>
            </w:r>
            <w:r w:rsidR="003962FF" w:rsidRPr="00811CEC">
              <w:rPr>
                <w:rFonts w:ascii="Arial Narrow" w:hAnsi="Arial Narrow"/>
                <w:sz w:val="20"/>
                <w:highlight w:val="black"/>
              </w:rPr>
              <w:t xml:space="preserve"> </w:t>
            </w:r>
          </w:p>
        </w:tc>
        <w:tc>
          <w:tcPr>
            <w:tcW w:w="1173" w:type="dxa"/>
          </w:tcPr>
          <w:p w:rsidR="00654B21" w:rsidRPr="00811CEC" w:rsidRDefault="003962FF">
            <w:pPr>
              <w:pStyle w:val="PBSnormal"/>
              <w:spacing w:before="40" w:after="40" w:line="240" w:lineRule="auto"/>
              <w:jc w:val="center"/>
              <w:rPr>
                <w:rFonts w:ascii="Arial Narrow" w:hAnsi="Arial Narrow"/>
                <w:sz w:val="20"/>
                <w:highlight w:val="black"/>
              </w:rPr>
            </w:pPr>
            <w:r>
              <w:rPr>
                <w:rFonts w:ascii="Arial Narrow" w:hAnsi="Arial Narrow"/>
                <w:sz w:val="20"/>
              </w:rPr>
              <w:t xml:space="preserve"> </w:t>
            </w:r>
            <w:r w:rsidR="00811CEC">
              <w:rPr>
                <w:rFonts w:ascii="Arial Narrow" w:hAnsi="Arial Narrow"/>
                <w:noProof/>
                <w:color w:val="000000"/>
                <w:sz w:val="20"/>
                <w:highlight w:val="black"/>
              </w:rPr>
              <w:t>'''''''''''''''''''</w:t>
            </w:r>
            <w:r w:rsidRPr="00811CEC">
              <w:rPr>
                <w:rFonts w:ascii="Arial Narrow" w:hAnsi="Arial Narrow"/>
                <w:sz w:val="20"/>
                <w:highlight w:val="black"/>
              </w:rPr>
              <w:t xml:space="preserve"> </w:t>
            </w:r>
          </w:p>
        </w:tc>
        <w:tc>
          <w:tcPr>
            <w:tcW w:w="1173" w:type="dxa"/>
          </w:tcPr>
          <w:p w:rsidR="00654B21" w:rsidRPr="00811CEC" w:rsidRDefault="003962FF">
            <w:pPr>
              <w:pStyle w:val="PBSnormal"/>
              <w:spacing w:before="40" w:after="40" w:line="240" w:lineRule="auto"/>
              <w:jc w:val="center"/>
              <w:rPr>
                <w:rFonts w:ascii="Arial Narrow" w:hAnsi="Arial Narrow"/>
                <w:sz w:val="20"/>
                <w:highlight w:val="black"/>
              </w:rPr>
            </w:pPr>
            <w:r>
              <w:rPr>
                <w:rFonts w:ascii="Arial Narrow" w:hAnsi="Arial Narrow"/>
                <w:sz w:val="20"/>
              </w:rPr>
              <w:t xml:space="preserve"> </w:t>
            </w:r>
            <w:r w:rsidR="00811CEC">
              <w:rPr>
                <w:rFonts w:ascii="Arial Narrow" w:hAnsi="Arial Narrow"/>
                <w:noProof/>
                <w:color w:val="000000"/>
                <w:sz w:val="20"/>
                <w:highlight w:val="black"/>
              </w:rPr>
              <w:t>''''''''''''''''''''</w:t>
            </w:r>
            <w:r w:rsidRPr="00811CEC">
              <w:rPr>
                <w:rFonts w:ascii="Arial Narrow" w:hAnsi="Arial Narrow"/>
                <w:sz w:val="20"/>
                <w:highlight w:val="black"/>
              </w:rPr>
              <w:t xml:space="preserve"> </w:t>
            </w:r>
          </w:p>
        </w:tc>
      </w:tr>
      <w:tr w:rsidR="00654B21">
        <w:tc>
          <w:tcPr>
            <w:tcW w:w="1980" w:type="dxa"/>
          </w:tcPr>
          <w:p w:rsidR="00654B21" w:rsidRDefault="003962FF">
            <w:pPr>
              <w:pStyle w:val="PBSnormal"/>
              <w:spacing w:before="40" w:after="40" w:line="240" w:lineRule="auto"/>
              <w:jc w:val="left"/>
              <w:rPr>
                <w:rFonts w:ascii="Arial Narrow" w:hAnsi="Arial Narrow"/>
                <w:b/>
                <w:sz w:val="20"/>
              </w:rPr>
            </w:pPr>
            <w:r>
              <w:rPr>
                <w:rFonts w:ascii="Arial Narrow" w:hAnsi="Arial Narrow"/>
                <w:b/>
                <w:sz w:val="20"/>
              </w:rPr>
              <w:t xml:space="preserve">Minus Co-pays </w:t>
            </w:r>
          </w:p>
          <w:p w:rsidR="00654B21" w:rsidRDefault="003962FF">
            <w:pPr>
              <w:pStyle w:val="PBSnormal"/>
              <w:spacing w:before="40" w:after="40" w:line="240" w:lineRule="auto"/>
              <w:jc w:val="left"/>
              <w:rPr>
                <w:rFonts w:ascii="Arial Narrow" w:hAnsi="Arial Narrow"/>
                <w:b/>
                <w:sz w:val="20"/>
              </w:rPr>
            </w:pPr>
            <w:r>
              <w:rPr>
                <w:rFonts w:ascii="Arial Narrow" w:hAnsi="Arial Narrow"/>
                <w:b/>
                <w:sz w:val="20"/>
              </w:rPr>
              <w:t>(average $18.67)</w:t>
            </w:r>
          </w:p>
        </w:tc>
        <w:tc>
          <w:tcPr>
            <w:tcW w:w="1172" w:type="dxa"/>
          </w:tcPr>
          <w:p w:rsidR="00654B21" w:rsidRDefault="003962FF">
            <w:pPr>
              <w:pStyle w:val="PBSnormal"/>
              <w:spacing w:before="40" w:after="40" w:line="240" w:lineRule="auto"/>
              <w:jc w:val="center"/>
              <w:rPr>
                <w:rFonts w:ascii="Arial Narrow" w:hAnsi="Arial Narrow"/>
                <w:sz w:val="20"/>
              </w:rPr>
            </w:pPr>
            <w:r>
              <w:rPr>
                <w:rFonts w:ascii="Arial Narrow" w:hAnsi="Arial Narrow"/>
                <w:sz w:val="20"/>
              </w:rPr>
              <w:t xml:space="preserve"> $131 </w:t>
            </w:r>
          </w:p>
        </w:tc>
        <w:tc>
          <w:tcPr>
            <w:tcW w:w="1173" w:type="dxa"/>
          </w:tcPr>
          <w:p w:rsidR="00654B21" w:rsidRDefault="003962FF">
            <w:pPr>
              <w:pStyle w:val="PBSnormal"/>
              <w:spacing w:before="40" w:after="40" w:line="240" w:lineRule="auto"/>
              <w:jc w:val="center"/>
              <w:rPr>
                <w:rFonts w:ascii="Arial Narrow" w:hAnsi="Arial Narrow"/>
                <w:sz w:val="20"/>
              </w:rPr>
            </w:pPr>
            <w:r>
              <w:rPr>
                <w:rFonts w:ascii="Arial Narrow" w:hAnsi="Arial Narrow"/>
                <w:sz w:val="20"/>
              </w:rPr>
              <w:t xml:space="preserve"> $261 </w:t>
            </w:r>
          </w:p>
        </w:tc>
        <w:tc>
          <w:tcPr>
            <w:tcW w:w="1173" w:type="dxa"/>
          </w:tcPr>
          <w:p w:rsidR="00654B21" w:rsidRDefault="003962FF">
            <w:pPr>
              <w:pStyle w:val="PBSnormal"/>
              <w:spacing w:before="40" w:after="40" w:line="240" w:lineRule="auto"/>
              <w:jc w:val="center"/>
              <w:rPr>
                <w:rFonts w:ascii="Arial Narrow" w:hAnsi="Arial Narrow"/>
                <w:sz w:val="20"/>
              </w:rPr>
            </w:pPr>
            <w:r>
              <w:rPr>
                <w:rFonts w:ascii="Arial Narrow" w:hAnsi="Arial Narrow"/>
                <w:sz w:val="20"/>
              </w:rPr>
              <w:t xml:space="preserve"> $261 </w:t>
            </w:r>
          </w:p>
        </w:tc>
        <w:tc>
          <w:tcPr>
            <w:tcW w:w="1172" w:type="dxa"/>
          </w:tcPr>
          <w:p w:rsidR="00654B21" w:rsidRDefault="003962FF">
            <w:pPr>
              <w:pStyle w:val="PBSnormal"/>
              <w:spacing w:before="40" w:after="40" w:line="240" w:lineRule="auto"/>
              <w:jc w:val="center"/>
              <w:rPr>
                <w:rFonts w:ascii="Arial Narrow" w:hAnsi="Arial Narrow"/>
                <w:sz w:val="20"/>
              </w:rPr>
            </w:pPr>
            <w:r>
              <w:rPr>
                <w:rFonts w:ascii="Arial Narrow" w:hAnsi="Arial Narrow"/>
                <w:sz w:val="20"/>
              </w:rPr>
              <w:t xml:space="preserve"> $392 </w:t>
            </w:r>
          </w:p>
        </w:tc>
        <w:tc>
          <w:tcPr>
            <w:tcW w:w="1173" w:type="dxa"/>
          </w:tcPr>
          <w:p w:rsidR="00654B21" w:rsidRDefault="003962FF">
            <w:pPr>
              <w:pStyle w:val="PBSnormal"/>
              <w:spacing w:before="40" w:after="40" w:line="240" w:lineRule="auto"/>
              <w:jc w:val="center"/>
              <w:rPr>
                <w:rFonts w:ascii="Arial Narrow" w:hAnsi="Arial Narrow"/>
                <w:sz w:val="20"/>
              </w:rPr>
            </w:pPr>
            <w:r>
              <w:rPr>
                <w:rFonts w:ascii="Arial Narrow" w:hAnsi="Arial Narrow"/>
                <w:sz w:val="20"/>
              </w:rPr>
              <w:t xml:space="preserve"> $392 </w:t>
            </w:r>
          </w:p>
        </w:tc>
        <w:tc>
          <w:tcPr>
            <w:tcW w:w="1173" w:type="dxa"/>
          </w:tcPr>
          <w:p w:rsidR="00654B21" w:rsidRDefault="003962FF">
            <w:pPr>
              <w:pStyle w:val="PBSnormal"/>
              <w:spacing w:before="40" w:after="40" w:line="240" w:lineRule="auto"/>
              <w:jc w:val="center"/>
              <w:rPr>
                <w:rFonts w:ascii="Arial Narrow" w:hAnsi="Arial Narrow"/>
                <w:sz w:val="20"/>
              </w:rPr>
            </w:pPr>
            <w:r>
              <w:rPr>
                <w:rFonts w:ascii="Arial Narrow" w:hAnsi="Arial Narrow"/>
                <w:sz w:val="20"/>
              </w:rPr>
              <w:t xml:space="preserve"> $392 </w:t>
            </w:r>
          </w:p>
        </w:tc>
      </w:tr>
      <w:tr w:rsidR="00654B21">
        <w:tc>
          <w:tcPr>
            <w:tcW w:w="1980" w:type="dxa"/>
          </w:tcPr>
          <w:p w:rsidR="00654B21" w:rsidRDefault="003962FF">
            <w:pPr>
              <w:pStyle w:val="PBSnormal"/>
              <w:spacing w:before="40" w:after="40" w:line="240" w:lineRule="auto"/>
              <w:jc w:val="left"/>
              <w:rPr>
                <w:rFonts w:ascii="Arial Narrow" w:hAnsi="Arial Narrow"/>
                <w:b/>
                <w:sz w:val="20"/>
              </w:rPr>
            </w:pPr>
            <w:r>
              <w:rPr>
                <w:rFonts w:ascii="Arial Narrow" w:hAnsi="Arial Narrow"/>
                <w:b/>
                <w:sz w:val="20"/>
              </w:rPr>
              <w:t>Net cost to PBS/RPBS</w:t>
            </w:r>
          </w:p>
        </w:tc>
        <w:tc>
          <w:tcPr>
            <w:tcW w:w="1172"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 xml:space="preserve"> ''''''''''''''''''''''</w:t>
            </w:r>
            <w:r w:rsidR="003962FF" w:rsidRPr="00811CEC">
              <w:rPr>
                <w:rFonts w:ascii="Arial Narrow" w:hAnsi="Arial Narrow"/>
                <w:sz w:val="20"/>
                <w:highlight w:val="black"/>
              </w:rPr>
              <w:t xml:space="preserve"> </w:t>
            </w:r>
          </w:p>
        </w:tc>
        <w:tc>
          <w:tcPr>
            <w:tcW w:w="1173" w:type="dxa"/>
          </w:tcPr>
          <w:p w:rsidR="00654B21" w:rsidRPr="00811CEC" w:rsidRDefault="003962FF">
            <w:pPr>
              <w:pStyle w:val="PBSnormal"/>
              <w:spacing w:before="40" w:after="40" w:line="240" w:lineRule="auto"/>
              <w:jc w:val="center"/>
              <w:rPr>
                <w:rFonts w:ascii="Arial Narrow" w:hAnsi="Arial Narrow"/>
                <w:sz w:val="20"/>
                <w:highlight w:val="black"/>
              </w:rPr>
            </w:pPr>
            <w:r>
              <w:rPr>
                <w:rFonts w:ascii="Arial Narrow" w:hAnsi="Arial Narrow"/>
                <w:sz w:val="20"/>
              </w:rPr>
              <w:t xml:space="preserve"> </w:t>
            </w:r>
            <w:r w:rsidR="00811CEC">
              <w:rPr>
                <w:rFonts w:ascii="Arial Narrow" w:hAnsi="Arial Narrow"/>
                <w:noProof/>
                <w:color w:val="000000"/>
                <w:sz w:val="20"/>
                <w:highlight w:val="black"/>
              </w:rPr>
              <w:t>''''''''''''''''''''</w:t>
            </w:r>
            <w:r w:rsidRPr="00811CEC">
              <w:rPr>
                <w:rFonts w:ascii="Arial Narrow" w:hAnsi="Arial Narrow"/>
                <w:sz w:val="20"/>
                <w:highlight w:val="black"/>
              </w:rPr>
              <w:t xml:space="preserve"> </w:t>
            </w:r>
          </w:p>
        </w:tc>
        <w:tc>
          <w:tcPr>
            <w:tcW w:w="1173" w:type="dxa"/>
          </w:tcPr>
          <w:p w:rsidR="00654B21" w:rsidRPr="00811CEC" w:rsidRDefault="003962FF">
            <w:pPr>
              <w:pStyle w:val="PBSnormal"/>
              <w:spacing w:before="40" w:after="40" w:line="240" w:lineRule="auto"/>
              <w:jc w:val="center"/>
              <w:rPr>
                <w:rFonts w:ascii="Arial Narrow" w:hAnsi="Arial Narrow"/>
                <w:sz w:val="20"/>
                <w:highlight w:val="black"/>
              </w:rPr>
            </w:pPr>
            <w:r>
              <w:rPr>
                <w:rFonts w:ascii="Arial Narrow" w:hAnsi="Arial Narrow"/>
                <w:sz w:val="20"/>
              </w:rPr>
              <w:t xml:space="preserve"> </w:t>
            </w:r>
            <w:r w:rsidR="00811CEC">
              <w:rPr>
                <w:rFonts w:ascii="Arial Narrow" w:hAnsi="Arial Narrow"/>
                <w:noProof/>
                <w:color w:val="000000"/>
                <w:sz w:val="20"/>
                <w:highlight w:val="black"/>
              </w:rPr>
              <w:t>''''''''''''''''''''''</w:t>
            </w:r>
            <w:r w:rsidRPr="00811CEC">
              <w:rPr>
                <w:rFonts w:ascii="Arial Narrow" w:hAnsi="Arial Narrow"/>
                <w:sz w:val="20"/>
                <w:highlight w:val="black"/>
              </w:rPr>
              <w:t xml:space="preserve"> </w:t>
            </w:r>
          </w:p>
        </w:tc>
        <w:tc>
          <w:tcPr>
            <w:tcW w:w="1172"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 xml:space="preserve"> ''''''''''''''''''</w:t>
            </w:r>
            <w:r w:rsidR="003962FF" w:rsidRPr="00811CEC">
              <w:rPr>
                <w:rFonts w:ascii="Arial Narrow" w:hAnsi="Arial Narrow"/>
                <w:sz w:val="20"/>
                <w:highlight w:val="black"/>
              </w:rPr>
              <w:t xml:space="preserve"> </w:t>
            </w:r>
          </w:p>
        </w:tc>
        <w:tc>
          <w:tcPr>
            <w:tcW w:w="1173" w:type="dxa"/>
          </w:tcPr>
          <w:p w:rsidR="00654B21" w:rsidRPr="00811CEC" w:rsidRDefault="00811CEC">
            <w:pPr>
              <w:pStyle w:val="PBSnormal"/>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 xml:space="preserve"> ''''''''''''''''''</w:t>
            </w:r>
            <w:r w:rsidR="003962FF" w:rsidRPr="00811CEC">
              <w:rPr>
                <w:rFonts w:ascii="Arial Narrow" w:hAnsi="Arial Narrow"/>
                <w:sz w:val="20"/>
                <w:highlight w:val="black"/>
              </w:rPr>
              <w:t xml:space="preserve"> </w:t>
            </w:r>
          </w:p>
        </w:tc>
        <w:tc>
          <w:tcPr>
            <w:tcW w:w="1173" w:type="dxa"/>
          </w:tcPr>
          <w:p w:rsidR="00654B21" w:rsidRPr="00811CEC" w:rsidRDefault="003962FF">
            <w:pPr>
              <w:pStyle w:val="PBSnormal"/>
              <w:spacing w:before="40" w:after="40" w:line="240" w:lineRule="auto"/>
              <w:jc w:val="center"/>
              <w:rPr>
                <w:rFonts w:ascii="Arial Narrow" w:hAnsi="Arial Narrow"/>
                <w:sz w:val="20"/>
                <w:highlight w:val="black"/>
              </w:rPr>
            </w:pPr>
            <w:r>
              <w:rPr>
                <w:rFonts w:ascii="Arial Narrow" w:hAnsi="Arial Narrow"/>
                <w:sz w:val="20"/>
              </w:rPr>
              <w:t xml:space="preserve"> </w:t>
            </w:r>
            <w:r w:rsidR="00811CEC">
              <w:rPr>
                <w:rFonts w:ascii="Arial Narrow" w:hAnsi="Arial Narrow"/>
                <w:noProof/>
                <w:color w:val="000000"/>
                <w:sz w:val="20"/>
                <w:highlight w:val="black"/>
              </w:rPr>
              <w:t>'''''''''''''''''''</w:t>
            </w:r>
            <w:r w:rsidRPr="00811CEC">
              <w:rPr>
                <w:rFonts w:ascii="Arial Narrow" w:hAnsi="Arial Narrow"/>
                <w:sz w:val="20"/>
                <w:highlight w:val="black"/>
              </w:rPr>
              <w:t xml:space="preserve"> </w:t>
            </w:r>
          </w:p>
        </w:tc>
      </w:tr>
    </w:tbl>
    <w:p w:rsidR="00654B21" w:rsidRDefault="003962FF">
      <w:pPr>
        <w:pStyle w:val="3Bodytext"/>
        <w:numPr>
          <w:ilvl w:val="0"/>
          <w:numId w:val="0"/>
        </w:numPr>
        <w:rPr>
          <w:rFonts w:ascii="Arial Narrow" w:hAnsi="Arial Narrow"/>
          <w:sz w:val="20"/>
          <w:szCs w:val="20"/>
        </w:rPr>
      </w:pPr>
      <w:r>
        <w:rPr>
          <w:rFonts w:ascii="Arial Narrow" w:hAnsi="Arial Narrow"/>
          <w:sz w:val="20"/>
          <w:szCs w:val="20"/>
        </w:rPr>
        <w:t>Source: Utilisation and financial estimates and associated calculations in Appendix 8 of the submission.</w:t>
      </w:r>
    </w:p>
    <w:p w:rsidR="00654B21" w:rsidRDefault="003962FF" w:rsidP="006E2770">
      <w:pPr>
        <w:pStyle w:val="3Bodytext"/>
        <w:numPr>
          <w:ilvl w:val="0"/>
          <w:numId w:val="0"/>
        </w:numPr>
        <w:ind w:left="720"/>
      </w:pPr>
      <w:r>
        <w:t>The redacted table shows that the estimated number of scripts over 6 years is less than 10,000 and the net cost to the PBS is less than $10 million.</w:t>
      </w:r>
    </w:p>
    <w:p w:rsidR="00654B21" w:rsidRDefault="003962FF">
      <w:pPr>
        <w:pStyle w:val="3Bodytext"/>
      </w:pPr>
      <w:r>
        <w:t xml:space="preserve">Accounting for replaced prescriptions, there would be a modest cost of approximately $148 per patient per equivalent quantity of PE, attributable to the requested price premium. </w:t>
      </w:r>
    </w:p>
    <w:p w:rsidR="00654B21" w:rsidRDefault="003962FF">
      <w:pPr>
        <w:pStyle w:val="3Bodytext"/>
        <w:numPr>
          <w:ilvl w:val="0"/>
          <w:numId w:val="0"/>
        </w:numPr>
        <w:ind w:left="720"/>
        <w:rPr>
          <w:i/>
        </w:rPr>
      </w:pPr>
      <w:r>
        <w:rPr>
          <w:i/>
        </w:rPr>
        <w:t>For more detail on PBAC’s view, see section 7 PBAC outcome.</w:t>
      </w:r>
    </w:p>
    <w:p w:rsidR="00654B21" w:rsidRDefault="003962FF">
      <w:pPr>
        <w:pStyle w:val="Heading1"/>
        <w:keepNext/>
        <w:keepLines/>
        <w:widowControl/>
        <w:numPr>
          <w:ilvl w:val="0"/>
          <w:numId w:val="5"/>
        </w:numPr>
        <w:spacing w:before="240" w:after="120"/>
        <w:ind w:left="709" w:hanging="709"/>
        <w:contextualSpacing w:val="0"/>
        <w:jc w:val="left"/>
        <w:rPr>
          <w:rFonts w:asciiTheme="minorHAnsi" w:eastAsiaTheme="majorEastAsia" w:hAnsiTheme="minorHAnsi" w:cstheme="majorBidi"/>
          <w:sz w:val="32"/>
          <w:szCs w:val="28"/>
        </w:rPr>
      </w:pPr>
      <w:r>
        <w:rPr>
          <w:rFonts w:asciiTheme="minorHAnsi" w:eastAsiaTheme="majorEastAsia" w:hAnsiTheme="minorHAnsi" w:cstheme="majorBidi"/>
          <w:sz w:val="32"/>
          <w:szCs w:val="28"/>
        </w:rPr>
        <w:t>NPWP Consideration (and sponsor’s further clarification)</w:t>
      </w:r>
    </w:p>
    <w:p w:rsidR="00654B21" w:rsidRDefault="003962FF">
      <w:pPr>
        <w:pStyle w:val="3Bodytext"/>
      </w:pPr>
      <w:r>
        <w:t xml:space="preserve">The NPWP noted the requested listing of TYR Sphere 20® as an alternative to other glycomacropeptide (GMP) formulas listed on the PBS for dietary management of tyrosinaemia, including Tylactin RTD and Tylactin Complete. The NPWP noted the product was lower in calories than the current alternatives and the product appeared to be nutritionally complete. It considered having additional GMP formula options for tyrosinaemia would be beneficial, and that a low calorie alternative may be useful for some patients. </w:t>
      </w:r>
    </w:p>
    <w:p w:rsidR="00654B21" w:rsidRDefault="003962FF">
      <w:pPr>
        <w:pStyle w:val="3Bodytext"/>
      </w:pPr>
      <w:r>
        <w:t xml:space="preserve">The NPWP noted the submission proposed listing on a cost minimisation basis, and requested a 5% premium at the price-per-gram of protein equivalent (PE) compared </w:t>
      </w:r>
      <w:r>
        <w:lastRenderedPageBreak/>
        <w:t xml:space="preserve">to the alternative products, primarily based on added docosahexaenoic acid (DHA). However, it also noted that arachidonic acid (AA) was not included in the formula. </w:t>
      </w:r>
    </w:p>
    <w:p w:rsidR="00654B21" w:rsidRDefault="003962FF">
      <w:pPr>
        <w:pStyle w:val="3Bodytext"/>
      </w:pPr>
      <w:r>
        <w:t>The NPWP supported the listing of TYR Sphere 20 for the dietary management of tyrosinaemia, however considered a price premium was not justified. The NPWP considered the majority of use was likely to be in patients aged 4 years and over and there was little evidence to support the submission’s argument that DHA supplementation offers a distinct advantage over the alternatives in this context. The NPWP also noted the sponsor presented the nutritional comparison with alternatives to TYR Sphere 20 per units of energy (kcal) expressed a strong preference for sponsors to present the nutritional profiles of products and comparisons per gram of PE.</w:t>
      </w:r>
    </w:p>
    <w:p w:rsidR="00654B21" w:rsidRDefault="003962FF">
      <w:pPr>
        <w:widowControl w:val="0"/>
        <w:numPr>
          <w:ilvl w:val="0"/>
          <w:numId w:val="5"/>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PBAC Outcome</w:t>
      </w:r>
    </w:p>
    <w:p w:rsidR="00654B21" w:rsidRDefault="003962FF">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recommended the Restricted Benefit listing of a new form of glycomacropeptide formula, TYR Sphere 20®, for the dietary management of tyrosinaemia on a cost minimisation basis to the lowest cost alternative glycomacropeptide formula listed on the PBS for the same condition, at an equivalent cost per gram of protein equivalent. Tylactin RTD and Tylactin Complete are similar GMP formulas listed on the PBS for dietary management of tyrosinaemia.</w:t>
      </w:r>
    </w:p>
    <w:p w:rsidR="00654B21" w:rsidRDefault="003962FF">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agreed with the NPWP advice that a price premium was not justified as the addition of docosohexaenoic acid was unlikely to offer a distinct advantage over alternative products in the target patient population.</w:t>
      </w:r>
    </w:p>
    <w:p w:rsidR="00654B21" w:rsidRDefault="003962FF">
      <w:pPr>
        <w:pStyle w:val="3Bodytext"/>
        <w:rPr>
          <w:b/>
          <w:snapToGrid w:val="0"/>
          <w:lang w:val="en-GB"/>
        </w:rPr>
      </w:pPr>
      <w:r>
        <w:rPr>
          <w:snapToGrid w:val="0"/>
          <w:lang w:val="en-GB"/>
        </w:rPr>
        <w:t xml:space="preserve">The PBAC agreed TYR Sphere 20 is suitable for inclusion in the PBS medicines for prescribing by nurse practitioners, similar to other nutritional products for tyrosinaemia. </w:t>
      </w:r>
    </w:p>
    <w:p w:rsidR="00654B21" w:rsidRDefault="003962FF">
      <w:pPr>
        <w:pStyle w:val="3Bodytext"/>
        <w:rPr>
          <w:b/>
          <w:snapToGrid w:val="0"/>
          <w:lang w:val="en-GB"/>
        </w:rPr>
      </w:pPr>
      <w:r>
        <w:rPr>
          <w:snapToGrid w:val="0"/>
          <w:lang w:val="en-GB"/>
        </w:rPr>
        <w:t xml:space="preserve">The PBAC advised the Early Supply Rule should not apply to TYR Sphere 20 as it has generally been its view that nutritional product listings be exempt. </w:t>
      </w:r>
    </w:p>
    <w:p w:rsidR="00654B21" w:rsidRDefault="003962FF">
      <w:pPr>
        <w:widowControl w:val="0"/>
        <w:numPr>
          <w:ilvl w:val="1"/>
          <w:numId w:val="5"/>
        </w:numPr>
        <w:spacing w:after="120"/>
        <w:jc w:val="both"/>
        <w:rPr>
          <w:rFonts w:asciiTheme="minorHAnsi" w:hAnsiTheme="minorHAnsi" w:cs="Arial"/>
          <w:b/>
          <w:bCs/>
          <w:snapToGrid w:val="0"/>
          <w:lang w:val="en-GB"/>
        </w:rPr>
      </w:pPr>
      <w:r>
        <w:rPr>
          <w:rFonts w:asciiTheme="minorHAnsi" w:hAnsiTheme="minorHAnsi" w:cs="Arial"/>
          <w:bCs/>
          <w:snapToGrid w:val="0"/>
          <w:lang w:val="en-GB"/>
        </w:rPr>
        <w:t xml:space="preserve">The PBAC advised under Section 101(3BA) of the </w:t>
      </w:r>
      <w:r>
        <w:rPr>
          <w:rFonts w:asciiTheme="minorHAnsi" w:hAnsiTheme="minorHAnsi" w:cs="Arial"/>
          <w:bCs/>
          <w:i/>
          <w:snapToGrid w:val="0"/>
          <w:lang w:val="en-GB"/>
        </w:rPr>
        <w:t>National Health Act 1953</w:t>
      </w:r>
      <w:r>
        <w:rPr>
          <w:rFonts w:asciiTheme="minorHAnsi" w:hAnsiTheme="minorHAnsi" w:cs="Arial"/>
          <w:bCs/>
          <w:snapToGrid w:val="0"/>
          <w:lang w:val="en-GB"/>
        </w:rPr>
        <w:t xml:space="preserve"> that TYR Sphere 20 should be treated as interchangeable with similar nutritional products on an individual patient basis. Similar products in this case may include Tylactin RTD and Tylactin Complete. </w:t>
      </w:r>
    </w:p>
    <w:p w:rsidR="00654B21" w:rsidRDefault="003962FF">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its recommendation was on a cost-minimisation basis and advised that, because TYR Sphere 20 is not expected to provide a substantial and clinically relevant improvement in efficacy, or reduction of toxicity, over similar nutritional products for tyrosinaemia , or not expected to address a high and urgent unmet clinical need over these alternatives, the criteria prescribed by the </w:t>
      </w:r>
      <w:r>
        <w:rPr>
          <w:rFonts w:asciiTheme="minorHAnsi" w:hAnsiTheme="minorHAnsi" w:cs="Arial"/>
          <w:bCs/>
          <w:i/>
          <w:snapToGrid w:val="0"/>
          <w:lang w:val="en-GB"/>
        </w:rPr>
        <w:t>National Health (Pharmaceuticals and Vaccines – Cost Recovery) Regulations</w:t>
      </w:r>
      <w:r>
        <w:rPr>
          <w:rFonts w:asciiTheme="minorHAnsi" w:hAnsiTheme="minorHAnsi" w:cs="Arial"/>
          <w:bCs/>
          <w:snapToGrid w:val="0"/>
          <w:lang w:val="en-GB"/>
        </w:rPr>
        <w:t xml:space="preserve"> </w:t>
      </w:r>
      <w:r>
        <w:rPr>
          <w:rFonts w:asciiTheme="minorHAnsi" w:hAnsiTheme="minorHAnsi" w:cs="Arial"/>
          <w:bCs/>
          <w:i/>
          <w:snapToGrid w:val="0"/>
          <w:lang w:val="en-GB"/>
        </w:rPr>
        <w:t>2009</w:t>
      </w:r>
      <w:r>
        <w:rPr>
          <w:rFonts w:asciiTheme="minorHAnsi" w:hAnsiTheme="minorHAnsi" w:cs="Arial"/>
          <w:bCs/>
          <w:snapToGrid w:val="0"/>
          <w:lang w:val="en-GB"/>
        </w:rPr>
        <w:t xml:space="preserve"> for Pricing Pathway A were not met. </w:t>
      </w:r>
    </w:p>
    <w:p w:rsidR="00654B21" w:rsidRDefault="003962FF">
      <w:pPr>
        <w:pStyle w:val="3Bodytext"/>
        <w:numPr>
          <w:ilvl w:val="1"/>
          <w:numId w:val="5"/>
        </w:numPr>
      </w:pPr>
      <w:r>
        <w:t>The submission is not eligible for independent review as it received a positive recommendation.</w:t>
      </w:r>
    </w:p>
    <w:p w:rsidR="00654B21" w:rsidRDefault="003962FF">
      <w:pPr>
        <w:widowControl w:val="0"/>
        <w:spacing w:after="120"/>
        <w:jc w:val="both"/>
        <w:rPr>
          <w:rFonts w:asciiTheme="minorHAnsi" w:hAnsiTheme="minorHAnsi" w:cs="Arial"/>
          <w:b/>
          <w:bCs/>
          <w:snapToGrid w:val="0"/>
          <w:lang w:val="en-GB"/>
        </w:rPr>
      </w:pPr>
      <w:r>
        <w:rPr>
          <w:rFonts w:asciiTheme="minorHAnsi" w:hAnsiTheme="minorHAnsi" w:cs="Arial"/>
          <w:b/>
          <w:bCs/>
          <w:snapToGrid w:val="0"/>
          <w:lang w:val="en-GB"/>
        </w:rPr>
        <w:lastRenderedPageBreak/>
        <w:t>Outcome:</w:t>
      </w:r>
    </w:p>
    <w:p w:rsidR="00654B21" w:rsidRDefault="003962FF">
      <w:pPr>
        <w:jc w:val="both"/>
        <w:rPr>
          <w:rFonts w:asciiTheme="minorHAnsi" w:hAnsiTheme="minorHAnsi" w:cs="Arial"/>
          <w:bCs/>
          <w:snapToGrid w:val="0"/>
          <w:lang w:val="en-GB"/>
        </w:rPr>
      </w:pPr>
      <w:r>
        <w:rPr>
          <w:rFonts w:asciiTheme="minorHAnsi" w:hAnsiTheme="minorHAnsi" w:cs="Arial"/>
          <w:bCs/>
          <w:snapToGrid w:val="0"/>
          <w:lang w:val="en-GB"/>
        </w:rPr>
        <w:t>Recommended</w:t>
      </w:r>
    </w:p>
    <w:p w:rsidR="00654B21" w:rsidRDefault="003962FF" w:rsidP="006E2770">
      <w:pPr>
        <w:pStyle w:val="2Sections"/>
        <w:rPr>
          <w:i/>
          <w:lang w:val="en-GB"/>
        </w:rPr>
      </w:pPr>
      <w:r>
        <w:rPr>
          <w:lang w:val="en-GB"/>
        </w:rPr>
        <w:t>Recommended listing</w:t>
      </w:r>
    </w:p>
    <w:p w:rsidR="00654B21" w:rsidRDefault="003962FF">
      <w:pPr>
        <w:pStyle w:val="3Bodytext"/>
        <w:numPr>
          <w:ilvl w:val="1"/>
          <w:numId w:val="5"/>
        </w:numPr>
      </w:pPr>
      <w:r>
        <w:t>Add new item:</w:t>
      </w:r>
    </w:p>
    <w:tbl>
      <w:tblPr>
        <w:tblW w:w="5000" w:type="pct"/>
        <w:tblLook w:val="0000" w:firstRow="0" w:lastRow="0" w:firstColumn="0" w:lastColumn="0" w:noHBand="0" w:noVBand="0"/>
      </w:tblPr>
      <w:tblGrid>
        <w:gridCol w:w="2762"/>
        <w:gridCol w:w="462"/>
        <w:gridCol w:w="695"/>
        <w:gridCol w:w="621"/>
        <w:gridCol w:w="1112"/>
        <w:gridCol w:w="3327"/>
        <w:gridCol w:w="47"/>
      </w:tblGrid>
      <w:tr w:rsidR="00654B21">
        <w:trPr>
          <w:gridAfter w:val="1"/>
          <w:wAfter w:w="26" w:type="pct"/>
          <w:cantSplit/>
          <w:trHeight w:val="491"/>
        </w:trPr>
        <w:tc>
          <w:tcPr>
            <w:tcW w:w="1786" w:type="pct"/>
            <w:gridSpan w:val="2"/>
            <w:tcBorders>
              <w:bottom w:val="single" w:sz="4" w:space="0" w:color="auto"/>
            </w:tcBorders>
          </w:tcPr>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Name, Restriction,</w:t>
            </w:r>
          </w:p>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Manner of administration and form</w:t>
            </w:r>
          </w:p>
        </w:tc>
        <w:tc>
          <w:tcPr>
            <w:tcW w:w="385" w:type="pct"/>
            <w:tcBorders>
              <w:bottom w:val="single" w:sz="4" w:space="0" w:color="auto"/>
            </w:tcBorders>
          </w:tcPr>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Max.</w:t>
            </w:r>
          </w:p>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Qty</w:t>
            </w:r>
          </w:p>
        </w:tc>
        <w:tc>
          <w:tcPr>
            <w:tcW w:w="344" w:type="pct"/>
            <w:tcBorders>
              <w:bottom w:val="single" w:sz="4" w:space="0" w:color="auto"/>
            </w:tcBorders>
          </w:tcPr>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№.of</w:t>
            </w:r>
          </w:p>
          <w:p w:rsidR="00654B21" w:rsidRDefault="003962FF">
            <w:pPr>
              <w:keepNext/>
              <w:spacing w:before="40" w:after="40"/>
              <w:jc w:val="both"/>
              <w:rPr>
                <w:rFonts w:ascii="Arial Narrow" w:hAnsi="Arial Narrow" w:cs="Arial"/>
                <w:b/>
                <w:sz w:val="20"/>
                <w:szCs w:val="20"/>
              </w:rPr>
            </w:pPr>
            <w:r>
              <w:rPr>
                <w:rFonts w:ascii="Arial Narrow" w:hAnsi="Arial Narrow" w:cs="Arial"/>
                <w:b/>
                <w:sz w:val="20"/>
                <w:szCs w:val="20"/>
              </w:rPr>
              <w:t>Rpts</w:t>
            </w:r>
          </w:p>
        </w:tc>
        <w:tc>
          <w:tcPr>
            <w:tcW w:w="2459" w:type="pct"/>
            <w:gridSpan w:val="2"/>
            <w:tcBorders>
              <w:bottom w:val="single" w:sz="4" w:space="0" w:color="auto"/>
            </w:tcBorders>
          </w:tcPr>
          <w:p w:rsidR="00654B21" w:rsidRDefault="003962FF">
            <w:pPr>
              <w:keepNext/>
              <w:spacing w:before="40" w:after="40"/>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654B21">
        <w:trPr>
          <w:gridAfter w:val="1"/>
          <w:wAfter w:w="26" w:type="pct"/>
          <w:cantSplit/>
          <w:trHeight w:val="599"/>
        </w:trPr>
        <w:tc>
          <w:tcPr>
            <w:tcW w:w="1786" w:type="pct"/>
            <w:gridSpan w:val="2"/>
          </w:tcPr>
          <w:p w:rsidR="00654B21" w:rsidRDefault="003962FF">
            <w:pPr>
              <w:keepNext/>
              <w:spacing w:before="40" w:after="40"/>
              <w:rPr>
                <w:rFonts w:ascii="Arial Narrow" w:hAnsi="Arial Narrow" w:cs="Arial"/>
                <w:smallCaps/>
                <w:sz w:val="20"/>
                <w:szCs w:val="20"/>
              </w:rPr>
            </w:pPr>
            <w:r>
              <w:rPr>
                <w:rFonts w:ascii="Arial Narrow" w:hAnsi="Arial Narrow" w:cs="Arial"/>
                <w:smallCaps/>
                <w:sz w:val="20"/>
                <w:szCs w:val="20"/>
              </w:rPr>
              <w:t xml:space="preserve">GLYCOMACROPEPTIDE and ESSENTIAL AMINO ACIDS with VITAMINS AND MINERALS </w:t>
            </w:r>
          </w:p>
          <w:p w:rsidR="00654B21" w:rsidRDefault="00654B21">
            <w:pPr>
              <w:keepNext/>
              <w:spacing w:before="40" w:after="40"/>
              <w:jc w:val="both"/>
              <w:rPr>
                <w:rFonts w:ascii="Arial Narrow" w:hAnsi="Arial Narrow" w:cs="Arial"/>
                <w:smallCaps/>
                <w:sz w:val="20"/>
                <w:szCs w:val="20"/>
              </w:rPr>
            </w:pPr>
          </w:p>
          <w:p w:rsidR="00654B21" w:rsidRDefault="003962FF">
            <w:pPr>
              <w:keepNext/>
              <w:spacing w:before="40" w:after="40"/>
              <w:rPr>
                <w:rFonts w:ascii="Arial Narrow" w:hAnsi="Arial Narrow" w:cs="Arial"/>
                <w:sz w:val="20"/>
                <w:szCs w:val="20"/>
              </w:rPr>
            </w:pPr>
            <w:r>
              <w:rPr>
                <w:rFonts w:ascii="Arial Narrow" w:hAnsi="Arial Narrow" w:cs="Arial"/>
                <w:sz w:val="20"/>
                <w:szCs w:val="20"/>
              </w:rPr>
              <w:t>Sachets containing oral powder 35 g, 30</w:t>
            </w:r>
          </w:p>
        </w:tc>
        <w:tc>
          <w:tcPr>
            <w:tcW w:w="385" w:type="pct"/>
          </w:tcPr>
          <w:p w:rsidR="00654B21" w:rsidRDefault="00654B21">
            <w:pPr>
              <w:keepNext/>
              <w:spacing w:before="40" w:after="40"/>
              <w:jc w:val="both"/>
              <w:rPr>
                <w:rFonts w:ascii="Arial Narrow" w:hAnsi="Arial Narrow" w:cs="Arial"/>
                <w:sz w:val="20"/>
                <w:szCs w:val="20"/>
              </w:rPr>
            </w:pPr>
          </w:p>
          <w:p w:rsidR="00654B21" w:rsidRDefault="00654B21">
            <w:pPr>
              <w:keepNext/>
              <w:spacing w:before="40" w:after="40"/>
              <w:jc w:val="both"/>
              <w:rPr>
                <w:rFonts w:ascii="Arial Narrow" w:hAnsi="Arial Narrow" w:cs="Arial"/>
                <w:sz w:val="20"/>
                <w:szCs w:val="20"/>
              </w:rPr>
            </w:pPr>
          </w:p>
          <w:p w:rsidR="00654B21" w:rsidRDefault="00654B21">
            <w:pPr>
              <w:keepNext/>
              <w:spacing w:before="40" w:after="240"/>
              <w:jc w:val="both"/>
              <w:rPr>
                <w:rFonts w:ascii="Arial Narrow" w:hAnsi="Arial Narrow" w:cs="Arial"/>
                <w:sz w:val="20"/>
                <w:szCs w:val="20"/>
              </w:rPr>
            </w:pPr>
          </w:p>
          <w:p w:rsidR="00654B21" w:rsidRDefault="003962FF">
            <w:pPr>
              <w:keepNext/>
              <w:spacing w:before="40" w:after="40"/>
              <w:jc w:val="both"/>
              <w:rPr>
                <w:rFonts w:ascii="Arial Narrow" w:hAnsi="Arial Narrow" w:cs="Arial"/>
                <w:sz w:val="20"/>
                <w:szCs w:val="20"/>
              </w:rPr>
            </w:pPr>
            <w:r>
              <w:rPr>
                <w:rFonts w:ascii="Arial Narrow" w:hAnsi="Arial Narrow" w:cs="Arial"/>
                <w:sz w:val="20"/>
                <w:szCs w:val="20"/>
              </w:rPr>
              <w:t>4</w:t>
            </w:r>
          </w:p>
        </w:tc>
        <w:tc>
          <w:tcPr>
            <w:tcW w:w="344" w:type="pct"/>
          </w:tcPr>
          <w:p w:rsidR="00654B21" w:rsidRDefault="00654B21">
            <w:pPr>
              <w:keepNext/>
              <w:spacing w:before="40" w:after="40"/>
              <w:jc w:val="both"/>
              <w:rPr>
                <w:rFonts w:ascii="Arial Narrow" w:hAnsi="Arial Narrow" w:cs="Arial"/>
                <w:sz w:val="20"/>
                <w:szCs w:val="20"/>
              </w:rPr>
            </w:pPr>
          </w:p>
          <w:p w:rsidR="00654B21" w:rsidRDefault="00654B21">
            <w:pPr>
              <w:keepNext/>
              <w:spacing w:before="40" w:after="240"/>
              <w:jc w:val="both"/>
              <w:rPr>
                <w:rFonts w:ascii="Arial Narrow" w:hAnsi="Arial Narrow" w:cs="Arial"/>
                <w:sz w:val="20"/>
                <w:szCs w:val="20"/>
              </w:rPr>
            </w:pPr>
          </w:p>
          <w:p w:rsidR="00654B21" w:rsidRDefault="00654B21">
            <w:pPr>
              <w:keepNext/>
              <w:spacing w:before="40" w:after="40"/>
              <w:jc w:val="both"/>
              <w:rPr>
                <w:rFonts w:ascii="Arial Narrow" w:hAnsi="Arial Narrow" w:cs="Arial"/>
                <w:sz w:val="20"/>
                <w:szCs w:val="20"/>
              </w:rPr>
            </w:pPr>
          </w:p>
          <w:p w:rsidR="00654B21" w:rsidRDefault="003962FF">
            <w:pPr>
              <w:keepNext/>
              <w:spacing w:before="40" w:after="40"/>
              <w:jc w:val="both"/>
              <w:rPr>
                <w:rFonts w:ascii="Arial Narrow" w:hAnsi="Arial Narrow" w:cs="Arial"/>
                <w:sz w:val="20"/>
                <w:szCs w:val="20"/>
              </w:rPr>
            </w:pPr>
            <w:r>
              <w:rPr>
                <w:rFonts w:ascii="Arial Narrow" w:hAnsi="Arial Narrow" w:cs="Arial"/>
                <w:sz w:val="20"/>
                <w:szCs w:val="20"/>
              </w:rPr>
              <w:t>5</w:t>
            </w:r>
          </w:p>
        </w:tc>
        <w:tc>
          <w:tcPr>
            <w:tcW w:w="616" w:type="pct"/>
          </w:tcPr>
          <w:p w:rsidR="00654B21" w:rsidRDefault="00654B21">
            <w:pPr>
              <w:keepNext/>
              <w:spacing w:before="40" w:after="40"/>
              <w:jc w:val="both"/>
              <w:rPr>
                <w:rFonts w:ascii="Arial Narrow" w:hAnsi="Arial Narrow" w:cs="Arial"/>
                <w:sz w:val="20"/>
                <w:szCs w:val="20"/>
              </w:rPr>
            </w:pPr>
          </w:p>
          <w:p w:rsidR="00654B21" w:rsidRDefault="00654B21">
            <w:pPr>
              <w:keepNext/>
              <w:spacing w:before="40" w:after="40"/>
              <w:jc w:val="both"/>
              <w:rPr>
                <w:rFonts w:ascii="Arial Narrow" w:hAnsi="Arial Narrow" w:cs="Arial"/>
                <w:sz w:val="20"/>
                <w:szCs w:val="20"/>
              </w:rPr>
            </w:pPr>
          </w:p>
          <w:p w:rsidR="00654B21" w:rsidRDefault="00654B21">
            <w:pPr>
              <w:keepNext/>
              <w:spacing w:before="40" w:after="40"/>
              <w:jc w:val="both"/>
              <w:rPr>
                <w:rFonts w:ascii="Arial Narrow" w:hAnsi="Arial Narrow" w:cs="Arial"/>
                <w:sz w:val="20"/>
                <w:szCs w:val="20"/>
              </w:rPr>
            </w:pPr>
          </w:p>
          <w:p w:rsidR="00654B21" w:rsidRDefault="003962FF">
            <w:pPr>
              <w:keepNext/>
              <w:spacing w:before="40" w:after="40"/>
              <w:jc w:val="both"/>
              <w:rPr>
                <w:rFonts w:ascii="Arial Narrow" w:hAnsi="Arial Narrow" w:cs="Arial"/>
                <w:sz w:val="20"/>
                <w:szCs w:val="20"/>
                <w:vertAlign w:val="superscript"/>
              </w:rPr>
            </w:pPr>
            <w:r>
              <w:rPr>
                <w:rFonts w:ascii="Arial Narrow" w:hAnsi="Arial Narrow" w:cs="Arial"/>
                <w:sz w:val="20"/>
                <w:szCs w:val="20"/>
              </w:rPr>
              <w:t>TYR Sphere 20</w:t>
            </w:r>
            <w:r>
              <w:rPr>
                <w:rFonts w:ascii="Arial Narrow" w:hAnsi="Arial Narrow" w:cs="Arial"/>
                <w:sz w:val="20"/>
                <w:szCs w:val="20"/>
                <w:vertAlign w:val="superscript"/>
              </w:rPr>
              <w:t>®</w:t>
            </w:r>
          </w:p>
        </w:tc>
        <w:tc>
          <w:tcPr>
            <w:tcW w:w="1843" w:type="pct"/>
          </w:tcPr>
          <w:p w:rsidR="00654B21" w:rsidRDefault="00654B21">
            <w:pPr>
              <w:keepNext/>
              <w:spacing w:before="40" w:after="40"/>
              <w:jc w:val="both"/>
              <w:rPr>
                <w:rFonts w:ascii="Arial Narrow" w:hAnsi="Arial Narrow" w:cs="Arial"/>
                <w:sz w:val="20"/>
                <w:szCs w:val="20"/>
              </w:rPr>
            </w:pPr>
          </w:p>
          <w:p w:rsidR="00654B21" w:rsidRDefault="00654B21">
            <w:pPr>
              <w:keepNext/>
              <w:spacing w:before="40" w:after="40"/>
              <w:jc w:val="both"/>
              <w:rPr>
                <w:rFonts w:ascii="Arial Narrow" w:hAnsi="Arial Narrow" w:cs="Arial"/>
                <w:sz w:val="20"/>
                <w:szCs w:val="20"/>
              </w:rPr>
            </w:pPr>
          </w:p>
          <w:p w:rsidR="00654B21" w:rsidRDefault="00654B21">
            <w:pPr>
              <w:keepNext/>
              <w:spacing w:before="40" w:after="240"/>
              <w:jc w:val="both"/>
              <w:rPr>
                <w:rFonts w:ascii="Arial Narrow" w:hAnsi="Arial Narrow" w:cs="Arial"/>
                <w:sz w:val="20"/>
                <w:szCs w:val="20"/>
              </w:rPr>
            </w:pPr>
          </w:p>
          <w:p w:rsidR="00654B21" w:rsidRDefault="003962FF">
            <w:pPr>
              <w:keepNext/>
              <w:spacing w:before="40" w:after="40"/>
              <w:jc w:val="both"/>
              <w:rPr>
                <w:rFonts w:ascii="Arial Narrow" w:hAnsi="Arial Narrow" w:cs="Arial"/>
                <w:sz w:val="20"/>
                <w:szCs w:val="20"/>
              </w:rPr>
            </w:pPr>
            <w:r>
              <w:rPr>
                <w:rFonts w:ascii="Arial Narrow" w:hAnsi="Arial Narrow" w:cs="Arial"/>
                <w:sz w:val="20"/>
                <w:szCs w:val="20"/>
              </w:rPr>
              <w:t>Vitaflo Australia Pty Ltd</w:t>
            </w:r>
          </w:p>
        </w:tc>
      </w:tr>
      <w:tr w:rsidR="00654B21">
        <w:trPr>
          <w:cantSplit/>
          <w:trHeight w:val="381"/>
        </w:trPr>
        <w:tc>
          <w:tcPr>
            <w:tcW w:w="5000" w:type="pct"/>
            <w:gridSpan w:val="7"/>
            <w:tcBorders>
              <w:bottom w:val="single" w:sz="4" w:space="0" w:color="auto"/>
            </w:tcBorders>
          </w:tcPr>
          <w:p w:rsidR="00654B21" w:rsidRDefault="00654B21">
            <w:pPr>
              <w:spacing w:before="40" w:after="40"/>
              <w:jc w:val="both"/>
              <w:rPr>
                <w:rFonts w:ascii="Arial Narrow" w:hAnsi="Arial Narrow" w:cs="Arial"/>
                <w:sz w:val="20"/>
                <w:szCs w:val="20"/>
              </w:rPr>
            </w:pPr>
          </w:p>
        </w:tc>
      </w:tr>
      <w:tr w:rsidR="00654B21">
        <w:trPr>
          <w:gridAfter w:val="1"/>
          <w:wAfter w:w="26" w:type="pct"/>
          <w:cantSplit/>
          <w:trHeight w:val="369"/>
        </w:trPr>
        <w:tc>
          <w:tcPr>
            <w:tcW w:w="1530" w:type="pct"/>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b/>
                <w:sz w:val="20"/>
                <w:szCs w:val="20"/>
              </w:rPr>
            </w:pPr>
            <w:r>
              <w:rPr>
                <w:rFonts w:ascii="Arial Narrow" w:hAnsi="Arial Narrow" w:cs="Arial"/>
                <w:b/>
                <w:sz w:val="20"/>
                <w:szCs w:val="20"/>
              </w:rPr>
              <w:t>Category / Program:</w:t>
            </w:r>
          </w:p>
        </w:tc>
        <w:tc>
          <w:tcPr>
            <w:tcW w:w="3444" w:type="pct"/>
            <w:gridSpan w:val="5"/>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sz w:val="20"/>
                <w:szCs w:val="20"/>
              </w:rPr>
            </w:pPr>
            <w:r>
              <w:rPr>
                <w:rFonts w:ascii="Arial Narrow" w:hAnsi="Arial Narrow" w:cs="Arial"/>
                <w:sz w:val="20"/>
                <w:szCs w:val="20"/>
              </w:rPr>
              <w:t>Section 85 – General Schedule</w:t>
            </w:r>
          </w:p>
          <w:p w:rsidR="00654B21" w:rsidRDefault="00654B21">
            <w:pPr>
              <w:jc w:val="both"/>
              <w:rPr>
                <w:rFonts w:ascii="Arial Narrow" w:hAnsi="Arial Narrow" w:cs="Arial"/>
                <w:sz w:val="20"/>
                <w:szCs w:val="20"/>
              </w:rPr>
            </w:pPr>
          </w:p>
        </w:tc>
      </w:tr>
      <w:tr w:rsidR="00654B21">
        <w:trPr>
          <w:gridAfter w:val="1"/>
          <w:wAfter w:w="26" w:type="pct"/>
          <w:cantSplit/>
          <w:trHeight w:val="369"/>
        </w:trPr>
        <w:tc>
          <w:tcPr>
            <w:tcW w:w="1530" w:type="pct"/>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b/>
                <w:sz w:val="20"/>
                <w:szCs w:val="20"/>
              </w:rPr>
            </w:pPr>
            <w:r>
              <w:rPr>
                <w:rFonts w:ascii="Arial Narrow" w:hAnsi="Arial Narrow" w:cs="Arial"/>
                <w:b/>
                <w:sz w:val="20"/>
                <w:szCs w:val="20"/>
              </w:rPr>
              <w:t>Prescriber type:</w:t>
            </w:r>
          </w:p>
          <w:p w:rsidR="00654B21" w:rsidRDefault="00654B21">
            <w:pPr>
              <w:jc w:val="both"/>
              <w:rPr>
                <w:rFonts w:ascii="Arial Narrow" w:hAnsi="Arial Narrow" w:cs="Arial"/>
                <w:b/>
                <w:sz w:val="20"/>
                <w:szCs w:val="20"/>
              </w:rPr>
            </w:pPr>
          </w:p>
        </w:tc>
        <w:tc>
          <w:tcPr>
            <w:tcW w:w="3444" w:type="pct"/>
            <w:gridSpan w:val="5"/>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0D27C2">
              <w:rPr>
                <w:rFonts w:ascii="Arial Narrow" w:hAnsi="Arial Narrow" w:cs="Arial"/>
                <w:sz w:val="20"/>
                <w:szCs w:val="20"/>
              </w:rPr>
            </w:r>
            <w:r w:rsidR="000D27C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D27C2">
              <w:rPr>
                <w:rFonts w:ascii="Arial Narrow" w:hAnsi="Arial Narrow" w:cs="Arial"/>
                <w:sz w:val="20"/>
                <w:szCs w:val="20"/>
              </w:rPr>
            </w:r>
            <w:r w:rsidR="000D27C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0D27C2">
              <w:rPr>
                <w:rFonts w:ascii="Arial Narrow" w:hAnsi="Arial Narrow" w:cs="Arial"/>
                <w:sz w:val="20"/>
                <w:szCs w:val="20"/>
              </w:rPr>
            </w:r>
            <w:r w:rsidR="000D27C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0D27C2">
              <w:rPr>
                <w:rFonts w:ascii="Arial Narrow" w:hAnsi="Arial Narrow" w:cs="Arial"/>
                <w:sz w:val="20"/>
                <w:szCs w:val="20"/>
              </w:rPr>
            </w:r>
            <w:r w:rsidR="000D27C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654B21" w:rsidRDefault="003962FF">
            <w:pPr>
              <w:jc w:val="both"/>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0D27C2">
              <w:rPr>
                <w:rFonts w:ascii="Arial Narrow" w:hAnsi="Arial Narrow" w:cs="Arial"/>
                <w:sz w:val="20"/>
                <w:szCs w:val="20"/>
              </w:rPr>
            </w:r>
            <w:r w:rsidR="000D27C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654B21">
        <w:trPr>
          <w:gridAfter w:val="1"/>
          <w:wAfter w:w="26" w:type="pct"/>
          <w:cantSplit/>
          <w:trHeight w:val="369"/>
        </w:trPr>
        <w:tc>
          <w:tcPr>
            <w:tcW w:w="1530" w:type="pct"/>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b/>
                <w:sz w:val="20"/>
                <w:szCs w:val="20"/>
              </w:rPr>
            </w:pPr>
            <w:r>
              <w:rPr>
                <w:rFonts w:ascii="Arial Narrow" w:hAnsi="Arial Narrow" w:cs="Arial"/>
                <w:b/>
                <w:sz w:val="20"/>
                <w:szCs w:val="20"/>
              </w:rPr>
              <w:t>PBS Indication:</w:t>
            </w:r>
          </w:p>
        </w:tc>
        <w:tc>
          <w:tcPr>
            <w:tcW w:w="3444" w:type="pct"/>
            <w:gridSpan w:val="5"/>
            <w:tcBorders>
              <w:top w:val="single" w:sz="4" w:space="0" w:color="auto"/>
              <w:left w:val="single" w:sz="4" w:space="0" w:color="auto"/>
              <w:bottom w:val="single" w:sz="4" w:space="0" w:color="auto"/>
              <w:right w:val="single" w:sz="4" w:space="0" w:color="auto"/>
            </w:tcBorders>
          </w:tcPr>
          <w:p w:rsidR="00654B21" w:rsidRDefault="003962FF">
            <w:pPr>
              <w:jc w:val="both"/>
              <w:rPr>
                <w:rFonts w:ascii="Arial Narrow" w:hAnsi="Arial Narrow" w:cs="Arial"/>
                <w:sz w:val="20"/>
                <w:szCs w:val="20"/>
              </w:rPr>
            </w:pPr>
            <w:r>
              <w:rPr>
                <w:rFonts w:ascii="Arial Narrow" w:hAnsi="Arial Narrow" w:cs="Arial"/>
                <w:sz w:val="20"/>
                <w:szCs w:val="20"/>
              </w:rPr>
              <w:t>Tyrosinaemia</w:t>
            </w:r>
          </w:p>
        </w:tc>
      </w:tr>
      <w:tr w:rsidR="00654B21">
        <w:trPr>
          <w:gridAfter w:val="1"/>
          <w:wAfter w:w="26" w:type="pct"/>
          <w:cantSplit/>
          <w:trHeight w:val="369"/>
        </w:trPr>
        <w:tc>
          <w:tcPr>
            <w:tcW w:w="1530" w:type="pct"/>
            <w:tcBorders>
              <w:top w:val="single" w:sz="4" w:space="0" w:color="auto"/>
              <w:left w:val="single" w:sz="4" w:space="0" w:color="auto"/>
              <w:bottom w:val="single" w:sz="4" w:space="0" w:color="auto"/>
              <w:right w:val="single" w:sz="4" w:space="0" w:color="auto"/>
            </w:tcBorders>
          </w:tcPr>
          <w:p w:rsidR="00654B21" w:rsidRDefault="003962FF">
            <w:pPr>
              <w:rPr>
                <w:rFonts w:ascii="Arial Narrow" w:hAnsi="Arial Narrow" w:cs="Arial"/>
                <w:b/>
                <w:sz w:val="20"/>
              </w:rPr>
            </w:pPr>
            <w:r>
              <w:rPr>
                <w:rFonts w:ascii="Arial Narrow" w:hAnsi="Arial Narrow" w:cs="Arial"/>
                <w:b/>
                <w:sz w:val="20"/>
              </w:rPr>
              <w:t>Restriction Level / Method:</w:t>
            </w:r>
          </w:p>
          <w:p w:rsidR="00654B21" w:rsidRDefault="00654B21">
            <w:pPr>
              <w:jc w:val="both"/>
              <w:rPr>
                <w:rFonts w:ascii="Arial Narrow" w:hAnsi="Arial Narrow" w:cs="Arial"/>
                <w:b/>
                <w:sz w:val="20"/>
                <w:szCs w:val="20"/>
              </w:rPr>
            </w:pPr>
          </w:p>
        </w:tc>
        <w:tc>
          <w:tcPr>
            <w:tcW w:w="3444" w:type="pct"/>
            <w:gridSpan w:val="5"/>
            <w:tcBorders>
              <w:top w:val="single" w:sz="4" w:space="0" w:color="auto"/>
              <w:left w:val="single" w:sz="4" w:space="0" w:color="auto"/>
              <w:bottom w:val="single" w:sz="4" w:space="0" w:color="auto"/>
              <w:right w:val="single" w:sz="4" w:space="0" w:color="auto"/>
            </w:tcBorders>
          </w:tcPr>
          <w:p w:rsidR="00654B21" w:rsidRDefault="003962FF">
            <w:pPr>
              <w:rPr>
                <w:rFonts w:ascii="Arial Narrow" w:hAnsi="Arial Narrow" w:cs="Arial"/>
                <w:sz w:val="20"/>
              </w:rPr>
            </w:pPr>
            <w:r>
              <w:rPr>
                <w:rFonts w:ascii="Arial Narrow" w:hAnsi="Arial Narrow" w:cs="Arial"/>
                <w:sz w:val="20"/>
              </w:rPr>
              <w:fldChar w:fldCharType="begin">
                <w:ffData>
                  <w:name w:val="Check1"/>
                  <w:enabled/>
                  <w:calcOnExit w:val="0"/>
                  <w:checkBox>
                    <w:sizeAuto/>
                    <w:default w:val="1"/>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Restricted benefit</w:t>
            </w:r>
          </w:p>
          <w:p w:rsidR="00654B21" w:rsidRDefault="003962FF">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In Writing</w:t>
            </w:r>
          </w:p>
          <w:p w:rsidR="00654B21" w:rsidRDefault="003962FF">
            <w:pPr>
              <w:rPr>
                <w:rFonts w:ascii="Arial Narrow" w:hAnsi="Arial Narrow" w:cs="Arial"/>
                <w:sz w:val="20"/>
              </w:rPr>
            </w:pP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Telephone</w:t>
            </w:r>
          </w:p>
          <w:p w:rsidR="00654B21" w:rsidRDefault="003962FF">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Emergency</w:t>
            </w:r>
          </w:p>
          <w:p w:rsidR="00654B21" w:rsidRDefault="003962FF">
            <w:pPr>
              <w:rPr>
                <w:rFonts w:ascii="Arial Narrow" w:hAnsi="Arial Narrow" w:cs="Arial"/>
                <w:sz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Electronic</w:t>
            </w:r>
          </w:p>
          <w:p w:rsidR="00654B21" w:rsidRDefault="003962FF">
            <w:pPr>
              <w:jc w:val="both"/>
              <w:rPr>
                <w:rFonts w:ascii="Arial Narrow" w:hAnsi="Arial Narrow" w:cs="Arial"/>
                <w:sz w:val="20"/>
                <w:szCs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0D27C2">
              <w:rPr>
                <w:rFonts w:ascii="Arial Narrow" w:hAnsi="Arial Narrow" w:cs="Arial"/>
                <w:sz w:val="20"/>
              </w:rPr>
            </w:r>
            <w:r w:rsidR="000D27C2">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Streamlined</w:t>
            </w:r>
          </w:p>
        </w:tc>
      </w:tr>
    </w:tbl>
    <w:p w:rsidR="00654B21" w:rsidRDefault="003962FF" w:rsidP="006E2770">
      <w:pPr>
        <w:pStyle w:val="2Sections"/>
      </w:pPr>
      <w:r>
        <w:t>Context for Decision</w:t>
      </w:r>
    </w:p>
    <w:p w:rsidR="00654B21" w:rsidRDefault="003962FF" w:rsidP="006E2770">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54B21" w:rsidRDefault="003962FF" w:rsidP="006E2770">
      <w:pPr>
        <w:pStyle w:val="2Sections"/>
      </w:pPr>
      <w:r>
        <w:t>Sponsor’s Comment</w:t>
      </w:r>
    </w:p>
    <w:p w:rsidR="00654B21" w:rsidRPr="006E2770" w:rsidRDefault="003B5C4F" w:rsidP="006E2770">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val="en-GB" w:eastAsia="en-US"/>
        </w:rPr>
        <w:t>Vitaflo Australia notes that PBAC has acce</w:t>
      </w:r>
      <w:r w:rsidR="006E2770">
        <w:rPr>
          <w:rFonts w:asciiTheme="minorHAnsi" w:eastAsiaTheme="minorHAnsi" w:hAnsiTheme="minorHAnsi" w:cs="Arial"/>
          <w:bCs/>
          <w:szCs w:val="22"/>
          <w:lang w:val="en-GB" w:eastAsia="en-US"/>
        </w:rPr>
        <w:t>pted the amendments to the PSD.</w:t>
      </w:r>
    </w:p>
    <w:sectPr w:rsidR="00654B21" w:rsidRPr="006E2770">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CEC" w:rsidRDefault="00811CEC">
      <w:r>
        <w:separator/>
      </w:r>
    </w:p>
    <w:p w:rsidR="00811CEC" w:rsidRDefault="00811CEC"/>
  </w:endnote>
  <w:endnote w:type="continuationSeparator" w:id="0">
    <w:p w:rsidR="00811CEC" w:rsidRDefault="00811CEC">
      <w:r>
        <w:continuationSeparator/>
      </w:r>
    </w:p>
    <w:p w:rsidR="00811CEC" w:rsidRDefault="00811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54B21">
      <w:trPr>
        <w:trHeight w:val="151"/>
      </w:trPr>
      <w:tc>
        <w:tcPr>
          <w:tcW w:w="2250" w:type="pct"/>
          <w:tcBorders>
            <w:top w:val="nil"/>
            <w:left w:val="nil"/>
            <w:bottom w:val="single" w:sz="4" w:space="0" w:color="4F81BD"/>
            <w:right w:val="nil"/>
          </w:tcBorders>
        </w:tcPr>
        <w:p w:rsidR="00654B21" w:rsidRDefault="00654B21">
          <w:pPr>
            <w:pStyle w:val="Header"/>
            <w:spacing w:line="276" w:lineRule="auto"/>
            <w:rPr>
              <w:rFonts w:asciiTheme="minorHAnsi" w:eastAsia="MS Gothic" w:hAnsiTheme="minorHAnsi" w:cstheme="minorHAnsi"/>
              <w:b/>
              <w:bCs/>
              <w:color w:val="4F81BD"/>
            </w:rPr>
          </w:pPr>
        </w:p>
      </w:tc>
      <w:tc>
        <w:tcPr>
          <w:tcW w:w="500" w:type="pct"/>
          <w:vMerge w:val="restart"/>
          <w:noWrap/>
          <w:vAlign w:val="center"/>
          <w:hideMark/>
        </w:tcPr>
        <w:p w:rsidR="00654B21" w:rsidRDefault="003962FF">
          <w:pPr>
            <w:pStyle w:val="MediumGrid21"/>
            <w:spacing w:line="276" w:lineRule="auto"/>
            <w:rPr>
              <w:rFonts w:asciiTheme="minorHAnsi" w:hAnsiTheme="minorHAnsi" w:cstheme="minorHAnsi"/>
              <w:color w:val="365F91"/>
              <w:sz w:val="24"/>
              <w:szCs w:val="24"/>
            </w:rPr>
          </w:pPr>
          <w:r>
            <w:rPr>
              <w:rFonts w:asciiTheme="minorHAnsi" w:hAnsiTheme="minorHAnsi" w:cstheme="minorHAnsi"/>
              <w:color w:val="365F91"/>
              <w:sz w:val="24"/>
              <w:szCs w:val="24"/>
            </w:rPr>
            <w:t>[Type text]</w:t>
          </w:r>
        </w:p>
      </w:tc>
      <w:tc>
        <w:tcPr>
          <w:tcW w:w="2250" w:type="pct"/>
          <w:tcBorders>
            <w:top w:val="nil"/>
            <w:left w:val="nil"/>
            <w:bottom w:val="single" w:sz="4" w:space="0" w:color="4F81BD"/>
            <w:right w:val="nil"/>
          </w:tcBorders>
        </w:tcPr>
        <w:p w:rsidR="00654B21" w:rsidRDefault="00654B21">
          <w:pPr>
            <w:pStyle w:val="Header"/>
            <w:spacing w:line="276" w:lineRule="auto"/>
            <w:rPr>
              <w:rFonts w:asciiTheme="minorHAnsi" w:eastAsia="MS Gothic" w:hAnsiTheme="minorHAnsi" w:cstheme="minorHAnsi"/>
              <w:b/>
              <w:bCs/>
              <w:color w:val="4F81BD"/>
            </w:rPr>
          </w:pPr>
        </w:p>
      </w:tc>
    </w:tr>
    <w:tr w:rsidR="00654B21">
      <w:trPr>
        <w:trHeight w:val="150"/>
      </w:trPr>
      <w:tc>
        <w:tcPr>
          <w:tcW w:w="2250" w:type="pct"/>
          <w:tcBorders>
            <w:top w:val="single" w:sz="4" w:space="0" w:color="4F81BD"/>
            <w:left w:val="nil"/>
            <w:bottom w:val="nil"/>
            <w:right w:val="nil"/>
          </w:tcBorders>
        </w:tcPr>
        <w:p w:rsidR="00654B21" w:rsidRDefault="00654B21">
          <w:pPr>
            <w:pStyle w:val="Header"/>
            <w:spacing w:line="276" w:lineRule="auto"/>
            <w:rPr>
              <w:rFonts w:asciiTheme="minorHAnsi" w:eastAsia="MS Gothic" w:hAnsiTheme="minorHAnsi" w:cstheme="minorHAnsi"/>
              <w:b/>
              <w:bCs/>
              <w:color w:val="4F81BD"/>
            </w:rPr>
          </w:pPr>
        </w:p>
      </w:tc>
      <w:tc>
        <w:tcPr>
          <w:tcW w:w="0" w:type="auto"/>
          <w:vMerge/>
          <w:vAlign w:val="center"/>
          <w:hideMark/>
        </w:tcPr>
        <w:p w:rsidR="00654B21" w:rsidRDefault="00654B21">
          <w:pPr>
            <w:rPr>
              <w:rFonts w:asciiTheme="minorHAnsi" w:hAnsiTheme="minorHAnsi" w:cstheme="minorHAnsi"/>
              <w:color w:val="365F91"/>
            </w:rPr>
          </w:pPr>
        </w:p>
      </w:tc>
      <w:tc>
        <w:tcPr>
          <w:tcW w:w="2250" w:type="pct"/>
          <w:tcBorders>
            <w:top w:val="single" w:sz="4" w:space="0" w:color="4F81BD"/>
            <w:left w:val="nil"/>
            <w:bottom w:val="nil"/>
            <w:right w:val="nil"/>
          </w:tcBorders>
        </w:tcPr>
        <w:p w:rsidR="00654B21" w:rsidRDefault="00654B21">
          <w:pPr>
            <w:pStyle w:val="Header"/>
            <w:spacing w:line="276" w:lineRule="auto"/>
            <w:rPr>
              <w:rFonts w:asciiTheme="minorHAnsi" w:eastAsia="MS Gothic" w:hAnsiTheme="minorHAnsi" w:cstheme="minorHAnsi"/>
              <w:b/>
              <w:bCs/>
              <w:color w:val="4F81BD"/>
            </w:rPr>
          </w:pPr>
        </w:p>
      </w:tc>
    </w:tr>
  </w:tbl>
  <w:p w:rsidR="00654B21" w:rsidRDefault="003962FF">
    <w:pPr>
      <w:pStyle w:val="Footer"/>
      <w:framePr w:wrap="around" w:vAnchor="text" w:hAnchor="margin" w:xAlign="center" w:y="1"/>
      <w:rPr>
        <w:rStyle w:val="PageNumber"/>
        <w:rFonts w:asciiTheme="minorHAnsi" w:hAnsiTheme="minorHAnsi" w:cstheme="minorHAnsi"/>
      </w:rPr>
    </w:pPr>
    <w:r>
      <w:rPr>
        <w:rStyle w:val="PageNumber"/>
        <w:rFonts w:asciiTheme="minorHAnsi" w:hAnsiTheme="minorHAnsi" w:cstheme="minorHAnsi"/>
      </w:rPr>
      <w:fldChar w:fldCharType="begin"/>
    </w:r>
    <w:r>
      <w:rPr>
        <w:rStyle w:val="PageNumber"/>
        <w:rFonts w:asciiTheme="minorHAnsi" w:hAnsiTheme="minorHAnsi" w:cstheme="minorHAnsi"/>
      </w:rPr>
      <w:instrText xml:space="preserve">PAGE  </w:instrText>
    </w:r>
    <w:r>
      <w:rPr>
        <w:rStyle w:val="PageNumber"/>
        <w:rFonts w:asciiTheme="minorHAnsi" w:hAnsiTheme="minorHAnsi" w:cstheme="minorHAnsi"/>
      </w:rPr>
      <w:fldChar w:fldCharType="end"/>
    </w:r>
  </w:p>
  <w:p w:rsidR="00654B21" w:rsidRDefault="00654B21">
    <w:pPr>
      <w:pStyle w:val="Footer"/>
      <w:rPr>
        <w:rFonts w:asciiTheme="minorHAnsi" w:hAnsiTheme="minorHAnsi" w:cstheme="minorHAnsi"/>
      </w:rPr>
    </w:pPr>
  </w:p>
  <w:p w:rsidR="00654B21" w:rsidRDefault="00654B21">
    <w:pP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21" w:rsidRDefault="00654B21">
    <w:pPr>
      <w:pStyle w:val="PBACFooter"/>
      <w:rPr>
        <w:rFonts w:asciiTheme="minorHAnsi" w:hAnsiTheme="minorHAnsi" w:cstheme="minorHAnsi"/>
        <w:sz w:val="24"/>
        <w:szCs w:val="24"/>
      </w:rPr>
    </w:pPr>
  </w:p>
  <w:p w:rsidR="00654B21" w:rsidRDefault="003962FF">
    <w:pPr>
      <w:pStyle w:val="Footer"/>
      <w:ind w:left="360"/>
      <w:jc w:val="center"/>
      <w:rPr>
        <w:rFonts w:asciiTheme="minorHAnsi" w:hAnsiTheme="minorHAnsi" w:cstheme="minorHAnsi"/>
        <w:b/>
      </w:rPr>
    </w:pPr>
    <w:r>
      <w:rPr>
        <w:rFonts w:asciiTheme="minorHAnsi" w:hAnsiTheme="minorHAnsi" w:cstheme="minorHAnsi"/>
        <w:b/>
      </w:rPr>
      <w:fldChar w:fldCharType="begin"/>
    </w:r>
    <w:r>
      <w:rPr>
        <w:rFonts w:asciiTheme="minorHAnsi" w:hAnsiTheme="minorHAnsi" w:cstheme="minorHAnsi"/>
        <w:b/>
      </w:rPr>
      <w:instrText xml:space="preserve"> PAGE   \* MERGEFORMAT </w:instrText>
    </w:r>
    <w:r>
      <w:rPr>
        <w:rFonts w:asciiTheme="minorHAnsi" w:hAnsiTheme="minorHAnsi" w:cstheme="minorHAnsi"/>
        <w:b/>
      </w:rPr>
      <w:fldChar w:fldCharType="separate"/>
    </w:r>
    <w:r w:rsidR="000D27C2">
      <w:rPr>
        <w:rFonts w:asciiTheme="minorHAnsi" w:hAnsiTheme="minorHAnsi" w:cstheme="minorHAnsi"/>
        <w:b/>
        <w:noProof/>
      </w:rPr>
      <w:t>3</w:t>
    </w:r>
    <w:r>
      <w:rPr>
        <w:rFonts w:asciiTheme="minorHAnsi" w:hAnsiTheme="minorHAnsi" w:cstheme="minorHAnsi"/>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54B21">
      <w:trPr>
        <w:trHeight w:val="151"/>
      </w:trPr>
      <w:tc>
        <w:tcPr>
          <w:tcW w:w="2250" w:type="pct"/>
          <w:tcBorders>
            <w:top w:val="nil"/>
            <w:left w:val="nil"/>
            <w:bottom w:val="single" w:sz="4" w:space="0" w:color="4F81BD"/>
            <w:right w:val="nil"/>
          </w:tcBorders>
        </w:tcPr>
        <w:p w:rsidR="00654B21" w:rsidRDefault="00654B21">
          <w:pPr>
            <w:pStyle w:val="Header"/>
            <w:spacing w:line="276" w:lineRule="auto"/>
            <w:rPr>
              <w:rFonts w:ascii="Calibri" w:eastAsia="MS Gothic" w:hAnsi="Calibri"/>
              <w:b/>
              <w:bCs/>
              <w:color w:val="4F81BD"/>
            </w:rPr>
          </w:pPr>
        </w:p>
      </w:tc>
      <w:tc>
        <w:tcPr>
          <w:tcW w:w="500" w:type="pct"/>
          <w:vMerge w:val="restart"/>
          <w:noWrap/>
          <w:vAlign w:val="center"/>
          <w:hideMark/>
        </w:tcPr>
        <w:p w:rsidR="00654B21" w:rsidRDefault="003962FF">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654B21" w:rsidRDefault="00654B21">
          <w:pPr>
            <w:pStyle w:val="Header"/>
            <w:spacing w:line="276" w:lineRule="auto"/>
            <w:rPr>
              <w:rFonts w:ascii="Calibri" w:eastAsia="MS Gothic" w:hAnsi="Calibri"/>
              <w:b/>
              <w:bCs/>
              <w:color w:val="4F81BD"/>
            </w:rPr>
          </w:pPr>
        </w:p>
      </w:tc>
    </w:tr>
    <w:tr w:rsidR="00654B21">
      <w:trPr>
        <w:trHeight w:val="150"/>
      </w:trPr>
      <w:tc>
        <w:tcPr>
          <w:tcW w:w="2250" w:type="pct"/>
          <w:tcBorders>
            <w:top w:val="single" w:sz="4" w:space="0" w:color="4F81BD"/>
            <w:left w:val="nil"/>
            <w:bottom w:val="nil"/>
            <w:right w:val="nil"/>
          </w:tcBorders>
        </w:tcPr>
        <w:p w:rsidR="00654B21" w:rsidRDefault="00654B21">
          <w:pPr>
            <w:pStyle w:val="Header"/>
            <w:spacing w:line="276" w:lineRule="auto"/>
            <w:rPr>
              <w:rFonts w:ascii="Calibri" w:eastAsia="MS Gothic" w:hAnsi="Calibri"/>
              <w:b/>
              <w:bCs/>
              <w:color w:val="4F81BD"/>
            </w:rPr>
          </w:pPr>
        </w:p>
      </w:tc>
      <w:tc>
        <w:tcPr>
          <w:tcW w:w="0" w:type="auto"/>
          <w:vMerge/>
          <w:vAlign w:val="center"/>
          <w:hideMark/>
        </w:tcPr>
        <w:p w:rsidR="00654B21" w:rsidRDefault="00654B21">
          <w:pPr>
            <w:rPr>
              <w:rFonts w:ascii="Calibri" w:hAnsi="Calibri"/>
              <w:color w:val="365F91"/>
              <w:sz w:val="22"/>
              <w:szCs w:val="22"/>
            </w:rPr>
          </w:pPr>
        </w:p>
      </w:tc>
      <w:tc>
        <w:tcPr>
          <w:tcW w:w="2250" w:type="pct"/>
          <w:tcBorders>
            <w:top w:val="single" w:sz="4" w:space="0" w:color="4F81BD"/>
            <w:left w:val="nil"/>
            <w:bottom w:val="nil"/>
            <w:right w:val="nil"/>
          </w:tcBorders>
        </w:tcPr>
        <w:p w:rsidR="00654B21" w:rsidRDefault="00654B21">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54B21">
      <w:trPr>
        <w:trHeight w:val="151"/>
      </w:trPr>
      <w:tc>
        <w:tcPr>
          <w:tcW w:w="2250" w:type="pct"/>
          <w:tcBorders>
            <w:top w:val="nil"/>
            <w:left w:val="nil"/>
            <w:bottom w:val="single" w:sz="4" w:space="0" w:color="4F81BD"/>
            <w:right w:val="nil"/>
          </w:tcBorders>
        </w:tcPr>
        <w:p w:rsidR="00654B21" w:rsidRDefault="00654B21">
          <w:pPr>
            <w:pStyle w:val="Header"/>
            <w:spacing w:line="276" w:lineRule="auto"/>
            <w:rPr>
              <w:rFonts w:ascii="Calibri" w:eastAsia="MS Gothic" w:hAnsi="Calibri"/>
              <w:b/>
              <w:bCs/>
              <w:color w:val="4F81BD"/>
            </w:rPr>
          </w:pPr>
        </w:p>
      </w:tc>
      <w:tc>
        <w:tcPr>
          <w:tcW w:w="500" w:type="pct"/>
          <w:vMerge w:val="restart"/>
          <w:noWrap/>
          <w:vAlign w:val="center"/>
          <w:hideMark/>
        </w:tcPr>
        <w:p w:rsidR="00654B21" w:rsidRDefault="003962FF">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654B21" w:rsidRDefault="00654B21">
          <w:pPr>
            <w:pStyle w:val="Header"/>
            <w:spacing w:line="276" w:lineRule="auto"/>
            <w:rPr>
              <w:rFonts w:ascii="Calibri" w:eastAsia="MS Gothic" w:hAnsi="Calibri"/>
              <w:b/>
              <w:bCs/>
              <w:color w:val="4F81BD"/>
            </w:rPr>
          </w:pPr>
        </w:p>
      </w:tc>
    </w:tr>
    <w:tr w:rsidR="00654B21">
      <w:trPr>
        <w:trHeight w:val="150"/>
      </w:trPr>
      <w:tc>
        <w:tcPr>
          <w:tcW w:w="2250" w:type="pct"/>
          <w:tcBorders>
            <w:top w:val="single" w:sz="4" w:space="0" w:color="4F81BD"/>
            <w:left w:val="nil"/>
            <w:bottom w:val="nil"/>
            <w:right w:val="nil"/>
          </w:tcBorders>
        </w:tcPr>
        <w:p w:rsidR="00654B21" w:rsidRDefault="00654B21">
          <w:pPr>
            <w:pStyle w:val="Header"/>
            <w:spacing w:line="276" w:lineRule="auto"/>
            <w:rPr>
              <w:rFonts w:ascii="Calibri" w:eastAsia="MS Gothic" w:hAnsi="Calibri"/>
              <w:b/>
              <w:bCs/>
              <w:color w:val="4F81BD"/>
            </w:rPr>
          </w:pPr>
        </w:p>
      </w:tc>
      <w:tc>
        <w:tcPr>
          <w:tcW w:w="0" w:type="auto"/>
          <w:vMerge/>
          <w:vAlign w:val="center"/>
          <w:hideMark/>
        </w:tcPr>
        <w:p w:rsidR="00654B21" w:rsidRDefault="00654B21">
          <w:pPr>
            <w:rPr>
              <w:rFonts w:ascii="Calibri" w:hAnsi="Calibri"/>
              <w:color w:val="365F91"/>
              <w:sz w:val="22"/>
              <w:szCs w:val="22"/>
            </w:rPr>
          </w:pPr>
        </w:p>
      </w:tc>
      <w:tc>
        <w:tcPr>
          <w:tcW w:w="2250" w:type="pct"/>
          <w:tcBorders>
            <w:top w:val="single" w:sz="4" w:space="0" w:color="4F81BD"/>
            <w:left w:val="nil"/>
            <w:bottom w:val="nil"/>
            <w:right w:val="nil"/>
          </w:tcBorders>
        </w:tcPr>
        <w:p w:rsidR="00654B21" w:rsidRDefault="00654B21">
          <w:pPr>
            <w:pStyle w:val="Header"/>
            <w:spacing w:line="276" w:lineRule="auto"/>
            <w:rPr>
              <w:rFonts w:ascii="Calibri" w:eastAsia="MS Gothic" w:hAnsi="Calibri"/>
              <w:b/>
              <w:bCs/>
              <w:color w:val="4F81BD"/>
            </w:rPr>
          </w:pPr>
        </w:p>
      </w:tc>
    </w:tr>
  </w:tbl>
  <w:p w:rsidR="00654B21" w:rsidRDefault="003962FF">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654B21" w:rsidRDefault="003962FF">
    <w:pPr>
      <w:pStyle w:val="Footer"/>
      <w:jc w:val="center"/>
      <w:rPr>
        <w:b/>
        <w:i/>
        <w:sz w:val="20"/>
        <w:szCs w:val="20"/>
      </w:rPr>
    </w:pPr>
    <w:r>
      <w:rPr>
        <w:b/>
        <w:i/>
        <w:sz w:val="20"/>
        <w:szCs w:val="20"/>
      </w:rPr>
      <w:t>Commercial-in-Confidence</w:t>
    </w:r>
  </w:p>
  <w:p w:rsidR="00654B21" w:rsidRDefault="00654B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CEC" w:rsidRDefault="00811CEC">
      <w:r>
        <w:separator/>
      </w:r>
    </w:p>
    <w:p w:rsidR="00811CEC" w:rsidRDefault="00811CEC"/>
  </w:footnote>
  <w:footnote w:type="continuationSeparator" w:id="0">
    <w:p w:rsidR="00811CEC" w:rsidRDefault="00811CEC">
      <w:r>
        <w:continuationSeparator/>
      </w:r>
    </w:p>
    <w:p w:rsidR="00811CEC" w:rsidRDefault="00811CEC"/>
  </w:footnote>
  <w:footnote w:id="1">
    <w:p w:rsidR="00654B21" w:rsidRDefault="003962FF">
      <w:pPr>
        <w:pStyle w:val="tablenotes"/>
      </w:pPr>
      <w:r>
        <w:rPr>
          <w:rStyle w:val="FootnoteReference"/>
        </w:rPr>
        <w:footnoteRef/>
      </w:r>
      <w:r>
        <w:t xml:space="preserve"> </w:t>
      </w:r>
      <w:r>
        <w:rPr>
          <w:rFonts w:ascii="Arial Narrow" w:hAnsi="Arial Narrow"/>
        </w:rPr>
        <w:t>Based on the 1 May 2019 PBS schedule, Tylactin RTD has an AEMP of $738.00 per pack of 30 cartons each containing 15g of protein equivalent (PE), for a per gram PE price of $1.64. TYR Sphere 20 contains 30 cartons each containing 20g of PE, with a 5% premium on the price per gram PE of $1.64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54B21">
      <w:trPr>
        <w:trHeight w:val="151"/>
      </w:trPr>
      <w:tc>
        <w:tcPr>
          <w:tcW w:w="2389" w:type="pct"/>
          <w:tcBorders>
            <w:top w:val="nil"/>
            <w:left w:val="nil"/>
            <w:bottom w:val="single" w:sz="4" w:space="0" w:color="4F81BD"/>
            <w:right w:val="nil"/>
          </w:tcBorders>
        </w:tcPr>
        <w:p w:rsidR="00654B21" w:rsidRDefault="00654B21">
          <w:pPr>
            <w:pStyle w:val="Header"/>
            <w:spacing w:line="276" w:lineRule="auto"/>
            <w:rPr>
              <w:rFonts w:ascii="Cambria" w:eastAsia="MS Gothic" w:hAnsi="Cambria"/>
              <w:b/>
              <w:bCs/>
              <w:color w:val="4F81BD"/>
            </w:rPr>
          </w:pPr>
        </w:p>
      </w:tc>
      <w:tc>
        <w:tcPr>
          <w:tcW w:w="333" w:type="pct"/>
          <w:vMerge w:val="restart"/>
          <w:noWrap/>
          <w:vAlign w:val="center"/>
          <w:hideMark/>
        </w:tcPr>
        <w:p w:rsidR="00654B21" w:rsidRDefault="003962FF">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654B21" w:rsidRDefault="00654B21">
          <w:pPr>
            <w:pStyle w:val="Header"/>
            <w:spacing w:line="276" w:lineRule="auto"/>
            <w:rPr>
              <w:rFonts w:ascii="Cambria" w:eastAsia="MS Gothic" w:hAnsi="Cambria"/>
              <w:b/>
              <w:bCs/>
              <w:color w:val="4F81BD"/>
            </w:rPr>
          </w:pPr>
        </w:p>
      </w:tc>
    </w:tr>
    <w:tr w:rsidR="00654B21">
      <w:trPr>
        <w:trHeight w:val="150"/>
      </w:trPr>
      <w:tc>
        <w:tcPr>
          <w:tcW w:w="2389" w:type="pct"/>
          <w:tcBorders>
            <w:top w:val="single" w:sz="4" w:space="0" w:color="4F81BD"/>
            <w:left w:val="nil"/>
            <w:bottom w:val="nil"/>
            <w:right w:val="nil"/>
          </w:tcBorders>
        </w:tcPr>
        <w:p w:rsidR="00654B21" w:rsidRDefault="00654B21">
          <w:pPr>
            <w:pStyle w:val="Header"/>
            <w:spacing w:line="276" w:lineRule="auto"/>
            <w:rPr>
              <w:rFonts w:ascii="Cambria" w:eastAsia="MS Gothic" w:hAnsi="Cambria"/>
              <w:b/>
              <w:bCs/>
              <w:color w:val="4F81BD"/>
            </w:rPr>
          </w:pPr>
        </w:p>
      </w:tc>
      <w:tc>
        <w:tcPr>
          <w:tcW w:w="0" w:type="auto"/>
          <w:vMerge/>
          <w:vAlign w:val="center"/>
          <w:hideMark/>
        </w:tcPr>
        <w:p w:rsidR="00654B21" w:rsidRDefault="00654B21">
          <w:pPr>
            <w:rPr>
              <w:rFonts w:ascii="Cambria" w:hAnsi="Cambria"/>
              <w:color w:val="4F81BD"/>
              <w:sz w:val="22"/>
              <w:szCs w:val="22"/>
            </w:rPr>
          </w:pPr>
        </w:p>
      </w:tc>
      <w:tc>
        <w:tcPr>
          <w:tcW w:w="2278" w:type="pct"/>
          <w:tcBorders>
            <w:top w:val="single" w:sz="4" w:space="0" w:color="4F81BD"/>
            <w:left w:val="nil"/>
            <w:bottom w:val="nil"/>
            <w:right w:val="nil"/>
          </w:tcBorders>
        </w:tcPr>
        <w:p w:rsidR="00654B21" w:rsidRDefault="00654B21">
          <w:pPr>
            <w:pStyle w:val="Header"/>
            <w:spacing w:line="276" w:lineRule="auto"/>
            <w:rPr>
              <w:rFonts w:ascii="Cambria" w:eastAsia="MS Gothic" w:hAnsi="Cambria"/>
              <w:b/>
              <w:bCs/>
              <w:color w:val="4F81BD"/>
            </w:rPr>
          </w:pPr>
        </w:p>
      </w:tc>
    </w:tr>
  </w:tbl>
  <w:p w:rsidR="00654B21" w:rsidRDefault="00654B21">
    <w:pPr>
      <w:pStyle w:val="Header"/>
    </w:pPr>
  </w:p>
  <w:p w:rsidR="00654B21" w:rsidRDefault="00654B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21" w:rsidRDefault="003962FF">
    <w:pPr>
      <w:pStyle w:val="Header"/>
      <w:ind w:left="360"/>
      <w:jc w:val="center"/>
      <w:rPr>
        <w:rFonts w:asciiTheme="minorHAnsi" w:hAnsiTheme="minorHAnsi" w:cs="Arial"/>
        <w:i/>
        <w:color w:val="808080"/>
      </w:rPr>
    </w:pPr>
    <w:r>
      <w:rPr>
        <w:rFonts w:asciiTheme="minorHAnsi" w:hAnsiTheme="minorHAnsi" w:cs="Arial"/>
        <w:i/>
        <w:color w:val="808080"/>
      </w:rPr>
      <w:t>Public Summary Document – July 2019 PBAC Meeting</w:t>
    </w:r>
  </w:p>
  <w:p w:rsidR="00654B21" w:rsidRDefault="00654B21">
    <w:pPr>
      <w:pStyle w:val="NoSpacing"/>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B8470D7"/>
    <w:multiLevelType w:val="hybridMultilevel"/>
    <w:tmpl w:val="6E5662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84D033C"/>
    <w:multiLevelType w:val="multilevel"/>
    <w:tmpl w:val="AB6A9B5C"/>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9"/>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9"/>
  </w:num>
  <w:num w:numId="15">
    <w:abstractNumId w:val="19"/>
  </w:num>
  <w:num w:numId="16">
    <w:abstractNumId w:val="19"/>
  </w:num>
  <w:num w:numId="17">
    <w:abstractNumId w:val="17"/>
  </w:num>
  <w:num w:numId="18">
    <w:abstractNumId w:val="18"/>
  </w:num>
  <w:num w:numId="19">
    <w:abstractNumId w:val="19"/>
  </w:num>
  <w:num w:numId="20">
    <w:abstractNumId w:val="15"/>
  </w:num>
  <w:num w:numId="21">
    <w:abstractNumId w:val="16"/>
  </w:num>
  <w:num w:numId="22">
    <w:abstractNumId w:val="5"/>
  </w:num>
  <w:num w:numId="23">
    <w:abstractNumId w:val="2"/>
  </w:num>
  <w:num w:numId="24">
    <w:abstractNumId w:val="9"/>
  </w:num>
  <w:num w:numId="25">
    <w:abstractNumId w:val="19"/>
  </w:num>
  <w:num w:numId="2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21"/>
    <w:rsid w:val="000D27C2"/>
    <w:rsid w:val="003962FF"/>
    <w:rsid w:val="003B5C4F"/>
    <w:rsid w:val="00654B21"/>
    <w:rsid w:val="006E2770"/>
    <w:rsid w:val="00730222"/>
    <w:rsid w:val="0079509F"/>
    <w:rsid w:val="00811CEC"/>
    <w:rsid w:val="00AC3A8B"/>
    <w:rsid w:val="00D45A7F"/>
    <w:rsid w:val="00DC02A5"/>
    <w:rsid w:val="00F55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6353756-926B-433D-8090-96CA7141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customStyle="1" w:styleId="PBSnormal">
    <w:name w:val="PBS normal"/>
    <w:basedOn w:val="Normal"/>
    <w:link w:val="PBSnormalChar"/>
    <w:qFormat/>
    <w:pPr>
      <w:spacing w:before="120" w:after="120" w:line="360" w:lineRule="auto"/>
      <w:jc w:val="both"/>
    </w:pPr>
    <w:rPr>
      <w:rFonts w:ascii="Arial" w:hAnsi="Arial"/>
      <w:sz w:val="22"/>
      <w:szCs w:val="20"/>
    </w:rPr>
  </w:style>
  <w:style w:type="character" w:customStyle="1" w:styleId="PBSnormalChar">
    <w:name w:val="PBS normal Char"/>
    <w:basedOn w:val="DefaultParagraphFont"/>
    <w:link w:val="PBSnormal"/>
    <w:rPr>
      <w:rFonts w:ascii="Arial" w:hAnsi="Arial"/>
      <w:sz w:val="22"/>
    </w:rPr>
  </w:style>
  <w:style w:type="paragraph" w:styleId="Caption">
    <w:name w:val="caption"/>
    <w:basedOn w:val="Normal"/>
    <w:next w:val="Normal"/>
    <w:unhideWhenUsed/>
    <w:qFormat/>
    <w:rPr>
      <w:rFonts w:ascii="Arial Narrow" w:hAnsi="Arial Narrow"/>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CC62-707E-4D75-82DA-4881B640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Author</cp:lastModifiedBy>
  <cp:revision>2</cp:revision>
  <dcterms:created xsi:type="dcterms:W3CDTF">2019-10-17T04:32:00Z</dcterms:created>
  <dcterms:modified xsi:type="dcterms:W3CDTF">2019-10-25T01:03:00Z</dcterms:modified>
</cp:coreProperties>
</file>