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1F" w:rsidRPr="009D61D5" w:rsidRDefault="004B7627" w:rsidP="008E537B">
      <w:pPr>
        <w:pStyle w:val="1-MainHeading"/>
      </w:pPr>
      <w:r w:rsidRPr="009D61D5">
        <w:t>5.04</w:t>
      </w:r>
      <w:r w:rsidR="00B60939" w:rsidRPr="009D61D5">
        <w:tab/>
      </w:r>
      <w:r w:rsidRPr="009D61D5">
        <w:t>INFLUENZA QUADRIVALENT ADJUVANTED VACCINE,</w:t>
      </w:r>
      <w:r w:rsidR="007E78EB" w:rsidRPr="009D61D5">
        <w:t xml:space="preserve"> </w:t>
      </w:r>
      <w:r w:rsidRPr="009D61D5">
        <w:t>Injection 0.5 mL</w:t>
      </w:r>
      <w:r w:rsidR="007E78EB" w:rsidRPr="009D61D5">
        <w:br/>
      </w:r>
      <w:r w:rsidRPr="009D61D5">
        <w:t>Fluad® Quad, and</w:t>
      </w:r>
      <w:r w:rsidR="007E78EB" w:rsidRPr="009D61D5">
        <w:br/>
      </w:r>
      <w:r w:rsidRPr="009D61D5">
        <w:t>INFLUENZA TRIVALENT ADJUVANTED VACCINE,</w:t>
      </w:r>
      <w:r w:rsidR="007E78EB" w:rsidRPr="009D61D5">
        <w:br/>
      </w:r>
      <w:r w:rsidRPr="009D61D5">
        <w:t>Injection 0.5 mL,</w:t>
      </w:r>
      <w:r w:rsidR="007E78EB" w:rsidRPr="009D61D5">
        <w:br/>
      </w:r>
      <w:r w:rsidRPr="009D61D5">
        <w:t>Fluad®,</w:t>
      </w:r>
      <w:r w:rsidR="007E78EB" w:rsidRPr="009D61D5">
        <w:br/>
      </w:r>
      <w:r w:rsidRPr="009D61D5">
        <w:t>Seqirus (Australia) Pty Ltd</w:t>
      </w:r>
    </w:p>
    <w:p w:rsidR="0092001F" w:rsidRPr="009D61D5" w:rsidRDefault="0092001F" w:rsidP="008E537B">
      <w:pPr>
        <w:pStyle w:val="2-SectionHeading"/>
        <w:rPr>
          <w:rFonts w:eastAsiaTheme="majorEastAsia"/>
          <w:caps/>
          <w:snapToGrid/>
        </w:rPr>
      </w:pPr>
      <w:bookmarkStart w:id="0" w:name="_Toc371170699"/>
      <w:bookmarkStart w:id="1" w:name="_Toc9407300"/>
      <w:r w:rsidRPr="009D61D5">
        <w:rPr>
          <w:rFonts w:eastAsiaTheme="majorEastAsia"/>
          <w:snapToGrid/>
        </w:rPr>
        <w:t>Purpose of Application</w:t>
      </w:r>
      <w:bookmarkEnd w:id="0"/>
      <w:bookmarkEnd w:id="1"/>
    </w:p>
    <w:p w:rsidR="00500A18" w:rsidRPr="009D61D5" w:rsidRDefault="00500A18" w:rsidP="00F37302">
      <w:pPr>
        <w:pStyle w:val="3-BodyText"/>
      </w:pPr>
      <w:r w:rsidRPr="009D61D5">
        <w:t>The submission</w:t>
      </w:r>
      <w:r w:rsidR="007961C9" w:rsidRPr="009D61D5">
        <w:t xml:space="preserve"> had two purposes</w:t>
      </w:r>
      <w:r w:rsidRPr="009D61D5">
        <w:t>:</w:t>
      </w:r>
    </w:p>
    <w:p w:rsidR="00D72F46" w:rsidRPr="00D72F46" w:rsidRDefault="00500A18" w:rsidP="00D72F46">
      <w:pPr>
        <w:pStyle w:val="ListParagraph"/>
        <w:widowControl/>
        <w:numPr>
          <w:ilvl w:val="1"/>
          <w:numId w:val="10"/>
        </w:numPr>
        <w:ind w:left="1134" w:hanging="425"/>
      </w:pPr>
      <w:r w:rsidRPr="009D61D5">
        <w:t>An increased price premium for Fluad (</w:t>
      </w:r>
      <w:r w:rsidR="00B3541C" w:rsidRPr="009D61D5">
        <w:t xml:space="preserve">adjuvanted trivalent influenza vaccine; </w:t>
      </w:r>
      <w:r w:rsidRPr="009D61D5">
        <w:t>aTIV) for vaccination against influenza in</w:t>
      </w:r>
      <w:r w:rsidR="00357E99">
        <w:t xml:space="preserve"> adults aged 65 years and above.</w:t>
      </w:r>
      <w:r w:rsidRPr="009D61D5">
        <w:rPr>
          <w:rFonts w:cstheme="minorHAnsi"/>
        </w:rPr>
        <w:t xml:space="preserve"> </w:t>
      </w:r>
      <w:r w:rsidR="00357E99">
        <w:rPr>
          <w:rFonts w:cstheme="minorHAnsi"/>
        </w:rPr>
        <w:t xml:space="preserve">The aTIV </w:t>
      </w:r>
      <w:r w:rsidR="00357E99" w:rsidRPr="009D61D5">
        <w:t>was listed on the National Immunisation Program (NIP)</w:t>
      </w:r>
      <w:r w:rsidRPr="009D61D5">
        <w:rPr>
          <w:rFonts w:cstheme="minorHAnsi"/>
        </w:rPr>
        <w:t xml:space="preserve"> following a PBAC recommendation in March 2018 on a cost-minimisation basis compared to </w:t>
      </w:r>
      <w:r w:rsidR="005C6678" w:rsidRPr="009D61D5">
        <w:rPr>
          <w:rFonts w:cstheme="minorHAnsi"/>
        </w:rPr>
        <w:t xml:space="preserve">currently NIP-listed </w:t>
      </w:r>
      <w:r w:rsidR="00E1284B" w:rsidRPr="009D61D5">
        <w:rPr>
          <w:rFonts w:cstheme="minorHAnsi"/>
        </w:rPr>
        <w:t>quadrivalent influenza vaccines (</w:t>
      </w:r>
      <w:r w:rsidR="00105BA6" w:rsidRPr="009D61D5">
        <w:rPr>
          <w:rFonts w:cstheme="minorHAnsi"/>
        </w:rPr>
        <w:t>QIVs</w:t>
      </w:r>
      <w:r w:rsidR="00E1284B" w:rsidRPr="009D61D5">
        <w:rPr>
          <w:rFonts w:cstheme="minorHAnsi"/>
        </w:rPr>
        <w:t>)</w:t>
      </w:r>
      <w:r w:rsidRPr="009D61D5">
        <w:rPr>
          <w:rFonts w:cstheme="minorHAnsi"/>
        </w:rPr>
        <w:t>.</w:t>
      </w:r>
    </w:p>
    <w:p w:rsidR="000C2DB5" w:rsidRDefault="002267F2" w:rsidP="000C2DB5">
      <w:pPr>
        <w:pStyle w:val="ListParagraph"/>
        <w:widowControl/>
        <w:numPr>
          <w:ilvl w:val="1"/>
          <w:numId w:val="10"/>
        </w:numPr>
        <w:ind w:left="1134" w:hanging="425"/>
      </w:pPr>
      <w:r w:rsidRPr="009D61D5">
        <w:t xml:space="preserve">NIP listing </w:t>
      </w:r>
      <w:r w:rsidR="00500A18" w:rsidRPr="009D61D5">
        <w:t>of</w:t>
      </w:r>
      <w:r w:rsidRPr="009D61D5">
        <w:t xml:space="preserve"> Fluad Quad (</w:t>
      </w:r>
      <w:r w:rsidR="00B3541C" w:rsidRPr="009D61D5">
        <w:t xml:space="preserve">adjuvanted quadrivalent influenza vaccine; </w:t>
      </w:r>
      <w:r w:rsidRPr="009D61D5">
        <w:t>aQIV) for vaccination against influenza</w:t>
      </w:r>
      <w:r w:rsidR="00500A18" w:rsidRPr="009D61D5">
        <w:t xml:space="preserve"> in adults aged 65 years and above</w:t>
      </w:r>
      <w:r w:rsidRPr="009D61D5">
        <w:t xml:space="preserve">. </w:t>
      </w:r>
      <w:r w:rsidR="00357E99" w:rsidRPr="00357E99">
        <w:t xml:space="preserve">The aQIV is not yet TGA registered and is not expecting a Delegate’s Overview until </w:t>
      </w:r>
      <w:r w:rsidR="00920374">
        <w:t>August</w:t>
      </w:r>
      <w:r w:rsidR="00920374" w:rsidRPr="00357E99">
        <w:t xml:space="preserve"> </w:t>
      </w:r>
      <w:r w:rsidR="00A17D90">
        <w:t>2019.</w:t>
      </w:r>
    </w:p>
    <w:p w:rsidR="000C2DB5" w:rsidRPr="000C2DB5" w:rsidRDefault="000C2DB5" w:rsidP="00F37302">
      <w:pPr>
        <w:pStyle w:val="ListParagraph"/>
        <w:keepNext/>
        <w:widowControl/>
        <w:numPr>
          <w:ilvl w:val="1"/>
          <w:numId w:val="39"/>
        </w:numPr>
        <w:ind w:left="709" w:hanging="709"/>
      </w:pPr>
      <w:r w:rsidRPr="000C2DB5">
        <w:t>The basis for increasing the price of aTIV (Fluad) was a claim of superiority of aTIV (Fluad) over QIV, supported by a cost-utility analysis. The basis for listing aQIV (Fluad Quad) on the NIP was a claim of non-inferiority of aQIV (Fluad Quad) over aTIV (</w:t>
      </w:r>
      <w:r w:rsidR="008E537B">
        <w:t>Fluad).</w:t>
      </w:r>
      <w:bookmarkStart w:id="2" w:name="_GoBack"/>
      <w:bookmarkEnd w:id="2"/>
    </w:p>
    <w:p w:rsidR="004F2EEA" w:rsidRDefault="004F2EEA">
      <w:pPr>
        <w:rPr>
          <w:rFonts w:ascii="Arial Narrow" w:eastAsiaTheme="majorEastAsia" w:hAnsi="Arial Narrow" w:cstheme="majorBidi"/>
          <w:b/>
          <w:bCs/>
          <w:sz w:val="22"/>
        </w:rPr>
      </w:pPr>
    </w:p>
    <w:p w:rsidR="009D601E" w:rsidRDefault="009D601E">
      <w:pPr>
        <w:rPr>
          <w:rFonts w:ascii="Arial Narrow" w:eastAsiaTheme="majorEastAsia" w:hAnsi="Arial Narrow" w:cstheme="majorBidi"/>
          <w:b/>
          <w:bCs/>
          <w:sz w:val="20"/>
        </w:rPr>
      </w:pPr>
      <w:r>
        <w:br w:type="page"/>
      </w:r>
    </w:p>
    <w:p w:rsidR="004F2EEA" w:rsidRDefault="004F2EEA" w:rsidP="004F2EEA">
      <w:pPr>
        <w:pStyle w:val="TableFigureHeading"/>
      </w:pPr>
      <w:r>
        <w:lastRenderedPageBreak/>
        <w:t xml:space="preserve">Table </w:t>
      </w:r>
      <w:fldSimple w:instr=" SEQ Table \* ARABIC ">
        <w:r w:rsidR="009C284C">
          <w:rPr>
            <w:noProof/>
          </w:rPr>
          <w:t>1</w:t>
        </w:r>
      </w:fldSimple>
      <w:r w:rsidRPr="004F49F8">
        <w:t>: Key components of the clinical issue addressed by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Key components of the clinical issue addressed by the submission"/>
      </w:tblPr>
      <w:tblGrid>
        <w:gridCol w:w="1129"/>
        <w:gridCol w:w="7938"/>
      </w:tblGrid>
      <w:tr w:rsidR="002267F2" w:rsidRPr="009D61D5" w:rsidTr="008D4B26">
        <w:trPr>
          <w:tblHeader/>
        </w:trPr>
        <w:tc>
          <w:tcPr>
            <w:tcW w:w="1129" w:type="dxa"/>
            <w:vAlign w:val="center"/>
          </w:tcPr>
          <w:p w:rsidR="002267F2" w:rsidRPr="009D61D5" w:rsidRDefault="002267F2" w:rsidP="00A00426">
            <w:pPr>
              <w:pStyle w:val="Tabletext"/>
              <w:rPr>
                <w:b/>
              </w:rPr>
            </w:pPr>
            <w:r w:rsidRPr="009D61D5">
              <w:rPr>
                <w:b/>
              </w:rPr>
              <w:t>Component</w:t>
            </w:r>
          </w:p>
        </w:tc>
        <w:tc>
          <w:tcPr>
            <w:tcW w:w="7938" w:type="dxa"/>
            <w:vAlign w:val="center"/>
          </w:tcPr>
          <w:p w:rsidR="002267F2" w:rsidRPr="009D61D5" w:rsidRDefault="002267F2" w:rsidP="00A00426">
            <w:pPr>
              <w:pStyle w:val="Tabletext"/>
              <w:jc w:val="center"/>
              <w:rPr>
                <w:b/>
              </w:rPr>
            </w:pPr>
            <w:r w:rsidRPr="009D61D5">
              <w:rPr>
                <w:b/>
              </w:rPr>
              <w:t>Description</w:t>
            </w:r>
          </w:p>
        </w:tc>
      </w:tr>
      <w:tr w:rsidR="002267F2" w:rsidRPr="009D61D5" w:rsidTr="008D4B26">
        <w:trPr>
          <w:tblHeader/>
        </w:trPr>
        <w:tc>
          <w:tcPr>
            <w:tcW w:w="1129" w:type="dxa"/>
            <w:vAlign w:val="center"/>
          </w:tcPr>
          <w:p w:rsidR="002267F2" w:rsidRPr="009D61D5" w:rsidRDefault="002267F2" w:rsidP="00A00426">
            <w:pPr>
              <w:pStyle w:val="Tabletext"/>
            </w:pPr>
            <w:r w:rsidRPr="009D61D5">
              <w:t>Population</w:t>
            </w:r>
          </w:p>
        </w:tc>
        <w:tc>
          <w:tcPr>
            <w:tcW w:w="7938" w:type="dxa"/>
            <w:vAlign w:val="center"/>
          </w:tcPr>
          <w:p w:rsidR="002267F2" w:rsidRPr="009D61D5" w:rsidRDefault="002267F2" w:rsidP="00A00426">
            <w:pPr>
              <w:pStyle w:val="Tabletext"/>
            </w:pPr>
            <w:r w:rsidRPr="009D61D5">
              <w:t>All persons aged ≥ 65 years of age</w:t>
            </w:r>
          </w:p>
        </w:tc>
      </w:tr>
      <w:tr w:rsidR="002267F2" w:rsidRPr="009D61D5" w:rsidTr="008D4B26">
        <w:trPr>
          <w:tblHeader/>
        </w:trPr>
        <w:tc>
          <w:tcPr>
            <w:tcW w:w="1129" w:type="dxa"/>
            <w:vAlign w:val="center"/>
          </w:tcPr>
          <w:p w:rsidR="002267F2" w:rsidRPr="009D61D5" w:rsidRDefault="002267F2" w:rsidP="00A00426">
            <w:pPr>
              <w:pStyle w:val="Tabletext"/>
            </w:pPr>
            <w:r w:rsidRPr="009D61D5">
              <w:t>Intervention</w:t>
            </w:r>
          </w:p>
        </w:tc>
        <w:tc>
          <w:tcPr>
            <w:tcW w:w="7938" w:type="dxa"/>
            <w:vAlign w:val="center"/>
          </w:tcPr>
          <w:p w:rsidR="002267F2" w:rsidRPr="009D61D5" w:rsidRDefault="002267F2" w:rsidP="00A00426">
            <w:pPr>
              <w:pStyle w:val="Tabletext"/>
            </w:pPr>
            <w:r w:rsidRPr="009D61D5">
              <w:t>Two interventions</w:t>
            </w:r>
          </w:p>
          <w:p w:rsidR="002267F2" w:rsidRPr="009D61D5" w:rsidRDefault="002267F2" w:rsidP="002B64BD">
            <w:pPr>
              <w:pStyle w:val="Tabletext"/>
              <w:numPr>
                <w:ilvl w:val="0"/>
                <w:numId w:val="2"/>
              </w:numPr>
              <w:ind w:left="357" w:hanging="357"/>
            </w:pPr>
            <w:r w:rsidRPr="009D61D5">
              <w:t>Annual, single dose of aTIV</w:t>
            </w:r>
            <w:r w:rsidR="001F3FC5" w:rsidRPr="009D61D5">
              <w:t xml:space="preserve"> (</w:t>
            </w:r>
            <w:r w:rsidRPr="009D61D5">
              <w:t xml:space="preserve">Fluad). Contained within each </w:t>
            </w:r>
            <w:r w:rsidRPr="009D61D5">
              <w:rPr>
                <w:lang w:val="en-US"/>
              </w:rPr>
              <w:t>0.5mL dose is 15 mcg haemagglutinin for each AH1N1 and A/H3N2 stain, in addition to one B lineage. The adjuvant component is MF59C.1 squalene.</w:t>
            </w:r>
          </w:p>
          <w:p w:rsidR="002267F2" w:rsidRPr="009D61D5" w:rsidRDefault="002267F2" w:rsidP="002B64BD">
            <w:pPr>
              <w:pStyle w:val="Tabletext"/>
              <w:numPr>
                <w:ilvl w:val="0"/>
                <w:numId w:val="2"/>
              </w:numPr>
              <w:ind w:left="357" w:hanging="357"/>
            </w:pPr>
            <w:r w:rsidRPr="009D61D5">
              <w:t>Annual, single dose of aQIV</w:t>
            </w:r>
            <w:r w:rsidR="001F3FC5" w:rsidRPr="009D61D5">
              <w:t xml:space="preserve"> (</w:t>
            </w:r>
            <w:r w:rsidRPr="009D61D5">
              <w:t xml:space="preserve">Fluad Quad). Contained within each </w:t>
            </w:r>
            <w:r w:rsidRPr="009D61D5">
              <w:rPr>
                <w:lang w:val="en-US"/>
              </w:rPr>
              <w:t>0.5mL dose is 15 mcg haemagglutinin for each AH1N1 and A/H3N2 strain, in addition to two B lineages. The adjuvant component is MF59C.1 squalene.</w:t>
            </w:r>
          </w:p>
        </w:tc>
      </w:tr>
      <w:tr w:rsidR="002267F2" w:rsidRPr="009D61D5" w:rsidTr="008D4B26">
        <w:trPr>
          <w:tblHeader/>
        </w:trPr>
        <w:tc>
          <w:tcPr>
            <w:tcW w:w="1129" w:type="dxa"/>
            <w:vAlign w:val="center"/>
          </w:tcPr>
          <w:p w:rsidR="002267F2" w:rsidRPr="009D61D5" w:rsidRDefault="002267F2" w:rsidP="00A00426">
            <w:pPr>
              <w:pStyle w:val="Tabletext"/>
            </w:pPr>
            <w:r w:rsidRPr="009D61D5">
              <w:t>Comparator</w:t>
            </w:r>
          </w:p>
        </w:tc>
        <w:tc>
          <w:tcPr>
            <w:tcW w:w="7938" w:type="dxa"/>
            <w:vAlign w:val="center"/>
          </w:tcPr>
          <w:p w:rsidR="001F3FC5" w:rsidRPr="009D61D5" w:rsidRDefault="001F3FC5" w:rsidP="002B64BD">
            <w:pPr>
              <w:pStyle w:val="Tabletext"/>
              <w:numPr>
                <w:ilvl w:val="0"/>
                <w:numId w:val="3"/>
              </w:numPr>
              <w:ind w:left="357" w:hanging="357"/>
            </w:pPr>
            <w:r w:rsidRPr="009D61D5">
              <w:t xml:space="preserve">aTIV (Fluad) was compared </w:t>
            </w:r>
            <w:r w:rsidR="00E25D9D" w:rsidRPr="009D61D5">
              <w:t xml:space="preserve">to </w:t>
            </w:r>
            <w:r w:rsidRPr="009D61D5">
              <w:t>existing non-adjuvanted QIVs (Afluria Quad, FluQuadri and Fluarix Tetra).</w:t>
            </w:r>
            <w:r w:rsidR="00F90E6A" w:rsidRPr="009D61D5">
              <w:t xml:space="preserve"> </w:t>
            </w:r>
          </w:p>
          <w:p w:rsidR="002267F2" w:rsidRPr="009D61D5" w:rsidRDefault="001F3FC5" w:rsidP="002B64BD">
            <w:pPr>
              <w:pStyle w:val="Tabletext"/>
              <w:numPr>
                <w:ilvl w:val="0"/>
                <w:numId w:val="3"/>
              </w:numPr>
              <w:ind w:left="357" w:hanging="357"/>
            </w:pPr>
            <w:r w:rsidRPr="009D61D5">
              <w:t xml:space="preserve">aQIV (Fluad Quad) was compared </w:t>
            </w:r>
            <w:r w:rsidR="00E25D9D" w:rsidRPr="009D61D5">
              <w:t xml:space="preserve">to </w:t>
            </w:r>
            <w:r w:rsidRPr="009D61D5">
              <w:t>aTIV (Fluad).</w:t>
            </w:r>
          </w:p>
        </w:tc>
      </w:tr>
      <w:tr w:rsidR="002267F2" w:rsidRPr="009D61D5" w:rsidTr="008D4B26">
        <w:trPr>
          <w:tblHeader/>
        </w:trPr>
        <w:tc>
          <w:tcPr>
            <w:tcW w:w="1129" w:type="dxa"/>
            <w:vAlign w:val="center"/>
          </w:tcPr>
          <w:p w:rsidR="002267F2" w:rsidRPr="009D61D5" w:rsidRDefault="002267F2" w:rsidP="00A00426">
            <w:pPr>
              <w:pStyle w:val="Tabletext"/>
            </w:pPr>
            <w:r w:rsidRPr="009D61D5">
              <w:t>Outcomes</w:t>
            </w:r>
          </w:p>
        </w:tc>
        <w:tc>
          <w:tcPr>
            <w:tcW w:w="7938" w:type="dxa"/>
            <w:vAlign w:val="center"/>
          </w:tcPr>
          <w:p w:rsidR="002267F2" w:rsidRPr="009D61D5" w:rsidRDefault="002267F2" w:rsidP="002B64BD">
            <w:pPr>
              <w:pStyle w:val="Tabletext"/>
              <w:numPr>
                <w:ilvl w:val="0"/>
                <w:numId w:val="4"/>
              </w:numPr>
              <w:ind w:left="357" w:hanging="357"/>
            </w:pPr>
            <w:r w:rsidRPr="009D61D5">
              <w:t>Hospitalisations for pneumonia and influenza</w:t>
            </w:r>
          </w:p>
          <w:p w:rsidR="002267F2" w:rsidRPr="009D61D5" w:rsidRDefault="002267F2" w:rsidP="002B64BD">
            <w:pPr>
              <w:pStyle w:val="Tabletext"/>
              <w:numPr>
                <w:ilvl w:val="0"/>
                <w:numId w:val="4"/>
              </w:numPr>
              <w:ind w:left="357" w:hanging="357"/>
            </w:pPr>
            <w:r w:rsidRPr="009D61D5">
              <w:rPr>
                <w:lang w:val="en-US"/>
              </w:rPr>
              <w:t>Immunogenicity</w:t>
            </w:r>
          </w:p>
        </w:tc>
      </w:tr>
      <w:tr w:rsidR="002267F2" w:rsidRPr="009D61D5" w:rsidTr="008D4B26">
        <w:trPr>
          <w:tblHeader/>
        </w:trPr>
        <w:tc>
          <w:tcPr>
            <w:tcW w:w="1129" w:type="dxa"/>
            <w:vAlign w:val="center"/>
          </w:tcPr>
          <w:p w:rsidR="002267F2" w:rsidRPr="009D61D5" w:rsidRDefault="002267F2" w:rsidP="00A00426">
            <w:pPr>
              <w:pStyle w:val="Tabletext"/>
            </w:pPr>
            <w:r w:rsidRPr="009D61D5">
              <w:t>Clinical claims</w:t>
            </w:r>
          </w:p>
        </w:tc>
        <w:tc>
          <w:tcPr>
            <w:tcW w:w="7938" w:type="dxa"/>
            <w:vAlign w:val="center"/>
          </w:tcPr>
          <w:p w:rsidR="001C2A02" w:rsidRPr="009D61D5" w:rsidRDefault="00992E06" w:rsidP="002B64BD">
            <w:pPr>
              <w:pStyle w:val="Tabletext"/>
              <w:numPr>
                <w:ilvl w:val="0"/>
                <w:numId w:val="11"/>
              </w:numPr>
              <w:rPr>
                <w:u w:val="single"/>
              </w:rPr>
            </w:pPr>
            <w:r w:rsidRPr="009D61D5">
              <w:rPr>
                <w:u w:val="single"/>
              </w:rPr>
              <w:t>aTIV (Fluad) compared to QIV</w:t>
            </w:r>
          </w:p>
          <w:p w:rsidR="002267F2" w:rsidRPr="009D61D5" w:rsidRDefault="002267F2" w:rsidP="002B64BD">
            <w:pPr>
              <w:pStyle w:val="Tabletext"/>
              <w:numPr>
                <w:ilvl w:val="1"/>
                <w:numId w:val="11"/>
              </w:numPr>
            </w:pPr>
            <w:r w:rsidRPr="009D61D5">
              <w:t xml:space="preserve">aTIV (Fluad) </w:t>
            </w:r>
            <w:r w:rsidR="0050540B" w:rsidRPr="009D61D5">
              <w:t>versus</w:t>
            </w:r>
            <w:r w:rsidRPr="009D61D5">
              <w:t xml:space="preserve"> TIV</w:t>
            </w:r>
            <w:r w:rsidRPr="009D61D5">
              <w:br/>
              <w:t xml:space="preserve">”Fluad (aTIV) is superior to non-adjuvanted TIV in effectiveness against clinically relevant outcomes” </w:t>
            </w:r>
          </w:p>
          <w:p w:rsidR="002267F2" w:rsidRPr="009D61D5" w:rsidRDefault="002267F2" w:rsidP="002B64BD">
            <w:pPr>
              <w:pStyle w:val="Tabletext"/>
              <w:numPr>
                <w:ilvl w:val="1"/>
                <w:numId w:val="11"/>
              </w:numPr>
            </w:pPr>
            <w:r w:rsidRPr="009D61D5">
              <w:t xml:space="preserve">aTIV (Fluad) </w:t>
            </w:r>
            <w:r w:rsidR="0050540B" w:rsidRPr="009D61D5">
              <w:t xml:space="preserve">versus </w:t>
            </w:r>
            <w:r w:rsidRPr="009D61D5">
              <w:t>QIVs (Afluria Quad, FluQuadri and Fluarix Tetra)</w:t>
            </w:r>
            <w:r w:rsidRPr="009D61D5">
              <w:br/>
              <w:t xml:space="preserve">“… </w:t>
            </w:r>
            <w:r w:rsidRPr="009D61D5">
              <w:rPr>
                <w:szCs w:val="20"/>
              </w:rPr>
              <w:t xml:space="preserve">the superiority claim [of aTIV over TIV] </w:t>
            </w:r>
            <w:r w:rsidR="002977ED" w:rsidRPr="009D61D5">
              <w:rPr>
                <w:szCs w:val="20"/>
              </w:rPr>
              <w:t xml:space="preserve">is proposed to </w:t>
            </w:r>
            <w:r w:rsidRPr="009D61D5">
              <w:rPr>
                <w:szCs w:val="20"/>
              </w:rPr>
              <w:t xml:space="preserve">extend to non-adjuvanted QIV where there is a strain match”. </w:t>
            </w:r>
          </w:p>
          <w:p w:rsidR="001C2A02" w:rsidRPr="009D61D5" w:rsidRDefault="00992E06" w:rsidP="002B64BD">
            <w:pPr>
              <w:pStyle w:val="Tabletext"/>
              <w:numPr>
                <w:ilvl w:val="0"/>
                <w:numId w:val="11"/>
              </w:numPr>
              <w:rPr>
                <w:u w:val="single"/>
              </w:rPr>
            </w:pPr>
            <w:r w:rsidRPr="009D61D5">
              <w:rPr>
                <w:u w:val="single"/>
              </w:rPr>
              <w:t>aQIV (Fluad Quad) compared to aTIV (Fluad)</w:t>
            </w:r>
          </w:p>
          <w:p w:rsidR="002267F2" w:rsidRPr="009D61D5" w:rsidRDefault="002267F2" w:rsidP="002B64BD">
            <w:pPr>
              <w:pStyle w:val="Tabletext"/>
              <w:numPr>
                <w:ilvl w:val="1"/>
                <w:numId w:val="11"/>
              </w:numPr>
            </w:pPr>
            <w:r w:rsidRPr="009D61D5">
              <w:t xml:space="preserve">aQIV (Fluad Quad) </w:t>
            </w:r>
            <w:r w:rsidR="0050540B" w:rsidRPr="009D61D5">
              <w:t xml:space="preserve">versus </w:t>
            </w:r>
            <w:r w:rsidRPr="009D61D5">
              <w:t>aTIV (Fluad)</w:t>
            </w:r>
            <w:r w:rsidRPr="009D61D5">
              <w:br/>
              <w:t>“Fluad Quad (aQIV) is non-inferior to Fluad (aTIV) in immunogenicity measures for A/H1N1, A/H3N2 and the included B/ Victoria and B/Yamagata strains”</w:t>
            </w:r>
          </w:p>
          <w:p w:rsidR="00253616" w:rsidRPr="009D61D5" w:rsidRDefault="00253616" w:rsidP="00A00426">
            <w:pPr>
              <w:pStyle w:val="Tabletext"/>
            </w:pPr>
          </w:p>
          <w:p w:rsidR="00253616" w:rsidRPr="009D61D5" w:rsidRDefault="00253616" w:rsidP="00A00426">
            <w:pPr>
              <w:pStyle w:val="Tabletext"/>
              <w:rPr>
                <w:u w:val="single"/>
              </w:rPr>
            </w:pPr>
            <w:r w:rsidRPr="009D61D5">
              <w:t xml:space="preserve">Additional claim: </w:t>
            </w:r>
            <w:r w:rsidR="002267F2" w:rsidRPr="009D61D5">
              <w:rPr>
                <w:u w:val="single"/>
              </w:rPr>
              <w:t xml:space="preserve">aQIV (Fluad Quad) </w:t>
            </w:r>
            <w:r w:rsidR="00E25D9D" w:rsidRPr="009D61D5">
              <w:rPr>
                <w:u w:val="single"/>
              </w:rPr>
              <w:t xml:space="preserve">compared </w:t>
            </w:r>
            <w:r w:rsidR="002267F2" w:rsidRPr="009D61D5">
              <w:rPr>
                <w:u w:val="single"/>
              </w:rPr>
              <w:t xml:space="preserve">to QIV </w:t>
            </w:r>
          </w:p>
          <w:p w:rsidR="002267F2" w:rsidRPr="009D61D5" w:rsidRDefault="00EC2291" w:rsidP="00A00426">
            <w:pPr>
              <w:pStyle w:val="Tabletext"/>
            </w:pPr>
            <w:r w:rsidRPr="009D61D5">
              <w:t xml:space="preserve"> </w:t>
            </w:r>
            <w:r w:rsidR="002267F2" w:rsidRPr="009D61D5">
              <w:t>“By extension, Fluad Quad (aQIV) is superior to non-adjuvanted QIV in effectiveness against clinically relevant outcomes</w:t>
            </w:r>
            <w:r w:rsidR="002267F2" w:rsidRPr="009D61D5">
              <w:rPr>
                <w:rFonts w:eastAsiaTheme="majorEastAsia" w:cstheme="majorBidi"/>
                <w:lang w:bidi="en-US"/>
              </w:rPr>
              <w:t xml:space="preserve">” </w:t>
            </w:r>
          </w:p>
        </w:tc>
      </w:tr>
    </w:tbl>
    <w:p w:rsidR="00160087" w:rsidRPr="009D61D5" w:rsidRDefault="00160087" w:rsidP="006E713E">
      <w:pPr>
        <w:pStyle w:val="TableFigureFooter"/>
      </w:pPr>
      <w:r w:rsidRPr="009D61D5">
        <w:t xml:space="preserve">aTIV: adjuvanted trivalent influenza vaccine; TIV: trivalent influenza vaccine (non-adjuvanted); aQIV: adjuvanted quadrivalent influenza vaccine; QIV: quadrivalent influenza vaccine (non-adjuvanted) </w:t>
      </w:r>
    </w:p>
    <w:p w:rsidR="002267F2" w:rsidRDefault="002267F2" w:rsidP="00BF039E">
      <w:pPr>
        <w:pStyle w:val="TableFigureFooter"/>
      </w:pPr>
      <w:r w:rsidRPr="009D61D5">
        <w:t xml:space="preserve">Source: </w:t>
      </w:r>
      <w:r w:rsidR="00BF039E">
        <w:t>Compiled during the evaluation.</w:t>
      </w:r>
    </w:p>
    <w:p w:rsidR="00BF039E" w:rsidRDefault="00BF039E" w:rsidP="00BF039E">
      <w:pPr>
        <w:pStyle w:val="TableFigureFooter"/>
      </w:pPr>
    </w:p>
    <w:p w:rsidR="001C4E56" w:rsidRPr="008E537B" w:rsidRDefault="008D1EF4" w:rsidP="00A00426">
      <w:pPr>
        <w:rPr>
          <w:i/>
        </w:rPr>
      </w:pPr>
      <w:r w:rsidRPr="008E537B">
        <w:rPr>
          <w:i/>
        </w:rPr>
        <w:t>For more detail on PBAC’s view, see section 7 PBAC outcome.</w:t>
      </w:r>
    </w:p>
    <w:p w:rsidR="002267F2" w:rsidRPr="009D61D5" w:rsidRDefault="002267F2" w:rsidP="008E537B">
      <w:pPr>
        <w:pStyle w:val="2-SectionHeading"/>
        <w:rPr>
          <w:rFonts w:eastAsiaTheme="majorEastAsia"/>
          <w:caps/>
          <w:snapToGrid/>
        </w:rPr>
      </w:pPr>
      <w:bookmarkStart w:id="3" w:name="_Toc9407301"/>
      <w:r w:rsidRPr="009D61D5">
        <w:rPr>
          <w:rFonts w:eastAsiaTheme="majorEastAsia"/>
          <w:snapToGrid/>
        </w:rPr>
        <w:t>Requested listing</w:t>
      </w:r>
      <w:bookmarkEnd w:id="3"/>
    </w:p>
    <w:p w:rsidR="002267F2" w:rsidRPr="009D61D5" w:rsidRDefault="002267F2" w:rsidP="00A00426">
      <w:pPr>
        <w:pStyle w:val="TableHeader"/>
        <w:keepNext/>
        <w:rPr>
          <w:rFonts w:ascii="Arial Narrow" w:hAnsi="Arial Narrow"/>
        </w:rPr>
      </w:pPr>
      <w:r w:rsidRPr="009D61D5">
        <w:rPr>
          <w:rFonts w:ascii="Arial Narrow" w:hAnsi="Arial Narrow"/>
        </w:rPr>
        <w:t>Essential elements of the requested listing of aTIV (Fluad)</w:t>
      </w:r>
      <w:r w:rsidR="00F577A6" w:rsidRPr="009D61D5">
        <w:rPr>
          <w:rFonts w:ascii="Arial Narrow" w:hAnsi="Arial Narrow"/>
        </w:rPr>
        <w:t xml:space="preserve"> on the NIP</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62"/>
        <w:gridCol w:w="1292"/>
        <w:gridCol w:w="932"/>
        <w:gridCol w:w="1375"/>
        <w:gridCol w:w="2811"/>
      </w:tblGrid>
      <w:tr w:rsidR="004C3EC2" w:rsidRPr="009D61D5" w:rsidTr="008D4B26">
        <w:tc>
          <w:tcPr>
            <w:tcW w:w="0" w:type="auto"/>
          </w:tcPr>
          <w:p w:rsidR="002267F2" w:rsidRPr="009D61D5" w:rsidRDefault="002267F2" w:rsidP="00A00426">
            <w:pPr>
              <w:pStyle w:val="Tabletext"/>
              <w:rPr>
                <w:b/>
                <w:bCs/>
              </w:rPr>
            </w:pPr>
            <w:r w:rsidRPr="009D61D5">
              <w:rPr>
                <w:b/>
              </w:rPr>
              <w:t>Name, restriction, manner of administration, form</w:t>
            </w:r>
          </w:p>
        </w:tc>
        <w:tc>
          <w:tcPr>
            <w:tcW w:w="0" w:type="auto"/>
          </w:tcPr>
          <w:p w:rsidR="002267F2" w:rsidRPr="009D61D5" w:rsidRDefault="002267F2" w:rsidP="00A00426">
            <w:pPr>
              <w:pStyle w:val="Tabletext"/>
              <w:jc w:val="center"/>
              <w:rPr>
                <w:b/>
                <w:bCs/>
              </w:rPr>
            </w:pPr>
            <w:r w:rsidRPr="009D61D5">
              <w:rPr>
                <w:b/>
              </w:rPr>
              <w:t>Maximum quantity (units)</w:t>
            </w:r>
          </w:p>
        </w:tc>
        <w:tc>
          <w:tcPr>
            <w:tcW w:w="0" w:type="auto"/>
          </w:tcPr>
          <w:p w:rsidR="002267F2" w:rsidRPr="009D61D5" w:rsidRDefault="002267F2" w:rsidP="00A00426">
            <w:pPr>
              <w:pStyle w:val="Tabletext"/>
              <w:rPr>
                <w:b/>
                <w:bCs/>
              </w:rPr>
            </w:pPr>
            <w:r w:rsidRPr="009D61D5">
              <w:rPr>
                <w:b/>
              </w:rPr>
              <w:t>No. of repeats</w:t>
            </w:r>
          </w:p>
        </w:tc>
        <w:tc>
          <w:tcPr>
            <w:tcW w:w="0" w:type="auto"/>
          </w:tcPr>
          <w:p w:rsidR="002267F2" w:rsidRPr="009D61D5" w:rsidRDefault="004C3EC2" w:rsidP="00A00426">
            <w:pPr>
              <w:pStyle w:val="Tabletext"/>
              <w:rPr>
                <w:b/>
                <w:bCs/>
              </w:rPr>
            </w:pPr>
            <w:r w:rsidRPr="009D61D5">
              <w:rPr>
                <w:b/>
              </w:rPr>
              <w:t>Nationally negotiated price</w:t>
            </w:r>
          </w:p>
        </w:tc>
        <w:tc>
          <w:tcPr>
            <w:tcW w:w="2811" w:type="dxa"/>
          </w:tcPr>
          <w:p w:rsidR="002267F2" w:rsidRPr="009D61D5" w:rsidRDefault="002267F2" w:rsidP="00A00426">
            <w:pPr>
              <w:pStyle w:val="Tabletext"/>
              <w:rPr>
                <w:b/>
                <w:bCs/>
              </w:rPr>
            </w:pPr>
            <w:r w:rsidRPr="009D61D5">
              <w:rPr>
                <w:b/>
              </w:rPr>
              <w:t>Proprietary name and manufacturer</w:t>
            </w:r>
          </w:p>
        </w:tc>
      </w:tr>
      <w:tr w:rsidR="004C3EC2" w:rsidRPr="009D61D5" w:rsidTr="008D4B26">
        <w:tc>
          <w:tcPr>
            <w:tcW w:w="0" w:type="auto"/>
          </w:tcPr>
          <w:p w:rsidR="002267F2" w:rsidRPr="009D61D5" w:rsidRDefault="002267F2" w:rsidP="00A00426">
            <w:pPr>
              <w:pStyle w:val="Tabletext"/>
              <w:rPr>
                <w:b/>
                <w:bCs/>
              </w:rPr>
            </w:pPr>
            <w:r w:rsidRPr="009D61D5">
              <w:t>Inactivated influenza vaccine (surface antigen), suspension for injection, adjuvanted</w:t>
            </w:r>
          </w:p>
        </w:tc>
        <w:tc>
          <w:tcPr>
            <w:tcW w:w="0" w:type="auto"/>
          </w:tcPr>
          <w:p w:rsidR="002267F2" w:rsidRPr="009D61D5" w:rsidRDefault="002267F2" w:rsidP="00A00426">
            <w:pPr>
              <w:pStyle w:val="Tabletext"/>
              <w:jc w:val="center"/>
              <w:rPr>
                <w:rFonts w:ascii="Times" w:hAnsi="Times"/>
              </w:rPr>
            </w:pPr>
            <w:r w:rsidRPr="009D61D5">
              <w:t>1</w:t>
            </w:r>
          </w:p>
        </w:tc>
        <w:tc>
          <w:tcPr>
            <w:tcW w:w="0" w:type="auto"/>
          </w:tcPr>
          <w:p w:rsidR="002267F2" w:rsidRPr="009D61D5" w:rsidRDefault="002267F2" w:rsidP="00A00426">
            <w:pPr>
              <w:pStyle w:val="Tabletext"/>
              <w:jc w:val="center"/>
              <w:rPr>
                <w:rFonts w:ascii="Times" w:hAnsi="Times"/>
              </w:rPr>
            </w:pPr>
            <w:r w:rsidRPr="009D61D5">
              <w:t>0</w:t>
            </w:r>
          </w:p>
        </w:tc>
        <w:tc>
          <w:tcPr>
            <w:tcW w:w="0" w:type="auto"/>
          </w:tcPr>
          <w:p w:rsidR="002267F2" w:rsidRPr="009D61D5" w:rsidRDefault="002267F2" w:rsidP="00A00426">
            <w:pPr>
              <w:pStyle w:val="Tabletext"/>
              <w:rPr>
                <w:rFonts w:ascii="Times" w:hAnsi="Times"/>
              </w:rPr>
            </w:pPr>
            <w:r w:rsidRPr="009D61D5">
              <w:t>$</w:t>
            </w:r>
            <w:r w:rsidR="005C4E78">
              <w:rPr>
                <w:noProof/>
                <w:color w:val="000000"/>
                <w:highlight w:val="black"/>
              </w:rPr>
              <w:t>'''''''''''''</w:t>
            </w:r>
            <w:r w:rsidR="00B40889" w:rsidRPr="000D5BCD">
              <w:t>*</w:t>
            </w:r>
          </w:p>
        </w:tc>
        <w:tc>
          <w:tcPr>
            <w:tcW w:w="2811" w:type="dxa"/>
          </w:tcPr>
          <w:p w:rsidR="002267F2" w:rsidRPr="009D61D5" w:rsidRDefault="002267F2" w:rsidP="00A00426">
            <w:pPr>
              <w:pStyle w:val="Tabletext"/>
              <w:rPr>
                <w:rFonts w:ascii="Times" w:hAnsi="Times"/>
              </w:rPr>
            </w:pPr>
            <w:r w:rsidRPr="009D61D5">
              <w:t>Fluad (aTIV), Seqirus (Australia) Pty Ltd</w:t>
            </w:r>
          </w:p>
        </w:tc>
      </w:tr>
    </w:tbl>
    <w:p w:rsidR="002267F2" w:rsidRDefault="002267F2" w:rsidP="00A00426">
      <w:pPr>
        <w:pStyle w:val="TableFooter"/>
      </w:pPr>
      <w:r w:rsidRPr="009D61D5">
        <w:t xml:space="preserve">Source: </w:t>
      </w:r>
      <w:r w:rsidR="0088315B" w:rsidRPr="009D61D5">
        <w:t>C</w:t>
      </w:r>
      <w:r w:rsidRPr="009D61D5">
        <w:t>ompiled during the evaluation, based on Table 1-1 p. 32, of the submission</w:t>
      </w:r>
    </w:p>
    <w:p w:rsidR="00B40889" w:rsidRPr="009D61D5" w:rsidRDefault="00B40889" w:rsidP="00A00426">
      <w:pPr>
        <w:pStyle w:val="TableFooter"/>
      </w:pPr>
      <w:r>
        <w:t>*The Pre-PBAC Response offered a reduced price of $</w:t>
      </w:r>
      <w:r w:rsidR="005C4E78">
        <w:rPr>
          <w:noProof/>
          <w:color w:val="000000"/>
          <w:highlight w:val="black"/>
        </w:rPr>
        <w:t xml:space="preserve">''''''' </w:t>
      </w:r>
      <w:r>
        <w:t>per dose for the 2020 season only in the circumstance that aQIV were not able to be listed in time for the 2020 season</w:t>
      </w:r>
    </w:p>
    <w:p w:rsidR="005A1AD0" w:rsidRPr="009D61D5" w:rsidRDefault="005A1AD0" w:rsidP="00A00426">
      <w:pPr>
        <w:pStyle w:val="TableHeader"/>
      </w:pPr>
    </w:p>
    <w:p w:rsidR="002267F2" w:rsidRPr="009D61D5" w:rsidRDefault="002267F2" w:rsidP="00A00426">
      <w:pPr>
        <w:pStyle w:val="TableHeader"/>
        <w:keepNext/>
        <w:rPr>
          <w:rFonts w:ascii="Arial Narrow" w:hAnsi="Arial Narrow"/>
        </w:rPr>
      </w:pPr>
      <w:r w:rsidRPr="009D61D5">
        <w:rPr>
          <w:rFonts w:ascii="Arial Narrow" w:hAnsi="Arial Narrow"/>
        </w:rPr>
        <w:lastRenderedPageBreak/>
        <w:t>Essential elements of the requested listing of aQIV (Fluad Quad)</w:t>
      </w:r>
      <w:r w:rsidR="00F577A6" w:rsidRPr="009D61D5">
        <w:rPr>
          <w:rFonts w:ascii="Arial Narrow" w:hAnsi="Arial Narrow"/>
        </w:rPr>
        <w:t xml:space="preserve"> on the NIP</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39"/>
        <w:gridCol w:w="1286"/>
        <w:gridCol w:w="930"/>
        <w:gridCol w:w="1369"/>
        <w:gridCol w:w="2848"/>
      </w:tblGrid>
      <w:tr w:rsidR="002267F2" w:rsidRPr="009D61D5" w:rsidTr="008D4B26">
        <w:tc>
          <w:tcPr>
            <w:tcW w:w="0" w:type="auto"/>
          </w:tcPr>
          <w:p w:rsidR="002267F2" w:rsidRPr="009D61D5" w:rsidRDefault="002267F2" w:rsidP="00A00426">
            <w:pPr>
              <w:pStyle w:val="Tabletext"/>
              <w:keepNext/>
              <w:rPr>
                <w:b/>
                <w:bCs/>
              </w:rPr>
            </w:pPr>
            <w:r w:rsidRPr="009D61D5">
              <w:rPr>
                <w:b/>
              </w:rPr>
              <w:t>Name, restriction, manner of administration, form</w:t>
            </w:r>
          </w:p>
        </w:tc>
        <w:tc>
          <w:tcPr>
            <w:tcW w:w="0" w:type="auto"/>
          </w:tcPr>
          <w:p w:rsidR="002267F2" w:rsidRPr="009D61D5" w:rsidRDefault="002267F2" w:rsidP="00A00426">
            <w:pPr>
              <w:pStyle w:val="Tabletext"/>
              <w:keepNext/>
              <w:jc w:val="center"/>
              <w:rPr>
                <w:b/>
                <w:bCs/>
              </w:rPr>
            </w:pPr>
            <w:r w:rsidRPr="009D61D5">
              <w:rPr>
                <w:b/>
              </w:rPr>
              <w:t>Maximum quantity (units)</w:t>
            </w:r>
          </w:p>
        </w:tc>
        <w:tc>
          <w:tcPr>
            <w:tcW w:w="0" w:type="auto"/>
          </w:tcPr>
          <w:p w:rsidR="002267F2" w:rsidRPr="009D61D5" w:rsidRDefault="002267F2" w:rsidP="00A00426">
            <w:pPr>
              <w:pStyle w:val="Tabletext"/>
              <w:keepNext/>
              <w:rPr>
                <w:b/>
                <w:bCs/>
              </w:rPr>
            </w:pPr>
            <w:r w:rsidRPr="009D61D5">
              <w:rPr>
                <w:b/>
              </w:rPr>
              <w:t>No. of repeats</w:t>
            </w:r>
          </w:p>
        </w:tc>
        <w:tc>
          <w:tcPr>
            <w:tcW w:w="0" w:type="auto"/>
          </w:tcPr>
          <w:p w:rsidR="002267F2" w:rsidRPr="009D61D5" w:rsidRDefault="004C3EC2" w:rsidP="00A00426">
            <w:pPr>
              <w:pStyle w:val="Tabletext"/>
              <w:keepNext/>
              <w:rPr>
                <w:b/>
                <w:bCs/>
              </w:rPr>
            </w:pPr>
            <w:r w:rsidRPr="009D61D5">
              <w:rPr>
                <w:b/>
              </w:rPr>
              <w:t>Nationally negotiated price</w:t>
            </w:r>
          </w:p>
        </w:tc>
        <w:tc>
          <w:tcPr>
            <w:tcW w:w="2848" w:type="dxa"/>
          </w:tcPr>
          <w:p w:rsidR="002267F2" w:rsidRPr="009D61D5" w:rsidRDefault="002267F2" w:rsidP="00A00426">
            <w:pPr>
              <w:pStyle w:val="Tabletext"/>
              <w:keepNext/>
              <w:rPr>
                <w:b/>
                <w:bCs/>
              </w:rPr>
            </w:pPr>
            <w:r w:rsidRPr="009D61D5">
              <w:rPr>
                <w:b/>
              </w:rPr>
              <w:t>Proprietary name and manufacturer</w:t>
            </w:r>
          </w:p>
        </w:tc>
      </w:tr>
      <w:tr w:rsidR="002267F2" w:rsidRPr="009D61D5" w:rsidTr="008D4B26">
        <w:tc>
          <w:tcPr>
            <w:tcW w:w="0" w:type="auto"/>
          </w:tcPr>
          <w:p w:rsidR="002267F2" w:rsidRPr="009D61D5" w:rsidRDefault="002267F2" w:rsidP="00A00426">
            <w:pPr>
              <w:pStyle w:val="Tabletext"/>
              <w:rPr>
                <w:b/>
                <w:bCs/>
              </w:rPr>
            </w:pPr>
            <w:r w:rsidRPr="009D61D5">
              <w:t>Inactivated influenza vaccine (surface antigen), suspension for injection, adjuvanted</w:t>
            </w:r>
          </w:p>
        </w:tc>
        <w:tc>
          <w:tcPr>
            <w:tcW w:w="0" w:type="auto"/>
          </w:tcPr>
          <w:p w:rsidR="002267F2" w:rsidRPr="009D61D5" w:rsidRDefault="002267F2" w:rsidP="00A00426">
            <w:pPr>
              <w:pStyle w:val="Tabletext"/>
              <w:jc w:val="center"/>
              <w:rPr>
                <w:rFonts w:ascii="Times" w:hAnsi="Times"/>
              </w:rPr>
            </w:pPr>
            <w:r w:rsidRPr="009D61D5">
              <w:t>1</w:t>
            </w:r>
          </w:p>
        </w:tc>
        <w:tc>
          <w:tcPr>
            <w:tcW w:w="0" w:type="auto"/>
          </w:tcPr>
          <w:p w:rsidR="002267F2" w:rsidRPr="009D61D5" w:rsidRDefault="002267F2" w:rsidP="00A00426">
            <w:pPr>
              <w:pStyle w:val="Tabletext"/>
              <w:jc w:val="center"/>
              <w:rPr>
                <w:rFonts w:ascii="Times" w:hAnsi="Times"/>
              </w:rPr>
            </w:pPr>
            <w:r w:rsidRPr="009D61D5">
              <w:t>0</w:t>
            </w:r>
          </w:p>
        </w:tc>
        <w:tc>
          <w:tcPr>
            <w:tcW w:w="0" w:type="auto"/>
          </w:tcPr>
          <w:p w:rsidR="002267F2" w:rsidRPr="009D61D5" w:rsidRDefault="002267F2" w:rsidP="00A00426">
            <w:pPr>
              <w:pStyle w:val="Tabletext"/>
              <w:rPr>
                <w:rFonts w:ascii="Times" w:hAnsi="Times"/>
              </w:rPr>
            </w:pPr>
            <w:r w:rsidRPr="009D61D5">
              <w:t>$</w:t>
            </w:r>
            <w:r w:rsidR="005C4E78">
              <w:rPr>
                <w:noProof/>
                <w:color w:val="000000"/>
                <w:highlight w:val="black"/>
              </w:rPr>
              <w:t>''''''''''''''</w:t>
            </w:r>
          </w:p>
        </w:tc>
        <w:tc>
          <w:tcPr>
            <w:tcW w:w="2848" w:type="dxa"/>
          </w:tcPr>
          <w:p w:rsidR="002267F2" w:rsidRPr="009D61D5" w:rsidRDefault="002267F2" w:rsidP="00A00426">
            <w:pPr>
              <w:pStyle w:val="Tabletext"/>
            </w:pPr>
            <w:r w:rsidRPr="009D61D5">
              <w:t>Fluad Quad (aQIV), Seqirus (Australia) Pty Ltd</w:t>
            </w:r>
          </w:p>
        </w:tc>
      </w:tr>
    </w:tbl>
    <w:p w:rsidR="001C4E56" w:rsidRPr="009D61D5" w:rsidRDefault="002267F2" w:rsidP="008E537B">
      <w:pPr>
        <w:pStyle w:val="TableFooter"/>
      </w:pPr>
      <w:r w:rsidRPr="009D61D5">
        <w:t xml:space="preserve">Source: </w:t>
      </w:r>
      <w:r w:rsidR="0088315B" w:rsidRPr="009D61D5">
        <w:t>C</w:t>
      </w:r>
      <w:r w:rsidRPr="009D61D5">
        <w:t>ompiled during the evaluation, based on Table 1-1 p. 32, of the submission</w:t>
      </w:r>
    </w:p>
    <w:p w:rsidR="002267F2" w:rsidRPr="009D61D5" w:rsidRDefault="002267F2" w:rsidP="008E537B">
      <w:pPr>
        <w:pStyle w:val="2-SectionHeading"/>
        <w:rPr>
          <w:rFonts w:eastAsiaTheme="majorEastAsia"/>
          <w:caps/>
          <w:snapToGrid/>
        </w:rPr>
      </w:pPr>
      <w:bookmarkStart w:id="4" w:name="_Toc9407302"/>
      <w:r w:rsidRPr="009D61D5">
        <w:rPr>
          <w:rFonts w:eastAsiaTheme="majorEastAsia"/>
          <w:snapToGrid/>
        </w:rPr>
        <w:t>Background</w:t>
      </w:r>
      <w:bookmarkEnd w:id="4"/>
    </w:p>
    <w:p w:rsidR="001627E4" w:rsidRDefault="002267F2" w:rsidP="001627E4">
      <w:pPr>
        <w:pStyle w:val="4-SubsectionHeading"/>
      </w:pPr>
      <w:bookmarkStart w:id="5" w:name="_Toc9407303"/>
      <w:r w:rsidRPr="009D61D5">
        <w:t>Registration status</w:t>
      </w:r>
      <w:bookmarkEnd w:id="5"/>
    </w:p>
    <w:p w:rsidR="002267F2" w:rsidRPr="00283481" w:rsidRDefault="002267F2" w:rsidP="00F37302">
      <w:pPr>
        <w:pStyle w:val="3-BodyText"/>
      </w:pPr>
      <w:r w:rsidRPr="00283481">
        <w:t>The aTIV (Fluad) was TGA registered in October 2002 and updated in 2018 for: Active immunisation against influenza in the elderly (65 years of age and older), especially for those with an increased risk of associated complications (i</w:t>
      </w:r>
      <w:r w:rsidR="000E20E9" w:rsidRPr="00283481">
        <w:t>.</w:t>
      </w:r>
      <w:r w:rsidRPr="00283481">
        <w:t xml:space="preserve">e. patients affected by underlying chronic diseases including diabetes, cardiovascular and respiratory diseases). </w:t>
      </w:r>
    </w:p>
    <w:p w:rsidR="00D72F46" w:rsidRPr="00E348DC" w:rsidRDefault="002267F2" w:rsidP="00F37302">
      <w:pPr>
        <w:pStyle w:val="ListParagraph"/>
        <w:keepNext/>
        <w:widowControl/>
        <w:numPr>
          <w:ilvl w:val="1"/>
          <w:numId w:val="39"/>
        </w:numPr>
        <w:spacing w:after="0"/>
        <w:ind w:left="709" w:hanging="709"/>
      </w:pPr>
      <w:r w:rsidRPr="00283481">
        <w:t>The submission for aQIV (Fluad Quad) was made under the TGA/PBAC Parallel Process. The Delega</w:t>
      </w:r>
      <w:r w:rsidR="0005339C">
        <w:t>te’s Overview wa</w:t>
      </w:r>
      <w:r w:rsidRPr="00283481">
        <w:t xml:space="preserve">s expected </w:t>
      </w:r>
      <w:r w:rsidR="00B8298E" w:rsidRPr="00283481">
        <w:t>in</w:t>
      </w:r>
      <w:r w:rsidRPr="00283481">
        <w:t xml:space="preserve"> </w:t>
      </w:r>
      <w:r w:rsidR="00920374">
        <w:t>August</w:t>
      </w:r>
      <w:r w:rsidR="00920374" w:rsidRPr="00283481">
        <w:t xml:space="preserve"> </w:t>
      </w:r>
      <w:r w:rsidRPr="00283481">
        <w:t xml:space="preserve">2019, with a decision expected </w:t>
      </w:r>
      <w:r w:rsidR="00920374">
        <w:t>in</w:t>
      </w:r>
      <w:r w:rsidR="00920374" w:rsidRPr="00283481">
        <w:t xml:space="preserve"> </w:t>
      </w:r>
      <w:r w:rsidR="00920374">
        <w:t>September</w:t>
      </w:r>
      <w:r w:rsidR="00920374" w:rsidRPr="00283481">
        <w:t xml:space="preserve"> </w:t>
      </w:r>
      <w:r w:rsidR="00B8298E" w:rsidRPr="00283481">
        <w:t>2019</w:t>
      </w:r>
      <w:r w:rsidRPr="00283481">
        <w:t xml:space="preserve">. At the time of </w:t>
      </w:r>
      <w:r w:rsidR="006A2031" w:rsidRPr="00283481">
        <w:t xml:space="preserve">the </w:t>
      </w:r>
      <w:r w:rsidR="00283481" w:rsidRPr="00283481">
        <w:t>PBAC</w:t>
      </w:r>
      <w:r w:rsidR="006A2031" w:rsidRPr="00283481">
        <w:t xml:space="preserve"> meeting</w:t>
      </w:r>
      <w:r w:rsidRPr="00283481">
        <w:t>, there were no documents available</w:t>
      </w:r>
      <w:r w:rsidR="00B8298E" w:rsidRPr="00283481">
        <w:t xml:space="preserve"> other than the draft Product Information</w:t>
      </w:r>
      <w:r w:rsidRPr="00283481">
        <w:t xml:space="preserve">. </w:t>
      </w:r>
      <w:r w:rsidR="00DF76BC" w:rsidRPr="00283481">
        <w:t>The proposed indication in the draft PI was: Active immunisation against influenza in persons 65 years of age and older.</w:t>
      </w:r>
      <w:r w:rsidR="00283481" w:rsidRPr="00283481">
        <w:t xml:space="preserve"> </w:t>
      </w:r>
      <w:bookmarkStart w:id="6" w:name="_Toc9407304"/>
    </w:p>
    <w:p w:rsidR="002267F2" w:rsidRPr="009D61D5" w:rsidRDefault="002267F2" w:rsidP="008E537B">
      <w:pPr>
        <w:pStyle w:val="4-SubsectionHeading"/>
      </w:pPr>
      <w:r w:rsidRPr="006A2031">
        <w:t>Previous PBAC consideration</w:t>
      </w:r>
      <w:bookmarkEnd w:id="6"/>
    </w:p>
    <w:p w:rsidR="002267F2" w:rsidRDefault="002267F2" w:rsidP="00F37302">
      <w:pPr>
        <w:pStyle w:val="ListParagraph"/>
        <w:keepNext/>
        <w:widowControl/>
        <w:numPr>
          <w:ilvl w:val="1"/>
          <w:numId w:val="39"/>
        </w:numPr>
        <w:ind w:left="709" w:hanging="709"/>
      </w:pPr>
      <w:r w:rsidRPr="009D61D5">
        <w:t xml:space="preserve">The PBAC recommended listing aTIV (Fluad) on the NIP in March 2018 on a cost-minimisation </w:t>
      </w:r>
      <w:r w:rsidR="00A318E9" w:rsidRPr="009D61D5">
        <w:t>basis</w:t>
      </w:r>
      <w:r w:rsidR="008D4B26" w:rsidRPr="009D61D5">
        <w:t xml:space="preserve"> compared to </w:t>
      </w:r>
      <w:r w:rsidR="00E5098D" w:rsidRPr="009D61D5">
        <w:t xml:space="preserve">NIP listed </w:t>
      </w:r>
      <w:r w:rsidR="008D4B26" w:rsidRPr="009D61D5">
        <w:t xml:space="preserve">QIVs </w:t>
      </w:r>
      <w:r w:rsidR="00425168" w:rsidRPr="009D61D5">
        <w:t>(</w:t>
      </w:r>
      <w:r w:rsidR="008D4B26" w:rsidRPr="009D61D5">
        <w:t>Afluria Quad, FluQuadri and Fluarix Tetra</w:t>
      </w:r>
      <w:r w:rsidR="00425168" w:rsidRPr="009D61D5">
        <w:t>)</w:t>
      </w:r>
      <w:r w:rsidRPr="009D61D5">
        <w:t xml:space="preserve">. </w:t>
      </w:r>
    </w:p>
    <w:p w:rsidR="001C4E56" w:rsidRPr="008E537B" w:rsidRDefault="001C4E56" w:rsidP="008E537B">
      <w:pPr>
        <w:rPr>
          <w:i/>
        </w:rPr>
      </w:pPr>
      <w:r w:rsidRPr="008E537B">
        <w:rPr>
          <w:i/>
        </w:rPr>
        <w:t>For more detail on PBAC’s view, see section 7 PBAC outcome.</w:t>
      </w:r>
    </w:p>
    <w:p w:rsidR="002267F2" w:rsidRPr="009D61D5" w:rsidRDefault="002267F2" w:rsidP="008E537B">
      <w:pPr>
        <w:pStyle w:val="2-SectionHeading"/>
        <w:rPr>
          <w:rFonts w:eastAsiaTheme="majorEastAsia"/>
          <w:caps/>
          <w:snapToGrid/>
        </w:rPr>
      </w:pPr>
      <w:bookmarkStart w:id="7" w:name="_Toc9407305"/>
      <w:r w:rsidRPr="009D61D5">
        <w:rPr>
          <w:rFonts w:eastAsiaTheme="majorEastAsia"/>
          <w:snapToGrid/>
        </w:rPr>
        <w:t>Population and disease</w:t>
      </w:r>
      <w:bookmarkEnd w:id="7"/>
    </w:p>
    <w:p w:rsidR="002267F2" w:rsidRPr="009D61D5" w:rsidRDefault="002267F2" w:rsidP="00F37302">
      <w:pPr>
        <w:pStyle w:val="ListParagraph"/>
        <w:keepNext/>
        <w:widowControl/>
        <w:numPr>
          <w:ilvl w:val="1"/>
          <w:numId w:val="39"/>
        </w:numPr>
        <w:ind w:left="709" w:hanging="709"/>
      </w:pPr>
      <w:r w:rsidRPr="009D61D5">
        <w:t xml:space="preserve">Influenza is an acute viral infection of the respiratory tract. Beyond the acute symptoms, influenza is also associated with complications including (but not limited to) acute bronchitis, pneumonia (both primary viral and secondary bacterial pneumonia), and cardiovascular complications including myocarditis and pericarditis. There are four types of influenza viruses: influenza A, B, C, and D but only influenza A and B viruses cause clinically important human disease and seasonal epidemics. </w:t>
      </w:r>
    </w:p>
    <w:p w:rsidR="003D7471" w:rsidRPr="009D61D5" w:rsidRDefault="003D7471" w:rsidP="00F37302">
      <w:pPr>
        <w:pStyle w:val="ListParagraph"/>
        <w:keepNext/>
        <w:widowControl/>
        <w:numPr>
          <w:ilvl w:val="1"/>
          <w:numId w:val="39"/>
        </w:numPr>
        <w:ind w:left="709" w:hanging="709"/>
      </w:pPr>
      <w:r w:rsidRPr="009D61D5">
        <w:t xml:space="preserve">Influenza infection in people aged ≥ 65 years </w:t>
      </w:r>
      <w:r w:rsidR="00C861B0">
        <w:t>may have</w:t>
      </w:r>
      <w:r w:rsidR="00C861B0" w:rsidRPr="009D61D5">
        <w:t xml:space="preserve"> </w:t>
      </w:r>
      <w:r w:rsidRPr="009D61D5">
        <w:t xml:space="preserve">severe consequences. In Australia, conservative estimates (coded diagnoses) of hospitalisation and mortality from influenza in this age group are 41 and 2 per 100,000 respectively. However, the actual burden is </w:t>
      </w:r>
      <w:r w:rsidR="00852DFA">
        <w:t>likely to be</w:t>
      </w:r>
      <w:r w:rsidRPr="009D61D5">
        <w:t xml:space="preserve"> higher </w:t>
      </w:r>
      <w:r w:rsidR="00852DFA">
        <w:t>with estimates of approximately</w:t>
      </w:r>
      <w:r w:rsidRPr="009D61D5">
        <w:t xml:space="preserve"> 480 and 20.9 per 100,000 respectively</w:t>
      </w:r>
      <w:r w:rsidR="00814E96" w:rsidRPr="009D61D5">
        <w:t xml:space="preserve"> (ATAGI, 2016; Newall, Wood, &amp; MacIntyre, 2008a)</w:t>
      </w:r>
      <w:r w:rsidRPr="009D61D5">
        <w:t xml:space="preserve">. This </w:t>
      </w:r>
      <w:r w:rsidR="00852DFA">
        <w:t xml:space="preserve">extent </w:t>
      </w:r>
      <w:r w:rsidR="00852DFA">
        <w:lastRenderedPageBreak/>
        <w:t>of</w:t>
      </w:r>
      <w:r w:rsidR="00852DFA" w:rsidRPr="009D61D5">
        <w:t xml:space="preserve"> </w:t>
      </w:r>
      <w:r w:rsidRPr="009D61D5">
        <w:t>burden in the ≥ 65 age group, despite vaccination coverage of approximately 70% in Australia, may be partly explained by the suboptimal effectiveness of vaccination in older people due to immunosenescence (Cambier, 2005; Grubeck-Loebenstein, 2010).</w:t>
      </w:r>
    </w:p>
    <w:p w:rsidR="003821BE" w:rsidRPr="009D61D5" w:rsidRDefault="1039976D" w:rsidP="00F37302">
      <w:pPr>
        <w:pStyle w:val="ListParagraph"/>
        <w:keepNext/>
        <w:widowControl/>
        <w:numPr>
          <w:ilvl w:val="1"/>
          <w:numId w:val="39"/>
        </w:numPr>
        <w:ind w:left="709" w:hanging="709"/>
      </w:pPr>
      <w:r>
        <w:t xml:space="preserve">Notifications of laboratory-confirmed influenza to the National Notifiable Diseases Surveillance System (NNDSS) were relatively high in 2017. For the year to 27 October 2017, 229,579 notifications of laboratory confirmed influenza were reported to the NNDSS. </w:t>
      </w:r>
      <w:r w:rsidRPr="00B97A2E">
        <w:t xml:space="preserve">The ESC noted the trend in 2019 for early and high </w:t>
      </w:r>
      <w:r w:rsidR="00E80845" w:rsidRPr="00B97A2E">
        <w:t>notifications</w:t>
      </w:r>
      <w:r w:rsidRPr="00B97A2E">
        <w:t xml:space="preserve"> of laboratory confirmed influenza (see Figure 1).</w:t>
      </w:r>
      <w:r>
        <w:t xml:space="preserve"> </w:t>
      </w:r>
      <w:r w:rsidRPr="00B97A2E">
        <w:t xml:space="preserve">The ESC considered that the higher rates of testing with results being reported </w:t>
      </w:r>
      <w:r w:rsidR="00FF511E">
        <w:t>faster</w:t>
      </w:r>
      <w:r w:rsidR="00290F07" w:rsidRPr="00B97A2E">
        <w:t xml:space="preserve">, </w:t>
      </w:r>
      <w:r w:rsidR="009A49BF" w:rsidRPr="00B97A2E">
        <w:t>particularly point of care testing in emergency departments and residential aged care,</w:t>
      </w:r>
      <w:r w:rsidRPr="00B97A2E">
        <w:t xml:space="preserve"> and the preliminary advice</w:t>
      </w:r>
      <w:r w:rsidR="00FC7413" w:rsidRPr="00920374">
        <w:rPr>
          <w:sz w:val="22"/>
          <w:vertAlign w:val="superscript"/>
        </w:rPr>
        <w:footnoteReference w:id="1"/>
      </w:r>
      <w:r w:rsidRPr="00B97A2E">
        <w:t xml:space="preserve"> to immunise later in the year to ensure protection in August/September may have contributed to the 2019 trend.</w:t>
      </w:r>
    </w:p>
    <w:p w:rsidR="006E713E" w:rsidRDefault="006E713E" w:rsidP="006E713E">
      <w:pPr>
        <w:pStyle w:val="TableFigureHeading"/>
      </w:pPr>
      <w:bookmarkStart w:id="8" w:name="_Toc499497717"/>
      <w:bookmarkStart w:id="9" w:name="_Toc3295357"/>
      <w:bookmarkEnd w:id="8"/>
      <w:bookmarkEnd w:id="9"/>
      <w:r>
        <w:t xml:space="preserve">Figure </w:t>
      </w:r>
      <w:fldSimple w:instr=" SEQ Figure \* ARABIC ">
        <w:r w:rsidR="009C284C">
          <w:rPr>
            <w:noProof/>
          </w:rPr>
          <w:t>1</w:t>
        </w:r>
      </w:fldSimple>
      <w:r>
        <w:t>: Notifications of laboratory confirmed influenza, Australia, 1 January 2014 to 2 June 2019, by month</w:t>
      </w:r>
    </w:p>
    <w:p w:rsidR="003821BE" w:rsidRPr="009D61D5" w:rsidRDefault="00731FBE" w:rsidP="00A00426">
      <w:r w:rsidRPr="00731FBE">
        <w:rPr>
          <w:noProof/>
        </w:rPr>
        <w:drawing>
          <wp:inline distT="0" distB="0" distL="0" distR="0" wp14:anchorId="7CAEAB00" wp14:editId="2C06B49B">
            <wp:extent cx="5693134" cy="3204035"/>
            <wp:effectExtent l="0" t="0" r="3175" b="0"/>
            <wp:docPr id="5" name="Content Placeholder 4"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title="Figure 1: Notifications of laboratory confirmed influenza, Australia, 1 January 2014 to 2 June 2019, by month">
              <a:extLst xmlns:a="http://schemas.openxmlformats.org/drawingml/2006/main">
                <a:ext uri="{FF2B5EF4-FFF2-40B4-BE49-F238E27FC236}">
                  <a16:creationId xmlns:a16="http://schemas.microsoft.com/office/drawing/2014/main" id="{BE5D28D0-FFEA-4874-9E92-67E3F0E5960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a:extLst>
                        <a:ext uri="{FF2B5EF4-FFF2-40B4-BE49-F238E27FC236}">
                          <a16:creationId xmlns:a16="http://schemas.microsoft.com/office/drawing/2014/main" id="{BE5D28D0-FFEA-4874-9E92-67E3F0E5960E}"/>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586" cy="3207103"/>
                    </a:xfrm>
                    <a:prstGeom prst="rect">
                      <a:avLst/>
                    </a:prstGeom>
                    <a:noFill/>
                    <a:ln>
                      <a:noFill/>
                    </a:ln>
                    <a:effectLst/>
                  </pic:spPr>
                </pic:pic>
              </a:graphicData>
            </a:graphic>
          </wp:inline>
        </w:drawing>
      </w:r>
    </w:p>
    <w:p w:rsidR="00CB6972" w:rsidRPr="00B56F45" w:rsidRDefault="003821BE" w:rsidP="006E713E">
      <w:pPr>
        <w:pStyle w:val="TableFigureFooter"/>
      </w:pPr>
      <w:r w:rsidRPr="00B56F45">
        <w:t xml:space="preserve">Source: </w:t>
      </w:r>
      <w:r w:rsidR="00731FBE" w:rsidRPr="00B56F45">
        <w:t xml:space="preserve">NDSS (2019), </w:t>
      </w:r>
      <w:r w:rsidR="00CB6972" w:rsidRPr="00B56F45">
        <w:t xml:space="preserve">Active Influenza </w:t>
      </w:r>
      <w:r w:rsidR="00E80845" w:rsidRPr="00B56F45">
        <w:t>Surveillance</w:t>
      </w:r>
      <w:r w:rsidR="00CB6972" w:rsidRPr="00B56F45">
        <w:t xml:space="preserve"> Report No.3, 2019, </w:t>
      </w:r>
      <w:r w:rsidR="00731FBE" w:rsidRPr="00B56F45">
        <w:t>Figure 5, p5.</w:t>
      </w:r>
      <w:r w:rsidR="008D396C">
        <w:t xml:space="preserve"> </w:t>
      </w:r>
    </w:p>
    <w:p w:rsidR="00B56F45" w:rsidRDefault="00B502E6" w:rsidP="006E713E">
      <w:pPr>
        <w:pStyle w:val="TableFigureFooter"/>
        <w:rPr>
          <w:i/>
          <w:szCs w:val="18"/>
        </w:rPr>
      </w:pPr>
      <w:hyperlink r:id="rId9" w:history="1">
        <w:r w:rsidR="006E713E" w:rsidRPr="00C324E1">
          <w:rPr>
            <w:rStyle w:val="Hyperlink"/>
            <w:i/>
            <w:szCs w:val="18"/>
          </w:rPr>
          <w:t>https://www.health.gov.au/internet/main/publishing.nsf/Content/cda-surveil-ozflu-flucurr.htm/$File/flu-03-2019.pdf</w:t>
        </w:r>
      </w:hyperlink>
    </w:p>
    <w:p w:rsidR="00B56F45" w:rsidRPr="00B97A2E" w:rsidRDefault="00B56F45" w:rsidP="00F37302">
      <w:pPr>
        <w:pStyle w:val="ListParagraph"/>
        <w:widowControl/>
        <w:numPr>
          <w:ilvl w:val="1"/>
          <w:numId w:val="39"/>
        </w:numPr>
        <w:ind w:left="709" w:hanging="709"/>
      </w:pPr>
      <w:r w:rsidRPr="00B97A2E">
        <w:t>The ESC also noted the number of influenza hosp</w:t>
      </w:r>
      <w:r w:rsidR="00560936" w:rsidRPr="00B97A2E">
        <w:t>it</w:t>
      </w:r>
      <w:r w:rsidRPr="00B97A2E">
        <w:t>alisations in 2019 ha</w:t>
      </w:r>
      <w:r w:rsidR="00852DFA">
        <w:t>s</w:t>
      </w:r>
      <w:r w:rsidRPr="00B97A2E">
        <w:t xml:space="preserve"> been reducing</w:t>
      </w:r>
      <w:r w:rsidR="00852DFA">
        <w:t>,</w:t>
      </w:r>
      <w:r w:rsidRPr="00B97A2E">
        <w:t xml:space="preserve"> </w:t>
      </w:r>
      <w:r w:rsidR="00852DFA">
        <w:t>possibly as a result of</w:t>
      </w:r>
      <w:r w:rsidR="00852DFA" w:rsidRPr="00B97A2E">
        <w:t xml:space="preserve"> </w:t>
      </w:r>
      <w:r w:rsidRPr="00B97A2E">
        <w:t>immunisation with aTIV and other NIP vaccines commenc</w:t>
      </w:r>
      <w:r w:rsidR="00852DFA">
        <w:t>ing</w:t>
      </w:r>
      <w:r w:rsidRPr="00B97A2E">
        <w:t xml:space="preserve"> from mid–late April (see Figure 2).</w:t>
      </w:r>
    </w:p>
    <w:p w:rsidR="006E713E" w:rsidRDefault="006E713E">
      <w:pPr>
        <w:rPr>
          <w:rFonts w:ascii="Arial Narrow" w:eastAsiaTheme="majorEastAsia" w:hAnsi="Arial Narrow" w:cstheme="majorBidi"/>
          <w:b/>
          <w:bCs/>
          <w:sz w:val="22"/>
        </w:rPr>
      </w:pPr>
      <w:r>
        <w:br w:type="page"/>
      </w:r>
    </w:p>
    <w:p w:rsidR="006E713E" w:rsidRDefault="006E713E" w:rsidP="006E713E">
      <w:pPr>
        <w:pStyle w:val="TableFigureHeading"/>
      </w:pPr>
      <w:r>
        <w:lastRenderedPageBreak/>
        <w:t xml:space="preserve">Figure </w:t>
      </w:r>
      <w:fldSimple w:instr=" SEQ Figure \* ARABIC ">
        <w:r w:rsidR="009C284C">
          <w:rPr>
            <w:noProof/>
          </w:rPr>
          <w:t>2</w:t>
        </w:r>
      </w:fldSimple>
      <w:r>
        <w:t>: Number of influenza hospitalisations at sentinel hospitals, between March and October, 2014 to 2019 by month and week.</w:t>
      </w:r>
    </w:p>
    <w:p w:rsidR="003821BE" w:rsidRPr="009D61D5" w:rsidRDefault="00B56F45" w:rsidP="00A00426">
      <w:pPr>
        <w:rPr>
          <w:rFonts w:ascii="Arial Narrow" w:hAnsi="Arial Narrow"/>
        </w:rPr>
      </w:pPr>
      <w:r w:rsidRPr="00B56F45">
        <w:rPr>
          <w:rFonts w:ascii="Arial Narrow" w:hAnsi="Arial Narrow"/>
          <w:noProof/>
        </w:rPr>
        <w:drawing>
          <wp:inline distT="0" distB="0" distL="0" distR="0" wp14:anchorId="2F5D0A82" wp14:editId="3761B358">
            <wp:extent cx="5716988" cy="3418695"/>
            <wp:effectExtent l="0" t="0" r="0" b="0"/>
            <wp:docPr id="1" name="Content Placeholder 4"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title="Figure 2: Number of influenza hospitalisations at sentinel hospitals, between March and October, 2014 to 2019 by month and week.">
              <a:extLst xmlns:a="http://schemas.openxmlformats.org/drawingml/2006/main">
                <a:ext uri="{FF2B5EF4-FFF2-40B4-BE49-F238E27FC236}">
                  <a16:creationId xmlns:a16="http://schemas.microsoft.com/office/drawing/2014/main" id="{39621814-CF5F-4AE2-BDF9-AD5CA50D2D83}"/>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a:extLst>
                        <a:ext uri="{FF2B5EF4-FFF2-40B4-BE49-F238E27FC236}">
                          <a16:creationId xmlns:a16="http://schemas.microsoft.com/office/drawing/2014/main" id="{39621814-CF5F-4AE2-BDF9-AD5CA50D2D83}"/>
                        </a:ext>
                      </a:extLst>
                    </pic:cNvPr>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312" cy="3424869"/>
                    </a:xfrm>
                    <a:prstGeom prst="rect">
                      <a:avLst/>
                    </a:prstGeom>
                    <a:noFill/>
                    <a:ln>
                      <a:noFill/>
                    </a:ln>
                    <a:effectLst/>
                  </pic:spPr>
                </pic:pic>
              </a:graphicData>
            </a:graphic>
          </wp:inline>
        </w:drawing>
      </w:r>
    </w:p>
    <w:p w:rsidR="00B56F45" w:rsidRPr="00B56F45" w:rsidRDefault="00B56F45" w:rsidP="006E713E">
      <w:pPr>
        <w:pStyle w:val="TableFigureFooter"/>
      </w:pPr>
      <w:bookmarkStart w:id="10" w:name="_Toc9407306"/>
      <w:r w:rsidRPr="00B56F45">
        <w:t xml:space="preserve">Source: NDSS (2019), Active Influenza </w:t>
      </w:r>
      <w:r w:rsidR="00E80845" w:rsidRPr="00B56F45">
        <w:t>Surveillance</w:t>
      </w:r>
      <w:r w:rsidRPr="00B56F45">
        <w:t xml:space="preserve"> Report No.3, 2019, Figure </w:t>
      </w:r>
      <w:r>
        <w:t>6</w:t>
      </w:r>
      <w:r w:rsidRPr="00B56F45">
        <w:t>, p5.</w:t>
      </w:r>
      <w:r w:rsidR="008D396C">
        <w:t xml:space="preserve"> </w:t>
      </w:r>
    </w:p>
    <w:p w:rsidR="00B56F45" w:rsidRDefault="00B502E6" w:rsidP="00B56F45">
      <w:pPr>
        <w:rPr>
          <w:rFonts w:ascii="Arial Narrow" w:hAnsi="Arial Narrow"/>
          <w:i/>
          <w:sz w:val="18"/>
          <w:szCs w:val="18"/>
        </w:rPr>
      </w:pPr>
      <w:hyperlink r:id="rId11" w:history="1">
        <w:r w:rsidR="006E713E" w:rsidRPr="00C324E1">
          <w:rPr>
            <w:rStyle w:val="Hyperlink"/>
            <w:rFonts w:ascii="Arial Narrow" w:hAnsi="Arial Narrow"/>
            <w:i/>
            <w:sz w:val="18"/>
            <w:szCs w:val="18"/>
          </w:rPr>
          <w:t>https://www.health.gov.au/internet/main/publishing.nsf/Content/cda-surveil-ozflu-flucurr.htm/$File/flu-03-2019.pdf</w:t>
        </w:r>
      </w:hyperlink>
    </w:p>
    <w:p w:rsidR="006E713E" w:rsidRDefault="006E713E" w:rsidP="00B56F45">
      <w:pPr>
        <w:rPr>
          <w:rStyle w:val="Hyperlink"/>
          <w:rFonts w:ascii="Arial Narrow" w:hAnsi="Arial Narrow"/>
          <w:i/>
          <w:sz w:val="18"/>
          <w:szCs w:val="18"/>
        </w:rPr>
      </w:pPr>
    </w:p>
    <w:p w:rsidR="001C4E56" w:rsidRPr="008E537B" w:rsidRDefault="001C4E56" w:rsidP="003706E9">
      <w:pPr>
        <w:rPr>
          <w:rStyle w:val="Hyperlink"/>
          <w:i/>
          <w:color w:val="auto"/>
          <w:u w:val="none"/>
        </w:rPr>
      </w:pPr>
      <w:r w:rsidRPr="008E537B">
        <w:rPr>
          <w:i/>
        </w:rPr>
        <w:t>For more detail on PBAC’s view, see section 7 PBAC outcome.</w:t>
      </w:r>
    </w:p>
    <w:p w:rsidR="003706E9" w:rsidRPr="003706E9" w:rsidRDefault="002267F2" w:rsidP="008E537B">
      <w:pPr>
        <w:pStyle w:val="2-SectionHeading"/>
        <w:rPr>
          <w:rFonts w:eastAsiaTheme="majorEastAsia"/>
          <w:caps/>
          <w:snapToGrid/>
        </w:rPr>
      </w:pPr>
      <w:r w:rsidRPr="009D61D5">
        <w:rPr>
          <w:rFonts w:eastAsiaTheme="majorEastAsia"/>
          <w:snapToGrid/>
        </w:rPr>
        <w:t>Comparator</w:t>
      </w:r>
      <w:bookmarkEnd w:id="10"/>
    </w:p>
    <w:p w:rsidR="00A80199" w:rsidRDefault="00A80199" w:rsidP="00D72F46">
      <w:pPr>
        <w:pStyle w:val="Bulletpoints"/>
        <w:keepNext/>
        <w:widowControl/>
        <w:numPr>
          <w:ilvl w:val="0"/>
          <w:numId w:val="0"/>
        </w:numPr>
        <w:spacing w:after="120"/>
        <w:rPr>
          <w:u w:val="single"/>
        </w:rPr>
      </w:pPr>
      <w:r w:rsidRPr="009D61D5">
        <w:rPr>
          <w:u w:val="single"/>
        </w:rPr>
        <w:t>aTIV (Fluad) compared to QIV</w:t>
      </w:r>
    </w:p>
    <w:p w:rsidR="002267F2" w:rsidRPr="009D61D5" w:rsidRDefault="002267F2" w:rsidP="00F37302">
      <w:pPr>
        <w:pStyle w:val="ListParagraph"/>
        <w:keepNext/>
        <w:widowControl/>
        <w:numPr>
          <w:ilvl w:val="1"/>
          <w:numId w:val="39"/>
        </w:numPr>
        <w:ind w:left="709" w:hanging="709"/>
        <w:rPr>
          <w:color w:val="3366FF"/>
        </w:rPr>
      </w:pPr>
      <w:r w:rsidRPr="009D61D5">
        <w:t>The submission nominate</w:t>
      </w:r>
      <w:r w:rsidR="00E36E75" w:rsidRPr="009D61D5">
        <w:t>d three QIVs (Afluria Quad, FluQ</w:t>
      </w:r>
      <w:r w:rsidRPr="009D61D5">
        <w:t>uadri, Fluarix Tetra) as the main comparator</w:t>
      </w:r>
      <w:r w:rsidR="0011489D" w:rsidRPr="009D61D5">
        <w:t>s</w:t>
      </w:r>
      <w:r w:rsidRPr="009D61D5">
        <w:t xml:space="preserve"> to aTIV (Fluad)</w:t>
      </w:r>
      <w:r w:rsidR="00C42279" w:rsidRPr="009D61D5">
        <w:t xml:space="preserve">. </w:t>
      </w:r>
      <w:r w:rsidRPr="009D61D5">
        <w:t>The QIVs represent existing stan</w:t>
      </w:r>
      <w:r w:rsidR="007D7BD0" w:rsidRPr="009D61D5">
        <w:t>dard care available on the NIP.</w:t>
      </w:r>
    </w:p>
    <w:p w:rsidR="007D7BD0" w:rsidRDefault="007D7BD0" w:rsidP="00D72F46">
      <w:pPr>
        <w:pStyle w:val="Bulletpoints"/>
        <w:widowControl/>
        <w:numPr>
          <w:ilvl w:val="0"/>
          <w:numId w:val="0"/>
        </w:numPr>
        <w:spacing w:after="120"/>
        <w:rPr>
          <w:u w:val="single"/>
        </w:rPr>
      </w:pPr>
      <w:r w:rsidRPr="009D61D5">
        <w:rPr>
          <w:u w:val="single"/>
        </w:rPr>
        <w:t>a</w:t>
      </w:r>
      <w:r w:rsidR="009F3C70" w:rsidRPr="009D61D5">
        <w:rPr>
          <w:u w:val="single"/>
        </w:rPr>
        <w:t>Q</w:t>
      </w:r>
      <w:r w:rsidRPr="009D61D5">
        <w:rPr>
          <w:u w:val="single"/>
        </w:rPr>
        <w:t>IV (Fluad</w:t>
      </w:r>
      <w:r w:rsidR="009F3C70" w:rsidRPr="009D61D5">
        <w:rPr>
          <w:u w:val="single"/>
        </w:rPr>
        <w:t xml:space="preserve"> Quad</w:t>
      </w:r>
      <w:r w:rsidRPr="009D61D5">
        <w:rPr>
          <w:u w:val="single"/>
        </w:rPr>
        <w:t xml:space="preserve">) compared to </w:t>
      </w:r>
      <w:r w:rsidR="009F3C70" w:rsidRPr="009D61D5">
        <w:rPr>
          <w:u w:val="single"/>
        </w:rPr>
        <w:t>aT</w:t>
      </w:r>
      <w:r w:rsidRPr="009D61D5">
        <w:rPr>
          <w:u w:val="single"/>
        </w:rPr>
        <w:t>IV</w:t>
      </w:r>
      <w:r w:rsidR="009F3C70" w:rsidRPr="009D61D5">
        <w:rPr>
          <w:u w:val="single"/>
        </w:rPr>
        <w:t xml:space="preserve"> (Fluad)</w:t>
      </w:r>
    </w:p>
    <w:p w:rsidR="002267F2" w:rsidRPr="00193B77" w:rsidRDefault="00500A18" w:rsidP="00F37302">
      <w:pPr>
        <w:pStyle w:val="ListParagraph"/>
        <w:keepNext/>
        <w:widowControl/>
        <w:numPr>
          <w:ilvl w:val="1"/>
          <w:numId w:val="39"/>
        </w:numPr>
        <w:ind w:left="709" w:hanging="709"/>
        <w:rPr>
          <w:color w:val="3366FF"/>
        </w:rPr>
      </w:pPr>
      <w:r w:rsidRPr="009D61D5">
        <w:t>T</w:t>
      </w:r>
      <w:r w:rsidR="002267F2" w:rsidRPr="009D61D5">
        <w:t xml:space="preserve">he submission nominated aTIV (Fluad) as the main comparator to aQIV (Fluad Quad). The main arguments provided in support of this nomination were that aTIV is the next-best alternative therapy </w:t>
      </w:r>
      <w:r w:rsidR="0011489D" w:rsidRPr="009D61D5">
        <w:t xml:space="preserve">on the NIP </w:t>
      </w:r>
      <w:r w:rsidR="002267F2" w:rsidRPr="009D61D5">
        <w:t>to the aQIV</w:t>
      </w:r>
      <w:r w:rsidR="0011489D" w:rsidRPr="009D61D5">
        <w:t xml:space="preserve"> for the proposed population</w:t>
      </w:r>
      <w:r w:rsidR="002267F2" w:rsidRPr="009D61D5">
        <w:t>.</w:t>
      </w:r>
    </w:p>
    <w:p w:rsidR="00193B77" w:rsidRPr="009D61D5" w:rsidRDefault="00193B77" w:rsidP="00F37302">
      <w:pPr>
        <w:pStyle w:val="ListParagraph"/>
        <w:keepNext/>
        <w:widowControl/>
        <w:numPr>
          <w:ilvl w:val="1"/>
          <w:numId w:val="39"/>
        </w:numPr>
        <w:ind w:left="709" w:hanging="709"/>
        <w:rPr>
          <w:color w:val="3366FF"/>
        </w:rPr>
      </w:pPr>
      <w:r>
        <w:t xml:space="preserve">The PBAC also considered </w:t>
      </w:r>
      <w:r w:rsidR="00AA780F">
        <w:t xml:space="preserve">non-adjuvanted </w:t>
      </w:r>
      <w:r>
        <w:t>QIV to be a relevant comparator for aQIV.</w:t>
      </w:r>
    </w:p>
    <w:p w:rsidR="007D7BD0" w:rsidRPr="00AA4006" w:rsidRDefault="007D7BD0" w:rsidP="00D72F46">
      <w:pPr>
        <w:spacing w:after="120"/>
        <w:rPr>
          <w:u w:val="single"/>
        </w:rPr>
      </w:pPr>
      <w:r w:rsidRPr="00AA4006">
        <w:rPr>
          <w:u w:val="single"/>
        </w:rPr>
        <w:t>Both comparisons</w:t>
      </w:r>
    </w:p>
    <w:p w:rsidR="00283481" w:rsidRPr="001C4E56" w:rsidRDefault="004F6BF7" w:rsidP="00F37302">
      <w:pPr>
        <w:pStyle w:val="ListParagraph"/>
        <w:keepNext/>
        <w:widowControl/>
        <w:numPr>
          <w:ilvl w:val="1"/>
          <w:numId w:val="39"/>
        </w:numPr>
        <w:ind w:left="709" w:hanging="709"/>
        <w:rPr>
          <w:rFonts w:cs="Calibri"/>
          <w:snapToGrid/>
        </w:rPr>
      </w:pPr>
      <w:r w:rsidRPr="00AA4006">
        <w:t xml:space="preserve">The submission also noted that </w:t>
      </w:r>
      <w:r w:rsidR="00AA780F">
        <w:t>non-adjuvanted</w:t>
      </w:r>
      <w:r w:rsidR="00F25C4C" w:rsidRPr="00AA4006">
        <w:t xml:space="preserve"> trivalent influenza vaccine, high-dose (TIV-HD, Fluzone) vaccine is a potential near market comparator. W</w:t>
      </w:r>
      <w:r w:rsidR="00F25C4C" w:rsidRPr="00AA4006">
        <w:rPr>
          <w:rFonts w:cs="Calibri"/>
          <w:iCs/>
          <w:snapToGrid/>
          <w:lang w:val="en-US"/>
        </w:rPr>
        <w:t>hile there is no TIV-</w:t>
      </w:r>
      <w:r w:rsidR="00F25C4C" w:rsidRPr="00AA4006">
        <w:rPr>
          <w:rFonts w:cs="Calibri"/>
          <w:iCs/>
          <w:snapToGrid/>
          <w:lang w:val="en-US"/>
        </w:rPr>
        <w:lastRenderedPageBreak/>
        <w:t xml:space="preserve">HD listed on the NIP in 2019, a resubmission of a previously rejected submission </w:t>
      </w:r>
      <w:r w:rsidR="0011489D" w:rsidRPr="00AA4006">
        <w:rPr>
          <w:rFonts w:cs="Calibri"/>
          <w:iCs/>
          <w:snapToGrid/>
          <w:lang w:val="en-US"/>
        </w:rPr>
        <w:t xml:space="preserve">for a price increase </w:t>
      </w:r>
      <w:r w:rsidR="00F25C4C" w:rsidRPr="00AA4006">
        <w:rPr>
          <w:rFonts w:cs="Calibri"/>
          <w:iCs/>
          <w:snapToGrid/>
          <w:lang w:val="en-US"/>
        </w:rPr>
        <w:t>may be reasonably expected in the near future</w:t>
      </w:r>
      <w:r w:rsidR="00AD3C3C" w:rsidRPr="00AA4006">
        <w:t>.</w:t>
      </w:r>
    </w:p>
    <w:p w:rsidR="00D72F46" w:rsidRPr="008E537B" w:rsidRDefault="001C4E56" w:rsidP="008E537B">
      <w:pPr>
        <w:rPr>
          <w:i/>
        </w:rPr>
      </w:pPr>
      <w:r w:rsidRPr="008E537B">
        <w:rPr>
          <w:i/>
        </w:rPr>
        <w:t>For more detail on PBAC’s view, see section 7 PBAC outcome.</w:t>
      </w:r>
    </w:p>
    <w:p w:rsidR="002267F2" w:rsidRPr="009D61D5" w:rsidRDefault="002267F2" w:rsidP="008E537B">
      <w:pPr>
        <w:pStyle w:val="2-SectionHeading"/>
        <w:rPr>
          <w:rFonts w:eastAsiaTheme="majorEastAsia"/>
          <w:caps/>
          <w:snapToGrid/>
        </w:rPr>
      </w:pPr>
      <w:bookmarkStart w:id="11" w:name="_Toc9407307"/>
      <w:r w:rsidRPr="009D61D5">
        <w:rPr>
          <w:rFonts w:eastAsiaTheme="majorEastAsia"/>
          <w:snapToGrid/>
        </w:rPr>
        <w:t>Consideration of the evidence</w:t>
      </w:r>
      <w:bookmarkEnd w:id="11"/>
    </w:p>
    <w:p w:rsidR="001C4E56" w:rsidRPr="001C4E56" w:rsidRDefault="001C4E56" w:rsidP="008E537B">
      <w:pPr>
        <w:pStyle w:val="4-SubsectionHeading"/>
      </w:pPr>
      <w:bookmarkStart w:id="12" w:name="_Toc9407308"/>
      <w:r w:rsidRPr="001C4E56">
        <w:t>Sponsor hearing</w:t>
      </w:r>
    </w:p>
    <w:p w:rsidR="001C4E56" w:rsidRPr="00283481" w:rsidRDefault="001C4E56" w:rsidP="00F37302">
      <w:pPr>
        <w:pStyle w:val="ListParagraph"/>
        <w:keepNext/>
        <w:widowControl/>
        <w:numPr>
          <w:ilvl w:val="1"/>
          <w:numId w:val="39"/>
        </w:numPr>
        <w:spacing w:after="240"/>
        <w:ind w:left="709" w:hanging="709"/>
      </w:pPr>
      <w:r w:rsidRPr="00283481">
        <w:t>There was no hearing for this item</w:t>
      </w:r>
      <w:r w:rsidR="00283481" w:rsidRPr="00283481">
        <w:t>.</w:t>
      </w:r>
    </w:p>
    <w:p w:rsidR="001C4E56" w:rsidRPr="009E159E" w:rsidRDefault="001C4E56" w:rsidP="008E537B">
      <w:pPr>
        <w:pStyle w:val="4-SubsectionHeading"/>
      </w:pPr>
      <w:r w:rsidRPr="009E159E">
        <w:t>Consumer comments</w:t>
      </w:r>
    </w:p>
    <w:p w:rsidR="001C4E56" w:rsidRPr="009E159E" w:rsidRDefault="001C4E56" w:rsidP="00F37302">
      <w:pPr>
        <w:pStyle w:val="ListParagraph"/>
        <w:keepNext/>
        <w:widowControl/>
        <w:numPr>
          <w:ilvl w:val="1"/>
          <w:numId w:val="39"/>
        </w:numPr>
        <w:spacing w:after="240"/>
        <w:ind w:left="709" w:hanging="709"/>
      </w:pPr>
      <w:r w:rsidRPr="009E159E">
        <w:t>The PBAC noted that no consumer comments were received for this item.</w:t>
      </w:r>
    </w:p>
    <w:p w:rsidR="002267F2" w:rsidRPr="009D61D5" w:rsidRDefault="002267F2" w:rsidP="008E537B">
      <w:pPr>
        <w:pStyle w:val="4-SubsectionHeading"/>
      </w:pPr>
      <w:r w:rsidRPr="009D61D5">
        <w:t>Clinical trials</w:t>
      </w:r>
      <w:bookmarkEnd w:id="12"/>
    </w:p>
    <w:p w:rsidR="00A05FF2" w:rsidRPr="009D61D5" w:rsidRDefault="00A05FF2" w:rsidP="00F37302">
      <w:pPr>
        <w:pStyle w:val="ListParagraph"/>
        <w:keepNext/>
        <w:widowControl/>
        <w:numPr>
          <w:ilvl w:val="1"/>
          <w:numId w:val="39"/>
        </w:numPr>
        <w:ind w:left="709" w:hanging="709"/>
        <w:rPr>
          <w:rFonts w:cs="Calibri"/>
          <w:snapToGrid/>
          <w:lang w:val="en-US"/>
        </w:rPr>
      </w:pPr>
      <w:r w:rsidRPr="00DA725C">
        <w:t>The</w:t>
      </w:r>
      <w:r w:rsidRPr="009D61D5">
        <w:rPr>
          <w:rFonts w:cs="Calibri"/>
          <w:snapToGrid/>
          <w:lang w:val="en-US"/>
        </w:rPr>
        <w:t xml:space="preserve"> multi-step </w:t>
      </w:r>
      <w:r w:rsidR="00E739FD" w:rsidRPr="009D61D5">
        <w:t xml:space="preserve">chain-of-evidence </w:t>
      </w:r>
      <w:r w:rsidR="00E36E75" w:rsidRPr="009D61D5">
        <w:rPr>
          <w:rFonts w:cs="Calibri"/>
          <w:snapToGrid/>
          <w:lang w:val="en-US"/>
        </w:rPr>
        <w:t>logic</w:t>
      </w:r>
      <w:r w:rsidRPr="009D61D5">
        <w:rPr>
          <w:rFonts w:cs="Calibri"/>
          <w:snapToGrid/>
          <w:lang w:val="en-US"/>
        </w:rPr>
        <w:t xml:space="preserve"> and structure of the evidence to support the clinical claims is illustrated in Figure </w:t>
      </w:r>
      <w:r w:rsidR="00F13930">
        <w:rPr>
          <w:rFonts w:cs="Calibri"/>
          <w:snapToGrid/>
          <w:lang w:val="en-US"/>
        </w:rPr>
        <w:t>3</w:t>
      </w:r>
      <w:r w:rsidRPr="009D61D5">
        <w:rPr>
          <w:rFonts w:cs="Calibri"/>
          <w:snapToGrid/>
          <w:lang w:val="en-US"/>
        </w:rPr>
        <w:t xml:space="preserve">. </w:t>
      </w:r>
    </w:p>
    <w:p w:rsidR="006E713E" w:rsidRDefault="006E713E" w:rsidP="006E713E">
      <w:pPr>
        <w:pStyle w:val="TableFigureHeading"/>
      </w:pPr>
      <w:r>
        <w:t xml:space="preserve">Figure </w:t>
      </w:r>
      <w:fldSimple w:instr=" SEQ Figure \* ARABIC ">
        <w:r w:rsidR="009C284C">
          <w:rPr>
            <w:noProof/>
          </w:rPr>
          <w:t>3</w:t>
        </w:r>
      </w:fldSimple>
      <w:r w:rsidRPr="00A558F2">
        <w:t>: Network diagram of the studies included to support the clinical claims</w:t>
      </w:r>
    </w:p>
    <w:p w:rsidR="00160087" w:rsidRPr="009D61D5" w:rsidRDefault="00160087" w:rsidP="004F2EEA">
      <w:pPr>
        <w:rPr>
          <w:rFonts w:ascii="Arial Narrow" w:hAnsi="Arial Narrow"/>
          <w:b/>
          <w:sz w:val="20"/>
        </w:rPr>
      </w:pPr>
      <w:r w:rsidRPr="009D61D5">
        <w:rPr>
          <w:rFonts w:ascii="Arial Narrow" w:hAnsi="Arial Narrow"/>
          <w:b/>
          <w:noProof/>
          <w:sz w:val="20"/>
        </w:rPr>
        <w:drawing>
          <wp:inline distT="0" distB="0" distL="0" distR="0" wp14:anchorId="1E1EBB91" wp14:editId="1C0E7EA6">
            <wp:extent cx="3067050" cy="1771537"/>
            <wp:effectExtent l="0" t="0" r="0" b="635"/>
            <wp:docPr id="7" name="Picture 7" title="Figure 3: Network diagram of the studies included to support the clinic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2.jpg"/>
                    <pic:cNvPicPr/>
                  </pic:nvPicPr>
                  <pic:blipFill>
                    <a:blip r:embed="rId12">
                      <a:extLst>
                        <a:ext uri="{28A0092B-C50C-407E-A947-70E740481C1C}">
                          <a14:useLocalDpi xmlns:a14="http://schemas.microsoft.com/office/drawing/2010/main" val="0"/>
                        </a:ext>
                      </a:extLst>
                    </a:blip>
                    <a:stretch>
                      <a:fillRect/>
                    </a:stretch>
                  </pic:blipFill>
                  <pic:spPr>
                    <a:xfrm>
                      <a:off x="0" y="0"/>
                      <a:ext cx="3067050" cy="1771537"/>
                    </a:xfrm>
                    <a:prstGeom prst="rect">
                      <a:avLst/>
                    </a:prstGeom>
                  </pic:spPr>
                </pic:pic>
              </a:graphicData>
            </a:graphic>
          </wp:inline>
        </w:drawing>
      </w:r>
    </w:p>
    <w:p w:rsidR="00160087" w:rsidRPr="009D61D5" w:rsidRDefault="00160087" w:rsidP="006E713E">
      <w:pPr>
        <w:pStyle w:val="TableFigureFooter"/>
      </w:pPr>
      <w:r w:rsidRPr="009D61D5">
        <w:t>aQIV: adjuvanted quadrivalent influenza vaccine; aTIV: adjuvanted trivalent influenza vaccine; QIV: quadrivalent influenza vaccine (non-adjuvanted); TIV: trivalent influenza vaccine (non-adjuvanted)</w:t>
      </w:r>
    </w:p>
    <w:p w:rsidR="00160087" w:rsidRPr="009D61D5" w:rsidRDefault="00160087" w:rsidP="006E713E">
      <w:pPr>
        <w:pStyle w:val="TableFigureFooter"/>
      </w:pPr>
      <w:r w:rsidRPr="009D61D5">
        <w:t>Source: Compiled during the evaluation</w:t>
      </w:r>
    </w:p>
    <w:p w:rsidR="00F116BF" w:rsidRPr="00F116BF" w:rsidRDefault="00A05FF2" w:rsidP="005072EC">
      <w:pPr>
        <w:pStyle w:val="ListParagraph"/>
        <w:keepNext/>
        <w:widowControl/>
        <w:numPr>
          <w:ilvl w:val="1"/>
          <w:numId w:val="39"/>
        </w:numPr>
        <w:ind w:left="709" w:hanging="709"/>
      </w:pPr>
      <w:r w:rsidRPr="00F116BF">
        <w:rPr>
          <w:rFonts w:cs="Calibri"/>
          <w:snapToGrid/>
          <w:lang w:val="en-US"/>
        </w:rPr>
        <w:t>The sources of evidence that the submiss</w:t>
      </w:r>
      <w:r w:rsidR="00293E5F" w:rsidRPr="00F116BF">
        <w:rPr>
          <w:rFonts w:cs="Calibri"/>
          <w:snapToGrid/>
          <w:lang w:val="en-US"/>
        </w:rPr>
        <w:t>ion present</w:t>
      </w:r>
      <w:r w:rsidR="00285E24" w:rsidRPr="00F116BF">
        <w:rPr>
          <w:rFonts w:cs="Calibri"/>
          <w:snapToGrid/>
          <w:lang w:val="en-US"/>
        </w:rPr>
        <w:t>ed</w:t>
      </w:r>
      <w:r w:rsidR="00293E5F" w:rsidRPr="00F116BF">
        <w:rPr>
          <w:rFonts w:cs="Calibri"/>
          <w:snapToGrid/>
          <w:lang w:val="en-US"/>
        </w:rPr>
        <w:t xml:space="preserve"> as the basis of</w:t>
      </w:r>
      <w:r w:rsidRPr="00F116BF">
        <w:rPr>
          <w:rFonts w:cs="Calibri"/>
          <w:snapToGrid/>
          <w:lang w:val="en-US"/>
        </w:rPr>
        <w:t xml:space="preserve"> each clinical</w:t>
      </w:r>
      <w:r w:rsidR="00C76ABC" w:rsidRPr="00F116BF">
        <w:rPr>
          <w:rFonts w:cs="Calibri"/>
          <w:snapToGrid/>
          <w:lang w:val="en-US"/>
        </w:rPr>
        <w:t xml:space="preserve"> claim</w:t>
      </w:r>
      <w:r w:rsidRPr="00F116BF">
        <w:rPr>
          <w:rFonts w:cs="Calibri"/>
          <w:snapToGrid/>
          <w:lang w:val="en-US"/>
        </w:rPr>
        <w:t xml:space="preserve">, is </w:t>
      </w:r>
      <w:r w:rsidR="00293E5F" w:rsidRPr="00F116BF">
        <w:rPr>
          <w:rFonts w:cs="Calibri"/>
          <w:snapToGrid/>
          <w:lang w:val="en-US"/>
        </w:rPr>
        <w:t>outlined</w:t>
      </w:r>
      <w:r w:rsidRPr="00F116BF">
        <w:rPr>
          <w:rFonts w:cs="Calibri"/>
          <w:snapToGrid/>
          <w:lang w:val="en-US"/>
        </w:rPr>
        <w:t xml:space="preserve"> in Table 2.</w:t>
      </w:r>
    </w:p>
    <w:p w:rsidR="00F116BF" w:rsidRDefault="00F116BF" w:rsidP="00F116BF">
      <w:pPr>
        <w:pStyle w:val="TableFigureHeading"/>
      </w:pPr>
      <w:r>
        <w:br w:type="page"/>
      </w:r>
    </w:p>
    <w:p w:rsidR="006E713E" w:rsidRDefault="006E713E" w:rsidP="00F116BF">
      <w:pPr>
        <w:pStyle w:val="TableFigureHeading"/>
      </w:pPr>
      <w:r>
        <w:lastRenderedPageBreak/>
        <w:t xml:space="preserve">Table </w:t>
      </w:r>
      <w:fldSimple w:instr=" SEQ Table \* ARABIC ">
        <w:r w:rsidR="009C284C">
          <w:rPr>
            <w:noProof/>
          </w:rPr>
          <w:t>2</w:t>
        </w:r>
      </w:fldSimple>
      <w:r w:rsidRPr="004F3214">
        <w:t>: Clinical claims and associated supporting evidence, presented within the submission</w:t>
      </w:r>
    </w:p>
    <w:tbl>
      <w:tblPr>
        <w:tblStyle w:val="TableGrid"/>
        <w:tblW w:w="0" w:type="auto"/>
        <w:tblLook w:val="04A0" w:firstRow="1" w:lastRow="0" w:firstColumn="1" w:lastColumn="0" w:noHBand="0" w:noVBand="1"/>
        <w:tblCaption w:val="Table 2: Clinical claims and associated supporting evidence, presented within the submission"/>
      </w:tblPr>
      <w:tblGrid>
        <w:gridCol w:w="1181"/>
        <w:gridCol w:w="2644"/>
        <w:gridCol w:w="5192"/>
      </w:tblGrid>
      <w:tr w:rsidR="00CB5FCB" w:rsidRPr="009D61D5" w:rsidTr="006E713E">
        <w:trPr>
          <w:cantSplit/>
          <w:tblHeader/>
        </w:trPr>
        <w:tc>
          <w:tcPr>
            <w:tcW w:w="1181" w:type="dxa"/>
            <w:tcMar>
              <w:left w:w="28" w:type="dxa"/>
              <w:right w:w="28" w:type="dxa"/>
            </w:tcMar>
            <w:vAlign w:val="center"/>
          </w:tcPr>
          <w:p w:rsidR="000A3B06" w:rsidRPr="009D61D5" w:rsidRDefault="000A3B06" w:rsidP="00A00426">
            <w:pPr>
              <w:rPr>
                <w:rFonts w:ascii="Arial Narrow" w:hAnsi="Arial Narrow"/>
                <w:b/>
                <w:sz w:val="20"/>
              </w:rPr>
            </w:pPr>
            <w:r w:rsidRPr="009D61D5">
              <w:rPr>
                <w:rFonts w:ascii="Arial Narrow" w:hAnsi="Arial Narrow"/>
                <w:b/>
                <w:sz w:val="20"/>
              </w:rPr>
              <w:t>Comparison</w:t>
            </w:r>
          </w:p>
        </w:tc>
        <w:tc>
          <w:tcPr>
            <w:tcW w:w="2644" w:type="dxa"/>
            <w:tcMar>
              <w:left w:w="28" w:type="dxa"/>
              <w:right w:w="28" w:type="dxa"/>
            </w:tcMar>
            <w:vAlign w:val="center"/>
          </w:tcPr>
          <w:p w:rsidR="000A3B06" w:rsidRPr="009D61D5" w:rsidRDefault="000A3B06" w:rsidP="00A00426">
            <w:pPr>
              <w:rPr>
                <w:rFonts w:ascii="Arial Narrow" w:hAnsi="Arial Narrow"/>
                <w:b/>
                <w:sz w:val="20"/>
              </w:rPr>
            </w:pPr>
            <w:r w:rsidRPr="009D61D5">
              <w:rPr>
                <w:rFonts w:ascii="Arial Narrow" w:hAnsi="Arial Narrow"/>
                <w:b/>
                <w:sz w:val="20"/>
              </w:rPr>
              <w:t>Claims</w:t>
            </w:r>
          </w:p>
        </w:tc>
        <w:tc>
          <w:tcPr>
            <w:tcW w:w="5192" w:type="dxa"/>
            <w:tcMar>
              <w:left w:w="28" w:type="dxa"/>
              <w:right w:w="28" w:type="dxa"/>
            </w:tcMar>
            <w:vAlign w:val="center"/>
          </w:tcPr>
          <w:p w:rsidR="000A3B06" w:rsidRPr="009D61D5" w:rsidRDefault="000A3B06" w:rsidP="00A00426">
            <w:pPr>
              <w:rPr>
                <w:rFonts w:ascii="Arial Narrow" w:hAnsi="Arial Narrow"/>
                <w:b/>
                <w:sz w:val="20"/>
              </w:rPr>
            </w:pPr>
            <w:r w:rsidRPr="009D61D5">
              <w:rPr>
                <w:rFonts w:ascii="Arial Narrow" w:hAnsi="Arial Narrow"/>
                <w:b/>
                <w:sz w:val="20"/>
              </w:rPr>
              <w:t>Evidence</w:t>
            </w:r>
          </w:p>
        </w:tc>
      </w:tr>
      <w:tr w:rsidR="00CB5FCB" w:rsidRPr="009D61D5" w:rsidTr="006E713E">
        <w:trPr>
          <w:cantSplit/>
        </w:trPr>
        <w:tc>
          <w:tcPr>
            <w:tcW w:w="1181" w:type="dxa"/>
            <w:vMerge w:val="restart"/>
            <w:tcMar>
              <w:left w:w="28" w:type="dxa"/>
              <w:right w:w="28" w:type="dxa"/>
            </w:tcMar>
            <w:vAlign w:val="center"/>
          </w:tcPr>
          <w:p w:rsidR="000A3B06" w:rsidRPr="009D61D5" w:rsidRDefault="000A3B06" w:rsidP="00A00426">
            <w:pPr>
              <w:rPr>
                <w:rFonts w:ascii="Arial Narrow" w:hAnsi="Arial Narrow"/>
                <w:b/>
                <w:sz w:val="20"/>
              </w:rPr>
            </w:pPr>
            <w:r w:rsidRPr="009D61D5">
              <w:rPr>
                <w:rFonts w:ascii="Arial Narrow" w:hAnsi="Arial Narrow"/>
                <w:b/>
                <w:sz w:val="20"/>
              </w:rPr>
              <w:t>aTIV (Fluad) compared to QIV</w:t>
            </w:r>
          </w:p>
        </w:tc>
        <w:tc>
          <w:tcPr>
            <w:tcW w:w="2644" w:type="dxa"/>
            <w:tcMar>
              <w:left w:w="28" w:type="dxa"/>
              <w:right w:w="28" w:type="dxa"/>
            </w:tcMar>
          </w:tcPr>
          <w:p w:rsidR="000A3B06" w:rsidRPr="009D61D5" w:rsidRDefault="000A3B06" w:rsidP="00A00426">
            <w:pPr>
              <w:rPr>
                <w:rFonts w:ascii="Arial Narrow" w:hAnsi="Arial Narrow"/>
                <w:b/>
                <w:sz w:val="20"/>
              </w:rPr>
            </w:pPr>
            <w:r w:rsidRPr="009D61D5">
              <w:rPr>
                <w:rFonts w:ascii="Arial Narrow" w:hAnsi="Arial Narrow"/>
                <w:b/>
                <w:sz w:val="20"/>
              </w:rPr>
              <w:t xml:space="preserve">Claim 1: aTIV (Fluad) </w:t>
            </w:r>
            <w:r w:rsidR="00B07A7B" w:rsidRPr="009D61D5">
              <w:rPr>
                <w:rFonts w:ascii="Arial Narrow" w:hAnsi="Arial Narrow"/>
                <w:b/>
                <w:sz w:val="20"/>
              </w:rPr>
              <w:t xml:space="preserve">compared </w:t>
            </w:r>
            <w:r w:rsidRPr="009D61D5">
              <w:rPr>
                <w:rFonts w:ascii="Arial Narrow" w:hAnsi="Arial Narrow"/>
                <w:b/>
                <w:sz w:val="20"/>
              </w:rPr>
              <w:t>to TIV</w:t>
            </w:r>
          </w:p>
          <w:p w:rsidR="000A3B06" w:rsidRPr="009D61D5" w:rsidRDefault="000A3B06" w:rsidP="00A00426">
            <w:pPr>
              <w:rPr>
                <w:rFonts w:ascii="Arial Narrow" w:hAnsi="Arial Narrow"/>
                <w:sz w:val="20"/>
              </w:rPr>
            </w:pPr>
            <w:r w:rsidRPr="009D61D5">
              <w:rPr>
                <w:rFonts w:ascii="Arial Narrow" w:hAnsi="Arial Narrow"/>
                <w:sz w:val="20"/>
              </w:rPr>
              <w:t>”Fluad (aTIV) is superior to non-adjuvanted TIV in effectiveness against clinically relevant outcomes” (p93 of the submission).</w:t>
            </w:r>
          </w:p>
          <w:p w:rsidR="000A3B06" w:rsidRPr="009D61D5" w:rsidRDefault="000A3B06" w:rsidP="00A00426">
            <w:pPr>
              <w:rPr>
                <w:rFonts w:ascii="Arial Narrow" w:hAnsi="Arial Narrow"/>
                <w:sz w:val="20"/>
              </w:rPr>
            </w:pPr>
          </w:p>
          <w:p w:rsidR="000A3B06" w:rsidRPr="009D61D5" w:rsidRDefault="000A3B06" w:rsidP="00A00426">
            <w:pPr>
              <w:rPr>
                <w:rFonts w:ascii="Arial Narrow" w:hAnsi="Arial Narrow"/>
                <w:sz w:val="20"/>
              </w:rPr>
            </w:pPr>
            <w:r w:rsidRPr="009D61D5">
              <w:rPr>
                <w:rFonts w:ascii="Arial Narrow" w:hAnsi="Arial Narrow"/>
                <w:sz w:val="20"/>
              </w:rPr>
              <w:t>“Fluad is superior to TIV in preventing hospitalisations for influenza or pneumonia.” (p46 of the submission), and that the submission … “intends to quantify the magnitude” (p46 of the submission).</w:t>
            </w:r>
          </w:p>
        </w:tc>
        <w:tc>
          <w:tcPr>
            <w:tcW w:w="5192" w:type="dxa"/>
            <w:tcMar>
              <w:left w:w="28" w:type="dxa"/>
              <w:right w:w="28" w:type="dxa"/>
            </w:tcMar>
          </w:tcPr>
          <w:p w:rsidR="00CB5FCB" w:rsidRPr="009D61D5" w:rsidRDefault="00CB5FCB" w:rsidP="00A00426">
            <w:pPr>
              <w:rPr>
                <w:rFonts w:ascii="Arial Narrow" w:hAnsi="Arial Narrow"/>
                <w:sz w:val="20"/>
              </w:rPr>
            </w:pPr>
            <w:r w:rsidRPr="009D61D5">
              <w:rPr>
                <w:rFonts w:ascii="Arial Narrow" w:hAnsi="Arial Narrow"/>
                <w:sz w:val="20"/>
              </w:rPr>
              <w:t>The submission draws on the below evidence:</w:t>
            </w:r>
          </w:p>
          <w:p w:rsidR="00CB5FCB" w:rsidRPr="009D61D5" w:rsidRDefault="00CB5FCB" w:rsidP="00A00426">
            <w:pPr>
              <w:rPr>
                <w:rFonts w:ascii="Arial Narrow" w:hAnsi="Arial Narrow"/>
                <w:sz w:val="20"/>
              </w:rPr>
            </w:pPr>
          </w:p>
          <w:p w:rsidR="00253616" w:rsidRPr="009D61D5" w:rsidRDefault="000A3B06" w:rsidP="00A00426">
            <w:pPr>
              <w:rPr>
                <w:rFonts w:ascii="Arial Narrow" w:hAnsi="Arial Narrow"/>
                <w:sz w:val="20"/>
              </w:rPr>
            </w:pPr>
            <w:r w:rsidRPr="009D61D5">
              <w:rPr>
                <w:rFonts w:ascii="Arial Narrow" w:hAnsi="Arial Narrow"/>
                <w:sz w:val="20"/>
              </w:rPr>
              <w:t xml:space="preserve">PBAC decision on aTIV </w:t>
            </w:r>
            <w:r w:rsidR="00CB5FCB" w:rsidRPr="009D61D5">
              <w:rPr>
                <w:rFonts w:ascii="Arial Narrow" w:hAnsi="Arial Narrow"/>
                <w:sz w:val="20"/>
              </w:rPr>
              <w:t>- “The PBAC agreed with the ATAGI that there is sufficient evidence indicating aTIV is</w:t>
            </w:r>
            <w:r w:rsidR="005A42D1" w:rsidRPr="009D61D5">
              <w:rPr>
                <w:rFonts w:ascii="Arial Narrow" w:hAnsi="Arial Narrow"/>
                <w:sz w:val="20"/>
              </w:rPr>
              <w:t xml:space="preserve"> </w:t>
            </w:r>
            <w:r w:rsidR="00CB5FCB" w:rsidRPr="009D61D5">
              <w:rPr>
                <w:rFonts w:ascii="Arial Narrow" w:hAnsi="Arial Narrow"/>
                <w:sz w:val="20"/>
              </w:rPr>
              <w:t>superior in effectiveness to non-adjuvanted trivalent inactivated vaccine (TIV) in</w:t>
            </w:r>
            <w:r w:rsidR="005A42D1" w:rsidRPr="009D61D5">
              <w:rPr>
                <w:rFonts w:ascii="Arial Narrow" w:hAnsi="Arial Narrow"/>
                <w:sz w:val="20"/>
              </w:rPr>
              <w:t xml:space="preserve"> </w:t>
            </w:r>
            <w:r w:rsidR="00CB5FCB" w:rsidRPr="009D61D5">
              <w:rPr>
                <w:rFonts w:ascii="Arial Narrow" w:hAnsi="Arial Narrow"/>
                <w:sz w:val="20"/>
              </w:rPr>
              <w:t>some scenarios, particularly in seasons dominated by influenza A/H3 disease which</w:t>
            </w:r>
            <w:r w:rsidR="005A42D1" w:rsidRPr="009D61D5">
              <w:rPr>
                <w:rFonts w:ascii="Arial Narrow" w:hAnsi="Arial Narrow"/>
                <w:sz w:val="20"/>
              </w:rPr>
              <w:t xml:space="preserve"> </w:t>
            </w:r>
            <w:r w:rsidR="00CB5FCB" w:rsidRPr="009D61D5">
              <w:rPr>
                <w:rFonts w:ascii="Arial Narrow" w:hAnsi="Arial Narrow"/>
                <w:sz w:val="20"/>
              </w:rPr>
              <w:t xml:space="preserve">accounts for a substantial burden in this age group" </w:t>
            </w:r>
            <w:r w:rsidRPr="009D61D5">
              <w:rPr>
                <w:rFonts w:ascii="Arial Narrow" w:hAnsi="Arial Narrow"/>
                <w:sz w:val="20"/>
              </w:rPr>
              <w:t xml:space="preserve">(PBAC, March 2018, Public Summary </w:t>
            </w:r>
            <w:r w:rsidR="00253616" w:rsidRPr="009D61D5">
              <w:rPr>
                <w:rFonts w:ascii="Arial Narrow" w:hAnsi="Arial Narrow"/>
                <w:sz w:val="20"/>
              </w:rPr>
              <w:t>Document – Fluad, paragraph 7.4)</w:t>
            </w:r>
          </w:p>
          <w:p w:rsidR="00253616" w:rsidRPr="009D61D5" w:rsidRDefault="00253616" w:rsidP="00A00426">
            <w:pPr>
              <w:rPr>
                <w:rFonts w:ascii="Arial Narrow" w:hAnsi="Arial Narrow"/>
                <w:sz w:val="20"/>
              </w:rPr>
            </w:pPr>
          </w:p>
          <w:p w:rsidR="000A3B06" w:rsidRPr="009D61D5" w:rsidRDefault="000A3B06" w:rsidP="00A00426">
            <w:pPr>
              <w:rPr>
                <w:rFonts w:ascii="Arial Narrow" w:hAnsi="Arial Narrow"/>
                <w:sz w:val="20"/>
              </w:rPr>
            </w:pPr>
            <w:r w:rsidRPr="009D61D5">
              <w:rPr>
                <w:rFonts w:ascii="Arial Narrow" w:hAnsi="Arial Narrow"/>
                <w:sz w:val="20"/>
              </w:rPr>
              <w:t>ATAGI advice (p1 of the ATAGI November 2017 pre-submission advice; p1 of the ATAGI February 2019 pre-submission advice</w:t>
            </w:r>
            <w:r w:rsidR="00253616" w:rsidRPr="009D61D5">
              <w:rPr>
                <w:rFonts w:ascii="Arial Narrow" w:hAnsi="Arial Narrow"/>
                <w:sz w:val="20"/>
              </w:rPr>
              <w:t>).</w:t>
            </w:r>
          </w:p>
          <w:p w:rsidR="000A3B06" w:rsidRPr="009D61D5" w:rsidRDefault="000A3B06" w:rsidP="00A00426">
            <w:pPr>
              <w:rPr>
                <w:rFonts w:ascii="Arial Narrow" w:hAnsi="Arial Narrow"/>
                <w:sz w:val="20"/>
              </w:rPr>
            </w:pPr>
          </w:p>
          <w:p w:rsidR="000A3B06" w:rsidRPr="009D61D5" w:rsidRDefault="000A3B06" w:rsidP="00A00426">
            <w:pPr>
              <w:rPr>
                <w:rFonts w:ascii="Arial Narrow" w:hAnsi="Arial Narrow"/>
                <w:sz w:val="20"/>
              </w:rPr>
            </w:pPr>
            <w:r w:rsidRPr="009D61D5">
              <w:rPr>
                <w:rFonts w:ascii="Arial Narrow" w:hAnsi="Arial Narrow"/>
                <w:sz w:val="20"/>
              </w:rPr>
              <w:t>The submission presented 1 observational study comparing aTIV (Fluad) to TIV (n=107,661): LIVE study (Mannino 2012; and Villa 2013)</w:t>
            </w:r>
            <w:r w:rsidR="00253616" w:rsidRPr="009D61D5">
              <w:rPr>
                <w:rFonts w:ascii="Arial Narrow" w:hAnsi="Arial Narrow"/>
                <w:sz w:val="20"/>
              </w:rPr>
              <w:t>.</w:t>
            </w:r>
          </w:p>
          <w:p w:rsidR="000A3B06" w:rsidRPr="009D61D5" w:rsidRDefault="000A3B06" w:rsidP="00A00426">
            <w:pPr>
              <w:rPr>
                <w:rFonts w:ascii="Arial Narrow" w:hAnsi="Arial Narrow"/>
                <w:sz w:val="20"/>
              </w:rPr>
            </w:pPr>
          </w:p>
          <w:p w:rsidR="000A3B06" w:rsidRPr="006625B6" w:rsidRDefault="000A3B06" w:rsidP="00A00426">
            <w:pPr>
              <w:rPr>
                <w:rFonts w:ascii="Arial Narrow" w:hAnsi="Arial Narrow"/>
                <w:sz w:val="20"/>
              </w:rPr>
            </w:pPr>
            <w:r w:rsidRPr="009D61D5">
              <w:rPr>
                <w:rFonts w:ascii="Arial Narrow" w:hAnsi="Arial Narrow"/>
                <w:sz w:val="20"/>
              </w:rPr>
              <w:t>The submission presented 3 supportive observational studies</w:t>
            </w:r>
            <w:r w:rsidR="00BA1FDE">
              <w:rPr>
                <w:rFonts w:ascii="Arial Narrow" w:hAnsi="Arial Narrow"/>
                <w:sz w:val="20"/>
              </w:rPr>
              <w:t xml:space="preserve"> </w:t>
            </w:r>
            <w:r w:rsidR="00BA1FDE" w:rsidRPr="006625B6">
              <w:rPr>
                <w:rFonts w:ascii="Arial Narrow" w:hAnsi="Arial Narrow"/>
                <w:sz w:val="20"/>
              </w:rPr>
              <w:t>(not used in the economic analysis)</w:t>
            </w:r>
          </w:p>
          <w:p w:rsidR="000A3B06" w:rsidRPr="009D61D5" w:rsidRDefault="000A3B06" w:rsidP="002B64BD">
            <w:pPr>
              <w:pStyle w:val="ListParagraph"/>
              <w:widowControl/>
              <w:numPr>
                <w:ilvl w:val="0"/>
                <w:numId w:val="7"/>
              </w:numPr>
              <w:spacing w:after="0"/>
              <w:ind w:left="714" w:hanging="357"/>
              <w:jc w:val="left"/>
              <w:rPr>
                <w:rFonts w:ascii="Arial Narrow" w:hAnsi="Arial Narrow"/>
                <w:sz w:val="20"/>
              </w:rPr>
            </w:pPr>
            <w:r w:rsidRPr="009D61D5">
              <w:rPr>
                <w:rFonts w:ascii="Arial Narrow" w:hAnsi="Arial Narrow"/>
                <w:sz w:val="20"/>
              </w:rPr>
              <w:t>Iob et al., 2005, comparing aTIV (Fluad) to TIV (N=3,173)</w:t>
            </w:r>
          </w:p>
          <w:p w:rsidR="000A3B06" w:rsidRPr="009D61D5" w:rsidRDefault="000A3B06" w:rsidP="002B64BD">
            <w:pPr>
              <w:pStyle w:val="ListParagraph"/>
              <w:widowControl/>
              <w:numPr>
                <w:ilvl w:val="0"/>
                <w:numId w:val="7"/>
              </w:numPr>
              <w:spacing w:after="0"/>
              <w:ind w:left="714" w:hanging="357"/>
              <w:jc w:val="left"/>
              <w:rPr>
                <w:rFonts w:ascii="Arial Narrow" w:hAnsi="Arial Narrow"/>
                <w:sz w:val="20"/>
              </w:rPr>
            </w:pPr>
            <w:r w:rsidRPr="009D61D5">
              <w:rPr>
                <w:rFonts w:ascii="Arial Narrow" w:hAnsi="Arial Narrow"/>
                <w:sz w:val="20"/>
              </w:rPr>
              <w:t>Van Buynder et al., 2013, comparing aTIV (Fluad) to TIV (N=282)</w:t>
            </w:r>
          </w:p>
          <w:p w:rsidR="000A3B06" w:rsidRPr="009D61D5" w:rsidRDefault="000A3B06" w:rsidP="002B64BD">
            <w:pPr>
              <w:pStyle w:val="ListParagraph"/>
              <w:widowControl/>
              <w:numPr>
                <w:ilvl w:val="0"/>
                <w:numId w:val="7"/>
              </w:numPr>
              <w:spacing w:after="0"/>
              <w:ind w:left="714" w:hanging="357"/>
              <w:jc w:val="left"/>
              <w:rPr>
                <w:rFonts w:ascii="Arial Narrow" w:hAnsi="Arial Narrow"/>
                <w:sz w:val="20"/>
              </w:rPr>
            </w:pPr>
            <w:r w:rsidRPr="009D61D5">
              <w:rPr>
                <w:rFonts w:ascii="Arial Narrow" w:hAnsi="Arial Narrow"/>
                <w:sz w:val="20"/>
              </w:rPr>
              <w:t>Gravenstein et al., 2018, comparing aTIV (Fluad) to TIV (N=54,076)</w:t>
            </w:r>
          </w:p>
        </w:tc>
      </w:tr>
      <w:tr w:rsidR="00CB5FCB" w:rsidRPr="009D61D5" w:rsidTr="006E713E">
        <w:trPr>
          <w:cantSplit/>
        </w:trPr>
        <w:tc>
          <w:tcPr>
            <w:tcW w:w="1181" w:type="dxa"/>
            <w:vMerge/>
            <w:tcMar>
              <w:left w:w="28" w:type="dxa"/>
              <w:right w:w="28" w:type="dxa"/>
            </w:tcMar>
          </w:tcPr>
          <w:p w:rsidR="000A3B06" w:rsidRPr="009D61D5" w:rsidRDefault="000A3B06" w:rsidP="00A00426">
            <w:pPr>
              <w:rPr>
                <w:rFonts w:ascii="Arial Narrow" w:hAnsi="Arial Narrow"/>
                <w:b/>
                <w:sz w:val="20"/>
              </w:rPr>
            </w:pPr>
          </w:p>
        </w:tc>
        <w:tc>
          <w:tcPr>
            <w:tcW w:w="2644" w:type="dxa"/>
            <w:tcMar>
              <w:left w:w="28" w:type="dxa"/>
              <w:right w:w="28" w:type="dxa"/>
            </w:tcMar>
          </w:tcPr>
          <w:p w:rsidR="000A3B06" w:rsidRPr="009D61D5" w:rsidRDefault="000A3B06" w:rsidP="00A00426">
            <w:pPr>
              <w:rPr>
                <w:rFonts w:ascii="Arial Narrow" w:hAnsi="Arial Narrow"/>
                <w:sz w:val="20"/>
              </w:rPr>
            </w:pPr>
            <w:r w:rsidRPr="009D61D5">
              <w:rPr>
                <w:rFonts w:ascii="Arial Narrow" w:hAnsi="Arial Narrow"/>
                <w:b/>
                <w:sz w:val="20"/>
              </w:rPr>
              <w:t>Claim 2: aTIV (Fluad)</w:t>
            </w:r>
            <w:r w:rsidR="00B07A7B" w:rsidRPr="009D61D5">
              <w:rPr>
                <w:rFonts w:ascii="Arial Narrow" w:hAnsi="Arial Narrow"/>
                <w:b/>
                <w:sz w:val="20"/>
              </w:rPr>
              <w:t xml:space="preserve"> compared</w:t>
            </w:r>
            <w:r w:rsidRPr="009D61D5">
              <w:rPr>
                <w:rFonts w:ascii="Arial Narrow" w:hAnsi="Arial Narrow"/>
                <w:b/>
                <w:sz w:val="20"/>
              </w:rPr>
              <w:t xml:space="preserve"> to QIVs (Afluria Quad, FluQuadri and Fluarix Tetra)</w:t>
            </w:r>
          </w:p>
          <w:p w:rsidR="000A3B06" w:rsidRPr="009D61D5" w:rsidRDefault="000A3B06" w:rsidP="00A00426">
            <w:pPr>
              <w:rPr>
                <w:rFonts w:ascii="Arial Narrow" w:hAnsi="Arial Narrow"/>
                <w:sz w:val="20"/>
                <w:szCs w:val="20"/>
              </w:rPr>
            </w:pPr>
            <w:r w:rsidRPr="009D61D5">
              <w:rPr>
                <w:rFonts w:ascii="Arial Narrow" w:hAnsi="Arial Narrow"/>
                <w:sz w:val="20"/>
                <w:szCs w:val="20"/>
              </w:rPr>
              <w:t>The submission proposed a range of alternative claims.</w:t>
            </w:r>
          </w:p>
          <w:p w:rsidR="000A3B06" w:rsidRPr="009D61D5" w:rsidRDefault="000A3B06" w:rsidP="00A00426">
            <w:pPr>
              <w:rPr>
                <w:rFonts w:ascii="Arial Narrow" w:hAnsi="Arial Narrow"/>
                <w:sz w:val="20"/>
                <w:szCs w:val="20"/>
              </w:rPr>
            </w:pPr>
          </w:p>
          <w:p w:rsidR="000A3B06" w:rsidRPr="009D61D5" w:rsidRDefault="000A3B06" w:rsidP="00A00426">
            <w:pPr>
              <w:rPr>
                <w:rFonts w:ascii="Arial Narrow" w:hAnsi="Arial Narrow"/>
                <w:sz w:val="20"/>
                <w:szCs w:val="20"/>
              </w:rPr>
            </w:pPr>
            <w:r w:rsidRPr="009D61D5">
              <w:rPr>
                <w:rFonts w:ascii="Arial Narrow" w:hAnsi="Arial Narrow"/>
                <w:sz w:val="20"/>
                <w:szCs w:val="20"/>
              </w:rPr>
              <w:t>“The superiority claim [of aTIV over TIV] is proposed to extend to non-adjuvanted QIV where there is a strain match” (Figure 2.1, p46 of the submission).</w:t>
            </w:r>
          </w:p>
          <w:p w:rsidR="000A3B06" w:rsidRPr="009D61D5" w:rsidRDefault="000A3B06" w:rsidP="00A00426">
            <w:pPr>
              <w:rPr>
                <w:rFonts w:ascii="Arial Narrow" w:hAnsi="Arial Narrow"/>
                <w:sz w:val="20"/>
                <w:szCs w:val="20"/>
              </w:rPr>
            </w:pPr>
          </w:p>
          <w:p w:rsidR="000A3B06" w:rsidRPr="009D61D5" w:rsidRDefault="000A3B06" w:rsidP="00A00426">
            <w:pPr>
              <w:pStyle w:val="bulletlevel1"/>
              <w:numPr>
                <w:ilvl w:val="0"/>
                <w:numId w:val="0"/>
              </w:numPr>
              <w:ind w:left="32" w:hanging="32"/>
              <w:rPr>
                <w:rFonts w:ascii="Arial Narrow" w:hAnsi="Arial Narrow"/>
                <w:sz w:val="20"/>
                <w:szCs w:val="20"/>
              </w:rPr>
            </w:pPr>
            <w:r w:rsidRPr="009D61D5">
              <w:rPr>
                <w:rFonts w:ascii="Arial Narrow" w:hAnsi="Arial Narrow"/>
                <w:sz w:val="20"/>
                <w:szCs w:val="20"/>
              </w:rPr>
              <w:t xml:space="preserve">“Fluad (aTIV) is non-inferior to QIV in immunogenicity measures for A/H1N1, A/H3N2 and the </w:t>
            </w:r>
            <w:r w:rsidRPr="009D61D5">
              <w:rPr>
                <w:rFonts w:ascii="Arial Narrow" w:hAnsi="Arial Narrow"/>
                <w:sz w:val="20"/>
                <w:szCs w:val="20"/>
                <w:u w:val="single"/>
              </w:rPr>
              <w:t>included</w:t>
            </w:r>
            <w:r w:rsidRPr="009D61D5">
              <w:rPr>
                <w:rFonts w:ascii="Arial Narrow" w:hAnsi="Arial Narrow"/>
                <w:sz w:val="20"/>
                <w:szCs w:val="20"/>
              </w:rPr>
              <w:t xml:space="preserve"> B strain; with the majority of outcomes statistically in favour of Fluad over QIV, including seroconversion against A/H1N1 and A/H3N2” </w:t>
            </w:r>
            <w:r w:rsidRPr="009D61D5">
              <w:rPr>
                <w:rFonts w:ascii="Arial Narrow" w:hAnsi="Arial Narrow"/>
                <w:sz w:val="20"/>
              </w:rPr>
              <w:t>(p93 of the submission)</w:t>
            </w:r>
          </w:p>
          <w:p w:rsidR="000A3B06" w:rsidRPr="009D61D5" w:rsidRDefault="000A3B06" w:rsidP="00A00426">
            <w:pPr>
              <w:rPr>
                <w:rFonts w:ascii="Arial Narrow" w:hAnsi="Arial Narrow"/>
                <w:sz w:val="20"/>
                <w:szCs w:val="20"/>
              </w:rPr>
            </w:pPr>
          </w:p>
          <w:p w:rsidR="000A3B06" w:rsidRPr="009D61D5" w:rsidRDefault="000A3B06" w:rsidP="00A00426">
            <w:pPr>
              <w:rPr>
                <w:rFonts w:ascii="Arial Narrow" w:hAnsi="Arial Narrow"/>
                <w:sz w:val="20"/>
              </w:rPr>
            </w:pPr>
            <w:r w:rsidRPr="009D61D5">
              <w:rPr>
                <w:rFonts w:ascii="Arial Narrow" w:hAnsi="Arial Narrow"/>
                <w:sz w:val="20"/>
                <w:szCs w:val="20"/>
              </w:rPr>
              <w:t xml:space="preserve">“Fluad (aTIV) is at least as effective as QIV, whereby the additional protection afforded by Fluad against the strains in the vaccine is substantial enough to offset the potential loss of protection against the alternative B strain not in the vaccine” </w:t>
            </w:r>
            <w:r w:rsidRPr="009D61D5">
              <w:rPr>
                <w:rFonts w:ascii="Arial Narrow" w:hAnsi="Arial Narrow"/>
                <w:sz w:val="20"/>
              </w:rPr>
              <w:t>(p93 of the submission).</w:t>
            </w:r>
          </w:p>
        </w:tc>
        <w:tc>
          <w:tcPr>
            <w:tcW w:w="5192" w:type="dxa"/>
            <w:tcMar>
              <w:left w:w="28" w:type="dxa"/>
              <w:right w:w="28" w:type="dxa"/>
            </w:tcMar>
          </w:tcPr>
          <w:p w:rsidR="00CB5FCB" w:rsidRPr="009D61D5" w:rsidRDefault="00CB5FCB" w:rsidP="00A00426">
            <w:pPr>
              <w:rPr>
                <w:rFonts w:ascii="Arial Narrow" w:hAnsi="Arial Narrow"/>
                <w:sz w:val="20"/>
              </w:rPr>
            </w:pPr>
            <w:r w:rsidRPr="009D61D5">
              <w:rPr>
                <w:rFonts w:ascii="Arial Narrow" w:hAnsi="Arial Narrow"/>
                <w:sz w:val="20"/>
              </w:rPr>
              <w:t>The submission draws on the below evidence:</w:t>
            </w:r>
          </w:p>
          <w:p w:rsidR="00CB5FCB" w:rsidRPr="009D61D5" w:rsidRDefault="00CB5FCB" w:rsidP="00A00426">
            <w:pPr>
              <w:rPr>
                <w:rFonts w:ascii="Arial Narrow" w:hAnsi="Arial Narrow"/>
                <w:sz w:val="20"/>
              </w:rPr>
            </w:pPr>
          </w:p>
          <w:p w:rsidR="000A3B06" w:rsidRPr="009D61D5" w:rsidRDefault="000A3B06" w:rsidP="00A00426">
            <w:pPr>
              <w:rPr>
                <w:rFonts w:ascii="Arial Narrow" w:hAnsi="Arial Narrow"/>
                <w:sz w:val="20"/>
              </w:rPr>
            </w:pPr>
            <w:r w:rsidRPr="009D61D5">
              <w:rPr>
                <w:rFonts w:ascii="Arial Narrow" w:hAnsi="Arial Narrow"/>
                <w:sz w:val="20"/>
              </w:rPr>
              <w:t xml:space="preserve">PBAC decision on aTIV </w:t>
            </w:r>
            <w:r w:rsidR="00CB5FCB" w:rsidRPr="009D61D5">
              <w:rPr>
                <w:rFonts w:ascii="Arial Narrow" w:hAnsi="Arial Narrow"/>
                <w:sz w:val="20"/>
              </w:rPr>
              <w:t>“The PBAC accepted the ATAGI advice that aTIV is non-inferior overall to QIV for the</w:t>
            </w:r>
            <w:r w:rsidR="005A42D1" w:rsidRPr="009D61D5">
              <w:rPr>
                <w:rFonts w:ascii="Arial Narrow" w:hAnsi="Arial Narrow"/>
                <w:sz w:val="20"/>
              </w:rPr>
              <w:t xml:space="preserve"> </w:t>
            </w:r>
            <w:r w:rsidR="00CB5FCB" w:rsidRPr="009D61D5">
              <w:rPr>
                <w:rFonts w:ascii="Arial Narrow" w:hAnsi="Arial Narrow"/>
                <w:sz w:val="20"/>
              </w:rPr>
              <w:t xml:space="preserve">prevention of seasonal influenza in adults aged ≥65 years” </w:t>
            </w:r>
            <w:r w:rsidR="005A42D1" w:rsidRPr="009D61D5">
              <w:rPr>
                <w:rFonts w:ascii="Arial Narrow" w:hAnsi="Arial Narrow"/>
                <w:sz w:val="20"/>
              </w:rPr>
              <w:t xml:space="preserve">(PBAC, March 2018, Public Summary Document – Fluad, paragraph 7.3); </w:t>
            </w:r>
            <w:r w:rsidR="00CB5FCB" w:rsidRPr="009D61D5">
              <w:rPr>
                <w:rFonts w:ascii="Arial Narrow" w:hAnsi="Arial Narrow"/>
                <w:sz w:val="20"/>
              </w:rPr>
              <w:t>and that “The PBAC agreed with the ATAGI that the potential additional protection afforded by</w:t>
            </w:r>
            <w:r w:rsidR="005A42D1" w:rsidRPr="009D61D5">
              <w:rPr>
                <w:rFonts w:ascii="Arial Narrow" w:hAnsi="Arial Narrow"/>
                <w:sz w:val="20"/>
              </w:rPr>
              <w:t xml:space="preserve"> </w:t>
            </w:r>
            <w:r w:rsidR="00CB5FCB" w:rsidRPr="009D61D5">
              <w:rPr>
                <w:rFonts w:ascii="Arial Narrow" w:hAnsi="Arial Narrow"/>
                <w:sz w:val="20"/>
              </w:rPr>
              <w:t>aTIV against the strains included in the vaccine is substantial enough to offset, if not</w:t>
            </w:r>
            <w:r w:rsidR="005A42D1" w:rsidRPr="009D61D5">
              <w:rPr>
                <w:rFonts w:ascii="Arial Narrow" w:hAnsi="Arial Narrow"/>
                <w:sz w:val="20"/>
              </w:rPr>
              <w:t xml:space="preserve"> </w:t>
            </w:r>
            <w:r w:rsidR="00CB5FCB" w:rsidRPr="009D61D5">
              <w:rPr>
                <w:rFonts w:ascii="Arial Narrow" w:hAnsi="Arial Narrow"/>
                <w:sz w:val="20"/>
              </w:rPr>
              <w:t>outweigh, the potential loss of protection against the alternative B lineage not in the</w:t>
            </w:r>
            <w:r w:rsidR="005A42D1" w:rsidRPr="009D61D5">
              <w:rPr>
                <w:rFonts w:ascii="Arial Narrow" w:hAnsi="Arial Narrow"/>
                <w:sz w:val="20"/>
              </w:rPr>
              <w:t xml:space="preserve"> </w:t>
            </w:r>
            <w:r w:rsidR="00CB5FCB" w:rsidRPr="009D61D5">
              <w:rPr>
                <w:rFonts w:ascii="Arial Narrow" w:hAnsi="Arial Narrow"/>
                <w:sz w:val="20"/>
              </w:rPr>
              <w:t xml:space="preserve">vaccine, in most years, for adults aged ≥65 years” </w:t>
            </w:r>
            <w:r w:rsidRPr="009D61D5">
              <w:rPr>
                <w:rFonts w:ascii="Arial Narrow" w:hAnsi="Arial Narrow"/>
                <w:sz w:val="20"/>
              </w:rPr>
              <w:t>(PBAC, March 2018, Public Summary Document – Fluad, paragraph 7.5)</w:t>
            </w:r>
            <w:r w:rsidR="00253616" w:rsidRPr="009D61D5">
              <w:rPr>
                <w:rFonts w:ascii="Arial Narrow" w:hAnsi="Arial Narrow"/>
                <w:sz w:val="20"/>
              </w:rPr>
              <w:t>.</w:t>
            </w:r>
          </w:p>
          <w:p w:rsidR="000A3B06" w:rsidRPr="009D61D5" w:rsidRDefault="000A3B06" w:rsidP="00A00426">
            <w:pPr>
              <w:rPr>
                <w:rFonts w:ascii="Arial Narrow" w:hAnsi="Arial Narrow"/>
                <w:sz w:val="20"/>
              </w:rPr>
            </w:pPr>
          </w:p>
          <w:p w:rsidR="000A3B06" w:rsidRPr="009D61D5" w:rsidRDefault="000A3B06" w:rsidP="00A00426">
            <w:pPr>
              <w:rPr>
                <w:rFonts w:ascii="Arial Narrow" w:hAnsi="Arial Narrow"/>
                <w:sz w:val="20"/>
              </w:rPr>
            </w:pPr>
            <w:r w:rsidRPr="009D61D5">
              <w:rPr>
                <w:rFonts w:ascii="Arial Narrow" w:hAnsi="Arial Narrow"/>
                <w:sz w:val="20"/>
              </w:rPr>
              <w:t>ATAGI advice (p1 of the ATAGI November 2017 pre-submission advice; p1 of the ATAGI February 2019 pre-submission advice)</w:t>
            </w:r>
            <w:r w:rsidR="00253616" w:rsidRPr="009D61D5">
              <w:rPr>
                <w:rFonts w:ascii="Arial Narrow" w:hAnsi="Arial Narrow"/>
                <w:sz w:val="20"/>
              </w:rPr>
              <w:t>.</w:t>
            </w:r>
          </w:p>
          <w:p w:rsidR="000A3B06" w:rsidRPr="009D61D5" w:rsidRDefault="000A3B06" w:rsidP="00A00426">
            <w:pPr>
              <w:rPr>
                <w:rFonts w:ascii="Arial Narrow" w:hAnsi="Arial Narrow"/>
                <w:sz w:val="20"/>
              </w:rPr>
            </w:pPr>
          </w:p>
          <w:p w:rsidR="005B4720" w:rsidRPr="009D61D5" w:rsidRDefault="000A3B06" w:rsidP="00A00426">
            <w:pPr>
              <w:rPr>
                <w:rFonts w:ascii="Arial Narrow" w:hAnsi="Arial Narrow"/>
                <w:sz w:val="20"/>
              </w:rPr>
            </w:pPr>
            <w:r w:rsidRPr="009D61D5">
              <w:rPr>
                <w:rFonts w:ascii="Arial Narrow" w:hAnsi="Arial Narrow"/>
                <w:sz w:val="20"/>
              </w:rPr>
              <w:t>No additional evidence was presented to support this claim.</w:t>
            </w:r>
          </w:p>
        </w:tc>
      </w:tr>
      <w:tr w:rsidR="00CB5FCB" w:rsidRPr="009D61D5" w:rsidTr="006E713E">
        <w:trPr>
          <w:cantSplit/>
        </w:trPr>
        <w:tc>
          <w:tcPr>
            <w:tcW w:w="1181" w:type="dxa"/>
            <w:tcMar>
              <w:left w:w="28" w:type="dxa"/>
              <w:right w:w="28" w:type="dxa"/>
            </w:tcMar>
          </w:tcPr>
          <w:p w:rsidR="000A3B06" w:rsidRPr="009D61D5" w:rsidRDefault="000A3B06" w:rsidP="00A00426">
            <w:pPr>
              <w:rPr>
                <w:rFonts w:ascii="Arial Narrow" w:hAnsi="Arial Narrow"/>
                <w:b/>
                <w:sz w:val="20"/>
              </w:rPr>
            </w:pPr>
            <w:r w:rsidRPr="009D61D5">
              <w:rPr>
                <w:rFonts w:ascii="Arial Narrow" w:hAnsi="Arial Narrow"/>
                <w:b/>
                <w:sz w:val="20"/>
              </w:rPr>
              <w:t>aQIV (Fluad Quad) compared to aTIV (Fluad)</w:t>
            </w:r>
          </w:p>
        </w:tc>
        <w:tc>
          <w:tcPr>
            <w:tcW w:w="2644" w:type="dxa"/>
            <w:tcMar>
              <w:left w:w="28" w:type="dxa"/>
              <w:right w:w="28" w:type="dxa"/>
            </w:tcMar>
          </w:tcPr>
          <w:p w:rsidR="000A3B06" w:rsidRPr="009D61D5" w:rsidRDefault="000A3B06" w:rsidP="00A00426">
            <w:pPr>
              <w:rPr>
                <w:rFonts w:ascii="Arial Narrow" w:hAnsi="Arial Narrow"/>
                <w:sz w:val="20"/>
              </w:rPr>
            </w:pPr>
            <w:r w:rsidRPr="009D61D5">
              <w:rPr>
                <w:rFonts w:ascii="Arial Narrow" w:hAnsi="Arial Narrow"/>
                <w:b/>
                <w:sz w:val="20"/>
              </w:rPr>
              <w:t>Claim 3: aQIV (Fluad Quad)</w:t>
            </w:r>
            <w:r w:rsidR="00B07A7B" w:rsidRPr="009D61D5">
              <w:rPr>
                <w:rFonts w:ascii="Arial Narrow" w:hAnsi="Arial Narrow"/>
                <w:b/>
                <w:sz w:val="20"/>
              </w:rPr>
              <w:t xml:space="preserve"> compared</w:t>
            </w:r>
            <w:r w:rsidRPr="009D61D5">
              <w:rPr>
                <w:rFonts w:ascii="Arial Narrow" w:hAnsi="Arial Narrow"/>
                <w:b/>
                <w:sz w:val="20"/>
              </w:rPr>
              <w:t xml:space="preserve"> to aTIV (Fluad)</w:t>
            </w:r>
            <w:r w:rsidRPr="009D61D5">
              <w:rPr>
                <w:rFonts w:ascii="Arial Narrow" w:hAnsi="Arial Narrow"/>
                <w:b/>
                <w:sz w:val="20"/>
              </w:rPr>
              <w:br/>
            </w:r>
            <w:r w:rsidRPr="009D61D5">
              <w:rPr>
                <w:rFonts w:ascii="Arial Narrow" w:hAnsi="Arial Narrow"/>
                <w:sz w:val="20"/>
              </w:rPr>
              <w:t>“Fluad Quad (aQIV) is non-inferior to Fluad (aTIV) in immunogenicity measures for A/H1N1, A/H3N2 and the included B/ Victoria and B/Yamagata strains” (p93 of the submission)</w:t>
            </w:r>
          </w:p>
        </w:tc>
        <w:tc>
          <w:tcPr>
            <w:tcW w:w="5192" w:type="dxa"/>
            <w:tcMar>
              <w:left w:w="28" w:type="dxa"/>
              <w:right w:w="28" w:type="dxa"/>
            </w:tcMar>
          </w:tcPr>
          <w:p w:rsidR="000A3B06" w:rsidRPr="009D61D5" w:rsidRDefault="000A3B06" w:rsidP="00A00426">
            <w:pPr>
              <w:rPr>
                <w:rFonts w:ascii="Arial Narrow" w:hAnsi="Arial Narrow"/>
                <w:sz w:val="20"/>
              </w:rPr>
            </w:pPr>
            <w:r w:rsidRPr="009D61D5">
              <w:rPr>
                <w:rFonts w:ascii="Arial Narrow" w:hAnsi="Arial Narrow"/>
                <w:sz w:val="20"/>
              </w:rPr>
              <w:t>1 head-to-head immunogenicity RCT comparing aQIV to aTIV (N=1,778): V118_20</w:t>
            </w:r>
          </w:p>
        </w:tc>
      </w:tr>
      <w:tr w:rsidR="00CB5FCB" w:rsidRPr="009D61D5" w:rsidTr="006E713E">
        <w:trPr>
          <w:cantSplit/>
        </w:trPr>
        <w:tc>
          <w:tcPr>
            <w:tcW w:w="1181" w:type="dxa"/>
            <w:tcMar>
              <w:left w:w="28" w:type="dxa"/>
              <w:right w:w="28" w:type="dxa"/>
            </w:tcMar>
          </w:tcPr>
          <w:p w:rsidR="000A3B06" w:rsidRPr="009D61D5" w:rsidDel="00AE1EB7" w:rsidRDefault="000A3B06" w:rsidP="00A00426">
            <w:pPr>
              <w:rPr>
                <w:rFonts w:ascii="Arial Narrow" w:hAnsi="Arial Narrow"/>
                <w:b/>
                <w:sz w:val="20"/>
              </w:rPr>
            </w:pPr>
            <w:r w:rsidRPr="009D61D5">
              <w:rPr>
                <w:rFonts w:ascii="Arial Narrow" w:hAnsi="Arial Narrow"/>
                <w:b/>
                <w:sz w:val="20"/>
              </w:rPr>
              <w:t xml:space="preserve">Additional </w:t>
            </w:r>
            <w:r w:rsidR="00E36E75" w:rsidRPr="009D61D5">
              <w:rPr>
                <w:rFonts w:ascii="Arial Narrow" w:hAnsi="Arial Narrow"/>
                <w:b/>
                <w:sz w:val="20"/>
              </w:rPr>
              <w:t>overarching</w:t>
            </w:r>
            <w:r w:rsidRPr="009D61D5">
              <w:rPr>
                <w:rFonts w:ascii="Arial Narrow" w:hAnsi="Arial Narrow"/>
                <w:b/>
                <w:sz w:val="20"/>
              </w:rPr>
              <w:t xml:space="preserve"> claim</w:t>
            </w:r>
          </w:p>
        </w:tc>
        <w:tc>
          <w:tcPr>
            <w:tcW w:w="2644" w:type="dxa"/>
            <w:tcMar>
              <w:left w:w="28" w:type="dxa"/>
              <w:right w:w="28" w:type="dxa"/>
            </w:tcMar>
          </w:tcPr>
          <w:p w:rsidR="000A3B06" w:rsidRPr="009D61D5" w:rsidRDefault="000A3B06" w:rsidP="00A00426">
            <w:pPr>
              <w:rPr>
                <w:rFonts w:ascii="Arial Narrow" w:hAnsi="Arial Narrow"/>
                <w:sz w:val="20"/>
              </w:rPr>
            </w:pPr>
            <w:r w:rsidRPr="009D61D5">
              <w:rPr>
                <w:rFonts w:ascii="Arial Narrow" w:hAnsi="Arial Narrow"/>
                <w:b/>
                <w:sz w:val="20"/>
              </w:rPr>
              <w:t xml:space="preserve">Claim 4: aQIV (Fluad Quad) </w:t>
            </w:r>
            <w:r w:rsidR="00B07A7B" w:rsidRPr="009D61D5">
              <w:rPr>
                <w:rFonts w:ascii="Arial Narrow" w:hAnsi="Arial Narrow"/>
                <w:b/>
                <w:sz w:val="20"/>
              </w:rPr>
              <w:t xml:space="preserve">compared </w:t>
            </w:r>
            <w:r w:rsidRPr="009D61D5">
              <w:rPr>
                <w:rFonts w:ascii="Arial Narrow" w:hAnsi="Arial Narrow"/>
                <w:b/>
                <w:sz w:val="20"/>
              </w:rPr>
              <w:t>to QIVs (Afluria Quad, FluQuadri and Fluarix Tetra)</w:t>
            </w:r>
            <w:r w:rsidRPr="009D61D5">
              <w:rPr>
                <w:rFonts w:ascii="Arial Narrow" w:hAnsi="Arial Narrow"/>
                <w:b/>
                <w:sz w:val="20"/>
              </w:rPr>
              <w:br/>
            </w:r>
            <w:r w:rsidRPr="009D61D5">
              <w:rPr>
                <w:rFonts w:ascii="Arial Narrow" w:hAnsi="Arial Narrow"/>
                <w:sz w:val="20"/>
              </w:rPr>
              <w:t>“By extension, Fluad Quad (aQIV) is superior to non-adjuvanted QIV in effectiveness against clinically relevant outcomes</w:t>
            </w:r>
            <w:r w:rsidRPr="009D61D5">
              <w:rPr>
                <w:rFonts w:ascii="Arial Narrow" w:eastAsiaTheme="majorEastAsia" w:hAnsi="Arial Narrow" w:cstheme="majorBidi"/>
                <w:sz w:val="20"/>
                <w:lang w:bidi="en-US"/>
              </w:rPr>
              <w:t>” (</w:t>
            </w:r>
            <w:r w:rsidRPr="009D61D5">
              <w:rPr>
                <w:rFonts w:ascii="Arial Narrow" w:hAnsi="Arial Narrow"/>
                <w:sz w:val="20"/>
              </w:rPr>
              <w:t>p93 of the submission)</w:t>
            </w:r>
          </w:p>
        </w:tc>
        <w:tc>
          <w:tcPr>
            <w:tcW w:w="5192" w:type="dxa"/>
            <w:tcMar>
              <w:left w:w="28" w:type="dxa"/>
              <w:right w:w="28" w:type="dxa"/>
            </w:tcMar>
          </w:tcPr>
          <w:p w:rsidR="000A3B06" w:rsidRPr="009D61D5" w:rsidRDefault="000A3B06" w:rsidP="00A00426">
            <w:pPr>
              <w:rPr>
                <w:rFonts w:ascii="Arial Narrow" w:hAnsi="Arial Narrow"/>
                <w:sz w:val="20"/>
              </w:rPr>
            </w:pPr>
            <w:r w:rsidRPr="009D61D5">
              <w:rPr>
                <w:rFonts w:ascii="Arial Narrow" w:hAnsi="Arial Narrow"/>
                <w:sz w:val="20"/>
              </w:rPr>
              <w:t>No head-to-head, nor indirect comparisons were presented to support this claim.</w:t>
            </w:r>
          </w:p>
        </w:tc>
      </w:tr>
    </w:tbl>
    <w:p w:rsidR="00A05FF2" w:rsidRPr="009D61D5" w:rsidRDefault="00A05FF2" w:rsidP="006E713E">
      <w:pPr>
        <w:pStyle w:val="TableFigureFooter"/>
      </w:pPr>
      <w:r w:rsidRPr="009D61D5">
        <w:t>aTIV: adjuvanted trivalent influenza vaccine; TIV: trivalent influenza vaccine (non-adjuvanted); aQIV: adjuvanted quadrivalent influenza vaccine; QIV: quadrivalent influenza vaccine (non-adjuvanted); PBAC: The Pharmaceutical Benefits Advisory Committee; ATAGI: The Australian Technical Advisory Group on Immunisation</w:t>
      </w:r>
    </w:p>
    <w:p w:rsidR="00160087" w:rsidRPr="008E537B" w:rsidRDefault="00A05FF2" w:rsidP="006E713E">
      <w:pPr>
        <w:pStyle w:val="TableFigureFooter"/>
      </w:pPr>
      <w:r w:rsidRPr="009D61D5">
        <w:t>Source: Compiled for the evaluation, based on Table 2-7, p. 53; and Figure 2.1, p46 of the submission</w:t>
      </w:r>
    </w:p>
    <w:p w:rsidR="002267F2" w:rsidRPr="009D61D5" w:rsidRDefault="00AF3562" w:rsidP="00F37302">
      <w:pPr>
        <w:pStyle w:val="ListParagraph"/>
        <w:keepNext/>
        <w:widowControl/>
        <w:numPr>
          <w:ilvl w:val="1"/>
          <w:numId w:val="39"/>
        </w:numPr>
        <w:ind w:left="709" w:hanging="709"/>
      </w:pPr>
      <w:r w:rsidRPr="009D61D5">
        <w:t>Th</w:t>
      </w:r>
      <w:r w:rsidR="0081722D" w:rsidRPr="009D61D5">
        <w:t>e</w:t>
      </w:r>
      <w:r w:rsidRPr="009D61D5">
        <w:t xml:space="preserve"> clinical evidence that was included in the </w:t>
      </w:r>
      <w:r w:rsidR="00FF511E">
        <w:t xml:space="preserve">March 2018 </w:t>
      </w:r>
      <w:r w:rsidRPr="009D61D5">
        <w:t xml:space="preserve">minor submission was not re-presented within this submission. </w:t>
      </w:r>
      <w:r w:rsidR="002267F2" w:rsidRPr="009D61D5">
        <w:rPr>
          <w:rFonts w:cs="Calibri"/>
          <w:snapToGrid/>
          <w:lang w:val="en-US"/>
        </w:rPr>
        <w:t>The pivotal evidence</w:t>
      </w:r>
      <w:r w:rsidR="00852DFA">
        <w:rPr>
          <w:rFonts w:cs="Calibri"/>
          <w:snapToGrid/>
          <w:lang w:val="en-US"/>
        </w:rPr>
        <w:t>,</w:t>
      </w:r>
      <w:r w:rsidR="00551326" w:rsidRPr="009D61D5">
        <w:rPr>
          <w:rFonts w:cs="Calibri"/>
          <w:snapToGrid/>
          <w:lang w:val="en-US"/>
        </w:rPr>
        <w:t xml:space="preserve"> trial</w:t>
      </w:r>
      <w:r w:rsidR="002267F2" w:rsidRPr="009D61D5">
        <w:rPr>
          <w:rFonts w:cs="Calibri"/>
          <w:snapToGrid/>
          <w:lang w:val="en-US"/>
        </w:rPr>
        <w:t xml:space="preserve"> V118_20 and supportive evidence from Gravenstein (2018)</w:t>
      </w:r>
      <w:r w:rsidR="00852DFA">
        <w:rPr>
          <w:rFonts w:cs="Calibri"/>
          <w:snapToGrid/>
          <w:lang w:val="en-US"/>
        </w:rPr>
        <w:t>,</w:t>
      </w:r>
      <w:r w:rsidR="002267F2" w:rsidRPr="009D61D5">
        <w:rPr>
          <w:rFonts w:cs="Calibri"/>
          <w:snapToGrid/>
          <w:lang w:val="en-US"/>
        </w:rPr>
        <w:t xml:space="preserve"> </w:t>
      </w:r>
      <w:r w:rsidR="008F7912" w:rsidRPr="009D61D5">
        <w:rPr>
          <w:rFonts w:cs="Calibri"/>
          <w:snapToGrid/>
          <w:lang w:val="en-US"/>
        </w:rPr>
        <w:t xml:space="preserve">were </w:t>
      </w:r>
      <w:r w:rsidR="002267F2" w:rsidRPr="009D61D5">
        <w:rPr>
          <w:rFonts w:cs="Calibri"/>
          <w:snapToGrid/>
          <w:lang w:val="en-US"/>
        </w:rPr>
        <w:t xml:space="preserve">new </w:t>
      </w:r>
      <w:r w:rsidR="00FF511E">
        <w:rPr>
          <w:rFonts w:cs="Calibri"/>
          <w:snapToGrid/>
          <w:lang w:val="en-US"/>
        </w:rPr>
        <w:t>to the major</w:t>
      </w:r>
      <w:r w:rsidR="002267F2" w:rsidRPr="009D61D5">
        <w:rPr>
          <w:rFonts w:cs="Calibri"/>
          <w:snapToGrid/>
          <w:lang w:val="en-US"/>
        </w:rPr>
        <w:t xml:space="preserve"> submission.</w:t>
      </w:r>
      <w:r w:rsidR="002B3EF7" w:rsidRPr="009D61D5">
        <w:rPr>
          <w:rFonts w:cs="Calibri"/>
          <w:snapToGrid/>
          <w:lang w:val="en-US"/>
        </w:rPr>
        <w:t xml:space="preserve"> </w:t>
      </w:r>
      <w:r w:rsidR="002B3EF7" w:rsidRPr="009D61D5">
        <w:t xml:space="preserve">The </w:t>
      </w:r>
      <w:r w:rsidR="002B3EF7" w:rsidRPr="009D61D5">
        <w:lastRenderedPageBreak/>
        <w:t>submission also presented the results from the LIVE study (Mannino 2012), Iob (2005), Van Buynder (2013), Domnich (2017), Lapi et al. (unpublished), and Izurieta et al. (2018) as additional</w:t>
      </w:r>
      <w:r w:rsidR="00A82A4A" w:rsidRPr="009D61D5">
        <w:t xml:space="preserve"> </w:t>
      </w:r>
      <w:r w:rsidR="002B3EF7" w:rsidRPr="009D61D5">
        <w:t>evidence.</w:t>
      </w:r>
    </w:p>
    <w:p w:rsidR="005F749E" w:rsidRDefault="00A82A4A" w:rsidP="00F37302">
      <w:pPr>
        <w:pStyle w:val="ListParagraph"/>
        <w:keepNext/>
        <w:widowControl/>
        <w:numPr>
          <w:ilvl w:val="1"/>
          <w:numId w:val="39"/>
        </w:numPr>
        <w:ind w:left="709" w:hanging="709"/>
      </w:pPr>
      <w:r w:rsidRPr="009D61D5">
        <w:t>In March 2018, as a minor submission, no clinical trial evidence was evaluated by the PBAC Secretariat. Both the Therapeutic Goods Administration (TGA) and ATAGI</w:t>
      </w:r>
      <w:r w:rsidR="005F749E">
        <w:t xml:space="preserve"> </w:t>
      </w:r>
      <w:r w:rsidRPr="009D61D5">
        <w:t>considered the clinical evidence for aTIV (PBAC, March 2018, Public Summary Document – Fluad, paragraph 6.3).</w:t>
      </w:r>
    </w:p>
    <w:p w:rsidR="005F749E" w:rsidRPr="008E537B" w:rsidRDefault="002267F2" w:rsidP="00F37302">
      <w:pPr>
        <w:pStyle w:val="ListParagraph"/>
        <w:keepNext/>
        <w:widowControl/>
        <w:numPr>
          <w:ilvl w:val="1"/>
          <w:numId w:val="39"/>
        </w:numPr>
        <w:ind w:left="709" w:hanging="709"/>
        <w:rPr>
          <w:rFonts w:cs="Calibri"/>
          <w:snapToGrid/>
          <w:lang w:val="en-US"/>
        </w:rPr>
      </w:pPr>
      <w:r w:rsidRPr="00DA725C">
        <w:t>Details</w:t>
      </w:r>
      <w:r w:rsidRPr="009D61D5">
        <w:rPr>
          <w:rFonts w:cs="Calibri"/>
          <w:snapToGrid/>
          <w:lang w:val="en-US"/>
        </w:rPr>
        <w:t xml:space="preserve"> of the trials presented in the submission are provided in Table </w:t>
      </w:r>
      <w:r w:rsidR="00A05FF2" w:rsidRPr="009D61D5">
        <w:rPr>
          <w:rFonts w:cs="Calibri"/>
          <w:snapToGrid/>
          <w:lang w:val="en-US"/>
        </w:rPr>
        <w:t>3</w:t>
      </w:r>
      <w:r w:rsidRPr="009D61D5">
        <w:rPr>
          <w:rFonts w:cs="Calibri"/>
          <w:snapToGrid/>
          <w:lang w:val="en-US"/>
        </w:rPr>
        <w:t>.</w:t>
      </w:r>
    </w:p>
    <w:p w:rsidR="006E713E" w:rsidRDefault="006E713E" w:rsidP="006E713E">
      <w:pPr>
        <w:pStyle w:val="TableFigureHeading"/>
      </w:pPr>
      <w:r>
        <w:t xml:space="preserve">Table </w:t>
      </w:r>
      <w:fldSimple w:instr=" SEQ Table \* ARABIC ">
        <w:r w:rsidR="009C284C">
          <w:rPr>
            <w:noProof/>
          </w:rPr>
          <w:t>3</w:t>
        </w:r>
      </w:fldSimple>
      <w:r w:rsidRPr="00B078FC">
        <w:t>: Trials and associated reports identifie</w:t>
      </w:r>
      <w:r>
        <w:t>d through the literature search</w:t>
      </w:r>
    </w:p>
    <w:tbl>
      <w:tblPr>
        <w:tblStyle w:val="TableGrid"/>
        <w:tblW w:w="4952" w:type="pct"/>
        <w:tblInd w:w="-5" w:type="dxa"/>
        <w:tblLook w:val="04A0" w:firstRow="1" w:lastRow="0" w:firstColumn="1" w:lastColumn="0" w:noHBand="0" w:noVBand="1"/>
        <w:tblCaption w:val="Table 3: Trials and associated reports identified through the literature search"/>
      </w:tblPr>
      <w:tblGrid>
        <w:gridCol w:w="1629"/>
        <w:gridCol w:w="4879"/>
        <w:gridCol w:w="2422"/>
      </w:tblGrid>
      <w:tr w:rsidR="002267F2" w:rsidRPr="009D61D5" w:rsidTr="003706E9">
        <w:trPr>
          <w:tblHeader/>
        </w:trPr>
        <w:tc>
          <w:tcPr>
            <w:tcW w:w="912" w:type="pct"/>
            <w:shd w:val="clear" w:color="auto" w:fill="auto"/>
            <w:tcMar>
              <w:left w:w="28" w:type="dxa"/>
              <w:right w:w="28" w:type="dxa"/>
            </w:tcMar>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Trial ID</w:t>
            </w:r>
          </w:p>
        </w:tc>
        <w:tc>
          <w:tcPr>
            <w:tcW w:w="2732" w:type="pct"/>
            <w:tcMar>
              <w:left w:w="28" w:type="dxa"/>
              <w:right w:w="28" w:type="dxa"/>
            </w:tcMar>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Protocol title/ Publication title</w:t>
            </w:r>
          </w:p>
        </w:tc>
        <w:tc>
          <w:tcPr>
            <w:tcW w:w="1356" w:type="pct"/>
            <w:tcMar>
              <w:left w:w="28" w:type="dxa"/>
              <w:right w:w="28" w:type="dxa"/>
            </w:tcMar>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Publication citation</w:t>
            </w:r>
          </w:p>
        </w:tc>
      </w:tr>
      <w:tr w:rsidR="00EA02F8" w:rsidRPr="009D61D5" w:rsidTr="003706E9">
        <w:tc>
          <w:tcPr>
            <w:tcW w:w="5000" w:type="pct"/>
            <w:gridSpan w:val="3"/>
            <w:tcMar>
              <w:left w:w="28" w:type="dxa"/>
              <w:right w:w="28" w:type="dxa"/>
            </w:tcMar>
            <w:vAlign w:val="cente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b/>
                <w:sz w:val="20"/>
                <w:szCs w:val="20"/>
                <w:lang w:val="en-AU"/>
              </w:rPr>
              <w:t>Studies not previously considered in March 2018</w:t>
            </w:r>
          </w:p>
        </w:tc>
      </w:tr>
      <w:tr w:rsidR="00EA02F8" w:rsidRPr="009D61D5" w:rsidTr="003706E9">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Gravenstein, 2018</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Gravenstein et al., A cluster-randomised trial of adjuvanted trivalent influenza vaccine versus </w:t>
            </w:r>
            <w:r w:rsidR="00AA780F" w:rsidRPr="00AA780F">
              <w:rPr>
                <w:rFonts w:ascii="Arial Narrow" w:hAnsi="Arial Narrow"/>
                <w:sz w:val="20"/>
                <w:szCs w:val="20"/>
                <w:lang w:val="en-AU"/>
              </w:rPr>
              <w:t xml:space="preserve">non-adjuvanted </w:t>
            </w:r>
            <w:r w:rsidRPr="009D61D5">
              <w:rPr>
                <w:rFonts w:ascii="Arial Narrow" w:hAnsi="Arial Narrow"/>
                <w:sz w:val="20"/>
                <w:szCs w:val="20"/>
                <w:lang w:val="en-AU"/>
              </w:rPr>
              <w:t>in US nursing homes.</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p w:rsidR="00EA02F8" w:rsidRPr="009D61D5" w:rsidRDefault="00EA02F8" w:rsidP="00A00426">
            <w:pPr>
              <w:pStyle w:val="TableTextleftalign"/>
              <w:keepNext/>
              <w:rPr>
                <w:rFonts w:ascii="Arial Narrow" w:hAnsi="Arial Narrow"/>
                <w:sz w:val="20"/>
                <w:szCs w:val="20"/>
                <w:lang w:val="en-AU"/>
              </w:rPr>
            </w:pPr>
          </w:p>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IDWeek Abstract 996, 2018</w:t>
            </w:r>
          </w:p>
          <w:p w:rsidR="00EA02F8" w:rsidRPr="009D61D5" w:rsidRDefault="00EA02F8" w:rsidP="00A00426">
            <w:pPr>
              <w:pStyle w:val="TableTextleftalign"/>
              <w:keepNext/>
              <w:rPr>
                <w:rFonts w:ascii="Arial Narrow" w:hAnsi="Arial Narrow"/>
                <w:sz w:val="20"/>
                <w:szCs w:val="20"/>
                <w:lang w:val="en-AU"/>
              </w:rPr>
            </w:pPr>
          </w:p>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Interim report dated 2019, (Abstract and conference presentation slides)</w:t>
            </w:r>
          </w:p>
        </w:tc>
      </w:tr>
      <w:tr w:rsidR="00EA02F8" w:rsidRPr="009D61D5" w:rsidTr="003706E9">
        <w:trPr>
          <w:trHeight w:val="1403"/>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V118_20</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A Phase 3, Randomized, Double-Blind, Controlled, Multicenter, Clinical Study to Evaluate Safety and Immunogenicity of an MF59-Adjuvanted Quadrivalent Subunit Influenza Vaccine in Comparison With an MF59-Adjuvanted Trivalent Subunit Influenza Vaccine and an MF59-Adjuvanted Trivalent Subunit Influenza Vaccine Containing the Alternate B Strain, in Adults Aged 65 Years and Above</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p w:rsidR="00EA02F8" w:rsidRPr="009D61D5" w:rsidRDefault="00EA02F8" w:rsidP="00A00426">
            <w:pPr>
              <w:pStyle w:val="TableTextleftalign"/>
              <w:keepNext/>
              <w:rPr>
                <w:rFonts w:ascii="Arial Narrow" w:hAnsi="Arial Narrow"/>
                <w:sz w:val="20"/>
                <w:szCs w:val="20"/>
                <w:lang w:val="en-AU"/>
              </w:rPr>
            </w:pPr>
          </w:p>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Clinical Study Report for V118_20, dated 31 October 2018</w:t>
            </w:r>
          </w:p>
        </w:tc>
      </w:tr>
      <w:tr w:rsidR="00EA02F8" w:rsidRPr="009D61D5" w:rsidTr="003706E9">
        <w:trPr>
          <w:trHeight w:val="143"/>
        </w:trPr>
        <w:tc>
          <w:tcPr>
            <w:tcW w:w="5000" w:type="pct"/>
            <w:gridSpan w:val="3"/>
            <w:tcMar>
              <w:left w:w="28" w:type="dxa"/>
              <w:right w:w="28" w:type="dxa"/>
            </w:tcMar>
            <w:vAlign w:val="center"/>
          </w:tcPr>
          <w:p w:rsidR="00EA02F8" w:rsidRPr="009D61D5" w:rsidRDefault="00EA02F8" w:rsidP="00A00426">
            <w:pPr>
              <w:pStyle w:val="TableTextleftalign"/>
              <w:keepNext/>
              <w:rPr>
                <w:rFonts w:ascii="Arial Narrow" w:hAnsi="Arial Narrow"/>
                <w:b/>
                <w:sz w:val="20"/>
                <w:szCs w:val="20"/>
                <w:lang w:val="en-AU"/>
              </w:rPr>
            </w:pPr>
            <w:r w:rsidRPr="009D61D5">
              <w:rPr>
                <w:rFonts w:ascii="Arial Narrow" w:hAnsi="Arial Narrow"/>
                <w:b/>
                <w:sz w:val="20"/>
                <w:szCs w:val="20"/>
                <w:lang w:val="en-AU"/>
              </w:rPr>
              <w:t>Studies previously considered in March 2018</w:t>
            </w:r>
          </w:p>
        </w:tc>
      </w:tr>
      <w:tr w:rsidR="00EA02F8" w:rsidRPr="009D61D5" w:rsidTr="003706E9">
        <w:trPr>
          <w:trHeight w:val="1167"/>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LIVE study</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Mannino et al., Effectiveness of adjuvanted influenza vaccination in elderly subjects in northern Italy</w:t>
            </w:r>
          </w:p>
          <w:p w:rsidR="00EA02F8" w:rsidRPr="009D61D5" w:rsidRDefault="00EA02F8" w:rsidP="00A00426">
            <w:pPr>
              <w:pStyle w:val="TableTextleftalign"/>
              <w:keepNext/>
              <w:rPr>
                <w:rFonts w:ascii="Arial Narrow" w:hAnsi="Arial Narrow"/>
                <w:sz w:val="20"/>
                <w:szCs w:val="20"/>
                <w:lang w:val="en-AU"/>
              </w:rPr>
            </w:pPr>
          </w:p>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Villa et al., Safety of MF59-Adjuvanted influenza vaccination in the elderly: Results of a comparative study of MF59-Adjuvanted vaccine versus nonadjuvanted influenza vaccine in norther Italy ^</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Am J Epidemiol. 2012; 176(6):527-533</w:t>
            </w:r>
          </w:p>
          <w:p w:rsidR="00EA02F8" w:rsidRPr="009D61D5" w:rsidRDefault="00EA02F8" w:rsidP="00A00426">
            <w:pPr>
              <w:pStyle w:val="TableTextleftalign"/>
              <w:keepNext/>
              <w:rPr>
                <w:rFonts w:ascii="Arial Narrow" w:hAnsi="Arial Narrow"/>
                <w:sz w:val="20"/>
                <w:szCs w:val="20"/>
                <w:lang w:val="en-AU"/>
              </w:rPr>
            </w:pPr>
          </w:p>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Am J Epidemiol. 2013; 178(7)</w:t>
            </w:r>
            <w:r w:rsidR="00C2193A" w:rsidRPr="009D61D5">
              <w:rPr>
                <w:rFonts w:ascii="Arial Narrow" w:hAnsi="Arial Narrow"/>
                <w:sz w:val="20"/>
                <w:szCs w:val="20"/>
                <w:lang w:val="en-AU"/>
              </w:rPr>
              <w:t>:</w:t>
            </w:r>
            <w:r w:rsidRPr="009D61D5">
              <w:rPr>
                <w:rFonts w:ascii="Arial Narrow" w:hAnsi="Arial Narrow"/>
                <w:sz w:val="20"/>
                <w:szCs w:val="20"/>
                <w:lang w:val="en-AU"/>
              </w:rPr>
              <w:t>1139-1145</w:t>
            </w:r>
          </w:p>
        </w:tc>
      </w:tr>
      <w:tr w:rsidR="00EA02F8" w:rsidRPr="009D61D5" w:rsidTr="003706E9">
        <w:trPr>
          <w:trHeight w:val="714"/>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Iob, 2005</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Iob A. et al., Evidence of increased clinical protection of an MF59-adjuvant influenza vaccine compared to a non-adjuvant vaccine among elderly residents of long-term care facilities in Italy </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Epidemiol. Infect. 2005: 133:687-693</w:t>
            </w:r>
          </w:p>
        </w:tc>
      </w:tr>
      <w:tr w:rsidR="00EA02F8" w:rsidRPr="009D61D5" w:rsidTr="003706E9">
        <w:trPr>
          <w:trHeight w:val="559"/>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Van Buynder, 2013</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Van Buynder et al., The comparative effectiveness of adjuvanted and unadjuvanted trivalent influenza vaccine (TIV) in the elderly</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Vaccine 2013; 31:6122-6128</w:t>
            </w:r>
          </w:p>
        </w:tc>
      </w:tr>
      <w:tr w:rsidR="00EA02F8" w:rsidRPr="009D61D5" w:rsidTr="003706E9">
        <w:trPr>
          <w:trHeight w:val="515"/>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Domnich, 2017 *</w:t>
            </w:r>
          </w:p>
        </w:tc>
        <w:tc>
          <w:tcPr>
            <w:tcW w:w="273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Domnich, A. Effectiveness of MF59-adjuvanted seasonal influenza vaccine in the elderly: A systematic review and meta-analysis</w:t>
            </w:r>
          </w:p>
        </w:tc>
        <w:tc>
          <w:tcPr>
            <w:tcW w:w="1356"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Vaccine 2017; 35(4), 513-520.</w:t>
            </w:r>
          </w:p>
        </w:tc>
      </w:tr>
      <w:tr w:rsidR="00EA02F8" w:rsidRPr="009D61D5" w:rsidTr="003706E9">
        <w:trPr>
          <w:trHeight w:val="77"/>
        </w:trPr>
        <w:tc>
          <w:tcPr>
            <w:tcW w:w="5000" w:type="pct"/>
            <w:gridSpan w:val="3"/>
            <w:tcMar>
              <w:left w:w="28" w:type="dxa"/>
              <w:right w:w="28" w:type="dxa"/>
            </w:tcMar>
          </w:tcPr>
          <w:p w:rsidR="00EA02F8" w:rsidRPr="009D61D5" w:rsidRDefault="00EA02F8" w:rsidP="00A00426">
            <w:pPr>
              <w:pStyle w:val="TableTextleftalign"/>
              <w:keepNext/>
              <w:rPr>
                <w:rFonts w:ascii="Arial Narrow" w:hAnsi="Arial Narrow"/>
                <w:b/>
                <w:sz w:val="20"/>
                <w:szCs w:val="20"/>
                <w:lang w:val="en-AU"/>
              </w:rPr>
            </w:pPr>
            <w:r w:rsidRPr="009D61D5">
              <w:rPr>
                <w:rFonts w:ascii="Arial Narrow" w:hAnsi="Arial Narrow"/>
                <w:b/>
                <w:sz w:val="20"/>
                <w:szCs w:val="20"/>
                <w:lang w:val="en-AU"/>
              </w:rPr>
              <w:t>Studies also presented as evidence (not previously considered in March 2018)</w:t>
            </w:r>
            <w:r w:rsidR="00155205" w:rsidRPr="009D61D5">
              <w:rPr>
                <w:rFonts w:ascii="Arial Narrow" w:hAnsi="Arial Narrow"/>
                <w:b/>
                <w:sz w:val="20"/>
                <w:szCs w:val="20"/>
                <w:lang w:val="en-AU"/>
              </w:rPr>
              <w:t>*</w:t>
            </w:r>
          </w:p>
        </w:tc>
      </w:tr>
      <w:tr w:rsidR="00EA02F8" w:rsidRPr="009D61D5" w:rsidTr="003706E9">
        <w:trPr>
          <w:trHeight w:val="513"/>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Lapi, (unpublished) *</w:t>
            </w:r>
          </w:p>
        </w:tc>
        <w:tc>
          <w:tcPr>
            <w:tcW w:w="2732" w:type="pct"/>
            <w:tcBorders>
              <w:bottom w:val="single" w:sz="4" w:space="0" w:color="auto"/>
            </w:tcBorders>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tc>
        <w:tc>
          <w:tcPr>
            <w:tcW w:w="1356" w:type="pct"/>
            <w:tcBorders>
              <w:bottom w:val="single" w:sz="4" w:space="0" w:color="auto"/>
            </w:tcBorders>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Citation not included in submission</w:t>
            </w:r>
          </w:p>
        </w:tc>
      </w:tr>
      <w:tr w:rsidR="00EA02F8" w:rsidRPr="009D61D5" w:rsidTr="003706E9">
        <w:trPr>
          <w:trHeight w:val="634"/>
        </w:trPr>
        <w:tc>
          <w:tcPr>
            <w:tcW w:w="912" w:type="pct"/>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Izurieta, </w:t>
            </w:r>
            <w:r w:rsidRPr="009D61D5">
              <w:rPr>
                <w:rFonts w:ascii="Arial Narrow" w:hAnsi="Arial Narrow"/>
                <w:sz w:val="20"/>
                <w:szCs w:val="20"/>
                <w:lang w:val="en-AU"/>
              </w:rPr>
              <w:br/>
              <w:t>2018 *</w:t>
            </w:r>
          </w:p>
        </w:tc>
        <w:tc>
          <w:tcPr>
            <w:tcW w:w="2732" w:type="pct"/>
            <w:tcBorders>
              <w:bottom w:val="single" w:sz="4" w:space="0" w:color="auto"/>
            </w:tcBorders>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Izurieta, H.S. et al., Relative effectiveness of cell-cultured and egg-based influenza vaccines among elderly persons in the United States, 2017-2018</w:t>
            </w:r>
          </w:p>
        </w:tc>
        <w:tc>
          <w:tcPr>
            <w:tcW w:w="1356" w:type="pct"/>
            <w:tcBorders>
              <w:bottom w:val="single" w:sz="4" w:space="0" w:color="auto"/>
            </w:tcBorders>
            <w:tcMar>
              <w:left w:w="28" w:type="dxa"/>
              <w:right w:w="28" w:type="dxa"/>
            </w:tcMar>
          </w:tcPr>
          <w:p w:rsidR="00EA02F8" w:rsidRPr="009D61D5" w:rsidRDefault="00EA02F8" w:rsidP="00A00426">
            <w:pPr>
              <w:pStyle w:val="TableTextleftalign"/>
              <w:keepNext/>
              <w:rPr>
                <w:rFonts w:ascii="Arial Narrow" w:hAnsi="Arial Narrow"/>
                <w:sz w:val="20"/>
                <w:szCs w:val="20"/>
                <w:lang w:val="en-AU"/>
              </w:rPr>
            </w:pPr>
            <w:r w:rsidRPr="009D61D5">
              <w:rPr>
                <w:rFonts w:ascii="Arial Narrow" w:hAnsi="Arial Narrow"/>
                <w:sz w:val="20"/>
                <w:szCs w:val="20"/>
                <w:lang w:val="en-AU"/>
              </w:rPr>
              <w:t>The Journal of Infectious Diseases 2018; [Epub ahead of print]</w:t>
            </w:r>
          </w:p>
        </w:tc>
      </w:tr>
    </w:tbl>
    <w:p w:rsidR="006E713E" w:rsidRDefault="00C2193A" w:rsidP="006E713E">
      <w:pPr>
        <w:pStyle w:val="TableFigureFooter"/>
        <w:rPr>
          <w:rStyle w:val="CommentReference"/>
          <w:b w:val="0"/>
          <w:sz w:val="18"/>
        </w:rPr>
      </w:pPr>
      <w:r w:rsidRPr="009D61D5">
        <w:rPr>
          <w:rStyle w:val="CommentReference"/>
          <w:b w:val="0"/>
          <w:sz w:val="18"/>
        </w:rPr>
        <w:t>^ While outputs from the LIVE study were previously reported in the minor submission considered in March 2018, the results within Villa et al. have not be</w:t>
      </w:r>
      <w:r w:rsidR="00E36E75" w:rsidRPr="009D61D5">
        <w:rPr>
          <w:rStyle w:val="CommentReference"/>
          <w:b w:val="0"/>
          <w:sz w:val="18"/>
        </w:rPr>
        <w:t>en previously referenced</w:t>
      </w:r>
      <w:r w:rsidR="006E713E">
        <w:rPr>
          <w:rStyle w:val="CommentReference"/>
          <w:b w:val="0"/>
          <w:sz w:val="18"/>
        </w:rPr>
        <w:t>.</w:t>
      </w:r>
    </w:p>
    <w:p w:rsidR="00C2193A" w:rsidRPr="009D61D5" w:rsidRDefault="00E36E75" w:rsidP="006E713E">
      <w:pPr>
        <w:pStyle w:val="TableFigureFooter"/>
        <w:rPr>
          <w:rStyle w:val="CommentReference"/>
          <w:b w:val="0"/>
          <w:sz w:val="18"/>
        </w:rPr>
      </w:pPr>
      <w:r w:rsidRPr="009D61D5">
        <w:rPr>
          <w:rStyle w:val="CommentReference"/>
          <w:b w:val="0"/>
          <w:sz w:val="18"/>
        </w:rPr>
        <w:t>* The</w:t>
      </w:r>
      <w:r w:rsidR="00C2193A" w:rsidRPr="009D61D5">
        <w:rPr>
          <w:rStyle w:val="CommentReference"/>
          <w:b w:val="0"/>
          <w:sz w:val="18"/>
        </w:rPr>
        <w:t xml:space="preserve"> </w:t>
      </w:r>
      <w:r w:rsidR="002939E7" w:rsidRPr="009D61D5">
        <w:rPr>
          <w:rStyle w:val="CommentReference"/>
          <w:b w:val="0"/>
          <w:sz w:val="18"/>
        </w:rPr>
        <w:t xml:space="preserve">outcomes of these </w:t>
      </w:r>
      <w:r w:rsidR="00C2193A" w:rsidRPr="009D61D5">
        <w:rPr>
          <w:rStyle w:val="CommentReference"/>
          <w:b w:val="0"/>
          <w:sz w:val="18"/>
        </w:rPr>
        <w:t>studies could</w:t>
      </w:r>
      <w:r w:rsidR="002939E7" w:rsidRPr="009D61D5">
        <w:rPr>
          <w:rStyle w:val="CommentReference"/>
          <w:b w:val="0"/>
          <w:sz w:val="18"/>
        </w:rPr>
        <w:t xml:space="preserve"> not</w:t>
      </w:r>
      <w:r w:rsidR="00C2193A" w:rsidRPr="009D61D5">
        <w:rPr>
          <w:rStyle w:val="CommentReference"/>
          <w:b w:val="0"/>
          <w:sz w:val="18"/>
        </w:rPr>
        <w:t xml:space="preserve"> be validated</w:t>
      </w:r>
      <w:r w:rsidR="00C9776E" w:rsidRPr="009D61D5">
        <w:rPr>
          <w:rStyle w:val="CommentReference"/>
          <w:b w:val="0"/>
          <w:sz w:val="18"/>
        </w:rPr>
        <w:t xml:space="preserve"> during </w:t>
      </w:r>
      <w:r w:rsidRPr="009D61D5">
        <w:rPr>
          <w:rStyle w:val="CommentReference"/>
          <w:b w:val="0"/>
          <w:sz w:val="18"/>
        </w:rPr>
        <w:t>evaluation</w:t>
      </w:r>
      <w:r w:rsidR="00C2193A" w:rsidRPr="009D61D5">
        <w:rPr>
          <w:rStyle w:val="CommentReference"/>
          <w:b w:val="0"/>
          <w:sz w:val="18"/>
        </w:rPr>
        <w:t>.</w:t>
      </w:r>
    </w:p>
    <w:p w:rsidR="002267F2" w:rsidRPr="009D61D5" w:rsidRDefault="002267F2" w:rsidP="006E713E">
      <w:pPr>
        <w:pStyle w:val="TableFigureFooter"/>
        <w:rPr>
          <w:rStyle w:val="CommentReference"/>
          <w:b w:val="0"/>
          <w:sz w:val="18"/>
        </w:rPr>
      </w:pPr>
      <w:r w:rsidRPr="009D61D5">
        <w:rPr>
          <w:rStyle w:val="CommentReference"/>
          <w:b w:val="0"/>
          <w:sz w:val="18"/>
        </w:rPr>
        <w:t>Source: Compiled for the evaluation, based on Table 2-4 and 2-6, p49 and p51, and p71-73 of the submission</w:t>
      </w:r>
      <w:r w:rsidR="006E713E">
        <w:rPr>
          <w:rStyle w:val="CommentReference"/>
          <w:b w:val="0"/>
          <w:sz w:val="18"/>
        </w:rPr>
        <w:t>.</w:t>
      </w:r>
    </w:p>
    <w:p w:rsidR="002267F2" w:rsidRPr="009D61D5" w:rsidRDefault="002267F2" w:rsidP="00F37302">
      <w:pPr>
        <w:pStyle w:val="ListParagraph"/>
        <w:keepNext/>
        <w:widowControl/>
        <w:numPr>
          <w:ilvl w:val="1"/>
          <w:numId w:val="39"/>
        </w:numPr>
        <w:ind w:left="709" w:hanging="709"/>
      </w:pPr>
      <w:r w:rsidRPr="009D61D5">
        <w:lastRenderedPageBreak/>
        <w:t xml:space="preserve">The key features of the included trials are summarised in Table </w:t>
      </w:r>
      <w:r w:rsidR="00A05FF2" w:rsidRPr="009D61D5">
        <w:t>4</w:t>
      </w:r>
      <w:r w:rsidR="00C42279" w:rsidRPr="009D61D5">
        <w:t xml:space="preserve">. </w:t>
      </w:r>
    </w:p>
    <w:p w:rsidR="006E713E" w:rsidRDefault="006E713E" w:rsidP="006E713E">
      <w:pPr>
        <w:pStyle w:val="TableFigureHeading"/>
      </w:pPr>
      <w:r>
        <w:t xml:space="preserve">Table </w:t>
      </w:r>
      <w:fldSimple w:instr=" SEQ Table \* ARABIC ">
        <w:r w:rsidR="009C284C">
          <w:rPr>
            <w:noProof/>
          </w:rPr>
          <w:t>4</w:t>
        </w:r>
      </w:fldSimple>
      <w:r w:rsidRPr="00654CAF">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1413"/>
        <w:gridCol w:w="1134"/>
        <w:gridCol w:w="1131"/>
        <w:gridCol w:w="851"/>
        <w:gridCol w:w="1562"/>
        <w:gridCol w:w="1986"/>
        <w:gridCol w:w="940"/>
      </w:tblGrid>
      <w:tr w:rsidR="002267F2" w:rsidRPr="009D61D5" w:rsidTr="00FE5CB3">
        <w:trPr>
          <w:tblHeader/>
        </w:trPr>
        <w:tc>
          <w:tcPr>
            <w:tcW w:w="784" w:type="pct"/>
            <w:shd w:val="clear" w:color="auto" w:fill="auto"/>
            <w:vAlign w:val="center"/>
          </w:tcPr>
          <w:p w:rsidR="002267F2" w:rsidRPr="009D61D5" w:rsidRDefault="002267F2" w:rsidP="00A00426">
            <w:pPr>
              <w:pStyle w:val="Tabletext"/>
              <w:keepNext/>
              <w:rPr>
                <w:b/>
                <w:szCs w:val="20"/>
              </w:rPr>
            </w:pPr>
            <w:r w:rsidRPr="009D61D5">
              <w:rPr>
                <w:b/>
                <w:szCs w:val="20"/>
              </w:rPr>
              <w:t>Trial</w:t>
            </w:r>
          </w:p>
        </w:tc>
        <w:tc>
          <w:tcPr>
            <w:tcW w:w="629" w:type="pct"/>
            <w:shd w:val="clear" w:color="auto" w:fill="auto"/>
            <w:vAlign w:val="center"/>
          </w:tcPr>
          <w:p w:rsidR="002267F2" w:rsidRPr="009D61D5" w:rsidRDefault="002267F2" w:rsidP="00A00426">
            <w:pPr>
              <w:pStyle w:val="Tabletext"/>
              <w:keepNext/>
              <w:jc w:val="center"/>
              <w:rPr>
                <w:b/>
                <w:szCs w:val="20"/>
              </w:rPr>
            </w:pPr>
            <w:r w:rsidRPr="009D61D5">
              <w:rPr>
                <w:b/>
                <w:szCs w:val="20"/>
              </w:rPr>
              <w:t>Number of participants</w:t>
            </w:r>
          </w:p>
        </w:tc>
        <w:tc>
          <w:tcPr>
            <w:tcW w:w="627" w:type="pct"/>
            <w:shd w:val="clear" w:color="auto" w:fill="auto"/>
            <w:vAlign w:val="center"/>
          </w:tcPr>
          <w:p w:rsidR="002267F2" w:rsidRPr="009D61D5" w:rsidRDefault="002267F2" w:rsidP="00A00426">
            <w:pPr>
              <w:pStyle w:val="Tabletext"/>
              <w:keepNext/>
              <w:jc w:val="center"/>
              <w:rPr>
                <w:b/>
                <w:szCs w:val="20"/>
              </w:rPr>
            </w:pPr>
            <w:r w:rsidRPr="009D61D5">
              <w:rPr>
                <w:b/>
                <w:szCs w:val="20"/>
              </w:rPr>
              <w:t>Design/ duration</w:t>
            </w:r>
          </w:p>
        </w:tc>
        <w:tc>
          <w:tcPr>
            <w:tcW w:w="472" w:type="pct"/>
            <w:shd w:val="clear" w:color="auto" w:fill="auto"/>
            <w:vAlign w:val="center"/>
          </w:tcPr>
          <w:p w:rsidR="002267F2" w:rsidRPr="009D61D5" w:rsidRDefault="002267F2" w:rsidP="00A00426">
            <w:pPr>
              <w:pStyle w:val="Tabletext"/>
              <w:keepNext/>
              <w:jc w:val="center"/>
              <w:rPr>
                <w:b/>
                <w:szCs w:val="20"/>
              </w:rPr>
            </w:pPr>
            <w:r w:rsidRPr="009D61D5">
              <w:rPr>
                <w:b/>
                <w:szCs w:val="20"/>
              </w:rPr>
              <w:t>Risk of bias</w:t>
            </w:r>
          </w:p>
        </w:tc>
        <w:tc>
          <w:tcPr>
            <w:tcW w:w="866" w:type="pct"/>
            <w:shd w:val="clear" w:color="auto" w:fill="auto"/>
            <w:vAlign w:val="center"/>
          </w:tcPr>
          <w:p w:rsidR="002267F2" w:rsidRPr="009D61D5" w:rsidRDefault="002267F2" w:rsidP="00A00426">
            <w:pPr>
              <w:pStyle w:val="Tabletext"/>
              <w:keepNext/>
              <w:jc w:val="center"/>
              <w:rPr>
                <w:b/>
                <w:szCs w:val="20"/>
              </w:rPr>
            </w:pPr>
            <w:r w:rsidRPr="009D61D5">
              <w:rPr>
                <w:b/>
                <w:szCs w:val="20"/>
              </w:rPr>
              <w:t>Patient population</w:t>
            </w:r>
          </w:p>
        </w:tc>
        <w:tc>
          <w:tcPr>
            <w:tcW w:w="1101" w:type="pct"/>
            <w:shd w:val="clear" w:color="auto" w:fill="auto"/>
            <w:vAlign w:val="center"/>
          </w:tcPr>
          <w:p w:rsidR="002267F2" w:rsidRPr="009D61D5" w:rsidRDefault="002267F2" w:rsidP="00A00426">
            <w:pPr>
              <w:pStyle w:val="Tabletext"/>
              <w:keepNext/>
              <w:jc w:val="center"/>
              <w:rPr>
                <w:b/>
                <w:szCs w:val="20"/>
              </w:rPr>
            </w:pPr>
            <w:r w:rsidRPr="009D61D5">
              <w:rPr>
                <w:b/>
                <w:szCs w:val="20"/>
              </w:rPr>
              <w:t>Outcome(s)</w:t>
            </w:r>
          </w:p>
        </w:tc>
        <w:tc>
          <w:tcPr>
            <w:tcW w:w="521" w:type="pct"/>
            <w:shd w:val="clear" w:color="auto" w:fill="auto"/>
            <w:vAlign w:val="center"/>
          </w:tcPr>
          <w:p w:rsidR="002267F2" w:rsidRPr="009D61D5" w:rsidRDefault="002267F2" w:rsidP="00A00426">
            <w:pPr>
              <w:pStyle w:val="Tabletext"/>
              <w:keepNext/>
              <w:jc w:val="center"/>
              <w:rPr>
                <w:b/>
                <w:szCs w:val="20"/>
              </w:rPr>
            </w:pPr>
            <w:r w:rsidRPr="009D61D5">
              <w:rPr>
                <w:b/>
                <w:szCs w:val="20"/>
              </w:rPr>
              <w:t>Use in modelled evaluation</w:t>
            </w:r>
          </w:p>
        </w:tc>
      </w:tr>
      <w:tr w:rsidR="002267F2" w:rsidRPr="009D61D5" w:rsidTr="0088315B">
        <w:trPr>
          <w:tblHeader/>
        </w:trPr>
        <w:tc>
          <w:tcPr>
            <w:tcW w:w="5000" w:type="pct"/>
            <w:gridSpan w:val="7"/>
            <w:shd w:val="clear" w:color="auto" w:fill="auto"/>
            <w:vAlign w:val="center"/>
          </w:tcPr>
          <w:p w:rsidR="002267F2" w:rsidRPr="009D61D5" w:rsidRDefault="002267F2" w:rsidP="00A00426">
            <w:pPr>
              <w:pStyle w:val="Tabletext"/>
              <w:keepNext/>
              <w:rPr>
                <w:b/>
                <w:szCs w:val="20"/>
              </w:rPr>
            </w:pPr>
            <w:r w:rsidRPr="009D61D5">
              <w:rPr>
                <w:b/>
                <w:szCs w:val="20"/>
              </w:rPr>
              <w:t>aTIV</w:t>
            </w:r>
            <w:r w:rsidR="00C2193A" w:rsidRPr="009D61D5">
              <w:rPr>
                <w:b/>
                <w:szCs w:val="20"/>
              </w:rPr>
              <w:t xml:space="preserve"> (Fluad)</w:t>
            </w:r>
            <w:r w:rsidRPr="009D61D5">
              <w:rPr>
                <w:b/>
                <w:szCs w:val="20"/>
              </w:rPr>
              <w:t xml:space="preserve"> </w:t>
            </w:r>
            <w:r w:rsidR="00B07A7B" w:rsidRPr="009D61D5">
              <w:rPr>
                <w:b/>
                <w:szCs w:val="20"/>
              </w:rPr>
              <w:t>compared to</w:t>
            </w:r>
            <w:r w:rsidRPr="009D61D5">
              <w:rPr>
                <w:b/>
                <w:szCs w:val="20"/>
              </w:rPr>
              <w:t xml:space="preserve"> TIV</w:t>
            </w:r>
          </w:p>
        </w:tc>
      </w:tr>
      <w:tr w:rsidR="002267F2" w:rsidRPr="009D61D5" w:rsidTr="00FE5CB3">
        <w:trPr>
          <w:tblHeader/>
        </w:trPr>
        <w:tc>
          <w:tcPr>
            <w:tcW w:w="784" w:type="pct"/>
            <w:shd w:val="clear" w:color="auto" w:fill="auto"/>
            <w:vAlign w:val="center"/>
          </w:tcPr>
          <w:p w:rsidR="002267F2" w:rsidRPr="009D61D5" w:rsidRDefault="002267F2" w:rsidP="00A00426">
            <w:pPr>
              <w:pStyle w:val="Tabletext"/>
              <w:keepNext/>
              <w:rPr>
                <w:szCs w:val="20"/>
              </w:rPr>
            </w:pPr>
            <w:r w:rsidRPr="009D61D5">
              <w:rPr>
                <w:szCs w:val="20"/>
              </w:rPr>
              <w:t>LIVE study</w:t>
            </w:r>
            <w:r w:rsidRPr="009D61D5">
              <w:rPr>
                <w:szCs w:val="20"/>
              </w:rPr>
              <w:br/>
              <w:t>(Mannino 2012; Villa, 2013)</w:t>
            </w:r>
          </w:p>
        </w:tc>
        <w:tc>
          <w:tcPr>
            <w:tcW w:w="629" w:type="pct"/>
            <w:shd w:val="clear" w:color="auto" w:fill="auto"/>
            <w:vAlign w:val="center"/>
          </w:tcPr>
          <w:p w:rsidR="002267F2" w:rsidRPr="009D61D5" w:rsidRDefault="002267F2" w:rsidP="003706E9">
            <w:pPr>
              <w:pStyle w:val="Tabletext"/>
              <w:keepNext/>
              <w:jc w:val="center"/>
              <w:rPr>
                <w:szCs w:val="20"/>
              </w:rPr>
            </w:pPr>
            <w:r w:rsidRPr="009D61D5">
              <w:rPr>
                <w:szCs w:val="20"/>
              </w:rPr>
              <w:t>N=107,661</w:t>
            </w:r>
          </w:p>
        </w:tc>
        <w:tc>
          <w:tcPr>
            <w:tcW w:w="627" w:type="pct"/>
            <w:shd w:val="clear" w:color="auto" w:fill="auto"/>
            <w:vAlign w:val="center"/>
          </w:tcPr>
          <w:p w:rsidR="002267F2" w:rsidRPr="009D61D5" w:rsidRDefault="00AF3562" w:rsidP="003706E9">
            <w:pPr>
              <w:pStyle w:val="Tabletext"/>
              <w:keepNext/>
              <w:jc w:val="center"/>
              <w:rPr>
                <w:szCs w:val="20"/>
              </w:rPr>
            </w:pPr>
            <w:r w:rsidRPr="009D61D5">
              <w:rPr>
                <w:szCs w:val="20"/>
              </w:rPr>
              <w:t xml:space="preserve">3 </w:t>
            </w:r>
            <w:r w:rsidR="002267F2" w:rsidRPr="009D61D5">
              <w:rPr>
                <w:szCs w:val="20"/>
              </w:rPr>
              <w:t>years</w:t>
            </w:r>
          </w:p>
        </w:tc>
        <w:tc>
          <w:tcPr>
            <w:tcW w:w="472" w:type="pct"/>
            <w:shd w:val="clear" w:color="auto" w:fill="auto"/>
            <w:vAlign w:val="center"/>
          </w:tcPr>
          <w:p w:rsidR="002267F2" w:rsidRPr="009D61D5" w:rsidRDefault="002267F2" w:rsidP="00A00426">
            <w:pPr>
              <w:pStyle w:val="Tabletext"/>
              <w:keepNext/>
              <w:rPr>
                <w:szCs w:val="20"/>
              </w:rPr>
            </w:pPr>
            <w:r w:rsidRPr="009D61D5">
              <w:rPr>
                <w:szCs w:val="20"/>
              </w:rPr>
              <w:t>Moderate</w:t>
            </w:r>
            <w:r w:rsidRPr="009D61D5">
              <w:rPr>
                <w:szCs w:val="20"/>
                <w:vertAlign w:val="superscript"/>
              </w:rPr>
              <w:t>1</w:t>
            </w:r>
          </w:p>
        </w:tc>
        <w:tc>
          <w:tcPr>
            <w:tcW w:w="866" w:type="pct"/>
            <w:shd w:val="clear" w:color="auto" w:fill="auto"/>
            <w:vAlign w:val="center"/>
          </w:tcPr>
          <w:p w:rsidR="002267F2" w:rsidRPr="009D61D5" w:rsidRDefault="002267F2" w:rsidP="00A00426">
            <w:pPr>
              <w:pStyle w:val="Tabletext"/>
              <w:keepNext/>
              <w:rPr>
                <w:szCs w:val="20"/>
              </w:rPr>
            </w:pPr>
            <w:r w:rsidRPr="009D61D5">
              <w:rPr>
                <w:szCs w:val="20"/>
              </w:rPr>
              <w:t>Healthy adults aged ≥65 years</w:t>
            </w:r>
          </w:p>
        </w:tc>
        <w:tc>
          <w:tcPr>
            <w:tcW w:w="1101" w:type="pct"/>
            <w:shd w:val="clear" w:color="auto" w:fill="auto"/>
            <w:vAlign w:val="center"/>
          </w:tcPr>
          <w:p w:rsidR="002267F2" w:rsidRPr="009D61D5" w:rsidRDefault="002267F2" w:rsidP="00A00426">
            <w:pPr>
              <w:pStyle w:val="Tabletext"/>
              <w:keepNext/>
              <w:rPr>
                <w:szCs w:val="20"/>
              </w:rPr>
            </w:pPr>
            <w:r w:rsidRPr="009D61D5">
              <w:rPr>
                <w:szCs w:val="20"/>
              </w:rPr>
              <w:t xml:space="preserve">Hospitalisations for influenza or pneumonia </w:t>
            </w:r>
          </w:p>
        </w:tc>
        <w:tc>
          <w:tcPr>
            <w:tcW w:w="521" w:type="pct"/>
            <w:shd w:val="clear" w:color="auto" w:fill="auto"/>
            <w:vAlign w:val="center"/>
          </w:tcPr>
          <w:p w:rsidR="002267F2" w:rsidRPr="009D61D5" w:rsidRDefault="002267F2" w:rsidP="00A00426">
            <w:pPr>
              <w:pStyle w:val="Tabletext"/>
              <w:keepNext/>
              <w:rPr>
                <w:szCs w:val="20"/>
              </w:rPr>
            </w:pPr>
            <w:r w:rsidRPr="009D61D5">
              <w:rPr>
                <w:szCs w:val="20"/>
              </w:rPr>
              <w:t>Used</w:t>
            </w:r>
          </w:p>
        </w:tc>
      </w:tr>
      <w:tr w:rsidR="002267F2" w:rsidRPr="009D61D5" w:rsidTr="00FE5CB3">
        <w:trPr>
          <w:tblHeader/>
        </w:trPr>
        <w:tc>
          <w:tcPr>
            <w:tcW w:w="784" w:type="pct"/>
            <w:shd w:val="clear" w:color="auto" w:fill="auto"/>
            <w:vAlign w:val="center"/>
          </w:tcPr>
          <w:p w:rsidR="002267F2" w:rsidRPr="009D61D5" w:rsidRDefault="002267F2" w:rsidP="00A00426">
            <w:pPr>
              <w:pStyle w:val="Tabletext"/>
              <w:keepNext/>
              <w:rPr>
                <w:szCs w:val="20"/>
              </w:rPr>
            </w:pPr>
            <w:r w:rsidRPr="009D61D5">
              <w:rPr>
                <w:szCs w:val="20"/>
              </w:rPr>
              <w:t>Gravenstein</w:t>
            </w:r>
          </w:p>
        </w:tc>
        <w:tc>
          <w:tcPr>
            <w:tcW w:w="629" w:type="pct"/>
            <w:shd w:val="clear" w:color="auto" w:fill="auto"/>
            <w:vAlign w:val="center"/>
          </w:tcPr>
          <w:p w:rsidR="002267F2" w:rsidRPr="009D61D5" w:rsidRDefault="002267F2" w:rsidP="003706E9">
            <w:pPr>
              <w:pStyle w:val="Tabletext"/>
              <w:keepNext/>
              <w:jc w:val="center"/>
              <w:rPr>
                <w:szCs w:val="20"/>
              </w:rPr>
            </w:pPr>
            <w:r w:rsidRPr="009D61D5">
              <w:rPr>
                <w:rFonts w:cstheme="minorHAnsi"/>
                <w:szCs w:val="20"/>
              </w:rPr>
              <w:t>N=</w:t>
            </w:r>
            <w:r w:rsidRPr="009D61D5">
              <w:rPr>
                <w:szCs w:val="20"/>
              </w:rPr>
              <w:t>54,076</w:t>
            </w:r>
          </w:p>
        </w:tc>
        <w:tc>
          <w:tcPr>
            <w:tcW w:w="627" w:type="pct"/>
            <w:shd w:val="clear" w:color="auto" w:fill="auto"/>
            <w:vAlign w:val="center"/>
          </w:tcPr>
          <w:p w:rsidR="002267F2" w:rsidRPr="009D61D5" w:rsidRDefault="002267F2" w:rsidP="003706E9">
            <w:pPr>
              <w:pStyle w:val="Tabletext"/>
              <w:keepNext/>
              <w:jc w:val="center"/>
              <w:rPr>
                <w:szCs w:val="20"/>
              </w:rPr>
            </w:pPr>
            <w:r w:rsidRPr="009D61D5">
              <w:rPr>
                <w:szCs w:val="20"/>
              </w:rPr>
              <w:t>NA</w:t>
            </w:r>
          </w:p>
        </w:tc>
        <w:tc>
          <w:tcPr>
            <w:tcW w:w="472" w:type="pct"/>
            <w:shd w:val="clear" w:color="auto" w:fill="auto"/>
            <w:vAlign w:val="center"/>
          </w:tcPr>
          <w:p w:rsidR="002267F2" w:rsidRPr="009D61D5" w:rsidRDefault="002267F2" w:rsidP="00A00426">
            <w:pPr>
              <w:pStyle w:val="Tabletext"/>
              <w:keepNext/>
              <w:rPr>
                <w:szCs w:val="20"/>
              </w:rPr>
            </w:pPr>
            <w:r w:rsidRPr="009D61D5">
              <w:rPr>
                <w:szCs w:val="20"/>
              </w:rPr>
              <w:t xml:space="preserve">Not </w:t>
            </w:r>
            <w:r w:rsidR="004D4E59" w:rsidRPr="009D61D5">
              <w:rPr>
                <w:szCs w:val="20"/>
              </w:rPr>
              <w:t>assessed</w:t>
            </w:r>
          </w:p>
        </w:tc>
        <w:tc>
          <w:tcPr>
            <w:tcW w:w="866" w:type="pct"/>
            <w:shd w:val="clear" w:color="auto" w:fill="auto"/>
            <w:vAlign w:val="center"/>
          </w:tcPr>
          <w:p w:rsidR="002267F2" w:rsidRPr="009D61D5" w:rsidRDefault="002267F2" w:rsidP="00A00426">
            <w:pPr>
              <w:pStyle w:val="Tabletext"/>
              <w:keepNext/>
              <w:rPr>
                <w:szCs w:val="20"/>
              </w:rPr>
            </w:pPr>
            <w:r w:rsidRPr="009D61D5">
              <w:rPr>
                <w:szCs w:val="20"/>
              </w:rPr>
              <w:t>Nursing home residents</w:t>
            </w:r>
          </w:p>
        </w:tc>
        <w:tc>
          <w:tcPr>
            <w:tcW w:w="1101" w:type="pct"/>
            <w:shd w:val="clear" w:color="auto" w:fill="auto"/>
            <w:vAlign w:val="center"/>
          </w:tcPr>
          <w:p w:rsidR="002267F2" w:rsidRPr="009D61D5" w:rsidRDefault="002267F2" w:rsidP="00A00426">
            <w:pPr>
              <w:pStyle w:val="Tabletext"/>
              <w:keepNext/>
              <w:rPr>
                <w:szCs w:val="20"/>
              </w:rPr>
            </w:pPr>
            <w:r w:rsidRPr="009D61D5">
              <w:rPr>
                <w:szCs w:val="20"/>
              </w:rPr>
              <w:t>Hospital admissions related to pulmonary and influenza-like illness</w:t>
            </w:r>
          </w:p>
        </w:tc>
        <w:tc>
          <w:tcPr>
            <w:tcW w:w="521" w:type="pct"/>
            <w:shd w:val="clear" w:color="auto" w:fill="auto"/>
            <w:vAlign w:val="center"/>
          </w:tcPr>
          <w:p w:rsidR="002267F2" w:rsidRPr="009D61D5" w:rsidRDefault="002267F2" w:rsidP="00A00426">
            <w:pPr>
              <w:pStyle w:val="Tabletext"/>
              <w:keepNext/>
              <w:rPr>
                <w:szCs w:val="20"/>
              </w:rPr>
            </w:pPr>
            <w:r w:rsidRPr="009D61D5">
              <w:rPr>
                <w:szCs w:val="20"/>
              </w:rPr>
              <w:t>Not used</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Iob</w:t>
            </w:r>
          </w:p>
        </w:tc>
        <w:tc>
          <w:tcPr>
            <w:tcW w:w="629" w:type="pct"/>
            <w:shd w:val="clear" w:color="auto" w:fill="auto"/>
            <w:vAlign w:val="center"/>
          </w:tcPr>
          <w:p w:rsidR="00C2193A" w:rsidRPr="009D61D5" w:rsidRDefault="00C2193A" w:rsidP="003706E9">
            <w:pPr>
              <w:pStyle w:val="Tabletext"/>
              <w:keepNext/>
              <w:jc w:val="center"/>
              <w:rPr>
                <w:rFonts w:cstheme="minorHAnsi"/>
                <w:szCs w:val="20"/>
              </w:rPr>
            </w:pPr>
            <w:r w:rsidRPr="009D61D5">
              <w:rPr>
                <w:rFonts w:cstheme="minorHAnsi"/>
                <w:szCs w:val="20"/>
              </w:rPr>
              <w:t>N=3,173</w:t>
            </w:r>
          </w:p>
        </w:tc>
        <w:tc>
          <w:tcPr>
            <w:tcW w:w="627" w:type="pct"/>
            <w:shd w:val="clear" w:color="auto" w:fill="auto"/>
            <w:vAlign w:val="center"/>
          </w:tcPr>
          <w:p w:rsidR="00C2193A" w:rsidRPr="009D61D5" w:rsidRDefault="00C2193A" w:rsidP="003706E9">
            <w:pPr>
              <w:pStyle w:val="Tabletext"/>
              <w:keepNext/>
              <w:jc w:val="center"/>
              <w:rPr>
                <w:szCs w:val="20"/>
              </w:rPr>
            </w:pPr>
            <w:r w:rsidRPr="009D61D5">
              <w:rPr>
                <w:szCs w:val="20"/>
              </w:rPr>
              <w:t>4 months</w:t>
            </w:r>
          </w:p>
        </w:tc>
        <w:tc>
          <w:tcPr>
            <w:tcW w:w="472" w:type="pct"/>
            <w:shd w:val="clear" w:color="auto" w:fill="auto"/>
            <w:vAlign w:val="center"/>
          </w:tcPr>
          <w:p w:rsidR="00C2193A" w:rsidRPr="009D61D5" w:rsidRDefault="00C2193A" w:rsidP="00A00426">
            <w:pPr>
              <w:pStyle w:val="Tabletext"/>
              <w:keepNext/>
              <w:rPr>
                <w:szCs w:val="20"/>
              </w:rPr>
            </w:pPr>
            <w:r w:rsidRPr="009D61D5">
              <w:rPr>
                <w:szCs w:val="20"/>
              </w:rPr>
              <w:t>Not assessed</w:t>
            </w:r>
          </w:p>
        </w:tc>
        <w:tc>
          <w:tcPr>
            <w:tcW w:w="866" w:type="pct"/>
            <w:shd w:val="clear" w:color="auto" w:fill="auto"/>
            <w:vAlign w:val="center"/>
          </w:tcPr>
          <w:p w:rsidR="00C2193A" w:rsidRPr="009D61D5" w:rsidRDefault="00C2193A" w:rsidP="00A00426">
            <w:pPr>
              <w:pStyle w:val="Tabletext"/>
              <w:keepNext/>
              <w:rPr>
                <w:szCs w:val="20"/>
              </w:rPr>
            </w:pPr>
            <w:r w:rsidRPr="009D61D5">
              <w:rPr>
                <w:szCs w:val="20"/>
              </w:rPr>
              <w:t>Long-term care residents</w:t>
            </w:r>
          </w:p>
        </w:tc>
        <w:tc>
          <w:tcPr>
            <w:tcW w:w="1101" w:type="pct"/>
            <w:shd w:val="clear" w:color="auto" w:fill="auto"/>
            <w:vAlign w:val="center"/>
          </w:tcPr>
          <w:p w:rsidR="00C2193A" w:rsidRPr="009D61D5" w:rsidRDefault="00C2193A" w:rsidP="00A00426">
            <w:pPr>
              <w:pStyle w:val="Tabletext"/>
              <w:keepNext/>
              <w:rPr>
                <w:szCs w:val="20"/>
              </w:rPr>
            </w:pPr>
            <w:r w:rsidRPr="009D61D5">
              <w:rPr>
                <w:szCs w:val="20"/>
              </w:rPr>
              <w:t>Influenza-like illness</w:t>
            </w:r>
          </w:p>
        </w:tc>
        <w:tc>
          <w:tcPr>
            <w:tcW w:w="521" w:type="pct"/>
            <w:shd w:val="clear" w:color="auto" w:fill="auto"/>
            <w:vAlign w:val="center"/>
          </w:tcPr>
          <w:p w:rsidR="00C2193A" w:rsidRPr="009D61D5" w:rsidRDefault="00C2193A" w:rsidP="00A00426">
            <w:pPr>
              <w:pStyle w:val="Tabletext"/>
              <w:keepNext/>
              <w:rPr>
                <w:szCs w:val="20"/>
              </w:rPr>
            </w:pPr>
            <w:r w:rsidRPr="009D61D5">
              <w:rPr>
                <w:szCs w:val="20"/>
              </w:rPr>
              <w:t>Not used</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Van Buynder</w:t>
            </w:r>
          </w:p>
        </w:tc>
        <w:tc>
          <w:tcPr>
            <w:tcW w:w="629" w:type="pct"/>
            <w:shd w:val="clear" w:color="auto" w:fill="auto"/>
            <w:vAlign w:val="center"/>
          </w:tcPr>
          <w:p w:rsidR="00C2193A" w:rsidRPr="009D61D5" w:rsidRDefault="00C2193A" w:rsidP="003706E9">
            <w:pPr>
              <w:pStyle w:val="Tabletext"/>
              <w:keepNext/>
              <w:jc w:val="center"/>
              <w:rPr>
                <w:rFonts w:cstheme="minorHAnsi"/>
                <w:szCs w:val="20"/>
              </w:rPr>
            </w:pPr>
            <w:r w:rsidRPr="009D61D5">
              <w:rPr>
                <w:rFonts w:cstheme="minorHAnsi"/>
                <w:szCs w:val="20"/>
              </w:rPr>
              <w:t>N=282</w:t>
            </w:r>
          </w:p>
        </w:tc>
        <w:tc>
          <w:tcPr>
            <w:tcW w:w="627" w:type="pct"/>
            <w:shd w:val="clear" w:color="auto" w:fill="auto"/>
            <w:vAlign w:val="center"/>
          </w:tcPr>
          <w:p w:rsidR="00C2193A" w:rsidRPr="009D61D5" w:rsidRDefault="00C2193A" w:rsidP="003706E9">
            <w:pPr>
              <w:pStyle w:val="Tabletext"/>
              <w:keepNext/>
              <w:jc w:val="center"/>
              <w:rPr>
                <w:szCs w:val="20"/>
              </w:rPr>
            </w:pPr>
            <w:r w:rsidRPr="009D61D5">
              <w:rPr>
                <w:szCs w:val="20"/>
              </w:rPr>
              <w:t>4 months</w:t>
            </w:r>
          </w:p>
        </w:tc>
        <w:tc>
          <w:tcPr>
            <w:tcW w:w="472" w:type="pct"/>
            <w:shd w:val="clear" w:color="auto" w:fill="auto"/>
            <w:vAlign w:val="center"/>
          </w:tcPr>
          <w:p w:rsidR="00C2193A" w:rsidRPr="009D61D5" w:rsidRDefault="00C2193A" w:rsidP="00A00426">
            <w:pPr>
              <w:pStyle w:val="Tabletext"/>
              <w:keepNext/>
              <w:rPr>
                <w:szCs w:val="20"/>
              </w:rPr>
            </w:pPr>
            <w:r w:rsidRPr="009D61D5">
              <w:rPr>
                <w:szCs w:val="20"/>
              </w:rPr>
              <w:t>Not assessed</w:t>
            </w:r>
          </w:p>
        </w:tc>
        <w:tc>
          <w:tcPr>
            <w:tcW w:w="866" w:type="pct"/>
            <w:shd w:val="clear" w:color="auto" w:fill="auto"/>
            <w:vAlign w:val="center"/>
          </w:tcPr>
          <w:p w:rsidR="00C2193A" w:rsidRPr="009D61D5" w:rsidRDefault="00C2193A" w:rsidP="00A00426">
            <w:pPr>
              <w:pStyle w:val="TableTextbullet"/>
              <w:numPr>
                <w:ilvl w:val="0"/>
                <w:numId w:val="0"/>
              </w:numPr>
              <w:rPr>
                <w:rFonts w:ascii="Arial Narrow" w:hAnsi="Arial Narrow"/>
                <w:sz w:val="20"/>
              </w:rPr>
            </w:pPr>
            <w:r w:rsidRPr="009D61D5">
              <w:rPr>
                <w:rFonts w:ascii="Arial Narrow" w:hAnsi="Arial Narrow"/>
                <w:sz w:val="20"/>
                <w:lang w:val="en-AU"/>
              </w:rPr>
              <w:t xml:space="preserve">Adults aged </w:t>
            </w:r>
            <w:r w:rsidRPr="009D61D5">
              <w:rPr>
                <w:rFonts w:ascii="Arial Narrow" w:hAnsi="Arial Narrow"/>
                <w:sz w:val="20"/>
                <w:lang w:val="en-AU"/>
              </w:rPr>
              <w:br/>
            </w:r>
            <w:r w:rsidRPr="009D61D5">
              <w:rPr>
                <w:rFonts w:ascii="Arial Narrow" w:hAnsi="Arial Narrow" w:cs="Calibri"/>
                <w:sz w:val="20"/>
                <w:lang w:val="en-AU"/>
              </w:rPr>
              <w:t>≥</w:t>
            </w:r>
            <w:r w:rsidRPr="009D61D5">
              <w:rPr>
                <w:rFonts w:ascii="Arial Narrow" w:hAnsi="Arial Narrow"/>
                <w:sz w:val="20"/>
                <w:lang w:val="en-AU"/>
              </w:rPr>
              <w:t xml:space="preserve"> 65 years, who had been tested for influenza</w:t>
            </w:r>
          </w:p>
        </w:tc>
        <w:tc>
          <w:tcPr>
            <w:tcW w:w="1101" w:type="pct"/>
            <w:shd w:val="clear" w:color="auto" w:fill="auto"/>
            <w:vAlign w:val="center"/>
          </w:tcPr>
          <w:p w:rsidR="00C2193A" w:rsidRPr="009D61D5" w:rsidRDefault="00C2193A" w:rsidP="00A00426">
            <w:pPr>
              <w:pStyle w:val="Tabletext"/>
              <w:keepNext/>
              <w:rPr>
                <w:szCs w:val="20"/>
              </w:rPr>
            </w:pPr>
            <w:r w:rsidRPr="009D61D5">
              <w:rPr>
                <w:szCs w:val="20"/>
              </w:rPr>
              <w:t>Laboratory confirmed influenza</w:t>
            </w:r>
          </w:p>
        </w:tc>
        <w:tc>
          <w:tcPr>
            <w:tcW w:w="521" w:type="pct"/>
            <w:shd w:val="clear" w:color="auto" w:fill="auto"/>
            <w:vAlign w:val="center"/>
          </w:tcPr>
          <w:p w:rsidR="00C2193A" w:rsidRPr="009D61D5" w:rsidRDefault="00C2193A" w:rsidP="00A00426">
            <w:pPr>
              <w:pStyle w:val="Tabletext"/>
              <w:keepNext/>
              <w:rPr>
                <w:szCs w:val="20"/>
              </w:rPr>
            </w:pPr>
            <w:r w:rsidRPr="009D61D5">
              <w:rPr>
                <w:szCs w:val="20"/>
              </w:rPr>
              <w:t>Not used</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Lapi (unpublished)</w:t>
            </w:r>
          </w:p>
        </w:tc>
        <w:tc>
          <w:tcPr>
            <w:tcW w:w="3695" w:type="pct"/>
            <w:gridSpan w:val="5"/>
            <w:shd w:val="clear" w:color="auto" w:fill="auto"/>
            <w:vAlign w:val="center"/>
          </w:tcPr>
          <w:p w:rsidR="00C2193A" w:rsidRPr="009D61D5" w:rsidRDefault="00C2193A" w:rsidP="00A00426">
            <w:pPr>
              <w:pStyle w:val="Tabletext"/>
              <w:keepNext/>
              <w:rPr>
                <w:rFonts w:cstheme="minorHAnsi"/>
                <w:szCs w:val="20"/>
              </w:rPr>
            </w:pPr>
            <w:r w:rsidRPr="009D61D5">
              <w:rPr>
                <w:rFonts w:cstheme="minorHAnsi"/>
                <w:szCs w:val="20"/>
              </w:rPr>
              <w:t>Could not be verified</w:t>
            </w:r>
          </w:p>
        </w:tc>
        <w:tc>
          <w:tcPr>
            <w:tcW w:w="521" w:type="pct"/>
            <w:shd w:val="clear" w:color="auto" w:fill="auto"/>
            <w:vAlign w:val="center"/>
          </w:tcPr>
          <w:p w:rsidR="00C2193A" w:rsidRPr="009D61D5" w:rsidRDefault="00C2193A" w:rsidP="00A00426">
            <w:pPr>
              <w:pStyle w:val="Tabletext"/>
              <w:keepNext/>
              <w:rPr>
                <w:rFonts w:cstheme="minorHAnsi"/>
                <w:szCs w:val="20"/>
              </w:rPr>
            </w:pPr>
            <w:r w:rsidRPr="009D61D5">
              <w:rPr>
                <w:rFonts w:cstheme="minorHAnsi"/>
                <w:szCs w:val="20"/>
              </w:rPr>
              <w:t>Not used</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 xml:space="preserve">Izurieta et al., </w:t>
            </w:r>
          </w:p>
        </w:tc>
        <w:tc>
          <w:tcPr>
            <w:tcW w:w="629" w:type="pct"/>
            <w:shd w:val="clear" w:color="auto" w:fill="auto"/>
            <w:vAlign w:val="center"/>
          </w:tcPr>
          <w:p w:rsidR="00C2193A" w:rsidRPr="009D61D5" w:rsidRDefault="00C2193A" w:rsidP="003706E9">
            <w:pPr>
              <w:pStyle w:val="Tabletext"/>
              <w:keepNext/>
              <w:jc w:val="center"/>
              <w:rPr>
                <w:rFonts w:cstheme="minorHAnsi"/>
                <w:szCs w:val="20"/>
              </w:rPr>
            </w:pPr>
            <w:r w:rsidRPr="009D61D5">
              <w:rPr>
                <w:rFonts w:cstheme="minorHAnsi"/>
                <w:szCs w:val="20"/>
              </w:rPr>
              <w:t>N=13 million</w:t>
            </w:r>
          </w:p>
        </w:tc>
        <w:tc>
          <w:tcPr>
            <w:tcW w:w="627" w:type="pct"/>
            <w:shd w:val="clear" w:color="auto" w:fill="auto"/>
            <w:vAlign w:val="center"/>
          </w:tcPr>
          <w:p w:rsidR="00C2193A" w:rsidRPr="009D61D5" w:rsidRDefault="00C2193A" w:rsidP="003706E9">
            <w:pPr>
              <w:pStyle w:val="Tabletext"/>
              <w:keepNext/>
              <w:jc w:val="center"/>
              <w:rPr>
                <w:szCs w:val="20"/>
              </w:rPr>
            </w:pPr>
            <w:r w:rsidRPr="009D61D5">
              <w:rPr>
                <w:szCs w:val="20"/>
              </w:rPr>
              <w:t>1 year</w:t>
            </w:r>
          </w:p>
        </w:tc>
        <w:tc>
          <w:tcPr>
            <w:tcW w:w="472" w:type="pct"/>
            <w:shd w:val="clear" w:color="auto" w:fill="auto"/>
            <w:vAlign w:val="center"/>
          </w:tcPr>
          <w:p w:rsidR="00C2193A" w:rsidRPr="009D61D5" w:rsidRDefault="00C2193A" w:rsidP="00A00426">
            <w:pPr>
              <w:pStyle w:val="Tabletext"/>
              <w:keepNext/>
              <w:rPr>
                <w:szCs w:val="20"/>
              </w:rPr>
            </w:pPr>
            <w:r w:rsidRPr="009D61D5">
              <w:rPr>
                <w:szCs w:val="20"/>
              </w:rPr>
              <w:t>Not assessed</w:t>
            </w:r>
          </w:p>
        </w:tc>
        <w:tc>
          <w:tcPr>
            <w:tcW w:w="866" w:type="pct"/>
            <w:shd w:val="clear" w:color="auto" w:fill="auto"/>
            <w:vAlign w:val="center"/>
          </w:tcPr>
          <w:p w:rsidR="00C2193A" w:rsidRPr="009D61D5" w:rsidRDefault="00C2193A" w:rsidP="00A00426">
            <w:pPr>
              <w:pStyle w:val="Tabletext"/>
              <w:keepNext/>
              <w:rPr>
                <w:szCs w:val="20"/>
              </w:rPr>
            </w:pPr>
            <w:r w:rsidRPr="009D61D5">
              <w:rPr>
                <w:szCs w:val="20"/>
              </w:rPr>
              <w:t>Medicare (US) Beneficiaries of influenza vaccines</w:t>
            </w:r>
          </w:p>
        </w:tc>
        <w:tc>
          <w:tcPr>
            <w:tcW w:w="1101" w:type="pct"/>
            <w:shd w:val="clear" w:color="auto" w:fill="auto"/>
            <w:vAlign w:val="center"/>
          </w:tcPr>
          <w:p w:rsidR="00C2193A" w:rsidRPr="009D61D5" w:rsidRDefault="00C2193A" w:rsidP="00A00426">
            <w:pPr>
              <w:pStyle w:val="Tabletext"/>
              <w:keepNext/>
              <w:rPr>
                <w:szCs w:val="20"/>
              </w:rPr>
            </w:pPr>
            <w:r w:rsidRPr="009D61D5">
              <w:rPr>
                <w:szCs w:val="20"/>
              </w:rPr>
              <w:t>Influenza-related hospital encounters</w:t>
            </w:r>
          </w:p>
        </w:tc>
        <w:tc>
          <w:tcPr>
            <w:tcW w:w="521" w:type="pct"/>
            <w:shd w:val="clear" w:color="auto" w:fill="auto"/>
            <w:vAlign w:val="center"/>
          </w:tcPr>
          <w:p w:rsidR="00C2193A" w:rsidRPr="009D61D5" w:rsidRDefault="00C2193A" w:rsidP="00A00426">
            <w:pPr>
              <w:pStyle w:val="Tabletext"/>
              <w:keepNext/>
              <w:rPr>
                <w:szCs w:val="20"/>
              </w:rPr>
            </w:pPr>
            <w:r w:rsidRPr="009D61D5">
              <w:rPr>
                <w:szCs w:val="20"/>
              </w:rPr>
              <w:t>Not used</w:t>
            </w:r>
          </w:p>
        </w:tc>
      </w:tr>
      <w:tr w:rsidR="00C2193A" w:rsidRPr="009D61D5" w:rsidTr="0088315B">
        <w:trPr>
          <w:tblHeader/>
        </w:trPr>
        <w:tc>
          <w:tcPr>
            <w:tcW w:w="5000" w:type="pct"/>
            <w:gridSpan w:val="7"/>
            <w:shd w:val="clear" w:color="auto" w:fill="auto"/>
            <w:vAlign w:val="center"/>
          </w:tcPr>
          <w:p w:rsidR="00C2193A" w:rsidRPr="009D61D5" w:rsidRDefault="00C2193A" w:rsidP="00A00426">
            <w:pPr>
              <w:pStyle w:val="Tabletext"/>
              <w:keepNext/>
              <w:rPr>
                <w:szCs w:val="20"/>
              </w:rPr>
            </w:pPr>
            <w:r w:rsidRPr="009D61D5">
              <w:rPr>
                <w:szCs w:val="20"/>
              </w:rPr>
              <w:t>Systematic Reviews &amp; Meta Analyses</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Domnich et al., 2016</w:t>
            </w:r>
          </w:p>
        </w:tc>
        <w:tc>
          <w:tcPr>
            <w:tcW w:w="629" w:type="pct"/>
            <w:shd w:val="clear" w:color="auto" w:fill="auto"/>
            <w:vAlign w:val="center"/>
          </w:tcPr>
          <w:p w:rsidR="00C2193A" w:rsidRPr="009D61D5" w:rsidRDefault="00C2193A" w:rsidP="003706E9">
            <w:pPr>
              <w:pStyle w:val="Tabletext"/>
              <w:keepNext/>
              <w:jc w:val="center"/>
              <w:rPr>
                <w:rFonts w:cstheme="minorHAnsi"/>
                <w:szCs w:val="20"/>
              </w:rPr>
            </w:pPr>
            <w:r w:rsidRPr="009D61D5">
              <w:rPr>
                <w:rFonts w:cstheme="minorHAnsi"/>
                <w:szCs w:val="20"/>
              </w:rPr>
              <w:t>NA</w:t>
            </w:r>
          </w:p>
        </w:tc>
        <w:tc>
          <w:tcPr>
            <w:tcW w:w="627" w:type="pct"/>
            <w:shd w:val="clear" w:color="auto" w:fill="auto"/>
            <w:vAlign w:val="center"/>
          </w:tcPr>
          <w:p w:rsidR="00C2193A" w:rsidRPr="009D61D5" w:rsidRDefault="00C2193A" w:rsidP="003706E9">
            <w:pPr>
              <w:pStyle w:val="Tabletext"/>
              <w:keepNext/>
              <w:jc w:val="center"/>
              <w:rPr>
                <w:szCs w:val="20"/>
              </w:rPr>
            </w:pPr>
            <w:r w:rsidRPr="009D61D5">
              <w:rPr>
                <w:szCs w:val="20"/>
              </w:rPr>
              <w:t>NA</w:t>
            </w:r>
          </w:p>
        </w:tc>
        <w:tc>
          <w:tcPr>
            <w:tcW w:w="472" w:type="pct"/>
            <w:shd w:val="clear" w:color="auto" w:fill="auto"/>
            <w:vAlign w:val="center"/>
          </w:tcPr>
          <w:p w:rsidR="00C2193A" w:rsidRPr="009D61D5" w:rsidRDefault="00C2193A" w:rsidP="00A00426">
            <w:pPr>
              <w:pStyle w:val="Tabletext"/>
              <w:keepNext/>
              <w:rPr>
                <w:szCs w:val="20"/>
              </w:rPr>
            </w:pPr>
            <w:r w:rsidRPr="009D61D5">
              <w:rPr>
                <w:szCs w:val="20"/>
              </w:rPr>
              <w:t>Not assessed</w:t>
            </w:r>
          </w:p>
        </w:tc>
        <w:tc>
          <w:tcPr>
            <w:tcW w:w="866" w:type="pct"/>
            <w:shd w:val="clear" w:color="auto" w:fill="auto"/>
            <w:vAlign w:val="center"/>
          </w:tcPr>
          <w:p w:rsidR="00C2193A" w:rsidRPr="009D61D5" w:rsidRDefault="00C2193A" w:rsidP="00A00426">
            <w:pPr>
              <w:pStyle w:val="Tabletext"/>
              <w:keepNext/>
              <w:rPr>
                <w:szCs w:val="20"/>
              </w:rPr>
            </w:pPr>
            <w:r w:rsidRPr="009D61D5">
              <w:rPr>
                <w:szCs w:val="20"/>
              </w:rPr>
              <w:t>NA</w:t>
            </w:r>
          </w:p>
        </w:tc>
        <w:tc>
          <w:tcPr>
            <w:tcW w:w="1101" w:type="pct"/>
            <w:shd w:val="clear" w:color="auto" w:fill="auto"/>
            <w:vAlign w:val="center"/>
          </w:tcPr>
          <w:p w:rsidR="00C2193A" w:rsidRPr="009D61D5" w:rsidRDefault="00C2193A" w:rsidP="00A00426">
            <w:pPr>
              <w:pStyle w:val="Tabletext"/>
              <w:keepNext/>
              <w:rPr>
                <w:szCs w:val="20"/>
              </w:rPr>
            </w:pPr>
            <w:r w:rsidRPr="009D61D5">
              <w:rPr>
                <w:szCs w:val="20"/>
              </w:rPr>
              <w:t>NA</w:t>
            </w:r>
          </w:p>
        </w:tc>
        <w:tc>
          <w:tcPr>
            <w:tcW w:w="521" w:type="pct"/>
            <w:shd w:val="clear" w:color="auto" w:fill="auto"/>
            <w:vAlign w:val="center"/>
          </w:tcPr>
          <w:p w:rsidR="00C2193A" w:rsidRPr="009D61D5" w:rsidRDefault="00C2193A" w:rsidP="00A00426">
            <w:pPr>
              <w:pStyle w:val="Tabletext"/>
              <w:keepNext/>
              <w:rPr>
                <w:szCs w:val="20"/>
              </w:rPr>
            </w:pPr>
            <w:r w:rsidRPr="009D61D5">
              <w:rPr>
                <w:szCs w:val="20"/>
              </w:rPr>
              <w:t>Not used</w:t>
            </w:r>
          </w:p>
        </w:tc>
      </w:tr>
      <w:tr w:rsidR="00C2193A" w:rsidRPr="009D61D5" w:rsidTr="0088315B">
        <w:trPr>
          <w:tblHeader/>
        </w:trPr>
        <w:tc>
          <w:tcPr>
            <w:tcW w:w="5000" w:type="pct"/>
            <w:gridSpan w:val="7"/>
            <w:shd w:val="clear" w:color="auto" w:fill="auto"/>
            <w:vAlign w:val="center"/>
          </w:tcPr>
          <w:p w:rsidR="00C2193A" w:rsidRPr="009D61D5" w:rsidRDefault="00C2193A" w:rsidP="00A00426">
            <w:pPr>
              <w:pStyle w:val="Tabletext"/>
              <w:keepNext/>
              <w:rPr>
                <w:szCs w:val="20"/>
              </w:rPr>
            </w:pPr>
            <w:r w:rsidRPr="009D61D5">
              <w:rPr>
                <w:b/>
                <w:szCs w:val="20"/>
              </w:rPr>
              <w:t xml:space="preserve">aQIV (Fluad Quad) </w:t>
            </w:r>
            <w:r w:rsidR="00B07A7B" w:rsidRPr="009D61D5">
              <w:rPr>
                <w:b/>
                <w:szCs w:val="20"/>
              </w:rPr>
              <w:t xml:space="preserve">compared to </w:t>
            </w:r>
            <w:r w:rsidRPr="009D61D5">
              <w:rPr>
                <w:b/>
                <w:szCs w:val="20"/>
              </w:rPr>
              <w:t>aTIV (Fluad)</w:t>
            </w:r>
          </w:p>
        </w:tc>
      </w:tr>
      <w:tr w:rsidR="00C2193A" w:rsidRPr="009D61D5" w:rsidTr="00FE5CB3">
        <w:trPr>
          <w:tblHeader/>
        </w:trPr>
        <w:tc>
          <w:tcPr>
            <w:tcW w:w="784" w:type="pct"/>
            <w:shd w:val="clear" w:color="auto" w:fill="auto"/>
            <w:vAlign w:val="center"/>
          </w:tcPr>
          <w:p w:rsidR="00C2193A" w:rsidRPr="009D61D5" w:rsidRDefault="00C2193A" w:rsidP="00A00426">
            <w:pPr>
              <w:pStyle w:val="Tabletext"/>
              <w:keepNext/>
              <w:rPr>
                <w:szCs w:val="20"/>
              </w:rPr>
            </w:pPr>
            <w:r w:rsidRPr="009D61D5">
              <w:rPr>
                <w:szCs w:val="20"/>
              </w:rPr>
              <w:t>V118_20</w:t>
            </w:r>
          </w:p>
        </w:tc>
        <w:tc>
          <w:tcPr>
            <w:tcW w:w="629" w:type="pct"/>
            <w:shd w:val="clear" w:color="auto" w:fill="auto"/>
            <w:vAlign w:val="center"/>
          </w:tcPr>
          <w:p w:rsidR="00C2193A" w:rsidRPr="009D61D5" w:rsidRDefault="00C2193A" w:rsidP="003706E9">
            <w:pPr>
              <w:pStyle w:val="Tabletext"/>
              <w:keepNext/>
              <w:jc w:val="center"/>
              <w:rPr>
                <w:szCs w:val="20"/>
              </w:rPr>
            </w:pPr>
            <w:r w:rsidRPr="009D61D5">
              <w:rPr>
                <w:szCs w:val="20"/>
              </w:rPr>
              <w:t>N=1,778</w:t>
            </w:r>
          </w:p>
        </w:tc>
        <w:tc>
          <w:tcPr>
            <w:tcW w:w="627" w:type="pct"/>
            <w:shd w:val="clear" w:color="auto" w:fill="auto"/>
            <w:vAlign w:val="center"/>
          </w:tcPr>
          <w:p w:rsidR="00C2193A" w:rsidRPr="009D61D5" w:rsidRDefault="00C2193A" w:rsidP="003706E9">
            <w:pPr>
              <w:pStyle w:val="Tabletext"/>
              <w:keepNext/>
              <w:jc w:val="center"/>
              <w:rPr>
                <w:szCs w:val="20"/>
              </w:rPr>
            </w:pPr>
            <w:r w:rsidRPr="009D61D5">
              <w:rPr>
                <w:szCs w:val="20"/>
              </w:rPr>
              <w:t>Six months</w:t>
            </w:r>
          </w:p>
        </w:tc>
        <w:tc>
          <w:tcPr>
            <w:tcW w:w="472" w:type="pct"/>
            <w:shd w:val="clear" w:color="auto" w:fill="auto"/>
            <w:vAlign w:val="center"/>
          </w:tcPr>
          <w:p w:rsidR="00C2193A" w:rsidRPr="009D61D5" w:rsidRDefault="00C2193A" w:rsidP="00A00426">
            <w:pPr>
              <w:pStyle w:val="Tabletext"/>
              <w:keepNext/>
              <w:rPr>
                <w:szCs w:val="20"/>
              </w:rPr>
            </w:pPr>
            <w:r w:rsidRPr="009D61D5">
              <w:rPr>
                <w:szCs w:val="20"/>
              </w:rPr>
              <w:t>Low</w:t>
            </w:r>
          </w:p>
        </w:tc>
        <w:tc>
          <w:tcPr>
            <w:tcW w:w="866" w:type="pct"/>
            <w:shd w:val="clear" w:color="auto" w:fill="auto"/>
          </w:tcPr>
          <w:p w:rsidR="00C2193A" w:rsidRPr="009D61D5" w:rsidRDefault="00C2193A" w:rsidP="00A00426">
            <w:pPr>
              <w:pStyle w:val="TableTextbullet"/>
              <w:numPr>
                <w:ilvl w:val="0"/>
                <w:numId w:val="0"/>
              </w:numPr>
              <w:rPr>
                <w:rFonts w:ascii="Arial Narrow" w:hAnsi="Arial Narrow"/>
                <w:sz w:val="20"/>
                <w:lang w:val="en-AU"/>
              </w:rPr>
            </w:pPr>
            <w:r w:rsidRPr="009D61D5">
              <w:rPr>
                <w:rFonts w:ascii="Arial Narrow" w:hAnsi="Arial Narrow"/>
                <w:sz w:val="20"/>
                <w:lang w:val="en-AU"/>
              </w:rPr>
              <w:t>Adults aged ≥ 65 years who were healthy or had comorbidities and were able to attend all scheduled visits.</w:t>
            </w:r>
          </w:p>
        </w:tc>
        <w:tc>
          <w:tcPr>
            <w:tcW w:w="1101" w:type="pct"/>
            <w:shd w:val="clear" w:color="auto" w:fill="auto"/>
            <w:vAlign w:val="center"/>
          </w:tcPr>
          <w:p w:rsidR="00C2193A" w:rsidRPr="009D61D5" w:rsidRDefault="00C2193A" w:rsidP="00A00426">
            <w:pPr>
              <w:pStyle w:val="Tabletext"/>
              <w:keepNext/>
              <w:rPr>
                <w:szCs w:val="20"/>
              </w:rPr>
            </w:pPr>
            <w:r w:rsidRPr="009D61D5">
              <w:rPr>
                <w:szCs w:val="20"/>
              </w:rPr>
              <w:t>Immunogenicity through GMTR, SCR; and vaccine efficacy through CBER criteria</w:t>
            </w:r>
          </w:p>
        </w:tc>
        <w:tc>
          <w:tcPr>
            <w:tcW w:w="521" w:type="pct"/>
            <w:shd w:val="clear" w:color="auto" w:fill="auto"/>
            <w:vAlign w:val="center"/>
          </w:tcPr>
          <w:p w:rsidR="00C2193A" w:rsidRPr="009D61D5" w:rsidRDefault="00C2193A" w:rsidP="00A00426">
            <w:pPr>
              <w:pStyle w:val="Tabletext"/>
              <w:keepNext/>
              <w:rPr>
                <w:szCs w:val="20"/>
              </w:rPr>
            </w:pPr>
            <w:r w:rsidRPr="009D61D5">
              <w:rPr>
                <w:szCs w:val="20"/>
              </w:rPr>
              <w:t>Not used</w:t>
            </w:r>
          </w:p>
        </w:tc>
      </w:tr>
    </w:tbl>
    <w:p w:rsidR="00196FC8" w:rsidRPr="009D61D5" w:rsidRDefault="00196FC8" w:rsidP="006E713E">
      <w:pPr>
        <w:pStyle w:val="TableFigureFooter"/>
      </w:pPr>
      <w:r w:rsidRPr="009D61D5">
        <w:t xml:space="preserve">aTIV: adjuvanted trivalent influenza vaccine; TIV: trivalent influenza vaccine (non-adjuvanted); aQIV: adjuvanted quadrivalent influenza vaccine; QIV: quadrivalent influenza vaccine (non-adjuvanted); </w:t>
      </w:r>
      <w:r w:rsidR="007C0443" w:rsidRPr="009D61D5">
        <w:t xml:space="preserve">CBER: Centre for Biologics Evaluation and Research; </w:t>
      </w:r>
      <w:r w:rsidRPr="009D61D5">
        <w:t>NA: Not available</w:t>
      </w:r>
    </w:p>
    <w:p w:rsidR="002267F2" w:rsidRPr="009D61D5" w:rsidRDefault="002267F2" w:rsidP="006E713E">
      <w:pPr>
        <w:pStyle w:val="TableFigureFooter"/>
      </w:pPr>
      <w:r w:rsidRPr="009D61D5">
        <w:rPr>
          <w:vertAlign w:val="superscript"/>
        </w:rPr>
        <w:t>1</w:t>
      </w:r>
      <w:r w:rsidRPr="009D61D5">
        <w:t xml:space="preserve"> </w:t>
      </w:r>
      <w:r w:rsidR="00AF3562" w:rsidRPr="009D61D5">
        <w:t xml:space="preserve">Assessed </w:t>
      </w:r>
      <w:r w:rsidRPr="009D61D5">
        <w:t>during evaluation</w:t>
      </w:r>
    </w:p>
    <w:p w:rsidR="006043E7" w:rsidRPr="008E537B" w:rsidRDefault="002267F2" w:rsidP="006E713E">
      <w:pPr>
        <w:pStyle w:val="TableFigureFooter"/>
        <w:rPr>
          <w:sz w:val="20"/>
        </w:rPr>
      </w:pPr>
      <w:r w:rsidRPr="009D61D5">
        <w:t xml:space="preserve">Source: Compiled for the evaluation based on Table </w:t>
      </w:r>
      <w:r w:rsidR="00196FC8" w:rsidRPr="009D61D5">
        <w:t>2-8</w:t>
      </w:r>
      <w:r w:rsidRPr="009D61D5">
        <w:t>, p</w:t>
      </w:r>
      <w:r w:rsidR="00196FC8" w:rsidRPr="009D61D5">
        <w:t>54</w:t>
      </w:r>
      <w:r w:rsidRPr="009D61D5">
        <w:t>; and p</w:t>
      </w:r>
      <w:r w:rsidR="00196FC8" w:rsidRPr="009D61D5">
        <w:t>66-73</w:t>
      </w:r>
      <w:r w:rsidRPr="009D61D5">
        <w:t xml:space="preserve"> of the submission</w:t>
      </w:r>
    </w:p>
    <w:p w:rsidR="00B27FD9" w:rsidRPr="009D61D5" w:rsidRDefault="00B27FD9" w:rsidP="008E537B">
      <w:pPr>
        <w:pStyle w:val="5-SubsectionSubheading"/>
      </w:pPr>
      <w:r w:rsidRPr="009D61D5">
        <w:t>aTIV (Fluad) compared to QIV</w:t>
      </w:r>
    </w:p>
    <w:p w:rsidR="00307CDD" w:rsidRPr="009D61D5" w:rsidDel="007D7BD0" w:rsidRDefault="00307CDD" w:rsidP="00F37302">
      <w:pPr>
        <w:pStyle w:val="ListParagraph"/>
        <w:keepNext/>
        <w:widowControl/>
        <w:numPr>
          <w:ilvl w:val="1"/>
          <w:numId w:val="39"/>
        </w:numPr>
        <w:ind w:left="709" w:hanging="709"/>
        <w:rPr>
          <w:rFonts w:cs="Calibri"/>
          <w:snapToGrid/>
        </w:rPr>
      </w:pPr>
      <w:r w:rsidRPr="009D61D5" w:rsidDel="007D7BD0">
        <w:rPr>
          <w:rFonts w:cs="Calibri"/>
          <w:snapToGrid/>
        </w:rPr>
        <w:t>The submission did not present any head-to-head RCTs comparing aTIV (Fluad) to QIV.</w:t>
      </w:r>
      <w:r w:rsidR="00B27FD9" w:rsidRPr="009D61D5">
        <w:rPr>
          <w:rFonts w:cs="Calibri"/>
          <w:snapToGrid/>
        </w:rPr>
        <w:t xml:space="preserve"> </w:t>
      </w:r>
      <w:r w:rsidR="00B27FD9" w:rsidRPr="009D61D5">
        <w:t>Instead the submission presented a multi-stepped chain-of-evidence based on clinical studies/trials and previous PBAC recommendations.</w:t>
      </w:r>
    </w:p>
    <w:p w:rsidR="00307CDD" w:rsidRPr="009D61D5" w:rsidRDefault="00307CDD" w:rsidP="00F37302">
      <w:pPr>
        <w:pStyle w:val="ListParagraph"/>
        <w:keepNext/>
        <w:widowControl/>
        <w:numPr>
          <w:ilvl w:val="1"/>
          <w:numId w:val="39"/>
        </w:numPr>
        <w:ind w:left="709" w:hanging="709"/>
        <w:rPr>
          <w:rFonts w:cs="Calibri"/>
          <w:snapToGrid/>
          <w:lang w:val="en-US"/>
        </w:rPr>
      </w:pPr>
      <w:r w:rsidRPr="009D61D5">
        <w:rPr>
          <w:rFonts w:cs="Calibri"/>
          <w:snapToGrid/>
          <w:lang w:val="en-US"/>
        </w:rPr>
        <w:t xml:space="preserve">The lack of head-to-head RCTs comparing aTIV (Fluad) to QIV, or </w:t>
      </w:r>
      <w:r w:rsidR="00B27FD9" w:rsidRPr="009D61D5">
        <w:rPr>
          <w:rFonts w:cs="Calibri"/>
          <w:snapToGrid/>
          <w:lang w:val="en-US"/>
        </w:rPr>
        <w:t>formal</w:t>
      </w:r>
      <w:r w:rsidRPr="009D61D5">
        <w:rPr>
          <w:rFonts w:cs="Calibri"/>
          <w:snapToGrid/>
          <w:lang w:val="en-US"/>
        </w:rPr>
        <w:t xml:space="preserve"> indirect </w:t>
      </w:r>
      <w:r w:rsidRPr="00DA725C">
        <w:t>comparison</w:t>
      </w:r>
      <w:r w:rsidRPr="009D61D5">
        <w:rPr>
          <w:rFonts w:cs="Calibri"/>
          <w:snapToGrid/>
          <w:lang w:val="en-US"/>
        </w:rPr>
        <w:t xml:space="preserve"> of aTIV to QIV, significantly increased uncertainty in the validity of the presented clinical claims.</w:t>
      </w:r>
    </w:p>
    <w:p w:rsidR="00B27FD9" w:rsidRPr="009D61D5" w:rsidRDefault="007E78BA" w:rsidP="00F37302">
      <w:pPr>
        <w:pStyle w:val="ListParagraph"/>
        <w:keepNext/>
        <w:widowControl/>
        <w:numPr>
          <w:ilvl w:val="1"/>
          <w:numId w:val="39"/>
        </w:numPr>
        <w:ind w:left="709" w:hanging="709"/>
        <w:rPr>
          <w:rFonts w:cs="Calibri"/>
          <w:snapToGrid/>
        </w:rPr>
      </w:pPr>
      <w:r w:rsidRPr="009D61D5">
        <w:t xml:space="preserve">Risk of bias was not assessed within the submission for the observational studies. As such, the Risk of Bias in Non-randomised Studies - of Interventions (ROBINS-I) assessment tool was employed during the evaluation </w:t>
      </w:r>
      <w:r w:rsidR="00852DFA">
        <w:t>of</w:t>
      </w:r>
      <w:r w:rsidR="00852DFA" w:rsidRPr="009D61D5">
        <w:t xml:space="preserve"> </w:t>
      </w:r>
      <w:r w:rsidRPr="009D61D5">
        <w:t xml:space="preserve">the pivotal evidence in the LIVE study (Mannino 2012). The overall risk of bias in the LIVE study (Mannino 2012) </w:t>
      </w:r>
      <w:r w:rsidR="00852DFA">
        <w:t>wa</w:t>
      </w:r>
      <w:r w:rsidRPr="009D61D5">
        <w:t xml:space="preserve">s </w:t>
      </w:r>
      <w:r w:rsidR="00852DFA">
        <w:t xml:space="preserve">rated as </w:t>
      </w:r>
      <w:r w:rsidRPr="009D61D5">
        <w:t xml:space="preserve">moderate due to non-randomisation of </w:t>
      </w:r>
      <w:r w:rsidR="00E36E75" w:rsidRPr="009D61D5">
        <w:t>participants</w:t>
      </w:r>
      <w:r w:rsidRPr="009D61D5">
        <w:t xml:space="preserve"> and non-blinding of </w:t>
      </w:r>
      <w:r w:rsidRPr="009D61D5">
        <w:lastRenderedPageBreak/>
        <w:t>the intervention for either administrator</w:t>
      </w:r>
      <w:r w:rsidR="00852DFA">
        <w:t>s</w:t>
      </w:r>
      <w:r w:rsidRPr="009D61D5">
        <w:t xml:space="preserve"> or recipients.</w:t>
      </w:r>
      <w:r w:rsidR="004C7CA8" w:rsidRPr="009D61D5">
        <w:t xml:space="preserve"> </w:t>
      </w:r>
      <w:r w:rsidR="00B27FD9" w:rsidRPr="009D61D5">
        <w:rPr>
          <w:rFonts w:cs="Calibri"/>
          <w:snapToGrid/>
        </w:rPr>
        <w:t>Furthermore, adjustments for the presence of baseline confounders using propensity score matching resulted in 4% of observations excluded from the analysis.</w:t>
      </w:r>
    </w:p>
    <w:p w:rsidR="00B27FD9" w:rsidRDefault="00B27FD9" w:rsidP="008E537B">
      <w:pPr>
        <w:pStyle w:val="5-SubsectionSubheading"/>
      </w:pPr>
      <w:r w:rsidRPr="009D61D5">
        <w:t>aQIV (Fluad Quad) compared to aTIV</w:t>
      </w:r>
      <w:r w:rsidR="00980EA2" w:rsidRPr="009D61D5">
        <w:t xml:space="preserve"> (Fluad)</w:t>
      </w:r>
    </w:p>
    <w:p w:rsidR="00B27FD9" w:rsidRPr="009D61D5" w:rsidRDefault="00B27FD9" w:rsidP="00F37302">
      <w:pPr>
        <w:pStyle w:val="ListParagraph"/>
        <w:keepNext/>
        <w:widowControl/>
        <w:numPr>
          <w:ilvl w:val="1"/>
          <w:numId w:val="39"/>
        </w:numPr>
        <w:ind w:left="709" w:hanging="709"/>
      </w:pPr>
      <w:r w:rsidRPr="009D61D5" w:rsidDel="007D7BD0">
        <w:rPr>
          <w:rFonts w:cs="Calibri"/>
          <w:snapToGrid/>
        </w:rPr>
        <w:t xml:space="preserve">The </w:t>
      </w:r>
      <w:r w:rsidRPr="00DA725C" w:rsidDel="007D7BD0">
        <w:t>submission</w:t>
      </w:r>
      <w:r w:rsidRPr="009D61D5" w:rsidDel="007D7BD0">
        <w:rPr>
          <w:rFonts w:cs="Calibri"/>
          <w:snapToGrid/>
        </w:rPr>
        <w:t xml:space="preserve"> </w:t>
      </w:r>
      <w:r w:rsidRPr="009D61D5">
        <w:rPr>
          <w:rFonts w:cs="Calibri"/>
          <w:snapToGrid/>
        </w:rPr>
        <w:t xml:space="preserve">presented one </w:t>
      </w:r>
      <w:r w:rsidRPr="009D61D5" w:rsidDel="007D7BD0">
        <w:rPr>
          <w:rFonts w:cs="Calibri"/>
          <w:snapToGrid/>
        </w:rPr>
        <w:t>head-to-head RCT comparing a</w:t>
      </w:r>
      <w:r w:rsidRPr="009D61D5">
        <w:rPr>
          <w:rFonts w:cs="Calibri"/>
          <w:snapToGrid/>
        </w:rPr>
        <w:t>QIV</w:t>
      </w:r>
      <w:r w:rsidRPr="009D61D5" w:rsidDel="007D7BD0">
        <w:rPr>
          <w:rFonts w:cs="Calibri"/>
          <w:snapToGrid/>
        </w:rPr>
        <w:t xml:space="preserve"> (Fluad</w:t>
      </w:r>
      <w:r w:rsidRPr="009D61D5">
        <w:rPr>
          <w:rFonts w:cs="Calibri"/>
          <w:snapToGrid/>
        </w:rPr>
        <w:t xml:space="preserve"> Quad</w:t>
      </w:r>
      <w:r w:rsidRPr="009D61D5" w:rsidDel="007D7BD0">
        <w:rPr>
          <w:rFonts w:cs="Calibri"/>
          <w:snapToGrid/>
        </w:rPr>
        <w:t xml:space="preserve">) to </w:t>
      </w:r>
      <w:r w:rsidRPr="009D61D5">
        <w:rPr>
          <w:rFonts w:cs="Calibri"/>
          <w:snapToGrid/>
        </w:rPr>
        <w:t>aTIV (Trial V118_20). The risk of bias was considered to be low.</w:t>
      </w:r>
    </w:p>
    <w:p w:rsidR="00B27FD9" w:rsidRDefault="00B27FD9" w:rsidP="008E537B">
      <w:pPr>
        <w:pStyle w:val="5-SubsectionSubheading"/>
      </w:pPr>
      <w:r w:rsidRPr="009D61D5">
        <w:t>aQIV (Fluad Quad) compared to QIV</w:t>
      </w:r>
    </w:p>
    <w:p w:rsidR="00D24145" w:rsidRPr="008E537B" w:rsidRDefault="00B27FD9" w:rsidP="00F37302">
      <w:pPr>
        <w:pStyle w:val="ListParagraph"/>
        <w:keepNext/>
        <w:widowControl/>
        <w:numPr>
          <w:ilvl w:val="1"/>
          <w:numId w:val="39"/>
        </w:numPr>
        <w:spacing w:after="0"/>
        <w:ind w:left="709" w:hanging="709"/>
        <w:rPr>
          <w:rFonts w:cs="Calibri"/>
          <w:snapToGrid/>
        </w:rPr>
      </w:pPr>
      <w:r w:rsidRPr="009D61D5" w:rsidDel="007D7BD0">
        <w:rPr>
          <w:rFonts w:cs="Calibri"/>
          <w:snapToGrid/>
        </w:rPr>
        <w:t xml:space="preserve">The </w:t>
      </w:r>
      <w:r w:rsidRPr="00DA725C" w:rsidDel="007D7BD0">
        <w:t>submission</w:t>
      </w:r>
      <w:r w:rsidRPr="009D61D5" w:rsidDel="007D7BD0">
        <w:rPr>
          <w:rFonts w:cs="Calibri"/>
          <w:snapToGrid/>
        </w:rPr>
        <w:t xml:space="preserve"> did not present any head-to-head RCTs comparing a</w:t>
      </w:r>
      <w:r w:rsidRPr="009D61D5">
        <w:rPr>
          <w:rFonts w:cs="Calibri"/>
          <w:snapToGrid/>
        </w:rPr>
        <w:t>QIV</w:t>
      </w:r>
      <w:r w:rsidRPr="009D61D5" w:rsidDel="007D7BD0">
        <w:rPr>
          <w:rFonts w:cs="Calibri"/>
          <w:snapToGrid/>
        </w:rPr>
        <w:t xml:space="preserve"> (Fluad</w:t>
      </w:r>
      <w:r w:rsidRPr="009D61D5">
        <w:rPr>
          <w:rFonts w:cs="Calibri"/>
          <w:snapToGrid/>
        </w:rPr>
        <w:t xml:space="preserve"> Quad</w:t>
      </w:r>
      <w:r w:rsidRPr="009D61D5" w:rsidDel="007D7BD0">
        <w:rPr>
          <w:rFonts w:cs="Calibri"/>
          <w:snapToGrid/>
        </w:rPr>
        <w:t>) to QIV</w:t>
      </w:r>
      <w:r w:rsidRPr="009D61D5">
        <w:rPr>
          <w:rFonts w:cs="Calibri"/>
          <w:snapToGrid/>
        </w:rPr>
        <w:t>.</w:t>
      </w:r>
    </w:p>
    <w:p w:rsidR="002267F2" w:rsidRPr="009D61D5" w:rsidRDefault="002267F2" w:rsidP="008E537B">
      <w:pPr>
        <w:pStyle w:val="4-SubsectionHeading"/>
      </w:pPr>
      <w:bookmarkStart w:id="13" w:name="_Toc9407309"/>
      <w:r w:rsidRPr="005B4720">
        <w:t>Comparative</w:t>
      </w:r>
      <w:r w:rsidRPr="00346F7D">
        <w:t xml:space="preserve"> effectiveness</w:t>
      </w:r>
      <w:bookmarkEnd w:id="13"/>
    </w:p>
    <w:p w:rsidR="00481BEA" w:rsidRPr="001D60F6" w:rsidRDefault="00481BEA" w:rsidP="008E537B">
      <w:pPr>
        <w:pStyle w:val="5-SubsectionSubheading"/>
      </w:pPr>
      <w:r w:rsidRPr="009D61D5">
        <w:t>aTIV</w:t>
      </w:r>
      <w:r w:rsidR="0026309F" w:rsidRPr="009D61D5">
        <w:t xml:space="preserve"> (Fluad) </w:t>
      </w:r>
      <w:r w:rsidR="00187561" w:rsidRPr="009D61D5">
        <w:t xml:space="preserve">compared to </w:t>
      </w:r>
      <w:r w:rsidR="009F3C70" w:rsidRPr="009D61D5">
        <w:t>QIV</w:t>
      </w:r>
    </w:p>
    <w:p w:rsidR="00212899" w:rsidRPr="009D61D5" w:rsidRDefault="00212899" w:rsidP="00F37302">
      <w:pPr>
        <w:pStyle w:val="ListParagraph"/>
        <w:keepNext/>
        <w:widowControl/>
        <w:numPr>
          <w:ilvl w:val="1"/>
          <w:numId w:val="39"/>
        </w:numPr>
        <w:ind w:left="709" w:hanging="709"/>
      </w:pPr>
      <w:r w:rsidRPr="001D60F6">
        <w:rPr>
          <w:rFonts w:cs="Calibri"/>
          <w:snapToGrid/>
          <w:lang w:val="en-US"/>
        </w:rPr>
        <w:t>The result</w:t>
      </w:r>
      <w:r w:rsidR="0081722D" w:rsidRPr="001D60F6">
        <w:rPr>
          <w:rFonts w:cs="Calibri"/>
          <w:snapToGrid/>
          <w:lang w:val="en-US"/>
        </w:rPr>
        <w:t>s</w:t>
      </w:r>
      <w:r w:rsidRPr="001D60F6">
        <w:rPr>
          <w:rFonts w:cs="Calibri"/>
          <w:snapToGrid/>
          <w:lang w:val="en-US"/>
        </w:rPr>
        <w:t xml:space="preserve"> of </w:t>
      </w:r>
      <w:r w:rsidRPr="00DA725C">
        <w:t>the</w:t>
      </w:r>
      <w:r w:rsidRPr="001D60F6">
        <w:rPr>
          <w:rFonts w:cs="Calibri"/>
          <w:snapToGrid/>
          <w:lang w:val="en-US"/>
        </w:rPr>
        <w:t xml:space="preserve"> LIVE study (Mannino 2012) are presented in Table</w:t>
      </w:r>
      <w:r w:rsidR="004D4E59" w:rsidRPr="001D60F6">
        <w:rPr>
          <w:rFonts w:cs="Calibri"/>
          <w:snapToGrid/>
          <w:lang w:val="en-US"/>
        </w:rPr>
        <w:t>s</w:t>
      </w:r>
      <w:r w:rsidRPr="001D60F6">
        <w:rPr>
          <w:rFonts w:cs="Calibri"/>
          <w:snapToGrid/>
          <w:lang w:val="en-US"/>
        </w:rPr>
        <w:t xml:space="preserve"> </w:t>
      </w:r>
      <w:r w:rsidR="00A05FF2" w:rsidRPr="001D60F6">
        <w:rPr>
          <w:rFonts w:cs="Calibri"/>
          <w:snapToGrid/>
          <w:lang w:val="en-US"/>
        </w:rPr>
        <w:t>5</w:t>
      </w:r>
      <w:r w:rsidRPr="001D60F6">
        <w:rPr>
          <w:rFonts w:cs="Calibri"/>
          <w:snapToGrid/>
          <w:lang w:val="en-US"/>
        </w:rPr>
        <w:t xml:space="preserve"> and </w:t>
      </w:r>
      <w:r w:rsidR="00A05FF2" w:rsidRPr="001D60F6">
        <w:rPr>
          <w:rFonts w:cs="Calibri"/>
          <w:snapToGrid/>
          <w:lang w:val="en-US"/>
        </w:rPr>
        <w:t>6</w:t>
      </w:r>
      <w:r w:rsidR="00FC64A6" w:rsidRPr="001D60F6">
        <w:rPr>
          <w:rFonts w:cs="Calibri"/>
          <w:snapToGrid/>
          <w:lang w:val="en-US"/>
        </w:rPr>
        <w:t xml:space="preserve">, </w:t>
      </w:r>
      <w:r w:rsidR="00FC64A6" w:rsidRPr="00412CB6">
        <w:t>and the time windows defined by influenza incidence/1,000 person-weeks is in</w:t>
      </w:r>
      <w:r w:rsidR="00FC64A6" w:rsidRPr="001D60F6">
        <w:rPr>
          <w:rFonts w:cs="Calibri"/>
          <w:snapToGrid/>
          <w:lang w:val="en-US"/>
        </w:rPr>
        <w:t xml:space="preserve"> Figure 4</w:t>
      </w:r>
      <w:r w:rsidRPr="009D61D5">
        <w:rPr>
          <w:rFonts w:cs="Calibri"/>
          <w:snapToGrid/>
          <w:lang w:val="en-US"/>
        </w:rPr>
        <w:t>.</w:t>
      </w:r>
    </w:p>
    <w:p w:rsidR="006E713E" w:rsidRDefault="006E713E" w:rsidP="006E713E">
      <w:pPr>
        <w:pStyle w:val="TableFigureHeading"/>
      </w:pPr>
      <w:r>
        <w:t xml:space="preserve">Table </w:t>
      </w:r>
      <w:fldSimple w:instr=" SEQ Table \* ARABIC ">
        <w:r w:rsidR="009C284C">
          <w:rPr>
            <w:noProof/>
          </w:rPr>
          <w:t>5</w:t>
        </w:r>
      </w:fldSimple>
      <w:r w:rsidRPr="00813B84">
        <w:t>: Hospitalisations for influenza and pneumonia (cases) and person-seasons at risk by age and vaccine type, within the narrowest time window in the study population in the LIVE study (Mannino 2012), unadjusted for confounders</w:t>
      </w:r>
    </w:p>
    <w:tbl>
      <w:tblPr>
        <w:tblStyle w:val="Summarybox1"/>
        <w:tblW w:w="5000" w:type="pct"/>
        <w:tblInd w:w="-5" w:type="dxa"/>
        <w:tblLook w:val="04A0" w:firstRow="1" w:lastRow="0" w:firstColumn="1" w:lastColumn="0" w:noHBand="0" w:noVBand="1"/>
        <w:tblCaption w:val="Table 5: Hospitalisations for influenza and pneumonia (cases) and person-seasons at risk by age and vaccine type, within the narrowest time window in the study population in the LIVE study (Mannino 2012), unadjusted for confounders"/>
      </w:tblPr>
      <w:tblGrid>
        <w:gridCol w:w="1121"/>
        <w:gridCol w:w="1973"/>
        <w:gridCol w:w="1975"/>
        <w:gridCol w:w="1975"/>
        <w:gridCol w:w="1973"/>
      </w:tblGrid>
      <w:tr w:rsidR="002267F2" w:rsidRPr="009D61D5" w:rsidTr="0040748F">
        <w:trPr>
          <w:tblHeader/>
        </w:trPr>
        <w:tc>
          <w:tcPr>
            <w:tcW w:w="622" w:type="pct"/>
            <w:vMerge w:val="restart"/>
            <w:tcBorders>
              <w:top w:val="single" w:sz="4" w:space="0" w:color="auto"/>
              <w:left w:val="single" w:sz="4" w:space="0" w:color="auto"/>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Age, years</w:t>
            </w:r>
          </w:p>
        </w:tc>
        <w:tc>
          <w:tcPr>
            <w:tcW w:w="2189" w:type="pct"/>
            <w:gridSpan w:val="2"/>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Fluad (aTIV)</w:t>
            </w:r>
          </w:p>
        </w:tc>
        <w:tc>
          <w:tcPr>
            <w:tcW w:w="2189" w:type="pct"/>
            <w:gridSpan w:val="2"/>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TIV</w:t>
            </w:r>
          </w:p>
        </w:tc>
      </w:tr>
      <w:tr w:rsidR="002267F2" w:rsidRPr="009D61D5" w:rsidTr="0040748F">
        <w:trPr>
          <w:tblHeader/>
        </w:trPr>
        <w:tc>
          <w:tcPr>
            <w:tcW w:w="622" w:type="pct"/>
            <w:vMerge/>
            <w:tcBorders>
              <w:left w:val="single" w:sz="4" w:space="0" w:color="auto"/>
              <w:bottom w:val="single" w:sz="4" w:space="0" w:color="auto"/>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p>
        </w:tc>
        <w:tc>
          <w:tcPr>
            <w:tcW w:w="1094"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Person seasons</w:t>
            </w:r>
          </w:p>
        </w:tc>
        <w:tc>
          <w:tcPr>
            <w:tcW w:w="1095"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 xml:space="preserve">Cases, no. </w:t>
            </w:r>
            <w:r w:rsidRPr="009D61D5">
              <w:rPr>
                <w:rFonts w:ascii="Arial Narrow" w:hAnsi="Arial Narrow"/>
                <w:sz w:val="20"/>
                <w:lang w:val="en-AU"/>
              </w:rPr>
              <w:br/>
            </w:r>
            <w:r w:rsidRPr="009D61D5">
              <w:rPr>
                <w:rFonts w:ascii="Arial Narrow" w:hAnsi="Arial Narrow"/>
                <w:b w:val="0"/>
                <w:sz w:val="20"/>
                <w:lang w:val="en-AU"/>
              </w:rPr>
              <w:t>[Influenza/Pneumonia</w:t>
            </w:r>
            <w:r w:rsidRPr="009D61D5">
              <w:rPr>
                <w:rFonts w:ascii="Arial Narrow" w:hAnsi="Arial Narrow"/>
                <w:b w:val="0"/>
                <w:sz w:val="20"/>
                <w:lang w:val="en-AU"/>
              </w:rPr>
              <w:br/>
              <w:t>Hospitalisations]</w:t>
            </w:r>
          </w:p>
        </w:tc>
        <w:tc>
          <w:tcPr>
            <w:tcW w:w="1095"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Person seasons</w:t>
            </w:r>
          </w:p>
        </w:tc>
        <w:tc>
          <w:tcPr>
            <w:tcW w:w="1094"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Cases, no.</w:t>
            </w:r>
            <w:r w:rsidRPr="009D61D5">
              <w:rPr>
                <w:rFonts w:ascii="Arial Narrow" w:hAnsi="Arial Narrow"/>
                <w:sz w:val="20"/>
                <w:lang w:val="en-AU"/>
              </w:rPr>
              <w:br/>
            </w:r>
            <w:r w:rsidRPr="009D61D5">
              <w:rPr>
                <w:rFonts w:ascii="Arial Narrow" w:hAnsi="Arial Narrow"/>
                <w:b w:val="0"/>
                <w:sz w:val="20"/>
                <w:lang w:val="en-AU"/>
              </w:rPr>
              <w:t>[Influenza/Pneumonia Hospitalisations]</w:t>
            </w:r>
          </w:p>
        </w:tc>
      </w:tr>
      <w:tr w:rsidR="002267F2" w:rsidRPr="009D61D5" w:rsidTr="0040748F">
        <w:trPr>
          <w:tblHeader/>
        </w:trPr>
        <w:tc>
          <w:tcPr>
            <w:tcW w:w="622" w:type="pct"/>
            <w:tcBorders>
              <w:top w:val="single" w:sz="4" w:space="0" w:color="auto"/>
            </w:tcBorders>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65-69</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14,903</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10</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18,230</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9</w:t>
            </w:r>
          </w:p>
        </w:tc>
      </w:tr>
      <w:tr w:rsidR="002267F2" w:rsidRPr="009D61D5" w:rsidTr="0040748F">
        <w:trPr>
          <w:tblHeader/>
        </w:trPr>
        <w:tc>
          <w:tcPr>
            <w:tcW w:w="622" w:type="pct"/>
            <w:tcBorders>
              <w:top w:val="single" w:sz="4" w:space="0" w:color="auto"/>
            </w:tcBorders>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70-74</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21,071</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18</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23,414</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27</w:t>
            </w:r>
          </w:p>
        </w:tc>
      </w:tr>
      <w:tr w:rsidR="002267F2" w:rsidRPr="009D61D5" w:rsidTr="0040748F">
        <w:trPr>
          <w:tblHeader/>
        </w:trPr>
        <w:tc>
          <w:tcPr>
            <w:tcW w:w="622" w:type="pct"/>
            <w:tcBorders>
              <w:top w:val="single" w:sz="4" w:space="0" w:color="auto"/>
            </w:tcBorders>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75-79</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21,945</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20</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18,535</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22</w:t>
            </w:r>
          </w:p>
        </w:tc>
      </w:tr>
      <w:tr w:rsidR="002267F2" w:rsidRPr="009D61D5" w:rsidTr="0040748F">
        <w:trPr>
          <w:tblHeader/>
        </w:trPr>
        <w:tc>
          <w:tcPr>
            <w:tcW w:w="622" w:type="pct"/>
            <w:tcBorders>
              <w:top w:val="single" w:sz="4" w:space="0" w:color="auto"/>
            </w:tcBorders>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80-84</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16,758</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35</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12,319</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25</w:t>
            </w:r>
          </w:p>
        </w:tc>
      </w:tr>
      <w:tr w:rsidR="002267F2" w:rsidRPr="009D61D5" w:rsidTr="0040748F">
        <w:trPr>
          <w:tblHeader/>
        </w:trPr>
        <w:tc>
          <w:tcPr>
            <w:tcW w:w="622" w:type="pct"/>
            <w:tcBorders>
              <w:top w:val="single" w:sz="4" w:space="0" w:color="auto"/>
            </w:tcBorders>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&gt; 85</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9,988</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31</w:t>
            </w:r>
          </w:p>
        </w:tc>
        <w:tc>
          <w:tcPr>
            <w:tcW w:w="1095"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7,091</w:t>
            </w:r>
          </w:p>
        </w:tc>
        <w:tc>
          <w:tcPr>
            <w:tcW w:w="1094" w:type="pct"/>
            <w:tcBorders>
              <w:top w:val="single" w:sz="4" w:space="0" w:color="auto"/>
            </w:tcBorders>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28</w:t>
            </w:r>
          </w:p>
        </w:tc>
      </w:tr>
      <w:tr w:rsidR="002267F2" w:rsidRPr="009D61D5" w:rsidTr="004558C2">
        <w:trPr>
          <w:trHeight w:val="58"/>
          <w:tblHeader/>
        </w:trPr>
        <w:tc>
          <w:tcPr>
            <w:tcW w:w="622" w:type="pct"/>
          </w:tcPr>
          <w:p w:rsidR="002267F2" w:rsidRPr="009D61D5" w:rsidRDefault="002267F2" w:rsidP="00A00426">
            <w:pPr>
              <w:pStyle w:val="TableTextleftalign"/>
              <w:keepNext/>
              <w:rPr>
                <w:rFonts w:ascii="Arial Narrow" w:hAnsi="Arial Narrow"/>
                <w:sz w:val="20"/>
                <w:lang w:val="en-AU"/>
              </w:rPr>
            </w:pPr>
            <w:r w:rsidRPr="009D61D5">
              <w:rPr>
                <w:rFonts w:ascii="Arial Narrow" w:hAnsi="Arial Narrow"/>
                <w:sz w:val="20"/>
                <w:lang w:val="en-AU"/>
              </w:rPr>
              <w:t>Total</w:t>
            </w:r>
          </w:p>
        </w:tc>
        <w:tc>
          <w:tcPr>
            <w:tcW w:w="1094" w:type="pct"/>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84,665</w:t>
            </w:r>
          </w:p>
        </w:tc>
        <w:tc>
          <w:tcPr>
            <w:tcW w:w="1095" w:type="pct"/>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114</w:t>
            </w:r>
          </w:p>
        </w:tc>
        <w:tc>
          <w:tcPr>
            <w:tcW w:w="1095" w:type="pct"/>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79,589</w:t>
            </w:r>
          </w:p>
        </w:tc>
        <w:tc>
          <w:tcPr>
            <w:tcW w:w="1094" w:type="pct"/>
          </w:tcPr>
          <w:p w:rsidR="002267F2" w:rsidRPr="009D61D5" w:rsidRDefault="002267F2" w:rsidP="00A00426">
            <w:pPr>
              <w:pStyle w:val="TableTextcentred"/>
              <w:keepNext/>
              <w:rPr>
                <w:rFonts w:ascii="Arial Narrow" w:hAnsi="Arial Narrow"/>
                <w:sz w:val="20"/>
              </w:rPr>
            </w:pPr>
            <w:r w:rsidRPr="009D61D5">
              <w:rPr>
                <w:rFonts w:ascii="Arial Narrow" w:hAnsi="Arial Narrow"/>
                <w:sz w:val="20"/>
              </w:rPr>
              <w:t>111</w:t>
            </w:r>
          </w:p>
        </w:tc>
      </w:tr>
    </w:tbl>
    <w:p w:rsidR="00196FC8" w:rsidRPr="009D61D5" w:rsidRDefault="00196FC8" w:rsidP="006E713E">
      <w:pPr>
        <w:pStyle w:val="TableFigureFooter"/>
      </w:pPr>
      <w:r w:rsidRPr="009D61D5">
        <w:t xml:space="preserve">aTIV: adjuvanted trivalent inactivated vaccine; CI: confidence interval; TIV: trivalent inactivated vaccine. </w:t>
      </w:r>
    </w:p>
    <w:p w:rsidR="002267F2" w:rsidRPr="009D61D5" w:rsidRDefault="002267F2" w:rsidP="006E713E">
      <w:pPr>
        <w:pStyle w:val="TableFigureFooter"/>
      </w:pPr>
      <w:r w:rsidRPr="009D61D5">
        <w:t>Source: Table 2-19, p66 of the submission</w:t>
      </w:r>
    </w:p>
    <w:p w:rsidR="00145D26" w:rsidRPr="009D61D5" w:rsidRDefault="00145D26" w:rsidP="00A00426">
      <w:pPr>
        <w:pStyle w:val="BodyText"/>
      </w:pPr>
    </w:p>
    <w:p w:rsidR="00EF4495" w:rsidRDefault="00EF4495">
      <w:pPr>
        <w:rPr>
          <w:rFonts w:ascii="Arial Narrow" w:eastAsiaTheme="majorEastAsia" w:hAnsi="Arial Narrow" w:cstheme="majorBidi"/>
          <w:b/>
          <w:bCs/>
          <w:sz w:val="20"/>
        </w:rPr>
      </w:pPr>
      <w:r>
        <w:br w:type="page"/>
      </w:r>
    </w:p>
    <w:p w:rsidR="006E713E" w:rsidRDefault="006E713E" w:rsidP="006E713E">
      <w:pPr>
        <w:pStyle w:val="TableFigureHeading"/>
      </w:pPr>
      <w:r>
        <w:lastRenderedPageBreak/>
        <w:t xml:space="preserve">Table </w:t>
      </w:r>
      <w:fldSimple w:instr=" SEQ Table \* ARABIC ">
        <w:r w:rsidR="009C284C">
          <w:rPr>
            <w:noProof/>
          </w:rPr>
          <w:t>6</w:t>
        </w:r>
      </w:fldSimple>
      <w:r w:rsidRPr="003E6C02">
        <w:t>: Vaccine efficacy against hospitalisations for influenza and pneumonia of aTIV versus TIV by time window during the influenza season in the study population, Lombardy, Italy, 2006-2009 in the LIVE study (Mannino 2012), adjusted for confounders</w:t>
      </w:r>
      <w:r w:rsidRPr="006E713E">
        <w:rPr>
          <w:szCs w:val="20"/>
          <w:vertAlign w:val="superscript"/>
        </w:rPr>
        <w:t>c</w:t>
      </w:r>
    </w:p>
    <w:tbl>
      <w:tblPr>
        <w:tblStyle w:val="Summarybox1"/>
        <w:tblW w:w="5000" w:type="pct"/>
        <w:tblInd w:w="-5" w:type="dxa"/>
        <w:tblLook w:val="04A0" w:firstRow="1" w:lastRow="0" w:firstColumn="1" w:lastColumn="0" w:noHBand="0" w:noVBand="1"/>
        <w:tblCaption w:val="Table 6: Vaccine efficacy against hospitalisations for influenza and pneumonia of aTIV versus TIV by time window during the influenza season in the study population, Lombardy, Italy, 2006-2009 in the LIVE study (Mannino 2012), adjusted for confounders"/>
      </w:tblPr>
      <w:tblGrid>
        <w:gridCol w:w="1191"/>
        <w:gridCol w:w="3913"/>
        <w:gridCol w:w="3913"/>
      </w:tblGrid>
      <w:tr w:rsidR="002267F2" w:rsidRPr="009D61D5" w:rsidTr="004F2EEA">
        <w:trPr>
          <w:tblHeader/>
        </w:trPr>
        <w:tc>
          <w:tcPr>
            <w:tcW w:w="660" w:type="pct"/>
            <w:vAlign w:val="center"/>
          </w:tcPr>
          <w:p w:rsidR="002267F2" w:rsidRPr="009D61D5" w:rsidRDefault="002267F2" w:rsidP="00A00426">
            <w:pPr>
              <w:pStyle w:val="TableTextleftalign"/>
              <w:keepNext/>
              <w:jc w:val="center"/>
              <w:rPr>
                <w:rFonts w:ascii="Arial Narrow" w:hAnsi="Arial Narrow"/>
                <w:b/>
                <w:sz w:val="20"/>
                <w:szCs w:val="20"/>
                <w:lang w:val="en-AU"/>
              </w:rPr>
            </w:pPr>
            <w:r w:rsidRPr="009D61D5">
              <w:rPr>
                <w:rFonts w:ascii="Arial Narrow" w:hAnsi="Arial Narrow"/>
                <w:b/>
                <w:sz w:val="20"/>
                <w:szCs w:val="20"/>
                <w:lang w:val="en-AU"/>
              </w:rPr>
              <w:t>Time Window</w:t>
            </w:r>
            <w:r w:rsidRPr="009D61D5">
              <w:rPr>
                <w:rFonts w:ascii="Arial Narrow" w:hAnsi="Arial Narrow"/>
                <w:b/>
                <w:sz w:val="20"/>
                <w:szCs w:val="20"/>
                <w:vertAlign w:val="superscript"/>
                <w:lang w:val="en-AU"/>
              </w:rPr>
              <w:t>a</w:t>
            </w:r>
          </w:p>
        </w:tc>
        <w:tc>
          <w:tcPr>
            <w:tcW w:w="2170" w:type="pct"/>
            <w:vAlign w:val="center"/>
          </w:tcPr>
          <w:p w:rsidR="002267F2" w:rsidRPr="009D61D5" w:rsidRDefault="002267F2" w:rsidP="00A00426">
            <w:pPr>
              <w:pStyle w:val="TableTextcentred"/>
              <w:keepNext/>
              <w:rPr>
                <w:rFonts w:ascii="Arial Narrow" w:hAnsi="Arial Narrow"/>
                <w:b/>
                <w:sz w:val="20"/>
                <w:szCs w:val="20"/>
              </w:rPr>
            </w:pPr>
            <w:r w:rsidRPr="009D61D5">
              <w:rPr>
                <w:rFonts w:ascii="Arial Narrow" w:hAnsi="Arial Narrow"/>
                <w:b/>
                <w:sz w:val="20"/>
                <w:szCs w:val="20"/>
              </w:rPr>
              <w:t>Adjusted Odds Ratio</w:t>
            </w:r>
            <w:r w:rsidR="00B14101" w:rsidRPr="009D61D5">
              <w:rPr>
                <w:rFonts w:ascii="Arial Narrow" w:hAnsi="Arial Narrow"/>
                <w:b/>
                <w:sz w:val="20"/>
                <w:szCs w:val="20"/>
                <w:vertAlign w:val="superscript"/>
              </w:rPr>
              <w:t>b</w:t>
            </w:r>
          </w:p>
        </w:tc>
        <w:tc>
          <w:tcPr>
            <w:tcW w:w="2170" w:type="pct"/>
            <w:vAlign w:val="center"/>
          </w:tcPr>
          <w:p w:rsidR="002267F2" w:rsidRPr="009D61D5" w:rsidRDefault="002267F2" w:rsidP="00A00426">
            <w:pPr>
              <w:pStyle w:val="TableTextcentred"/>
              <w:keepNext/>
              <w:rPr>
                <w:rFonts w:ascii="Arial Narrow" w:hAnsi="Arial Narrow"/>
                <w:b/>
                <w:sz w:val="20"/>
                <w:szCs w:val="20"/>
              </w:rPr>
            </w:pPr>
            <w:r w:rsidRPr="009D61D5">
              <w:rPr>
                <w:rFonts w:ascii="Arial Narrow" w:hAnsi="Arial Narrow"/>
                <w:b/>
                <w:sz w:val="20"/>
                <w:szCs w:val="20"/>
              </w:rPr>
              <w:t>95% CI</w:t>
            </w:r>
          </w:p>
        </w:tc>
      </w:tr>
      <w:tr w:rsidR="002267F2" w:rsidRPr="009D61D5" w:rsidTr="0040748F">
        <w:tc>
          <w:tcPr>
            <w:tcW w:w="660" w:type="pct"/>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Broad</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0.88</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0.79, 1.02</w:t>
            </w:r>
          </w:p>
        </w:tc>
      </w:tr>
      <w:tr w:rsidR="002267F2" w:rsidRPr="009D61D5" w:rsidTr="0040748F">
        <w:tc>
          <w:tcPr>
            <w:tcW w:w="660" w:type="pct"/>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Intermediate</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0.83</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0.68, 1.03</w:t>
            </w:r>
          </w:p>
        </w:tc>
      </w:tr>
      <w:tr w:rsidR="002267F2" w:rsidRPr="009D61D5" w:rsidTr="0040748F">
        <w:tc>
          <w:tcPr>
            <w:tcW w:w="660" w:type="pct"/>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Narrow</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0.75</w:t>
            </w:r>
          </w:p>
        </w:tc>
        <w:tc>
          <w:tcPr>
            <w:tcW w:w="2170"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0.57, 0.98</w:t>
            </w:r>
          </w:p>
        </w:tc>
      </w:tr>
    </w:tbl>
    <w:p w:rsidR="00196FC8" w:rsidRPr="009D61D5" w:rsidRDefault="00196FC8" w:rsidP="00FF0C69">
      <w:pPr>
        <w:pStyle w:val="TableFigureFooter"/>
        <w:rPr>
          <w:szCs w:val="18"/>
        </w:rPr>
      </w:pPr>
      <w:r w:rsidRPr="009D61D5">
        <w:t>aTIV: adjuvanted trivalent inactivated vaccine; CI: confidence interval; TIV: trivalent inactivated vaccine</w:t>
      </w:r>
      <w:r w:rsidRPr="009D61D5">
        <w:rPr>
          <w:szCs w:val="18"/>
        </w:rPr>
        <w:t xml:space="preserve">. </w:t>
      </w:r>
    </w:p>
    <w:p w:rsidR="00196FC8" w:rsidRPr="009D61D5" w:rsidRDefault="00196FC8" w:rsidP="00FF0C69">
      <w:pPr>
        <w:pStyle w:val="TableFigureFooter"/>
      </w:pPr>
      <w:r w:rsidRPr="0009656B">
        <w:rPr>
          <w:szCs w:val="18"/>
          <w:vertAlign w:val="superscript"/>
        </w:rPr>
        <w:t>a</w:t>
      </w:r>
      <w:r w:rsidRPr="00E80845">
        <w:rPr>
          <w:szCs w:val="18"/>
        </w:rPr>
        <w:t xml:space="preserve"> </w:t>
      </w:r>
      <w:r w:rsidRPr="009D61D5">
        <w:rPr>
          <w:szCs w:val="18"/>
        </w:rPr>
        <w:t>T</w:t>
      </w:r>
      <w:r w:rsidRPr="009D61D5">
        <w:t>ime Windows were defined on the basis of the intensity of the influenza activity combined for 3 years: broad (the sum of the 3 influenza seasons); intermediate (the period of adjacent weeks having an influenza rate of &gt;0.5 case per 1,000 person-weeks); and narrow (the period of adjacent weeks having an influenza rate of &gt;1 case per 1,000 person-weeks).</w:t>
      </w:r>
    </w:p>
    <w:p w:rsidR="00B14101" w:rsidRPr="009D61D5" w:rsidRDefault="00B14101" w:rsidP="00FF0C69">
      <w:pPr>
        <w:pStyle w:val="TableFigureFooter"/>
      </w:pPr>
      <w:r w:rsidRPr="0009656B">
        <w:rPr>
          <w:vertAlign w:val="superscript"/>
        </w:rPr>
        <w:t>b</w:t>
      </w:r>
      <w:r w:rsidRPr="009D61D5">
        <w:t xml:space="preserve"> </w:t>
      </w:r>
      <w:r w:rsidR="006B4022" w:rsidRPr="009D61D5">
        <w:t>Mannino 2012</w:t>
      </w:r>
      <w:r w:rsidRPr="009D61D5">
        <w:t xml:space="preserve"> </w:t>
      </w:r>
      <w:r w:rsidR="00E2261C" w:rsidRPr="009D61D5">
        <w:t xml:space="preserve">estimate </w:t>
      </w:r>
      <w:r w:rsidRPr="009D61D5">
        <w:t xml:space="preserve">the adjusted </w:t>
      </w:r>
      <w:r w:rsidR="00E2261C" w:rsidRPr="009D61D5">
        <w:t xml:space="preserve">vaccine efficacy using a </w:t>
      </w:r>
      <w:r w:rsidRPr="009D61D5">
        <w:t xml:space="preserve">logistic regression model </w:t>
      </w:r>
      <w:r w:rsidR="00E2261C" w:rsidRPr="009D61D5">
        <w:t>and call these</w:t>
      </w:r>
      <w:r w:rsidRPr="009D61D5">
        <w:t xml:space="preserve"> odds ratio</w:t>
      </w:r>
      <w:r w:rsidR="00E2261C" w:rsidRPr="009D61D5">
        <w:t>s</w:t>
      </w:r>
      <w:r w:rsidRPr="009D61D5">
        <w:t xml:space="preserve"> within the tables. However, the accompanying text of Mannino 2012 refers to all non-adjusted and adjusted results as risk ratios. Due to low risk of hospitalisation, the odds ratios and risk ratios are similar, however this is a potential source of confusion.</w:t>
      </w:r>
    </w:p>
    <w:p w:rsidR="006B4022" w:rsidRPr="009D61D5" w:rsidRDefault="006B4022" w:rsidP="00FF0C69">
      <w:pPr>
        <w:pStyle w:val="TableFigureFooter"/>
      </w:pPr>
      <w:r w:rsidRPr="0009656B">
        <w:rPr>
          <w:vertAlign w:val="superscript"/>
        </w:rPr>
        <w:t>c</w:t>
      </w:r>
      <w:r w:rsidRPr="009D61D5">
        <w:t xml:space="preserve"> Confounders: age, sex, influenza season, community and provider, physical impairment, cumulative length of stay in the hospital and cumulative number of drug prescriptions in the 5 years preceding the vaccination, history of hospitalization for pneumonia, influenza or emphysema, COPD, chronic kidney disease, diabetes, recent infectious disease, and recent transfusion.</w:t>
      </w:r>
    </w:p>
    <w:p w:rsidR="00196FC8" w:rsidRDefault="00196FC8" w:rsidP="00FF0C69">
      <w:pPr>
        <w:pStyle w:val="TableFigureFooter"/>
      </w:pPr>
      <w:r w:rsidRPr="009D61D5">
        <w:t>Source: Mannino 2012</w:t>
      </w:r>
    </w:p>
    <w:p w:rsidR="009C284C" w:rsidRDefault="009C284C" w:rsidP="00FF0C69">
      <w:pPr>
        <w:pStyle w:val="TableFigureFooter"/>
      </w:pPr>
    </w:p>
    <w:p w:rsidR="00FF0C69" w:rsidRDefault="00FF0C69" w:rsidP="00FF0C69">
      <w:pPr>
        <w:pStyle w:val="TableFigureHeading"/>
      </w:pPr>
      <w:r>
        <w:t xml:space="preserve">Figure </w:t>
      </w:r>
      <w:fldSimple w:instr=" SEQ Figure \* ARABIC ">
        <w:r w:rsidR="009C284C">
          <w:rPr>
            <w:noProof/>
          </w:rPr>
          <w:t>4</w:t>
        </w:r>
      </w:fldSimple>
      <w:r w:rsidRPr="008704C6">
        <w:t>: Time windows in Lombardy, Italy 2006¬–2009 in the LIVE study (Mannino 2012).</w:t>
      </w:r>
    </w:p>
    <w:p w:rsidR="00FC64A6" w:rsidRPr="008E537B" w:rsidRDefault="00FC64A6" w:rsidP="008E537B">
      <w:pPr>
        <w:rPr>
          <w:i/>
        </w:rPr>
      </w:pPr>
      <w:r w:rsidRPr="008E537B">
        <w:rPr>
          <w:noProof/>
        </w:rPr>
        <w:drawing>
          <wp:inline distT="0" distB="0" distL="0" distR="0" wp14:anchorId="30D95A71" wp14:editId="4F283F9A">
            <wp:extent cx="5732145" cy="2733040"/>
            <wp:effectExtent l="0" t="0" r="1905" b="0"/>
            <wp:docPr id="3" name="Picture 2" title="Figure 4: Time windows in Lombardy, Italy 2006¬–2009 in the LIVE study (Mannino 2012).">
              <a:extLst xmlns:a="http://schemas.openxmlformats.org/drawingml/2006/main">
                <a:ext uri="{FF2B5EF4-FFF2-40B4-BE49-F238E27FC236}">
                  <a16:creationId xmlns:a16="http://schemas.microsoft.com/office/drawing/2014/main" id="{D425A67F-3F56-4969-9E52-95EE8D82E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425A67F-3F56-4969-9E52-95EE8D82E686}"/>
                        </a:ext>
                      </a:extLst>
                    </pic:cNvPr>
                    <pic:cNvPicPr>
                      <a:picLocks noChangeAspect="1"/>
                    </pic:cNvPicPr>
                  </pic:nvPicPr>
                  <pic:blipFill>
                    <a:blip r:embed="rId13"/>
                    <a:stretch>
                      <a:fillRect/>
                    </a:stretch>
                  </pic:blipFill>
                  <pic:spPr>
                    <a:xfrm>
                      <a:off x="0" y="0"/>
                      <a:ext cx="5732145" cy="2733040"/>
                    </a:xfrm>
                    <a:prstGeom prst="rect">
                      <a:avLst/>
                    </a:prstGeom>
                  </pic:spPr>
                </pic:pic>
              </a:graphicData>
            </a:graphic>
          </wp:inline>
        </w:drawing>
      </w:r>
    </w:p>
    <w:p w:rsidR="00E348DC" w:rsidRPr="00C04DEF" w:rsidRDefault="00FC64A6" w:rsidP="00FF0C69">
      <w:pPr>
        <w:pStyle w:val="TableFigureFooter"/>
      </w:pPr>
      <w:r w:rsidRPr="002E1C74">
        <w:t xml:space="preserve">Source: </w:t>
      </w:r>
      <w:r w:rsidRPr="00C04DEF">
        <w:t>Mannino 2012</w:t>
      </w:r>
    </w:p>
    <w:p w:rsidR="00F043D5" w:rsidRPr="00C04DEF" w:rsidRDefault="002E1C74" w:rsidP="00F37302">
      <w:pPr>
        <w:pStyle w:val="ListParagraph"/>
        <w:keepNext/>
        <w:widowControl/>
        <w:numPr>
          <w:ilvl w:val="1"/>
          <w:numId w:val="39"/>
        </w:numPr>
        <w:ind w:left="709" w:hanging="709"/>
      </w:pPr>
      <w:r w:rsidRPr="00C04DEF">
        <w:rPr>
          <w:rFonts w:cs="Calibri"/>
          <w:snapToGrid/>
          <w:lang w:val="en-US"/>
        </w:rPr>
        <w:t xml:space="preserve">Vaccine </w:t>
      </w:r>
      <w:r w:rsidRPr="00DA725C">
        <w:t>effectiveness</w:t>
      </w:r>
      <w:r w:rsidR="00D53B4B" w:rsidRPr="00C04DEF">
        <w:rPr>
          <w:rFonts w:cs="Calibri"/>
          <w:snapToGrid/>
          <w:lang w:val="en-US"/>
        </w:rPr>
        <w:t xml:space="preserve"> </w:t>
      </w:r>
      <w:r w:rsidR="00E612B0" w:rsidRPr="00C04DEF">
        <w:rPr>
          <w:rFonts w:cs="Calibri"/>
          <w:snapToGrid/>
          <w:lang w:val="en-US"/>
        </w:rPr>
        <w:t xml:space="preserve">against hospitalisations </w:t>
      </w:r>
      <w:r w:rsidR="00CD4984" w:rsidRPr="00C04DEF">
        <w:rPr>
          <w:rFonts w:cs="Calibri"/>
          <w:snapToGrid/>
          <w:lang w:val="en-US"/>
        </w:rPr>
        <w:t xml:space="preserve">in Table 6 </w:t>
      </w:r>
      <w:r w:rsidR="004132A2" w:rsidRPr="00C04DEF">
        <w:rPr>
          <w:rFonts w:cs="Calibri"/>
          <w:snapToGrid/>
          <w:lang w:val="en-US"/>
        </w:rPr>
        <w:t xml:space="preserve">was </w:t>
      </w:r>
      <w:r w:rsidR="004D6B3A" w:rsidRPr="00C04DEF">
        <w:rPr>
          <w:rFonts w:cs="Calibri"/>
          <w:snapToGrid/>
          <w:lang w:val="en-US"/>
        </w:rPr>
        <w:t xml:space="preserve">greater </w:t>
      </w:r>
      <w:r w:rsidR="00D53B4B" w:rsidRPr="00C04DEF">
        <w:rPr>
          <w:rFonts w:cs="Calibri"/>
          <w:snapToGrid/>
          <w:lang w:val="en-US"/>
        </w:rPr>
        <w:t xml:space="preserve">after adjusting for </w:t>
      </w:r>
      <w:r w:rsidR="00D53B4B" w:rsidRPr="00C04DEF">
        <w:t>cohort differences at base</w:t>
      </w:r>
      <w:r w:rsidR="00B6688E" w:rsidRPr="00C04DEF">
        <w:t>line</w:t>
      </w:r>
      <w:r w:rsidR="004D6B3A" w:rsidRPr="00C04DEF">
        <w:t xml:space="preserve"> and using a narrow time window (adjusted odds ratio</w:t>
      </w:r>
      <w:r w:rsidR="00CD4984" w:rsidRPr="00C04DEF">
        <w:t xml:space="preserve"> (OR)</w:t>
      </w:r>
      <w:r w:rsidR="004D6B3A" w:rsidRPr="00C04DEF">
        <w:t>, narrowest window: 0.75 (95%CI: 0.57, 0.98)</w:t>
      </w:r>
      <w:r w:rsidR="00D53B4B" w:rsidRPr="00C04DEF">
        <w:t xml:space="preserve">. </w:t>
      </w:r>
      <w:r w:rsidR="0077120C" w:rsidRPr="00C04DEF">
        <w:t>The ESC considered adjusting for cohort d</w:t>
      </w:r>
      <w:r w:rsidR="00730624" w:rsidRPr="00C04DEF">
        <w:t>i</w:t>
      </w:r>
      <w:r w:rsidR="0077120C" w:rsidRPr="00C04DEF">
        <w:t xml:space="preserve">fferences at baseline using a propensity score as a summary confounder in the logistic regression was appropriate. </w:t>
      </w:r>
      <w:r w:rsidR="00730624" w:rsidRPr="00C04DEF">
        <w:t>However, a</w:t>
      </w:r>
      <w:r w:rsidR="0077120C" w:rsidRPr="00C04DEF">
        <w:t xml:space="preserve"> number of variables used in the derivation of the propensity score also appear to have been used as separate explanatory variables in the multivariate model summarised in Table 3</w:t>
      </w:r>
      <w:r w:rsidR="00730624" w:rsidRPr="00C04DEF">
        <w:t xml:space="preserve"> of Maninno (2012, p531)</w:t>
      </w:r>
      <w:r w:rsidR="0077120C" w:rsidRPr="00C04DEF">
        <w:t xml:space="preserve">, from which the key aTIV vs TIV adjusted </w:t>
      </w:r>
      <w:r w:rsidR="00CD4984" w:rsidRPr="00C04DEF">
        <w:t>OR</w:t>
      </w:r>
      <w:r w:rsidR="0077120C" w:rsidRPr="00C04DEF">
        <w:t xml:space="preserve"> of 0.75</w:t>
      </w:r>
      <w:r w:rsidR="00730624" w:rsidRPr="00C04DEF">
        <w:t xml:space="preserve"> </w:t>
      </w:r>
      <w:r w:rsidR="00D72E71" w:rsidRPr="00C04DEF">
        <w:t>was</w:t>
      </w:r>
      <w:r w:rsidR="00730624" w:rsidRPr="00C04DEF">
        <w:t xml:space="preserve"> derived</w:t>
      </w:r>
      <w:r w:rsidR="00CD4984" w:rsidRPr="00C04DEF">
        <w:t>;</w:t>
      </w:r>
      <w:r w:rsidR="0077120C" w:rsidRPr="00C04DEF">
        <w:t xml:space="preserve"> </w:t>
      </w:r>
      <w:r w:rsidR="00CD4984" w:rsidRPr="00C04DEF">
        <w:t>n</w:t>
      </w:r>
      <w:r w:rsidR="0077120C" w:rsidRPr="00C04DEF">
        <w:t>amely age, sex, season, community and provider, length of stay, number of drug prescriptions, historical hospitalisations and COPD. This is doubl</w:t>
      </w:r>
      <w:r w:rsidR="0034711A" w:rsidRPr="00C04DEF">
        <w:t>e</w:t>
      </w:r>
      <w:r w:rsidR="0077120C" w:rsidRPr="00C04DEF">
        <w:t xml:space="preserve"> handling (in effect adjusting for the same confounders twice) and may lead to errors</w:t>
      </w:r>
      <w:r w:rsidR="00E44E7E" w:rsidRPr="00C04DEF">
        <w:t>,</w:t>
      </w:r>
      <w:r w:rsidR="0077120C" w:rsidRPr="00C04DEF">
        <w:t xml:space="preserve"> </w:t>
      </w:r>
      <w:r w:rsidR="00E44E7E" w:rsidRPr="00C04DEF">
        <w:t>d</w:t>
      </w:r>
      <w:r w:rsidR="0077120C" w:rsidRPr="00C04DEF">
        <w:t xml:space="preserve">epending upon </w:t>
      </w:r>
      <w:r w:rsidR="0077120C" w:rsidRPr="00C04DEF">
        <w:lastRenderedPageBreak/>
        <w:t xml:space="preserve">the strength of their association with the outcome. </w:t>
      </w:r>
      <w:r w:rsidR="00E44E7E" w:rsidRPr="00C04DEF">
        <w:t>As</w:t>
      </w:r>
      <w:r w:rsidR="0077120C" w:rsidRPr="00C04DEF">
        <w:t xml:space="preserve"> the upper limit of the confidence interval surrounding the OR of 0.75 is very close to the null (i.e. 0.98) then it is possible that a correctly executed model where each of these confounders is managed only once (whether as a component of the propensity score or as a standalone predictor) may result in an estimate of the true </w:t>
      </w:r>
      <w:r w:rsidR="00E44E7E" w:rsidRPr="00C04DEF">
        <w:t>OR</w:t>
      </w:r>
      <w:r w:rsidR="0077120C" w:rsidRPr="00C04DEF">
        <w:t xml:space="preserve"> that overlaps the null and is thus not significant. </w:t>
      </w:r>
      <w:r w:rsidR="00E44E7E" w:rsidRPr="00C04DEF">
        <w:t>No</w:t>
      </w:r>
      <w:r w:rsidR="0077120C" w:rsidRPr="00C04DEF">
        <w:t xml:space="preserve"> model without the double handling</w:t>
      </w:r>
      <w:r w:rsidR="00E44E7E" w:rsidRPr="00C04DEF">
        <w:t xml:space="preserve"> is available fr</w:t>
      </w:r>
      <w:r w:rsidR="00CD4984" w:rsidRPr="00C04DEF">
        <w:t>o</w:t>
      </w:r>
      <w:r w:rsidR="00E44E7E" w:rsidRPr="00C04DEF">
        <w:t>m the publication</w:t>
      </w:r>
      <w:r w:rsidR="0077120C" w:rsidRPr="00C04DEF">
        <w:t>.</w:t>
      </w:r>
    </w:p>
    <w:p w:rsidR="00785877" w:rsidRPr="00B40889" w:rsidRDefault="00CD4984" w:rsidP="00F37302">
      <w:pPr>
        <w:pStyle w:val="ListParagraph"/>
        <w:keepNext/>
        <w:widowControl/>
        <w:numPr>
          <w:ilvl w:val="1"/>
          <w:numId w:val="39"/>
        </w:numPr>
        <w:ind w:left="709" w:hanging="709"/>
      </w:pPr>
      <w:r w:rsidRPr="00C04DEF">
        <w:t xml:space="preserve">With regards to the narrow time window, </w:t>
      </w:r>
      <w:r w:rsidR="00080B1E" w:rsidRPr="00C04DEF">
        <w:t>ATA</w:t>
      </w:r>
      <w:r w:rsidR="002B3EF7" w:rsidRPr="00C04DEF">
        <w:t>G</w:t>
      </w:r>
      <w:r w:rsidR="00080B1E" w:rsidRPr="00C04DEF">
        <w:t xml:space="preserve">I considered that the </w:t>
      </w:r>
      <w:r w:rsidR="006D61B9" w:rsidRPr="00C04DEF">
        <w:t>“</w:t>
      </w:r>
      <w:r w:rsidR="00080B1E" w:rsidRPr="00C04DEF">
        <w:t>lower vaccine effectiveness for broader influenza periods may be because of a greater proportion of the outcome (influenza and pneumonia hospitalisations) being due</w:t>
      </w:r>
      <w:r w:rsidR="00080B1E" w:rsidRPr="00B97A2E">
        <w:t xml:space="preserve"> to non-influenza disease</w:t>
      </w:r>
      <w:r w:rsidR="006D61B9" w:rsidRPr="00B97A2E">
        <w:t>”</w:t>
      </w:r>
      <w:r w:rsidR="00080B1E" w:rsidRPr="00B97A2E">
        <w:t xml:space="preserve"> (p5 of the ATAGI February 2019 pre-submission advice).</w:t>
      </w:r>
      <w:r w:rsidR="00D4615D" w:rsidRPr="00B97A2E">
        <w:t xml:space="preserve"> The evaluation noted that w</w:t>
      </w:r>
      <w:r w:rsidR="007E78BA" w:rsidRPr="00B97A2E">
        <w:t xml:space="preserve">hile the </w:t>
      </w:r>
      <w:r w:rsidR="007E78BA" w:rsidRPr="00852DFA">
        <w:rPr>
          <w:i/>
        </w:rPr>
        <w:t>a priori</w:t>
      </w:r>
      <w:r w:rsidR="007E78BA" w:rsidRPr="00B97A2E">
        <w:t xml:space="preserve"> focus on a narrow time window would improve the specificity of the analyses, the study did not </w:t>
      </w:r>
      <w:r w:rsidR="00C76ABC" w:rsidRPr="00B97A2E">
        <w:t>test nor discuss</w:t>
      </w:r>
      <w:r w:rsidR="007E78BA" w:rsidRPr="00B97A2E">
        <w:t xml:space="preserve"> the impact of </w:t>
      </w:r>
      <w:r w:rsidR="00C76ABC" w:rsidRPr="00B97A2E">
        <w:t xml:space="preserve">alternative time </w:t>
      </w:r>
      <w:r w:rsidR="007E78BA" w:rsidRPr="00B97A2E">
        <w:t>window</w:t>
      </w:r>
      <w:r w:rsidR="00C76ABC" w:rsidRPr="00B97A2E">
        <w:t>s</w:t>
      </w:r>
      <w:r w:rsidR="007E78BA" w:rsidRPr="00B97A2E">
        <w:t xml:space="preserve"> </w:t>
      </w:r>
      <w:r w:rsidR="00C76ABC" w:rsidRPr="00B97A2E">
        <w:t xml:space="preserve">on </w:t>
      </w:r>
      <w:r w:rsidR="007E78BA" w:rsidRPr="00B97A2E">
        <w:t>relevant hospitalisations. This is particularly relevant, given the low number of cases (hospitalisations) involved.</w:t>
      </w:r>
      <w:r w:rsidR="008D396C">
        <w:t xml:space="preserve"> </w:t>
      </w:r>
      <w:r w:rsidR="00156B20">
        <w:t xml:space="preserve">The ESC and ATAGI agreed that sensitivity analyses should have applied a wide range of values of relative effectiveness </w:t>
      </w:r>
      <w:r w:rsidR="00527B4C" w:rsidRPr="00B97A2E">
        <w:t>(p3 of the ATAGI February 2019 pre-submission advice).</w:t>
      </w:r>
      <w:r w:rsidR="0034711A" w:rsidRPr="00B97A2E">
        <w:t xml:space="preserve"> </w:t>
      </w:r>
      <w:r w:rsidR="0034711A" w:rsidRPr="00B40889">
        <w:t>At a minimum, the ESC considered an assessment of the cost-effectiveness using the intermediate time window results of 17% relative effectiveness would be informative.</w:t>
      </w:r>
      <w:r w:rsidR="00123C12">
        <w:t xml:space="preserve"> </w:t>
      </w:r>
      <w:r w:rsidR="00785877" w:rsidRPr="00B40889">
        <w:t xml:space="preserve">The Pre-PBAC Response (P2-3) </w:t>
      </w:r>
      <w:r w:rsidR="003F1F4A">
        <w:t xml:space="preserve">accepted the ESC proposal and </w:t>
      </w:r>
      <w:r w:rsidR="00785877" w:rsidRPr="00B40889">
        <w:t>provided revised ICERs incorporating a lower VE of 17%.</w:t>
      </w:r>
      <w:r w:rsidR="008D396C" w:rsidRPr="00B40889">
        <w:t xml:space="preserve"> </w:t>
      </w:r>
    </w:p>
    <w:p w:rsidR="00CD4984" w:rsidRPr="00B97A2E" w:rsidRDefault="000B2EA8" w:rsidP="00F37302">
      <w:pPr>
        <w:pStyle w:val="ListParagraph"/>
        <w:keepNext/>
        <w:widowControl/>
        <w:numPr>
          <w:ilvl w:val="1"/>
          <w:numId w:val="39"/>
        </w:numPr>
        <w:ind w:left="709" w:hanging="709"/>
      </w:pPr>
      <w:r w:rsidRPr="00B97A2E">
        <w:t>T</w:t>
      </w:r>
      <w:r w:rsidR="00CD4984" w:rsidRPr="00B97A2E">
        <w:t xml:space="preserve">he ESC also noted </w:t>
      </w:r>
      <w:r w:rsidRPr="00B97A2E">
        <w:t xml:space="preserve">the reduced applicability of the Maninno (2012) study to the Australian population given the exclusion of patients in residential aged care facilities from the study. </w:t>
      </w:r>
    </w:p>
    <w:p w:rsidR="00734C30" w:rsidRPr="009D61D5" w:rsidRDefault="00734C30" w:rsidP="00F37302">
      <w:pPr>
        <w:pStyle w:val="ListParagraph"/>
        <w:keepNext/>
        <w:widowControl/>
        <w:numPr>
          <w:ilvl w:val="1"/>
          <w:numId w:val="39"/>
        </w:numPr>
        <w:ind w:left="709" w:hanging="709"/>
      </w:pPr>
      <w:r w:rsidRPr="009D61D5">
        <w:rPr>
          <w:rFonts w:cs="Calibri"/>
          <w:snapToGrid/>
          <w:lang w:val="en-US"/>
        </w:rPr>
        <w:t xml:space="preserve">The </w:t>
      </w:r>
      <w:r w:rsidRPr="00DA725C">
        <w:t>submission</w:t>
      </w:r>
      <w:r w:rsidRPr="009D61D5">
        <w:rPr>
          <w:rFonts w:cs="Calibri"/>
          <w:snapToGrid/>
          <w:lang w:val="en-US"/>
        </w:rPr>
        <w:t xml:space="preserve"> did not present evidence on vaccine </w:t>
      </w:r>
      <w:r w:rsidR="00CD4984" w:rsidRPr="009D61D5">
        <w:rPr>
          <w:rFonts w:cs="Calibri"/>
          <w:snapToGrid/>
          <w:lang w:val="en-US"/>
        </w:rPr>
        <w:t>eff</w:t>
      </w:r>
      <w:r w:rsidR="00CD4984">
        <w:rPr>
          <w:rFonts w:cs="Calibri"/>
          <w:snapToGrid/>
          <w:lang w:val="en-US"/>
        </w:rPr>
        <w:t xml:space="preserve">ectiveness </w:t>
      </w:r>
      <w:r w:rsidR="00E612B0" w:rsidRPr="009D61D5">
        <w:rPr>
          <w:rFonts w:cs="Calibri"/>
          <w:snapToGrid/>
          <w:lang w:val="en-US"/>
        </w:rPr>
        <w:t xml:space="preserve">against </w:t>
      </w:r>
      <w:r w:rsidRPr="009D61D5">
        <w:rPr>
          <w:rFonts w:cs="Calibri"/>
          <w:snapToGrid/>
          <w:lang w:val="en-US"/>
        </w:rPr>
        <w:t>mortality.</w:t>
      </w:r>
      <w:r w:rsidR="008D396C">
        <w:rPr>
          <w:rFonts w:cs="Calibri"/>
          <w:snapToGrid/>
          <w:lang w:val="en-US"/>
        </w:rPr>
        <w:t xml:space="preserve"> </w:t>
      </w:r>
    </w:p>
    <w:p w:rsidR="001F3580" w:rsidRPr="009D61D5" w:rsidRDefault="001F3580" w:rsidP="008E537B">
      <w:pPr>
        <w:pStyle w:val="5-SubsectionSubheading"/>
      </w:pPr>
      <w:r w:rsidRPr="009D61D5">
        <w:t>aQIV</w:t>
      </w:r>
      <w:r w:rsidR="00637C5C" w:rsidRPr="009D61D5">
        <w:t xml:space="preserve"> </w:t>
      </w:r>
      <w:r w:rsidR="00187561" w:rsidRPr="009D61D5">
        <w:t xml:space="preserve">compared to </w:t>
      </w:r>
      <w:r w:rsidRPr="009D61D5">
        <w:t>aTIV</w:t>
      </w:r>
      <w:r w:rsidR="00980EA2" w:rsidRPr="009D61D5">
        <w:t xml:space="preserve"> (Fluad)</w:t>
      </w:r>
    </w:p>
    <w:p w:rsidR="002267F2" w:rsidRPr="009D61D5" w:rsidRDefault="001F3580" w:rsidP="00F37302">
      <w:pPr>
        <w:pStyle w:val="ListParagraph"/>
        <w:keepNext/>
        <w:widowControl/>
        <w:numPr>
          <w:ilvl w:val="1"/>
          <w:numId w:val="39"/>
        </w:numPr>
        <w:ind w:left="709" w:hanging="709"/>
      </w:pPr>
      <w:r w:rsidRPr="009D61D5">
        <w:t xml:space="preserve">The </w:t>
      </w:r>
      <w:r w:rsidR="00ED0FAB" w:rsidRPr="009D61D5">
        <w:t xml:space="preserve">immunogenicity </w:t>
      </w:r>
      <w:r w:rsidR="002267F2" w:rsidRPr="009D61D5">
        <w:t xml:space="preserve">results from </w:t>
      </w:r>
      <w:r w:rsidRPr="009D61D5">
        <w:t xml:space="preserve">trial </w:t>
      </w:r>
      <w:r w:rsidR="002267F2" w:rsidRPr="009D61D5">
        <w:t xml:space="preserve">V118_20 </w:t>
      </w:r>
      <w:r w:rsidRPr="009D61D5">
        <w:t xml:space="preserve">are presented </w:t>
      </w:r>
      <w:r w:rsidR="002267F2" w:rsidRPr="009D61D5">
        <w:t>in Table</w:t>
      </w:r>
      <w:r w:rsidR="00210D11">
        <w:t>s</w:t>
      </w:r>
      <w:r w:rsidR="002267F2" w:rsidRPr="009D61D5">
        <w:t xml:space="preserve"> </w:t>
      </w:r>
      <w:r w:rsidR="00A05FF2" w:rsidRPr="009D61D5">
        <w:t>7</w:t>
      </w:r>
      <w:r w:rsidRPr="009D61D5">
        <w:t xml:space="preserve"> and </w:t>
      </w:r>
      <w:r w:rsidR="00A05FF2" w:rsidRPr="009D61D5">
        <w:t>8</w:t>
      </w:r>
      <w:r w:rsidR="002267F2" w:rsidRPr="009D61D5">
        <w:t xml:space="preserve">. </w:t>
      </w:r>
    </w:p>
    <w:p w:rsidR="00FF0C69" w:rsidRDefault="00FF0C69" w:rsidP="00FF0C69">
      <w:pPr>
        <w:pStyle w:val="TableFigureHeading"/>
      </w:pPr>
      <w:r>
        <w:t xml:space="preserve">Table </w:t>
      </w:r>
      <w:fldSimple w:instr=" SEQ Table \* ARABIC ">
        <w:r w:rsidR="009C284C">
          <w:rPr>
            <w:noProof/>
          </w:rPr>
          <w:t>7</w:t>
        </w:r>
      </w:fldSimple>
      <w:r w:rsidRPr="007D30F3">
        <w:t>: Trial V118_20 GMTs and vaccine group ratios (GMTR) for each strain Day 22 post-vaccination in adults aged ≥ 65 years, non-inferiority analysis (per protocol set)</w:t>
      </w:r>
    </w:p>
    <w:tbl>
      <w:tblPr>
        <w:tblStyle w:val="TableGrid"/>
        <w:tblW w:w="5000" w:type="pct"/>
        <w:tblInd w:w="-5" w:type="dxa"/>
        <w:tblLook w:val="04A0" w:firstRow="1" w:lastRow="0" w:firstColumn="1" w:lastColumn="0" w:noHBand="0" w:noVBand="1"/>
        <w:tblCaption w:val="Table 7: Trial V118_20 GMTs and vaccine group ratios (GMTR) for each strain Day 22 post-vaccination in adults aged ≥ 65 years, non-inferiority analysis (per protocol set)"/>
      </w:tblPr>
      <w:tblGrid>
        <w:gridCol w:w="1676"/>
        <w:gridCol w:w="1143"/>
        <w:gridCol w:w="1268"/>
        <w:gridCol w:w="1410"/>
        <w:gridCol w:w="1412"/>
        <w:gridCol w:w="2108"/>
      </w:tblGrid>
      <w:tr w:rsidR="002267F2" w:rsidRPr="009D61D5" w:rsidTr="004F2EEA">
        <w:trPr>
          <w:trHeight w:val="139"/>
          <w:tblHeader/>
        </w:trPr>
        <w:tc>
          <w:tcPr>
            <w:tcW w:w="929" w:type="pct"/>
            <w:vMerge w:val="restart"/>
            <w:tcBorders>
              <w:lef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Strain Assessment</w:t>
            </w:r>
          </w:p>
        </w:tc>
        <w:tc>
          <w:tcPr>
            <w:tcW w:w="2902" w:type="pct"/>
            <w:gridSpan w:val="4"/>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GMT Day 22</w:t>
            </w:r>
          </w:p>
        </w:tc>
        <w:tc>
          <w:tcPr>
            <w:tcW w:w="1169" w:type="pct"/>
            <w:vMerge w:val="restart"/>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GMTR</w:t>
            </w:r>
          </w:p>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aTIV / aQIV (95%CI)</w:t>
            </w:r>
            <w:r w:rsidRPr="009D61D5">
              <w:rPr>
                <w:rFonts w:ascii="Arial Narrow" w:hAnsi="Arial Narrow"/>
                <w:sz w:val="20"/>
                <w:vertAlign w:val="superscript"/>
                <w:lang w:val="en-AU"/>
              </w:rPr>
              <w:t>2</w:t>
            </w:r>
          </w:p>
        </w:tc>
      </w:tr>
      <w:tr w:rsidR="002267F2" w:rsidRPr="009D61D5" w:rsidTr="00FF0C69">
        <w:trPr>
          <w:trHeight w:val="171"/>
          <w:tblHeader/>
        </w:trPr>
        <w:tc>
          <w:tcPr>
            <w:tcW w:w="929" w:type="pct"/>
            <w:vMerge/>
            <w:tcBorders>
              <w:left w:val="single" w:sz="4" w:space="0" w:color="auto"/>
            </w:tcBorders>
            <w:shd w:val="clear" w:color="auto" w:fill="D9D9D9" w:themeFill="background1" w:themeFillShade="D9"/>
          </w:tcPr>
          <w:p w:rsidR="002267F2" w:rsidRPr="009D61D5" w:rsidRDefault="002267F2" w:rsidP="00A00426">
            <w:pPr>
              <w:keepNext/>
              <w:autoSpaceDE w:val="0"/>
              <w:autoSpaceDN w:val="0"/>
              <w:adjustRightInd w:val="0"/>
              <w:rPr>
                <w:rFonts w:ascii="Arial Narrow" w:hAnsi="Arial Narrow" w:cstheme="minorHAnsi"/>
                <w:b/>
                <w:sz w:val="20"/>
                <w:szCs w:val="18"/>
              </w:rPr>
            </w:pPr>
          </w:p>
        </w:tc>
        <w:tc>
          <w:tcPr>
            <w:tcW w:w="634"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aQIV</w:t>
            </w:r>
          </w:p>
        </w:tc>
        <w:tc>
          <w:tcPr>
            <w:tcW w:w="703"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aTIV-1</w:t>
            </w:r>
          </w:p>
        </w:tc>
        <w:tc>
          <w:tcPr>
            <w:tcW w:w="782"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aTIV-2</w:t>
            </w:r>
          </w:p>
        </w:tc>
        <w:tc>
          <w:tcPr>
            <w:tcW w:w="783"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aTIV pooled</w:t>
            </w:r>
          </w:p>
        </w:tc>
        <w:tc>
          <w:tcPr>
            <w:tcW w:w="1169" w:type="pct"/>
            <w:vMerge/>
            <w:shd w:val="clear" w:color="auto" w:fill="D9D9D9" w:themeFill="background1" w:themeFillShade="D9"/>
          </w:tcPr>
          <w:p w:rsidR="002267F2" w:rsidRPr="009D61D5" w:rsidRDefault="002267F2" w:rsidP="00A00426">
            <w:pPr>
              <w:keepNext/>
              <w:autoSpaceDE w:val="0"/>
              <w:autoSpaceDN w:val="0"/>
              <w:adjustRightInd w:val="0"/>
              <w:jc w:val="center"/>
              <w:rPr>
                <w:rFonts w:ascii="Arial Narrow" w:hAnsi="Arial Narrow" w:cstheme="minorHAnsi"/>
                <w:b/>
                <w:sz w:val="20"/>
                <w:szCs w:val="18"/>
              </w:rPr>
            </w:pPr>
          </w:p>
        </w:tc>
      </w:tr>
      <w:tr w:rsidR="002267F2" w:rsidRPr="009D61D5" w:rsidTr="00FF0C69">
        <w:tc>
          <w:tcPr>
            <w:tcW w:w="929" w:type="pct"/>
            <w:tcBorders>
              <w:left w:val="single" w:sz="4" w:space="0" w:color="auto"/>
            </w:tcBorders>
            <w:shd w:val="clear" w:color="auto" w:fill="auto"/>
          </w:tcPr>
          <w:p w:rsidR="002267F2" w:rsidRPr="009D61D5" w:rsidRDefault="002267F2" w:rsidP="00A00426">
            <w:pPr>
              <w:pStyle w:val="TableTextleftalign"/>
              <w:keepNext/>
              <w:rPr>
                <w:rFonts w:ascii="Arial Narrow" w:hAnsi="Arial Narrow"/>
                <w:b/>
                <w:sz w:val="20"/>
                <w:lang w:val="en-AU"/>
              </w:rPr>
            </w:pPr>
            <w:r w:rsidRPr="009D61D5">
              <w:rPr>
                <w:rFonts w:ascii="Arial Narrow" w:hAnsi="Arial Narrow"/>
                <w:b/>
                <w:sz w:val="20"/>
                <w:lang w:val="en-AU"/>
              </w:rPr>
              <w:t>N</w:t>
            </w:r>
            <w:r w:rsidRPr="009D61D5">
              <w:rPr>
                <w:rFonts w:ascii="Arial Narrow" w:hAnsi="Arial Narrow"/>
                <w:b/>
                <w:sz w:val="20"/>
                <w:vertAlign w:val="superscript"/>
                <w:lang w:val="en-AU"/>
              </w:rPr>
              <w:t>1</w:t>
            </w:r>
          </w:p>
        </w:tc>
        <w:tc>
          <w:tcPr>
            <w:tcW w:w="634" w:type="pct"/>
            <w:shd w:val="clear" w:color="auto" w:fill="auto"/>
          </w:tcPr>
          <w:p w:rsidR="002267F2" w:rsidRPr="005C4E78" w:rsidRDefault="005C4E78" w:rsidP="00A00426">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03" w:type="pct"/>
            <w:shd w:val="clear" w:color="auto" w:fill="auto"/>
          </w:tcPr>
          <w:p w:rsidR="002267F2" w:rsidRPr="005C4E78" w:rsidRDefault="005C4E78" w:rsidP="00A00426">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82" w:type="pct"/>
            <w:shd w:val="clear" w:color="auto" w:fill="auto"/>
          </w:tcPr>
          <w:p w:rsidR="002267F2" w:rsidRPr="005C4E78" w:rsidRDefault="005C4E78" w:rsidP="00A00426">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83" w:type="pct"/>
          </w:tcPr>
          <w:p w:rsidR="002267F2" w:rsidRPr="005C4E78" w:rsidRDefault="005C4E78" w:rsidP="00A00426">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9" w:type="pct"/>
            <w:shd w:val="clear" w:color="auto" w:fill="auto"/>
          </w:tcPr>
          <w:p w:rsidR="002267F2" w:rsidRPr="009D61D5" w:rsidRDefault="002267F2" w:rsidP="00A00426">
            <w:pPr>
              <w:pStyle w:val="TableTextcentred"/>
              <w:keepNext/>
              <w:rPr>
                <w:rFonts w:ascii="Arial Narrow" w:hAnsi="Arial Narrow"/>
                <w:b/>
                <w:sz w:val="20"/>
              </w:rPr>
            </w:pPr>
          </w:p>
        </w:tc>
      </w:tr>
      <w:tr w:rsidR="002267F2" w:rsidRPr="009D61D5" w:rsidTr="00FF0C69">
        <w:tc>
          <w:tcPr>
            <w:tcW w:w="929" w:type="pct"/>
            <w:tcBorders>
              <w:left w:val="single" w:sz="4" w:space="0" w:color="auto"/>
            </w:tcBorders>
          </w:tcPr>
          <w:p w:rsidR="002267F2" w:rsidRPr="009D61D5" w:rsidRDefault="002267F2" w:rsidP="00A00426">
            <w:pPr>
              <w:pStyle w:val="TableTextleftalign"/>
              <w:keepNext/>
              <w:rPr>
                <w:rFonts w:ascii="Arial Narrow" w:hAnsi="Arial Narrow"/>
                <w:b/>
                <w:sz w:val="20"/>
                <w:lang w:val="en-AU"/>
              </w:rPr>
            </w:pPr>
            <w:r w:rsidRPr="009D61D5">
              <w:rPr>
                <w:rFonts w:ascii="Arial Narrow" w:hAnsi="Arial Narrow"/>
                <w:b/>
                <w:sz w:val="20"/>
                <w:lang w:val="en-AU"/>
              </w:rPr>
              <w:t>A/H1N1</w:t>
            </w:r>
          </w:p>
        </w:tc>
        <w:tc>
          <w:tcPr>
            <w:tcW w:w="634" w:type="pct"/>
          </w:tcPr>
          <w:p w:rsidR="002267F2" w:rsidRPr="005C4E78" w:rsidRDefault="005C4E78" w:rsidP="00A00426">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2267F2" w:rsidRPr="005C4E78" w:rsidRDefault="002267F2" w:rsidP="00A00426">
            <w:pPr>
              <w:pStyle w:val="TableTextcentred"/>
              <w:keepNext/>
              <w:rPr>
                <w:rFonts w:ascii="Arial Narrow" w:hAnsi="Arial Narrow"/>
                <w:sz w:val="20"/>
              </w:rPr>
            </w:pPr>
          </w:p>
        </w:tc>
        <w:tc>
          <w:tcPr>
            <w:tcW w:w="782" w:type="pct"/>
          </w:tcPr>
          <w:p w:rsidR="002267F2" w:rsidRPr="005C4E78" w:rsidRDefault="002267F2" w:rsidP="00A00426">
            <w:pPr>
              <w:pStyle w:val="TableTextcentred"/>
              <w:keepNext/>
              <w:rPr>
                <w:rFonts w:ascii="Arial Narrow" w:hAnsi="Arial Narrow"/>
                <w:sz w:val="20"/>
              </w:rPr>
            </w:pPr>
          </w:p>
        </w:tc>
        <w:tc>
          <w:tcPr>
            <w:tcW w:w="783" w:type="pct"/>
          </w:tcPr>
          <w:p w:rsidR="002267F2" w:rsidRPr="005C4E78" w:rsidRDefault="005C4E78" w:rsidP="00A00426">
            <w:pPr>
              <w:pStyle w:val="TableTextcentred"/>
              <w:keepNext/>
              <w:rPr>
                <w:rFonts w:ascii="Arial Narrow" w:eastAsia="TimesNewRoman,Bold" w:hAnsi="Arial Narrow"/>
                <w:bCs/>
                <w:sz w:val="20"/>
                <w:highlight w:val="black"/>
              </w:rPr>
            </w:pPr>
            <w:r>
              <w:rPr>
                <w:rFonts w:ascii="Arial Narrow" w:eastAsia="TimesNewRoman,Bold" w:hAnsi="Arial Narrow"/>
                <w:bCs/>
                <w:noProof/>
                <w:color w:val="000000"/>
                <w:sz w:val="20"/>
                <w:highlight w:val="black"/>
              </w:rPr>
              <w:t>'''''''''''''''</w:t>
            </w:r>
          </w:p>
        </w:tc>
        <w:tc>
          <w:tcPr>
            <w:tcW w:w="1169" w:type="pct"/>
          </w:tcPr>
          <w:p w:rsidR="002267F2" w:rsidRPr="009D61D5" w:rsidRDefault="005C4E78" w:rsidP="00A00426">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2267F2" w:rsidRPr="009D61D5" w:rsidTr="00FF0C69">
        <w:tc>
          <w:tcPr>
            <w:tcW w:w="929" w:type="pct"/>
            <w:tcBorders>
              <w:left w:val="single" w:sz="4" w:space="0" w:color="auto"/>
            </w:tcBorders>
          </w:tcPr>
          <w:p w:rsidR="002267F2" w:rsidRPr="009D61D5" w:rsidRDefault="002267F2" w:rsidP="00A00426">
            <w:pPr>
              <w:pStyle w:val="TableTextleftalign"/>
              <w:keepNext/>
              <w:rPr>
                <w:rFonts w:ascii="Arial Narrow" w:hAnsi="Arial Narrow"/>
                <w:b/>
                <w:sz w:val="20"/>
                <w:lang w:val="en-AU"/>
              </w:rPr>
            </w:pPr>
            <w:r w:rsidRPr="009D61D5">
              <w:rPr>
                <w:rFonts w:ascii="Arial Narrow" w:hAnsi="Arial Narrow"/>
                <w:b/>
                <w:sz w:val="20"/>
                <w:lang w:val="en-AU"/>
              </w:rPr>
              <w:t>A/H3N2</w:t>
            </w:r>
          </w:p>
        </w:tc>
        <w:tc>
          <w:tcPr>
            <w:tcW w:w="634" w:type="pct"/>
          </w:tcPr>
          <w:p w:rsidR="002267F2" w:rsidRPr="005C4E78" w:rsidRDefault="005C4E78" w:rsidP="00A00426">
            <w:pPr>
              <w:pStyle w:val="TableTextcentred"/>
              <w:keepNext/>
              <w:rPr>
                <w:rFonts w:ascii="Arial Narrow" w:hAnsi="Arial Narrow"/>
                <w:sz w:val="20"/>
                <w:highlight w:val="black"/>
              </w:rPr>
            </w:pPr>
            <w:r>
              <w:rPr>
                <w:rFonts w:ascii="Arial Narrow" w:eastAsia="TimesNewRoman" w:hAnsi="Arial Narrow"/>
                <w:noProof/>
                <w:color w:val="000000"/>
                <w:sz w:val="20"/>
                <w:highlight w:val="black"/>
              </w:rPr>
              <w:t>''''''''''''''''</w:t>
            </w:r>
          </w:p>
        </w:tc>
        <w:tc>
          <w:tcPr>
            <w:tcW w:w="703" w:type="pct"/>
          </w:tcPr>
          <w:p w:rsidR="002267F2" w:rsidRPr="009D61D5" w:rsidRDefault="002267F2" w:rsidP="00A00426">
            <w:pPr>
              <w:pStyle w:val="TableTextcentred"/>
              <w:keepNext/>
              <w:rPr>
                <w:rFonts w:ascii="Arial Narrow" w:eastAsia="TimesNewRoman" w:hAnsi="Arial Narrow"/>
                <w:sz w:val="20"/>
              </w:rPr>
            </w:pPr>
          </w:p>
        </w:tc>
        <w:tc>
          <w:tcPr>
            <w:tcW w:w="782" w:type="pct"/>
          </w:tcPr>
          <w:p w:rsidR="002267F2" w:rsidRPr="009D61D5" w:rsidRDefault="002267F2" w:rsidP="00A00426">
            <w:pPr>
              <w:pStyle w:val="TableTextcentred"/>
              <w:keepNext/>
              <w:rPr>
                <w:rFonts w:ascii="Arial Narrow" w:hAnsi="Arial Narrow"/>
                <w:sz w:val="20"/>
              </w:rPr>
            </w:pPr>
          </w:p>
        </w:tc>
        <w:tc>
          <w:tcPr>
            <w:tcW w:w="783" w:type="pct"/>
          </w:tcPr>
          <w:p w:rsidR="002267F2" w:rsidRPr="005C4E78" w:rsidRDefault="005C4E78" w:rsidP="00A00426">
            <w:pPr>
              <w:pStyle w:val="TableTextcentred"/>
              <w:keepNext/>
              <w:rPr>
                <w:rFonts w:ascii="Arial Narrow" w:eastAsia="TimesNewRoman,Bold" w:hAnsi="Arial Narrow"/>
                <w:bCs/>
                <w:sz w:val="20"/>
                <w:highlight w:val="black"/>
              </w:rPr>
            </w:pPr>
            <w:r>
              <w:rPr>
                <w:rFonts w:ascii="Arial Narrow" w:eastAsia="TimesNewRoman,Bold" w:hAnsi="Arial Narrow"/>
                <w:bCs/>
                <w:noProof/>
                <w:color w:val="000000"/>
                <w:sz w:val="20"/>
                <w:highlight w:val="black"/>
              </w:rPr>
              <w:t>'''''''''''''''''</w:t>
            </w:r>
          </w:p>
        </w:tc>
        <w:tc>
          <w:tcPr>
            <w:tcW w:w="1169" w:type="pct"/>
          </w:tcPr>
          <w:p w:rsidR="002267F2" w:rsidRPr="009D61D5" w:rsidRDefault="005C4E78" w:rsidP="00A00426">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2267F2" w:rsidRPr="009D61D5" w:rsidTr="00FF0C69">
        <w:tc>
          <w:tcPr>
            <w:tcW w:w="929" w:type="pct"/>
            <w:tcBorders>
              <w:left w:val="single" w:sz="4" w:space="0" w:color="auto"/>
            </w:tcBorders>
          </w:tcPr>
          <w:p w:rsidR="002267F2" w:rsidRPr="009D61D5" w:rsidRDefault="002267F2" w:rsidP="00A00426">
            <w:pPr>
              <w:pStyle w:val="TableTextleftalign"/>
              <w:keepNext/>
              <w:rPr>
                <w:rFonts w:ascii="Arial Narrow" w:hAnsi="Arial Narrow"/>
                <w:b/>
                <w:sz w:val="20"/>
                <w:lang w:val="en-AU"/>
              </w:rPr>
            </w:pPr>
            <w:r w:rsidRPr="009D61D5">
              <w:rPr>
                <w:rFonts w:ascii="Arial Narrow" w:hAnsi="Arial Narrow"/>
                <w:b/>
                <w:sz w:val="20"/>
                <w:lang w:val="en-AU"/>
              </w:rPr>
              <w:t>B/ Yamagata</w:t>
            </w:r>
          </w:p>
        </w:tc>
        <w:tc>
          <w:tcPr>
            <w:tcW w:w="634" w:type="pct"/>
          </w:tcPr>
          <w:p w:rsidR="002267F2" w:rsidRPr="005C4E78" w:rsidRDefault="005C4E78" w:rsidP="00A00426">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2267F2" w:rsidRPr="009D61D5" w:rsidRDefault="002267F2" w:rsidP="00A00426">
            <w:pPr>
              <w:pStyle w:val="TableTextcentred"/>
              <w:keepNext/>
              <w:rPr>
                <w:rFonts w:ascii="Arial Narrow" w:hAnsi="Arial Narrow"/>
                <w:sz w:val="20"/>
              </w:rPr>
            </w:pPr>
          </w:p>
        </w:tc>
        <w:tc>
          <w:tcPr>
            <w:tcW w:w="782" w:type="pct"/>
          </w:tcPr>
          <w:p w:rsidR="002267F2" w:rsidRPr="005C4E78" w:rsidRDefault="005C4E78" w:rsidP="00A00426">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83" w:type="pct"/>
          </w:tcPr>
          <w:p w:rsidR="002267F2" w:rsidRPr="009D61D5" w:rsidRDefault="002267F2" w:rsidP="00A00426">
            <w:pPr>
              <w:pStyle w:val="TableTextcentred"/>
              <w:keepNext/>
              <w:rPr>
                <w:rFonts w:ascii="Arial Narrow" w:eastAsia="TimesNewRoman,Bold" w:hAnsi="Arial Narrow"/>
                <w:bCs/>
                <w:sz w:val="20"/>
              </w:rPr>
            </w:pPr>
          </w:p>
        </w:tc>
        <w:tc>
          <w:tcPr>
            <w:tcW w:w="1169" w:type="pct"/>
          </w:tcPr>
          <w:p w:rsidR="002267F2" w:rsidRPr="009D61D5" w:rsidRDefault="005C4E78" w:rsidP="00A00426">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2267F2" w:rsidRPr="009D61D5" w:rsidTr="00FF0C69">
        <w:tc>
          <w:tcPr>
            <w:tcW w:w="929" w:type="pct"/>
            <w:tcBorders>
              <w:left w:val="single" w:sz="4" w:space="0" w:color="auto"/>
            </w:tcBorders>
          </w:tcPr>
          <w:p w:rsidR="002267F2" w:rsidRPr="009D61D5" w:rsidRDefault="002267F2" w:rsidP="00A00426">
            <w:pPr>
              <w:pStyle w:val="TableTextleftalign"/>
              <w:keepNext/>
              <w:rPr>
                <w:rFonts w:ascii="Arial Narrow" w:hAnsi="Arial Narrow"/>
                <w:b/>
                <w:sz w:val="20"/>
                <w:lang w:val="en-AU"/>
              </w:rPr>
            </w:pPr>
            <w:r w:rsidRPr="009D61D5">
              <w:rPr>
                <w:rFonts w:ascii="Arial Narrow" w:hAnsi="Arial Narrow"/>
                <w:b/>
                <w:sz w:val="20"/>
                <w:lang w:val="en-AU"/>
              </w:rPr>
              <w:t>B/ Victoria</w:t>
            </w:r>
          </w:p>
        </w:tc>
        <w:tc>
          <w:tcPr>
            <w:tcW w:w="634" w:type="pct"/>
          </w:tcPr>
          <w:p w:rsidR="002267F2" w:rsidRPr="005C4E78" w:rsidRDefault="005C4E78" w:rsidP="00A00426">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2267F2" w:rsidRPr="005C4E78" w:rsidRDefault="005C4E78" w:rsidP="00A00426">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82" w:type="pct"/>
          </w:tcPr>
          <w:p w:rsidR="002267F2" w:rsidRPr="009D61D5" w:rsidRDefault="002267F2" w:rsidP="00A00426">
            <w:pPr>
              <w:pStyle w:val="TableTextcentred"/>
              <w:keepNext/>
              <w:rPr>
                <w:rFonts w:ascii="Arial Narrow" w:hAnsi="Arial Narrow"/>
                <w:sz w:val="20"/>
              </w:rPr>
            </w:pPr>
          </w:p>
        </w:tc>
        <w:tc>
          <w:tcPr>
            <w:tcW w:w="783" w:type="pct"/>
          </w:tcPr>
          <w:p w:rsidR="002267F2" w:rsidRPr="009D61D5" w:rsidRDefault="002267F2" w:rsidP="00A00426">
            <w:pPr>
              <w:pStyle w:val="TableTextcentred"/>
              <w:keepNext/>
              <w:rPr>
                <w:rFonts w:ascii="Arial Narrow" w:hAnsi="Arial Narrow"/>
                <w:sz w:val="20"/>
              </w:rPr>
            </w:pPr>
          </w:p>
        </w:tc>
        <w:tc>
          <w:tcPr>
            <w:tcW w:w="1169" w:type="pct"/>
          </w:tcPr>
          <w:p w:rsidR="002267F2" w:rsidRPr="009D61D5" w:rsidRDefault="005C4E78" w:rsidP="00A00426">
            <w:pPr>
              <w:pStyle w:val="TableTextcentred"/>
              <w:keepNext/>
              <w:rPr>
                <w:rFonts w:ascii="Arial Narrow" w:hAnsi="Arial Narrow"/>
                <w:sz w:val="20"/>
              </w:rPr>
            </w:pPr>
            <w:r>
              <w:rPr>
                <w:rFonts w:ascii="Arial Narrow" w:hAnsi="Arial Narrow"/>
                <w:noProof/>
                <w:color w:val="000000"/>
                <w:sz w:val="20"/>
                <w:highlight w:val="black"/>
              </w:rPr>
              <w:t>''''''''''' '''''''''''''''</w:t>
            </w:r>
            <w:r>
              <w:rPr>
                <w:rFonts w:ascii="Arial Narrow" w:hAnsi="Arial Narrow"/>
                <w:b/>
                <w:noProof/>
                <w:color w:val="000000"/>
                <w:sz w:val="20"/>
                <w:highlight w:val="black"/>
              </w:rPr>
              <w:t>'''''''''</w:t>
            </w:r>
            <w:r>
              <w:rPr>
                <w:rFonts w:ascii="Arial Narrow" w:hAnsi="Arial Narrow"/>
                <w:noProof/>
                <w:color w:val="000000"/>
                <w:sz w:val="20"/>
                <w:highlight w:val="black"/>
              </w:rPr>
              <w:t>'''</w:t>
            </w:r>
          </w:p>
        </w:tc>
      </w:tr>
    </w:tbl>
    <w:p w:rsidR="002267F2" w:rsidRPr="009D61D5" w:rsidRDefault="003618CE" w:rsidP="00FF0C69">
      <w:pPr>
        <w:pStyle w:val="TableFigureFooter"/>
      </w:pPr>
      <w:r w:rsidRPr="009D61D5">
        <w:t>CI: confidence interval; GMT:</w:t>
      </w:r>
      <w:r w:rsidR="002267F2" w:rsidRPr="009D61D5">
        <w:t> geometric mean titre; GMTR</w:t>
      </w:r>
      <w:r w:rsidRPr="009D61D5">
        <w:t>:</w:t>
      </w:r>
      <w:r w:rsidR="002267F2" w:rsidRPr="009D61D5">
        <w:t xml:space="preserve"> geometric mean titre ratio; aQIV</w:t>
      </w:r>
      <w:r w:rsidRPr="009D61D5">
        <w:t>:</w:t>
      </w:r>
      <w:r w:rsidR="002267F2" w:rsidRPr="009D61D5">
        <w:t xml:space="preserve"> adjuvanted quadrivalent influenza vaccine; aTIV</w:t>
      </w:r>
      <w:r w:rsidRPr="009D61D5">
        <w:t>:</w:t>
      </w:r>
      <w:r w:rsidR="002267F2" w:rsidRPr="009D61D5">
        <w:t xml:space="preserve"> adjuvanted trivalent influenza vaccine </w:t>
      </w:r>
    </w:p>
    <w:p w:rsidR="002267F2" w:rsidRPr="005C4E78" w:rsidRDefault="005C4E78" w:rsidP="00FF0C69">
      <w:pPr>
        <w:pStyle w:val="TableFigureFooter"/>
        <w:rPr>
          <w:highlight w:val="black"/>
        </w:rPr>
      </w:pPr>
      <w:r>
        <w:rPr>
          <w:noProof/>
          <w:color w:val="000000"/>
          <w:highlight w:val="black"/>
        </w:rPr>
        <w:t xml:space="preserve">''''''' '''' ''''''' '''''''''''''''''' ''''' '''''''''''''''''''''' '''''''''' '''''''''''''''''''''''' '''''''''''''''''''''''''''''''''''' ''''''''''''''''''''' '''''''''' ''''''''' ''''''''''''''''' ''''' ''''''''''' '''''''''''''''''''''''''''''''' ''''''''' ''''''''''''''''''''''''''''''''''''''' ''''''''''''''''''''''''' '''''' ''''''''''' ''''''''' '''''''''''' ''''''''''''''''''''''' ''''''' '''''''''' '''''''''''' ''''''''''''' '''''' ''''''''''''' ''''' '''' </w:t>
      </w:r>
    </w:p>
    <w:p w:rsidR="002267F2" w:rsidRPr="005C4E78" w:rsidRDefault="005C4E78" w:rsidP="00FF0C69">
      <w:pPr>
        <w:pStyle w:val="TableFigureFooter"/>
      </w:pPr>
      <w:r>
        <w:rPr>
          <w:noProof/>
          <w:color w:val="000000"/>
          <w:highlight w:val="black"/>
        </w:rPr>
        <w:t>'''''''''''''''''''''''''''''''''''''' ''''''''''''''''''''' '''' ''''''''' '''''''''''''' '''''''''''''' ''''' ''''''''' ''''''''''''''''''''''' '''''''''''' '''''' '''''' ''''''' ''''''''' ''''' ''''''''''''' ''''''''''''''''''''''''''''' ''''''''' ''''''''''''''''''''''' '''''''' ''''''''''''''''''''''' '''''' '''''''' '''''''''' ''''''' '''''''''''' '''''''''''''' ''''' ''''''''''</w:t>
      </w:r>
      <w:r>
        <w:rPr>
          <w:b/>
          <w:noProof/>
          <w:color w:val="000000"/>
          <w:highlight w:val="black"/>
        </w:rPr>
        <w:t xml:space="preserve">' </w:t>
      </w:r>
    </w:p>
    <w:p w:rsidR="008E537B" w:rsidRDefault="002267F2" w:rsidP="00FF0C69">
      <w:pPr>
        <w:pStyle w:val="TableFigureFooter"/>
        <w:rPr>
          <w:i/>
        </w:rPr>
      </w:pPr>
      <w:r w:rsidRPr="009D61D5">
        <w:rPr>
          <w:i/>
        </w:rPr>
        <w:t>Source: Table 2-22, p74 of the submission</w:t>
      </w:r>
    </w:p>
    <w:p w:rsidR="00FF0C69" w:rsidRPr="00FF0C69" w:rsidRDefault="00FF0C69" w:rsidP="00FF0C69">
      <w:pPr>
        <w:pStyle w:val="TableFigureFooter"/>
        <w:rPr>
          <w:i/>
        </w:rPr>
      </w:pPr>
    </w:p>
    <w:p w:rsidR="00EF4495" w:rsidRDefault="00EF4495">
      <w:pPr>
        <w:rPr>
          <w:rFonts w:ascii="Arial Narrow" w:eastAsiaTheme="majorEastAsia" w:hAnsi="Arial Narrow" w:cstheme="majorBidi"/>
          <w:b/>
          <w:bCs/>
          <w:sz w:val="20"/>
        </w:rPr>
      </w:pPr>
      <w:r>
        <w:br w:type="page"/>
      </w:r>
    </w:p>
    <w:p w:rsidR="00FF0C69" w:rsidRDefault="00FF0C69" w:rsidP="00FF0C69">
      <w:pPr>
        <w:pStyle w:val="TableFigureHeading"/>
      </w:pPr>
      <w:r>
        <w:lastRenderedPageBreak/>
        <w:t xml:space="preserve">Table </w:t>
      </w:r>
      <w:fldSimple w:instr=" SEQ Table \* ARABIC ">
        <w:r w:rsidR="009C284C">
          <w:rPr>
            <w:noProof/>
          </w:rPr>
          <w:t>8</w:t>
        </w:r>
      </w:fldSimple>
      <w:r w:rsidRPr="0003579E">
        <w:t>: Trial V118_20 SCRs and vaccine group differences, non-inferiority analysis (per protocol set)</w:t>
      </w:r>
    </w:p>
    <w:tbl>
      <w:tblPr>
        <w:tblStyle w:val="TableGrid"/>
        <w:tblW w:w="4958" w:type="pct"/>
        <w:tblInd w:w="-5" w:type="dxa"/>
        <w:tblLook w:val="04A0" w:firstRow="1" w:lastRow="0" w:firstColumn="1" w:lastColumn="0" w:noHBand="0" w:noVBand="1"/>
        <w:tblCaption w:val="Table 8: Trial V118_20 SCRs and vaccine group differences, non-inferiority analysis (per protocol set)"/>
      </w:tblPr>
      <w:tblGrid>
        <w:gridCol w:w="1678"/>
        <w:gridCol w:w="1711"/>
        <w:gridCol w:w="1835"/>
        <w:gridCol w:w="1693"/>
        <w:gridCol w:w="2024"/>
      </w:tblGrid>
      <w:tr w:rsidR="002267F2" w:rsidRPr="009D61D5" w:rsidTr="00FF0C69">
        <w:trPr>
          <w:trHeight w:val="108"/>
          <w:tblHeader/>
        </w:trPr>
        <w:tc>
          <w:tcPr>
            <w:tcW w:w="938" w:type="pct"/>
            <w:vMerge w:val="restart"/>
            <w:tcBorders>
              <w:lef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 xml:space="preserve">Strain Assessment </w:t>
            </w:r>
          </w:p>
        </w:tc>
        <w:tc>
          <w:tcPr>
            <w:tcW w:w="2930" w:type="pct"/>
            <w:gridSpan w:val="3"/>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SC</w:t>
            </w:r>
            <w:r w:rsidR="00D93568" w:rsidRPr="009D61D5">
              <w:rPr>
                <w:rFonts w:ascii="Arial Narrow" w:hAnsi="Arial Narrow"/>
                <w:sz w:val="20"/>
                <w:lang w:val="en-AU"/>
              </w:rPr>
              <w:t>R</w:t>
            </w:r>
            <w:r w:rsidRPr="009D61D5">
              <w:rPr>
                <w:rFonts w:ascii="Arial Narrow" w:hAnsi="Arial Narrow"/>
                <w:sz w:val="20"/>
                <w:lang w:val="en-AU"/>
              </w:rPr>
              <w:t xml:space="preserve"> % (95%CI)</w:t>
            </w:r>
            <w:r w:rsidRPr="009D61D5">
              <w:rPr>
                <w:rFonts w:ascii="Arial Narrow" w:hAnsi="Arial Narrow"/>
                <w:sz w:val="20"/>
                <w:vertAlign w:val="superscript"/>
                <w:lang w:val="en-AU"/>
              </w:rPr>
              <w:t>1</w:t>
            </w:r>
          </w:p>
        </w:tc>
        <w:tc>
          <w:tcPr>
            <w:tcW w:w="1132" w:type="pct"/>
            <w:vMerge w:val="restart"/>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SC</w:t>
            </w:r>
            <w:r w:rsidR="00D93568" w:rsidRPr="009D61D5">
              <w:rPr>
                <w:rFonts w:ascii="Arial Narrow" w:hAnsi="Arial Narrow"/>
                <w:sz w:val="20"/>
                <w:lang w:val="en-AU"/>
              </w:rPr>
              <w:t>R</w:t>
            </w:r>
            <w:r w:rsidRPr="009D61D5">
              <w:rPr>
                <w:rFonts w:ascii="Arial Narrow" w:hAnsi="Arial Narrow"/>
                <w:sz w:val="20"/>
                <w:lang w:val="en-AU"/>
              </w:rPr>
              <w:t xml:space="preserve"> difference</w:t>
            </w:r>
          </w:p>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aTIV - aQIV (95%CI)</w:t>
            </w:r>
            <w:r w:rsidRPr="009D61D5">
              <w:rPr>
                <w:rFonts w:ascii="Arial Narrow" w:hAnsi="Arial Narrow"/>
                <w:sz w:val="20"/>
                <w:vertAlign w:val="superscript"/>
                <w:lang w:val="en-AU"/>
              </w:rPr>
              <w:t>2</w:t>
            </w:r>
          </w:p>
        </w:tc>
      </w:tr>
      <w:tr w:rsidR="002267F2" w:rsidRPr="009D61D5" w:rsidTr="00FF0C69">
        <w:trPr>
          <w:trHeight w:val="156"/>
          <w:tblHeader/>
        </w:trPr>
        <w:tc>
          <w:tcPr>
            <w:tcW w:w="938" w:type="pct"/>
            <w:vMerge/>
            <w:tcBorders>
              <w:left w:val="single" w:sz="4" w:space="0" w:color="auto"/>
            </w:tcBorders>
            <w:shd w:val="clear" w:color="auto" w:fill="D9D9D9" w:themeFill="background1" w:themeFillShade="D9"/>
          </w:tcPr>
          <w:p w:rsidR="002267F2" w:rsidRPr="009D61D5" w:rsidRDefault="002267F2" w:rsidP="00A00426">
            <w:pPr>
              <w:keepNext/>
              <w:autoSpaceDE w:val="0"/>
              <w:autoSpaceDN w:val="0"/>
              <w:adjustRightInd w:val="0"/>
              <w:rPr>
                <w:rFonts w:ascii="Arial Narrow" w:hAnsi="Arial Narrow" w:cstheme="minorHAnsi"/>
                <w:b/>
                <w:sz w:val="20"/>
                <w:szCs w:val="18"/>
              </w:rPr>
            </w:pPr>
          </w:p>
        </w:tc>
        <w:tc>
          <w:tcPr>
            <w:tcW w:w="957"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aQIV</w:t>
            </w:r>
          </w:p>
        </w:tc>
        <w:tc>
          <w:tcPr>
            <w:tcW w:w="1026"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aTIV-1</w:t>
            </w:r>
            <w:r w:rsidRPr="009D61D5">
              <w:rPr>
                <w:rFonts w:ascii="Arial Narrow" w:hAnsi="Arial Narrow" w:cstheme="minorHAnsi"/>
                <w:b/>
                <w:sz w:val="20"/>
                <w:szCs w:val="18"/>
                <w:vertAlign w:val="superscript"/>
              </w:rPr>
              <w:t>3</w:t>
            </w:r>
          </w:p>
        </w:tc>
        <w:tc>
          <w:tcPr>
            <w:tcW w:w="947"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r w:rsidRPr="009D61D5">
              <w:rPr>
                <w:rFonts w:ascii="Arial Narrow" w:hAnsi="Arial Narrow" w:cstheme="minorHAnsi"/>
                <w:b/>
                <w:sz w:val="20"/>
                <w:szCs w:val="18"/>
              </w:rPr>
              <w:t>aTIV-2</w:t>
            </w:r>
            <w:r w:rsidRPr="009D61D5">
              <w:rPr>
                <w:rFonts w:ascii="Arial Narrow" w:hAnsi="Arial Narrow" w:cstheme="minorHAnsi"/>
                <w:b/>
                <w:sz w:val="20"/>
                <w:szCs w:val="18"/>
                <w:vertAlign w:val="superscript"/>
              </w:rPr>
              <w:t>3</w:t>
            </w:r>
          </w:p>
        </w:tc>
        <w:tc>
          <w:tcPr>
            <w:tcW w:w="1132" w:type="pct"/>
            <w:vMerge/>
            <w:shd w:val="clear" w:color="auto" w:fill="D9D9D9" w:themeFill="background1" w:themeFillShade="D9"/>
          </w:tcPr>
          <w:p w:rsidR="002267F2" w:rsidRPr="009D61D5" w:rsidRDefault="002267F2" w:rsidP="00A00426">
            <w:pPr>
              <w:keepNext/>
              <w:autoSpaceDE w:val="0"/>
              <w:autoSpaceDN w:val="0"/>
              <w:adjustRightInd w:val="0"/>
              <w:jc w:val="center"/>
              <w:rPr>
                <w:rFonts w:ascii="Arial Narrow" w:hAnsi="Arial Narrow" w:cstheme="minorHAnsi"/>
                <w:b/>
                <w:sz w:val="20"/>
                <w:szCs w:val="18"/>
              </w:rPr>
            </w:pPr>
          </w:p>
        </w:tc>
      </w:tr>
      <w:tr w:rsidR="002267F2" w:rsidRPr="009D61D5" w:rsidTr="00FF0C69">
        <w:tc>
          <w:tcPr>
            <w:tcW w:w="938" w:type="pct"/>
            <w:tcBorders>
              <w:left w:val="single" w:sz="4" w:space="0" w:color="auto"/>
            </w:tcBorders>
            <w:shd w:val="clear" w:color="auto" w:fill="auto"/>
          </w:tcPr>
          <w:p w:rsidR="002267F2" w:rsidRPr="009D61D5" w:rsidRDefault="002267F2" w:rsidP="00A00426">
            <w:pPr>
              <w:keepNext/>
              <w:autoSpaceDE w:val="0"/>
              <w:autoSpaceDN w:val="0"/>
              <w:adjustRightInd w:val="0"/>
              <w:rPr>
                <w:rFonts w:ascii="Arial Narrow" w:hAnsi="Arial Narrow" w:cstheme="minorHAnsi"/>
                <w:b/>
                <w:sz w:val="20"/>
                <w:szCs w:val="18"/>
              </w:rPr>
            </w:pPr>
            <w:r w:rsidRPr="009D61D5">
              <w:rPr>
                <w:rFonts w:ascii="Arial Narrow" w:hAnsi="Arial Narrow" w:cstheme="minorHAnsi"/>
                <w:b/>
                <w:sz w:val="20"/>
                <w:szCs w:val="18"/>
              </w:rPr>
              <w:t>N</w:t>
            </w:r>
          </w:p>
        </w:tc>
        <w:tc>
          <w:tcPr>
            <w:tcW w:w="957" w:type="pct"/>
            <w:shd w:val="clear" w:color="auto" w:fill="auto"/>
          </w:tcPr>
          <w:p w:rsidR="002267F2" w:rsidRPr="005C4E78" w:rsidRDefault="005C4E78" w:rsidP="00A00426">
            <w:pPr>
              <w:keepNext/>
              <w:autoSpaceDE w:val="0"/>
              <w:autoSpaceDN w:val="0"/>
              <w:adjustRightInd w:val="0"/>
              <w:jc w:val="center"/>
              <w:rPr>
                <w:rFonts w:ascii="Arial Narrow" w:hAnsi="Arial Narrow" w:cstheme="minorHAnsi"/>
                <w:b/>
                <w:sz w:val="20"/>
                <w:szCs w:val="18"/>
                <w:highlight w:val="black"/>
              </w:rPr>
            </w:pPr>
            <w:r>
              <w:rPr>
                <w:rFonts w:ascii="Arial Narrow" w:hAnsi="Arial Narrow" w:cstheme="minorHAnsi"/>
                <w:b/>
                <w:noProof/>
                <w:color w:val="000000"/>
                <w:sz w:val="20"/>
                <w:szCs w:val="18"/>
                <w:highlight w:val="black"/>
              </w:rPr>
              <w:t>'''''''</w:t>
            </w:r>
          </w:p>
        </w:tc>
        <w:tc>
          <w:tcPr>
            <w:tcW w:w="1026" w:type="pct"/>
            <w:shd w:val="clear" w:color="auto" w:fill="auto"/>
          </w:tcPr>
          <w:p w:rsidR="002267F2" w:rsidRPr="005C4E78" w:rsidRDefault="005C4E78" w:rsidP="00A00426">
            <w:pPr>
              <w:keepNext/>
              <w:autoSpaceDE w:val="0"/>
              <w:autoSpaceDN w:val="0"/>
              <w:adjustRightInd w:val="0"/>
              <w:jc w:val="center"/>
              <w:rPr>
                <w:rFonts w:ascii="Arial Narrow" w:hAnsi="Arial Narrow" w:cstheme="minorHAnsi"/>
                <w:b/>
                <w:sz w:val="20"/>
                <w:szCs w:val="18"/>
                <w:highlight w:val="black"/>
              </w:rPr>
            </w:pPr>
            <w:r>
              <w:rPr>
                <w:rFonts w:ascii="Arial Narrow" w:hAnsi="Arial Narrow" w:cstheme="minorHAnsi"/>
                <w:b/>
                <w:noProof/>
                <w:color w:val="000000"/>
                <w:sz w:val="20"/>
                <w:szCs w:val="18"/>
                <w:highlight w:val="black"/>
              </w:rPr>
              <w:t>'''''''</w:t>
            </w:r>
          </w:p>
        </w:tc>
        <w:tc>
          <w:tcPr>
            <w:tcW w:w="947" w:type="pct"/>
            <w:shd w:val="clear" w:color="auto" w:fill="auto"/>
          </w:tcPr>
          <w:p w:rsidR="002267F2" w:rsidRPr="005C4E78" w:rsidRDefault="005C4E78" w:rsidP="00A00426">
            <w:pPr>
              <w:keepNext/>
              <w:autoSpaceDE w:val="0"/>
              <w:autoSpaceDN w:val="0"/>
              <w:adjustRightInd w:val="0"/>
              <w:jc w:val="center"/>
              <w:rPr>
                <w:rFonts w:ascii="Arial Narrow" w:hAnsi="Arial Narrow" w:cstheme="minorHAnsi"/>
                <w:b/>
                <w:sz w:val="20"/>
                <w:szCs w:val="18"/>
                <w:highlight w:val="black"/>
              </w:rPr>
            </w:pPr>
            <w:r>
              <w:rPr>
                <w:rFonts w:ascii="Arial Narrow" w:hAnsi="Arial Narrow" w:cstheme="minorHAnsi"/>
                <w:b/>
                <w:noProof/>
                <w:color w:val="000000"/>
                <w:sz w:val="20"/>
                <w:szCs w:val="18"/>
                <w:highlight w:val="black"/>
              </w:rPr>
              <w:t>''''''''</w:t>
            </w:r>
          </w:p>
        </w:tc>
        <w:tc>
          <w:tcPr>
            <w:tcW w:w="1132" w:type="pct"/>
            <w:shd w:val="clear" w:color="auto" w:fill="auto"/>
          </w:tcPr>
          <w:p w:rsidR="002267F2" w:rsidRPr="009D61D5" w:rsidRDefault="002267F2" w:rsidP="00A00426">
            <w:pPr>
              <w:keepNext/>
              <w:autoSpaceDE w:val="0"/>
              <w:autoSpaceDN w:val="0"/>
              <w:adjustRightInd w:val="0"/>
              <w:jc w:val="center"/>
              <w:rPr>
                <w:rFonts w:ascii="Arial Narrow" w:hAnsi="Arial Narrow" w:cstheme="minorHAnsi"/>
                <w:b/>
                <w:sz w:val="20"/>
                <w:szCs w:val="18"/>
              </w:rPr>
            </w:pPr>
          </w:p>
        </w:tc>
      </w:tr>
      <w:tr w:rsidR="002267F2" w:rsidRPr="009D61D5" w:rsidTr="00FF0C69">
        <w:tc>
          <w:tcPr>
            <w:tcW w:w="938" w:type="pct"/>
            <w:tcBorders>
              <w:left w:val="single" w:sz="4" w:space="0" w:color="auto"/>
            </w:tcBorders>
          </w:tcPr>
          <w:p w:rsidR="002267F2" w:rsidRPr="009D61D5" w:rsidRDefault="002267F2" w:rsidP="00A00426">
            <w:pPr>
              <w:keepNext/>
              <w:autoSpaceDE w:val="0"/>
              <w:autoSpaceDN w:val="0"/>
              <w:adjustRightInd w:val="0"/>
              <w:rPr>
                <w:rFonts w:ascii="Arial Narrow" w:hAnsi="Arial Narrow" w:cstheme="minorHAnsi"/>
                <w:sz w:val="20"/>
                <w:szCs w:val="18"/>
              </w:rPr>
            </w:pPr>
            <w:r w:rsidRPr="009D61D5">
              <w:rPr>
                <w:rFonts w:ascii="Arial Narrow" w:hAnsi="Arial Narrow" w:cstheme="minorHAnsi"/>
                <w:b/>
                <w:sz w:val="20"/>
                <w:szCs w:val="18"/>
              </w:rPr>
              <w:t>A/H1N1</w:t>
            </w:r>
          </w:p>
        </w:tc>
        <w:tc>
          <w:tcPr>
            <w:tcW w:w="957"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hAnsi="Arial Narrow" w:cstheme="minorHAnsi"/>
                <w:noProof/>
                <w:color w:val="000000"/>
                <w:sz w:val="20"/>
                <w:szCs w:val="18"/>
                <w:highlight w:val="black"/>
              </w:rPr>
              <w:t>'''''''''' '''''''''''''''''''''''''</w:t>
            </w:r>
          </w:p>
        </w:tc>
        <w:tc>
          <w:tcPr>
            <w:tcW w:w="1026"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hAnsi="Arial Narrow" w:cstheme="minorHAnsi"/>
                <w:noProof/>
                <w:color w:val="000000"/>
                <w:sz w:val="20"/>
                <w:szCs w:val="18"/>
                <w:highlight w:val="black"/>
              </w:rPr>
              <w:t>''''''''''' '''''''''''''''''''''''''''''</w:t>
            </w:r>
          </w:p>
        </w:tc>
        <w:tc>
          <w:tcPr>
            <w:tcW w:w="947" w:type="pct"/>
          </w:tcPr>
          <w:p w:rsidR="002267F2" w:rsidRPr="005C4E78" w:rsidRDefault="005C4E78" w:rsidP="00A00426">
            <w:pPr>
              <w:keepNext/>
              <w:autoSpaceDE w:val="0"/>
              <w:autoSpaceDN w:val="0"/>
              <w:adjustRightInd w:val="0"/>
              <w:jc w:val="center"/>
              <w:rPr>
                <w:rFonts w:ascii="Arial Narrow" w:eastAsia="TimesNewRoman,Bold" w:hAnsi="Arial Narrow" w:cstheme="minorHAnsi"/>
                <w:bCs/>
                <w:sz w:val="20"/>
                <w:szCs w:val="18"/>
                <w:highlight w:val="black"/>
              </w:rPr>
            </w:pPr>
            <w:r>
              <w:rPr>
                <w:rFonts w:ascii="Arial Narrow" w:hAnsi="Arial Narrow" w:cstheme="minorHAnsi"/>
                <w:noProof/>
                <w:color w:val="000000"/>
                <w:sz w:val="20"/>
                <w:szCs w:val="18"/>
                <w:highlight w:val="black"/>
              </w:rPr>
              <w:t>'''''''''' ''''''''''''''''''''''''</w:t>
            </w:r>
          </w:p>
        </w:tc>
        <w:tc>
          <w:tcPr>
            <w:tcW w:w="1132" w:type="pct"/>
          </w:tcPr>
          <w:p w:rsidR="002267F2" w:rsidRPr="009D61D5" w:rsidRDefault="005C4E78" w:rsidP="00A00426">
            <w:pPr>
              <w:keepNext/>
              <w:autoSpaceDE w:val="0"/>
              <w:autoSpaceDN w:val="0"/>
              <w:adjustRightInd w:val="0"/>
              <w:jc w:val="center"/>
              <w:rPr>
                <w:rFonts w:ascii="Arial Narrow" w:hAnsi="Arial Narrow" w:cstheme="minorHAnsi"/>
                <w:b/>
                <w:sz w:val="20"/>
                <w:szCs w:val="18"/>
              </w:rPr>
            </w:pPr>
            <w:r>
              <w:rPr>
                <w:rFonts w:ascii="Arial Narrow" w:eastAsia="TimesNewRoman,Bold" w:hAnsi="Arial Narrow" w:cstheme="minorHAnsi"/>
                <w:bCs/>
                <w:noProof/>
                <w:color w:val="000000"/>
                <w:sz w:val="20"/>
                <w:szCs w:val="18"/>
                <w:highlight w:val="black"/>
              </w:rPr>
              <w:t>'''''''''''' ''''''''''''</w:t>
            </w:r>
            <w:r>
              <w:rPr>
                <w:rFonts w:ascii="Arial Narrow" w:eastAsia="TimesNewRoman,Bold" w:hAnsi="Arial Narrow" w:cstheme="minorHAnsi"/>
                <w:b/>
                <w:bCs/>
                <w:noProof/>
                <w:color w:val="000000"/>
                <w:sz w:val="20"/>
                <w:szCs w:val="18"/>
                <w:highlight w:val="black"/>
              </w:rPr>
              <w:t>'''''''''</w:t>
            </w:r>
            <w:r>
              <w:rPr>
                <w:rFonts w:ascii="Arial Narrow" w:eastAsia="TimesNewRoman,Bold" w:hAnsi="Arial Narrow" w:cstheme="minorHAnsi"/>
                <w:bCs/>
                <w:noProof/>
                <w:color w:val="000000"/>
                <w:sz w:val="20"/>
                <w:szCs w:val="18"/>
                <w:highlight w:val="black"/>
              </w:rPr>
              <w:t>''</w:t>
            </w:r>
          </w:p>
        </w:tc>
      </w:tr>
      <w:tr w:rsidR="002267F2" w:rsidRPr="009D61D5" w:rsidTr="00FF0C69">
        <w:tc>
          <w:tcPr>
            <w:tcW w:w="938" w:type="pct"/>
            <w:tcBorders>
              <w:left w:val="single" w:sz="4" w:space="0" w:color="auto"/>
            </w:tcBorders>
          </w:tcPr>
          <w:p w:rsidR="002267F2" w:rsidRPr="009D61D5" w:rsidRDefault="002267F2" w:rsidP="00A00426">
            <w:pPr>
              <w:keepNext/>
              <w:autoSpaceDE w:val="0"/>
              <w:autoSpaceDN w:val="0"/>
              <w:adjustRightInd w:val="0"/>
              <w:rPr>
                <w:rFonts w:ascii="Arial Narrow" w:hAnsi="Arial Narrow" w:cstheme="minorHAnsi"/>
                <w:sz w:val="20"/>
                <w:szCs w:val="18"/>
              </w:rPr>
            </w:pPr>
            <w:r w:rsidRPr="009D61D5">
              <w:rPr>
                <w:rFonts w:ascii="Arial Narrow" w:hAnsi="Arial Narrow" w:cstheme="minorHAnsi"/>
                <w:b/>
                <w:sz w:val="20"/>
                <w:szCs w:val="18"/>
              </w:rPr>
              <w:t>A/H3N2</w:t>
            </w:r>
          </w:p>
        </w:tc>
        <w:tc>
          <w:tcPr>
            <w:tcW w:w="957"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eastAsia="TimesNewRoman" w:hAnsi="Arial Narrow" w:cstheme="minorHAnsi"/>
                <w:noProof/>
                <w:color w:val="000000"/>
                <w:sz w:val="20"/>
                <w:szCs w:val="18"/>
                <w:highlight w:val="black"/>
              </w:rPr>
              <w:t>'''''''''' ''''''''''''''''''''''''''</w:t>
            </w:r>
          </w:p>
        </w:tc>
        <w:tc>
          <w:tcPr>
            <w:tcW w:w="1026" w:type="pct"/>
          </w:tcPr>
          <w:p w:rsidR="002267F2" w:rsidRPr="005C4E78" w:rsidRDefault="005C4E78" w:rsidP="00A00426">
            <w:pPr>
              <w:keepNext/>
              <w:autoSpaceDE w:val="0"/>
              <w:autoSpaceDN w:val="0"/>
              <w:adjustRightInd w:val="0"/>
              <w:jc w:val="center"/>
              <w:rPr>
                <w:rFonts w:ascii="Arial Narrow" w:eastAsia="TimesNewRoman" w:hAnsi="Arial Narrow" w:cstheme="minorHAnsi"/>
                <w:sz w:val="20"/>
                <w:szCs w:val="18"/>
                <w:highlight w:val="black"/>
              </w:rPr>
            </w:pPr>
            <w:r>
              <w:rPr>
                <w:rFonts w:ascii="Arial Narrow" w:eastAsia="TimesNewRoman" w:hAnsi="Arial Narrow" w:cstheme="minorHAnsi"/>
                <w:noProof/>
                <w:color w:val="000000"/>
                <w:sz w:val="20"/>
                <w:szCs w:val="18"/>
                <w:highlight w:val="black"/>
              </w:rPr>
              <w:t>'''''''''' ''''''''''''''''''''''''</w:t>
            </w:r>
          </w:p>
        </w:tc>
        <w:tc>
          <w:tcPr>
            <w:tcW w:w="947" w:type="pct"/>
          </w:tcPr>
          <w:p w:rsidR="002267F2" w:rsidRPr="005C4E78" w:rsidRDefault="005C4E78" w:rsidP="00A00426">
            <w:pPr>
              <w:keepNext/>
              <w:autoSpaceDE w:val="0"/>
              <w:autoSpaceDN w:val="0"/>
              <w:adjustRightInd w:val="0"/>
              <w:jc w:val="center"/>
              <w:rPr>
                <w:rFonts w:ascii="Arial Narrow" w:eastAsia="TimesNewRoman,Bold" w:hAnsi="Arial Narrow" w:cstheme="minorHAnsi"/>
                <w:bCs/>
                <w:sz w:val="20"/>
                <w:szCs w:val="18"/>
                <w:highlight w:val="black"/>
              </w:rPr>
            </w:pPr>
            <w:r>
              <w:rPr>
                <w:rFonts w:ascii="Arial Narrow" w:eastAsia="TimesNewRoman" w:hAnsi="Arial Narrow" w:cstheme="minorHAnsi"/>
                <w:noProof/>
                <w:color w:val="000000"/>
                <w:sz w:val="20"/>
                <w:szCs w:val="18"/>
                <w:highlight w:val="black"/>
              </w:rPr>
              <w:t>'''''''''''''' '''''''''''' ''''''''''''</w:t>
            </w:r>
          </w:p>
        </w:tc>
        <w:tc>
          <w:tcPr>
            <w:tcW w:w="1132" w:type="pct"/>
          </w:tcPr>
          <w:p w:rsidR="002267F2" w:rsidRPr="009D61D5" w:rsidRDefault="005C4E78" w:rsidP="00A00426">
            <w:pPr>
              <w:keepNext/>
              <w:autoSpaceDE w:val="0"/>
              <w:autoSpaceDN w:val="0"/>
              <w:adjustRightInd w:val="0"/>
              <w:jc w:val="center"/>
              <w:rPr>
                <w:rFonts w:ascii="Arial Narrow" w:hAnsi="Arial Narrow" w:cstheme="minorHAnsi"/>
                <w:b/>
                <w:sz w:val="20"/>
                <w:szCs w:val="18"/>
              </w:rPr>
            </w:pPr>
            <w:r>
              <w:rPr>
                <w:rFonts w:ascii="Arial Narrow" w:eastAsia="TimesNewRoman,Bold" w:hAnsi="Arial Narrow" w:cstheme="minorHAnsi"/>
                <w:bCs/>
                <w:noProof/>
                <w:color w:val="000000"/>
                <w:sz w:val="20"/>
                <w:szCs w:val="18"/>
                <w:highlight w:val="black"/>
              </w:rPr>
              <w:t>'''''''''' '''''''''''''''</w:t>
            </w:r>
            <w:r>
              <w:rPr>
                <w:rFonts w:ascii="Arial Narrow" w:eastAsia="TimesNewRoman,Bold" w:hAnsi="Arial Narrow" w:cstheme="minorHAnsi"/>
                <w:b/>
                <w:bCs/>
                <w:noProof/>
                <w:color w:val="000000"/>
                <w:sz w:val="20"/>
                <w:szCs w:val="18"/>
                <w:highlight w:val="black"/>
              </w:rPr>
              <w:t>'''''''''</w:t>
            </w:r>
            <w:r>
              <w:rPr>
                <w:rFonts w:ascii="Arial Narrow" w:eastAsia="TimesNewRoman,Bold" w:hAnsi="Arial Narrow" w:cstheme="minorHAnsi"/>
                <w:bCs/>
                <w:noProof/>
                <w:color w:val="000000"/>
                <w:sz w:val="20"/>
                <w:szCs w:val="18"/>
                <w:highlight w:val="black"/>
              </w:rPr>
              <w:t>''</w:t>
            </w:r>
          </w:p>
        </w:tc>
      </w:tr>
      <w:tr w:rsidR="002267F2" w:rsidRPr="009D61D5" w:rsidTr="00FF0C69">
        <w:tc>
          <w:tcPr>
            <w:tcW w:w="938" w:type="pct"/>
            <w:tcBorders>
              <w:left w:val="single" w:sz="4" w:space="0" w:color="auto"/>
            </w:tcBorders>
          </w:tcPr>
          <w:p w:rsidR="002267F2" w:rsidRPr="009D61D5" w:rsidRDefault="002267F2" w:rsidP="00A00426">
            <w:pPr>
              <w:keepNext/>
              <w:autoSpaceDE w:val="0"/>
              <w:autoSpaceDN w:val="0"/>
              <w:adjustRightInd w:val="0"/>
              <w:rPr>
                <w:rFonts w:ascii="Arial Narrow" w:hAnsi="Arial Narrow" w:cstheme="minorHAnsi"/>
                <w:sz w:val="20"/>
                <w:szCs w:val="18"/>
              </w:rPr>
            </w:pPr>
            <w:r w:rsidRPr="009D61D5">
              <w:rPr>
                <w:rFonts w:ascii="Arial Narrow" w:hAnsi="Arial Narrow" w:cstheme="minorHAnsi"/>
                <w:b/>
                <w:sz w:val="20"/>
                <w:szCs w:val="18"/>
              </w:rPr>
              <w:t>B/ Yamagata</w:t>
            </w:r>
          </w:p>
        </w:tc>
        <w:tc>
          <w:tcPr>
            <w:tcW w:w="957"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hAnsi="Arial Narrow" w:cstheme="minorHAnsi"/>
                <w:noProof/>
                <w:color w:val="000000"/>
                <w:sz w:val="20"/>
                <w:szCs w:val="18"/>
                <w:highlight w:val="black"/>
              </w:rPr>
              <w:t>''''''''''''''</w:t>
            </w:r>
          </w:p>
        </w:tc>
        <w:tc>
          <w:tcPr>
            <w:tcW w:w="1026" w:type="pct"/>
          </w:tcPr>
          <w:p w:rsidR="002267F2" w:rsidRPr="009D61D5" w:rsidRDefault="002267F2" w:rsidP="00A00426">
            <w:pPr>
              <w:keepNext/>
              <w:autoSpaceDE w:val="0"/>
              <w:autoSpaceDN w:val="0"/>
              <w:adjustRightInd w:val="0"/>
              <w:jc w:val="center"/>
              <w:rPr>
                <w:rFonts w:ascii="Arial Narrow" w:hAnsi="Arial Narrow" w:cstheme="minorHAnsi"/>
                <w:sz w:val="20"/>
                <w:szCs w:val="18"/>
              </w:rPr>
            </w:pPr>
          </w:p>
        </w:tc>
        <w:tc>
          <w:tcPr>
            <w:tcW w:w="947" w:type="pct"/>
          </w:tcPr>
          <w:p w:rsidR="002267F2" w:rsidRPr="005C4E78" w:rsidRDefault="005C4E78" w:rsidP="00A00426">
            <w:pPr>
              <w:keepNext/>
              <w:autoSpaceDE w:val="0"/>
              <w:autoSpaceDN w:val="0"/>
              <w:adjustRightInd w:val="0"/>
              <w:jc w:val="center"/>
              <w:rPr>
                <w:rFonts w:ascii="Arial Narrow" w:eastAsia="TimesNewRoman,Bold" w:hAnsi="Arial Narrow" w:cstheme="minorHAnsi"/>
                <w:b/>
                <w:bCs/>
                <w:sz w:val="20"/>
                <w:szCs w:val="18"/>
                <w:highlight w:val="black"/>
              </w:rPr>
            </w:pPr>
            <w:r>
              <w:rPr>
                <w:rFonts w:ascii="Arial Narrow" w:hAnsi="Arial Narrow" w:cstheme="minorHAnsi"/>
                <w:noProof/>
                <w:color w:val="000000"/>
                <w:sz w:val="20"/>
                <w:szCs w:val="18"/>
                <w:highlight w:val="black"/>
              </w:rPr>
              <w:t>'''''''''''''</w:t>
            </w:r>
          </w:p>
        </w:tc>
        <w:tc>
          <w:tcPr>
            <w:tcW w:w="1132" w:type="pct"/>
          </w:tcPr>
          <w:p w:rsidR="002267F2" w:rsidRPr="009D61D5" w:rsidRDefault="005C4E78" w:rsidP="00A00426">
            <w:pPr>
              <w:keepNext/>
              <w:autoSpaceDE w:val="0"/>
              <w:autoSpaceDN w:val="0"/>
              <w:adjustRightInd w:val="0"/>
              <w:jc w:val="center"/>
              <w:rPr>
                <w:rFonts w:ascii="Arial Narrow" w:hAnsi="Arial Narrow" w:cstheme="minorHAnsi"/>
                <w:b/>
                <w:sz w:val="20"/>
                <w:szCs w:val="18"/>
              </w:rPr>
            </w:pPr>
            <w:r>
              <w:rPr>
                <w:rFonts w:ascii="Arial Narrow" w:eastAsia="TimesNewRoman,Bold" w:hAnsi="Arial Narrow" w:cstheme="minorHAnsi"/>
                <w:bCs/>
                <w:noProof/>
                <w:color w:val="000000"/>
                <w:sz w:val="20"/>
                <w:szCs w:val="18"/>
                <w:highlight w:val="black"/>
              </w:rPr>
              <w:t>'''''''''''''' ''''''''''''''</w:t>
            </w:r>
            <w:r>
              <w:rPr>
                <w:rFonts w:ascii="Arial Narrow" w:eastAsia="TimesNewRoman,Bold" w:hAnsi="Arial Narrow" w:cstheme="minorHAnsi"/>
                <w:b/>
                <w:bCs/>
                <w:noProof/>
                <w:color w:val="000000"/>
                <w:sz w:val="20"/>
                <w:szCs w:val="18"/>
                <w:highlight w:val="black"/>
              </w:rPr>
              <w:t>'''''''''</w:t>
            </w:r>
            <w:r>
              <w:rPr>
                <w:rFonts w:ascii="Arial Narrow" w:eastAsia="TimesNewRoman,Bold" w:hAnsi="Arial Narrow" w:cstheme="minorHAnsi"/>
                <w:bCs/>
                <w:noProof/>
                <w:color w:val="000000"/>
                <w:sz w:val="20"/>
                <w:szCs w:val="18"/>
                <w:highlight w:val="black"/>
              </w:rPr>
              <w:t>''</w:t>
            </w:r>
          </w:p>
        </w:tc>
      </w:tr>
      <w:tr w:rsidR="002267F2" w:rsidRPr="009D61D5" w:rsidTr="00FF0C69">
        <w:tc>
          <w:tcPr>
            <w:tcW w:w="938" w:type="pct"/>
            <w:tcBorders>
              <w:left w:val="single" w:sz="4" w:space="0" w:color="auto"/>
            </w:tcBorders>
          </w:tcPr>
          <w:p w:rsidR="002267F2" w:rsidRPr="009D61D5" w:rsidRDefault="002267F2" w:rsidP="00A00426">
            <w:pPr>
              <w:keepNext/>
              <w:autoSpaceDE w:val="0"/>
              <w:autoSpaceDN w:val="0"/>
              <w:adjustRightInd w:val="0"/>
              <w:rPr>
                <w:rFonts w:ascii="Arial Narrow" w:hAnsi="Arial Narrow" w:cstheme="minorHAnsi"/>
                <w:sz w:val="20"/>
                <w:szCs w:val="18"/>
              </w:rPr>
            </w:pPr>
            <w:r w:rsidRPr="009D61D5">
              <w:rPr>
                <w:rFonts w:ascii="Arial Narrow" w:hAnsi="Arial Narrow" w:cstheme="minorHAnsi"/>
                <w:b/>
                <w:sz w:val="20"/>
                <w:szCs w:val="18"/>
              </w:rPr>
              <w:t>B/ Victoria</w:t>
            </w:r>
          </w:p>
        </w:tc>
        <w:tc>
          <w:tcPr>
            <w:tcW w:w="957"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hAnsi="Arial Narrow" w:cstheme="minorHAnsi"/>
                <w:noProof/>
                <w:color w:val="000000"/>
                <w:sz w:val="20"/>
                <w:szCs w:val="18"/>
                <w:highlight w:val="black"/>
              </w:rPr>
              <w:t>''''''''''''''</w:t>
            </w:r>
          </w:p>
        </w:tc>
        <w:tc>
          <w:tcPr>
            <w:tcW w:w="1026" w:type="pct"/>
          </w:tcPr>
          <w:p w:rsidR="002267F2" w:rsidRPr="005C4E78" w:rsidRDefault="005C4E78" w:rsidP="00A00426">
            <w:pPr>
              <w:keepNext/>
              <w:autoSpaceDE w:val="0"/>
              <w:autoSpaceDN w:val="0"/>
              <w:adjustRightInd w:val="0"/>
              <w:jc w:val="center"/>
              <w:rPr>
                <w:rFonts w:ascii="Arial Narrow" w:hAnsi="Arial Narrow" w:cstheme="minorHAnsi"/>
                <w:sz w:val="20"/>
                <w:szCs w:val="18"/>
                <w:highlight w:val="black"/>
              </w:rPr>
            </w:pPr>
            <w:r>
              <w:rPr>
                <w:rFonts w:ascii="Arial Narrow" w:hAnsi="Arial Narrow" w:cstheme="minorHAnsi"/>
                <w:noProof/>
                <w:color w:val="000000"/>
                <w:sz w:val="20"/>
                <w:szCs w:val="18"/>
                <w:highlight w:val="black"/>
              </w:rPr>
              <w:t>'''''''''''''''</w:t>
            </w:r>
          </w:p>
        </w:tc>
        <w:tc>
          <w:tcPr>
            <w:tcW w:w="947" w:type="pct"/>
          </w:tcPr>
          <w:p w:rsidR="002267F2" w:rsidRPr="005C4E78" w:rsidRDefault="002267F2" w:rsidP="00A00426">
            <w:pPr>
              <w:keepNext/>
              <w:autoSpaceDE w:val="0"/>
              <w:autoSpaceDN w:val="0"/>
              <w:adjustRightInd w:val="0"/>
              <w:jc w:val="center"/>
              <w:rPr>
                <w:rFonts w:ascii="Arial Narrow" w:hAnsi="Arial Narrow" w:cstheme="minorHAnsi"/>
                <w:sz w:val="20"/>
                <w:szCs w:val="18"/>
              </w:rPr>
            </w:pPr>
          </w:p>
        </w:tc>
        <w:tc>
          <w:tcPr>
            <w:tcW w:w="1132" w:type="pct"/>
          </w:tcPr>
          <w:p w:rsidR="002267F2" w:rsidRPr="009D61D5" w:rsidRDefault="005C4E78" w:rsidP="00A00426">
            <w:pPr>
              <w:keepNext/>
              <w:autoSpaceDE w:val="0"/>
              <w:autoSpaceDN w:val="0"/>
              <w:adjustRightInd w:val="0"/>
              <w:jc w:val="center"/>
              <w:rPr>
                <w:rFonts w:ascii="Arial Narrow" w:hAnsi="Arial Narrow" w:cstheme="minorHAnsi"/>
                <w:sz w:val="20"/>
                <w:szCs w:val="18"/>
              </w:rPr>
            </w:pPr>
            <w:r>
              <w:rPr>
                <w:rFonts w:ascii="Arial Narrow" w:hAnsi="Arial Narrow" w:cstheme="minorHAnsi"/>
                <w:noProof/>
                <w:color w:val="000000"/>
                <w:sz w:val="20"/>
                <w:szCs w:val="18"/>
                <w:highlight w:val="black"/>
              </w:rPr>
              <w:t>''''''''''''' ''''''''''''''''</w:t>
            </w:r>
            <w:r>
              <w:rPr>
                <w:rFonts w:ascii="Arial Narrow" w:hAnsi="Arial Narrow" w:cstheme="minorHAnsi"/>
                <w:b/>
                <w:noProof/>
                <w:color w:val="000000"/>
                <w:sz w:val="20"/>
                <w:szCs w:val="18"/>
                <w:highlight w:val="black"/>
              </w:rPr>
              <w:t>'''''''''</w:t>
            </w:r>
            <w:r>
              <w:rPr>
                <w:rFonts w:ascii="Arial Narrow" w:hAnsi="Arial Narrow" w:cstheme="minorHAnsi"/>
                <w:noProof/>
                <w:color w:val="000000"/>
                <w:sz w:val="20"/>
                <w:szCs w:val="18"/>
                <w:highlight w:val="black"/>
              </w:rPr>
              <w:t>''</w:t>
            </w:r>
          </w:p>
        </w:tc>
      </w:tr>
    </w:tbl>
    <w:p w:rsidR="002267F2" w:rsidRPr="009D61D5" w:rsidRDefault="002267F2" w:rsidP="00FF0C69">
      <w:pPr>
        <w:pStyle w:val="TableFigureFooter"/>
      </w:pPr>
      <w:r w:rsidRPr="009D61D5">
        <w:t>CI</w:t>
      </w:r>
      <w:r w:rsidR="003618CE" w:rsidRPr="009D61D5">
        <w:t>:</w:t>
      </w:r>
      <w:r w:rsidR="00B07A7B" w:rsidRPr="009D61D5">
        <w:t xml:space="preserve"> confidence interval; S</w:t>
      </w:r>
      <w:r w:rsidRPr="009D61D5">
        <w:t>C</w:t>
      </w:r>
      <w:r w:rsidR="00B07A7B" w:rsidRPr="009D61D5">
        <w:t>R</w:t>
      </w:r>
      <w:r w:rsidR="003618CE" w:rsidRPr="009D61D5">
        <w:t>:</w:t>
      </w:r>
      <w:r w:rsidRPr="009D61D5">
        <w:t> seroconversion rate; aQIV</w:t>
      </w:r>
      <w:r w:rsidR="003618CE" w:rsidRPr="009D61D5">
        <w:t>:</w:t>
      </w:r>
      <w:r w:rsidRPr="009D61D5">
        <w:t xml:space="preserve"> adjuvanted quadrivalent influenza vaccine; aTIV</w:t>
      </w:r>
      <w:r w:rsidR="003618CE" w:rsidRPr="009D61D5">
        <w:t>:</w:t>
      </w:r>
      <w:r w:rsidRPr="009D61D5">
        <w:t xml:space="preserve"> adjuvanted trivalent influenza vaccine</w:t>
      </w:r>
    </w:p>
    <w:p w:rsidR="002267F2" w:rsidRPr="005C4E78" w:rsidRDefault="005C4E78" w:rsidP="00FF0C69">
      <w:pPr>
        <w:pStyle w:val="TableFigureFooter"/>
        <w:rPr>
          <w:highlight w:val="black"/>
        </w:rPr>
      </w:pPr>
      <w:r>
        <w:rPr>
          <w:noProof/>
          <w:color w:val="000000"/>
          <w:highlight w:val="black"/>
        </w:rPr>
        <w:t xml:space="preserve">''''''''''''' '''''''''' ''''''''' ''''''' '''''''''' '''''''''' '''''''' ''''''''''''' '''''''''''''''''''''''''''' '''''''''''''''''''' ''''''''''''' ''''''''''''' '''''''' '''''''''''''''''''' ''''''''''''''''''''''''' </w:t>
      </w:r>
    </w:p>
    <w:p w:rsidR="002267F2" w:rsidRPr="005C4E78" w:rsidRDefault="005C4E78" w:rsidP="00FF0C69">
      <w:pPr>
        <w:pStyle w:val="TableFigureFooter"/>
      </w:pPr>
      <w:r>
        <w:rPr>
          <w:noProof/>
          <w:color w:val="000000"/>
          <w:highlight w:val="black"/>
        </w:rPr>
        <w:t xml:space="preserve">''''''''''' '''''''''''''''''''''''' '''''''''''' '''''''' ''''''' '''''''' '''''''''''''''''''''' '''' ''''''''''''' '''''''''''''''''' ''''''''''' ''''''''' '''''''''''' '''''''''''''''''''''''''''''''''' ''''''''''''''''' ''''' '''''''' ''''''''''''' '''''''''''''''' ''''' '''''''' ''''''''''''''''''''''' '''''''''' '''''' '''''' ''''''' ''''''''''''''''''''''''' '''''''''''''''''''''' ''''''''''''' ''''''''''''''''''''''''''''' '''''''' '''''''''''''''''''''''' ''''''''''' ''''''''''''''''''''''' '''''' ''''''''' '''''''''' ''''''' '''''''''''''' '''''''''''''''' '''' </w:t>
      </w:r>
      <w:r>
        <w:rPr>
          <w:b/>
          <w:noProof/>
          <w:color w:val="000000"/>
          <w:highlight w:val="black"/>
        </w:rPr>
        <w:t>''''''''</w:t>
      </w:r>
      <w:r>
        <w:rPr>
          <w:noProof/>
          <w:color w:val="000000"/>
          <w:highlight w:val="black"/>
        </w:rPr>
        <w:t>''</w:t>
      </w:r>
    </w:p>
    <w:p w:rsidR="002267F2" w:rsidRPr="005C4E78" w:rsidRDefault="005C4E78" w:rsidP="00FF0C69">
      <w:pPr>
        <w:pStyle w:val="TableFigureFooter"/>
        <w:rPr>
          <w:highlight w:val="black"/>
          <w:lang w:val="sv-SE"/>
        </w:rPr>
      </w:pPr>
      <w:r>
        <w:rPr>
          <w:noProof/>
          <w:color w:val="000000"/>
          <w:highlight w:val="black"/>
        </w:rPr>
        <w:t xml:space="preserve">'''''''''''''''''''' '''''''''' '''''''''''''''' ''''''''''''''''' '''''''''''''''' '''''''' '''''''''''''' '''''' '''''''' ''''''''''''''''' ''''' '''''''''''''''''''' ''''''''' '''''''''''''''''''' '''''''''''''''' '''''''' '''''''''''''''''''''''' ''''''''''''''''''''''''''''''' ''''''' ''''''''''''''''''''''''''' '''''''''''''''''''''''''''''' </w:t>
      </w:r>
    </w:p>
    <w:p w:rsidR="002267F2" w:rsidRPr="008E537B" w:rsidRDefault="002267F2" w:rsidP="00FF0C69">
      <w:pPr>
        <w:pStyle w:val="TableFigureFooter"/>
        <w:rPr>
          <w:rStyle w:val="CommentReference"/>
          <w:b w:val="0"/>
          <w:i/>
          <w:sz w:val="18"/>
          <w:szCs w:val="24"/>
        </w:rPr>
      </w:pPr>
      <w:r w:rsidRPr="009D61D5">
        <w:rPr>
          <w:i/>
        </w:rPr>
        <w:t>Source:</w:t>
      </w:r>
      <w:r w:rsidRPr="009D61D5">
        <w:rPr>
          <w:rFonts w:cstheme="minorHAnsi"/>
          <w:i/>
          <w:noProof/>
          <w:szCs w:val="16"/>
        </w:rPr>
        <w:t xml:space="preserve"> Table 2-23, p75 of the submission</w:t>
      </w:r>
    </w:p>
    <w:p w:rsidR="001F3580" w:rsidRPr="009D61D5" w:rsidRDefault="00C76ABC" w:rsidP="00F37302">
      <w:pPr>
        <w:pStyle w:val="ListParagraph"/>
        <w:keepNext/>
        <w:widowControl/>
        <w:numPr>
          <w:ilvl w:val="1"/>
          <w:numId w:val="39"/>
        </w:numPr>
        <w:ind w:left="709" w:hanging="709"/>
      </w:pPr>
      <w:r w:rsidRPr="009D61D5">
        <w:t>In the comparison</w:t>
      </w:r>
      <w:r w:rsidR="00E36E75" w:rsidRPr="009D61D5">
        <w:t xml:space="preserve"> of</w:t>
      </w:r>
      <w:r w:rsidRPr="009D61D5">
        <w:t xml:space="preserve"> aTIV and aQIV, t</w:t>
      </w:r>
      <w:r w:rsidR="001F3580" w:rsidRPr="009D61D5">
        <w:t>he pre-specified</w:t>
      </w:r>
      <w:r w:rsidRPr="009D61D5">
        <w:t>,</w:t>
      </w:r>
      <w:r w:rsidR="001F3580" w:rsidRPr="009D61D5">
        <w:t xml:space="preserve"> non-inferiority criterion for the adjusted </w:t>
      </w:r>
      <w:r w:rsidR="00CD143F" w:rsidRPr="009D61D5">
        <w:t>geometric mean titre (</w:t>
      </w:r>
      <w:r w:rsidR="001F3580" w:rsidRPr="009D61D5">
        <w:t>GMT</w:t>
      </w:r>
      <w:r w:rsidR="00CD143F" w:rsidRPr="009D61D5">
        <w:t>)</w:t>
      </w:r>
      <w:r w:rsidR="001F3580" w:rsidRPr="009D61D5">
        <w:t xml:space="preserve"> ratio </w:t>
      </w:r>
      <w:r w:rsidR="004132A2" w:rsidRPr="009D61D5">
        <w:t xml:space="preserve">was </w:t>
      </w:r>
      <w:r w:rsidR="001F3580" w:rsidRPr="009D61D5">
        <w:t>met for all four homologous strains</w:t>
      </w:r>
      <w:r w:rsidRPr="009D61D5">
        <w:t>. This was demonstrated</w:t>
      </w:r>
      <w:r w:rsidR="001F3580" w:rsidRPr="009D61D5">
        <w:t xml:space="preserve"> as the upper bounds of the two-sided 95% confidence interval (CI) for the adjusted GMT ratios (aTIV/aQIV) did not exceed 1.5 (upper limit of GMTR 95%CI in bold in Table </w:t>
      </w:r>
      <w:r w:rsidR="00227A65" w:rsidRPr="009D61D5">
        <w:t>7</w:t>
      </w:r>
      <w:r w:rsidR="001F3580" w:rsidRPr="009D61D5">
        <w:t>).</w:t>
      </w:r>
    </w:p>
    <w:p w:rsidR="001F3580" w:rsidRDefault="00E82A74" w:rsidP="00F37302">
      <w:pPr>
        <w:pStyle w:val="ListParagraph"/>
        <w:keepNext/>
        <w:widowControl/>
        <w:numPr>
          <w:ilvl w:val="1"/>
          <w:numId w:val="39"/>
        </w:numPr>
        <w:ind w:left="709" w:hanging="709"/>
      </w:pPr>
      <w:r w:rsidRPr="009D61D5">
        <w:t>T</w:t>
      </w:r>
      <w:r w:rsidR="001F3580" w:rsidRPr="009D61D5">
        <w:t>he pre-specified non-inferiority criteri</w:t>
      </w:r>
      <w:r w:rsidR="00886906" w:rsidRPr="009D61D5">
        <w:t>on</w:t>
      </w:r>
      <w:r w:rsidR="001F3580" w:rsidRPr="009D61D5">
        <w:t xml:space="preserve"> for the difference in the</w:t>
      </w:r>
      <w:r w:rsidR="00CD143F" w:rsidRPr="009D61D5">
        <w:t xml:space="preserve"> seroconversion rate (</w:t>
      </w:r>
      <w:r w:rsidR="001F3580" w:rsidRPr="009D61D5">
        <w:t>SCR</w:t>
      </w:r>
      <w:r w:rsidR="00CD143F" w:rsidRPr="009D61D5">
        <w:t>)</w:t>
      </w:r>
      <w:r w:rsidR="001F3580" w:rsidRPr="009D61D5">
        <w:t xml:space="preserve"> between aTIV and aQIV w</w:t>
      </w:r>
      <w:r w:rsidR="0087429C" w:rsidRPr="009D61D5">
        <w:t>as</w:t>
      </w:r>
      <w:r w:rsidR="001F3580" w:rsidRPr="009D61D5">
        <w:t xml:space="preserve"> met for all four homologous strains. The upper bounds of the 95% CI of the intergroup difference for SCR (aTIV minus aQIV) did not exceed the non-inferiority margin of 10% for all four strains (upper limit of SC</w:t>
      </w:r>
      <w:r w:rsidR="00B07A7B" w:rsidRPr="009D61D5">
        <w:t>R</w:t>
      </w:r>
      <w:r w:rsidR="001F3580" w:rsidRPr="009D61D5">
        <w:t xml:space="preserve"> difference</w:t>
      </w:r>
      <w:r w:rsidR="00ED0FAB" w:rsidRPr="009D61D5">
        <w:t xml:space="preserve"> 95%CI in bold in Table </w:t>
      </w:r>
      <w:r w:rsidR="00227A65" w:rsidRPr="009D61D5">
        <w:t>8</w:t>
      </w:r>
      <w:r w:rsidR="00ED0FAB" w:rsidRPr="009D61D5">
        <w:t>).</w:t>
      </w:r>
      <w:r w:rsidR="001F3580" w:rsidRPr="009D61D5">
        <w:t xml:space="preserve"> The results for the Full Analysis Set were comparable to the Per Protocol Set </w:t>
      </w:r>
      <w:r w:rsidR="004132A2" w:rsidRPr="009D61D5">
        <w:t xml:space="preserve">with </w:t>
      </w:r>
      <w:r w:rsidR="001F3580" w:rsidRPr="009D61D5">
        <w:t>the non-inferiority criteri</w:t>
      </w:r>
      <w:r w:rsidR="00886906" w:rsidRPr="009D61D5">
        <w:t>on</w:t>
      </w:r>
      <w:r w:rsidR="001F3580" w:rsidRPr="009D61D5">
        <w:t xml:space="preserve"> for the difference in SCR between aTIV and aQIV groups met for all four homologous strains.</w:t>
      </w:r>
    </w:p>
    <w:p w:rsidR="00794E61" w:rsidRPr="009D61D5" w:rsidRDefault="00794E61" w:rsidP="00F37302">
      <w:pPr>
        <w:pStyle w:val="ListParagraph"/>
        <w:keepNext/>
        <w:widowControl/>
        <w:numPr>
          <w:ilvl w:val="1"/>
          <w:numId w:val="39"/>
        </w:numPr>
        <w:ind w:left="709" w:hanging="709"/>
      </w:pPr>
      <w:r w:rsidRPr="009D61D5">
        <w:t>The submission also compared SCR results to the Centre for Biologics Evaluation and Research (CBER) criteria. While the CBER criteria</w:t>
      </w:r>
      <w:r w:rsidR="007C0C7D" w:rsidRPr="009D61D5">
        <w:rPr>
          <w:rStyle w:val="FootnoteReference"/>
        </w:rPr>
        <w:footnoteReference w:id="2"/>
      </w:r>
      <w:r w:rsidRPr="009D61D5">
        <w:t xml:space="preserve"> were met by aTIV and aQIV for both A strains, this was not the case for either of the B strains. Neither aTIV nor aQIV demonstrated adequate immunogenicity based on the CBER criteria</w:t>
      </w:r>
      <w:r w:rsidR="00852DFA">
        <w:t>,</w:t>
      </w:r>
      <w:r w:rsidRPr="009D61D5">
        <w:t xml:space="preserve"> and SCR and </w:t>
      </w:r>
      <w:r w:rsidR="00907C6D" w:rsidRPr="00907C6D">
        <w:t xml:space="preserve">hemagglutination inhibition </w:t>
      </w:r>
      <w:r w:rsidR="00907C6D">
        <w:t>(</w:t>
      </w:r>
      <w:r w:rsidRPr="009D61D5">
        <w:t>HI</w:t>
      </w:r>
      <w:r w:rsidR="00907C6D">
        <w:t>)</w:t>
      </w:r>
      <w:r w:rsidRPr="009D61D5">
        <w:t xml:space="preserve"> titres were similar across the vaccine groups (p74 of the submission).</w:t>
      </w:r>
    </w:p>
    <w:p w:rsidR="00A6185A" w:rsidRPr="0021563D" w:rsidRDefault="00E82A74" w:rsidP="00F37302">
      <w:pPr>
        <w:pStyle w:val="ListParagraph"/>
        <w:keepNext/>
        <w:widowControl/>
        <w:numPr>
          <w:ilvl w:val="1"/>
          <w:numId w:val="39"/>
        </w:numPr>
        <w:ind w:left="709" w:hanging="709"/>
      </w:pPr>
      <w:r w:rsidRPr="00B97A2E">
        <w:t xml:space="preserve">The </w:t>
      </w:r>
      <w:r w:rsidR="00A6185A" w:rsidRPr="00B97A2E">
        <w:t>submission did not present a comparison of</w:t>
      </w:r>
      <w:r w:rsidRPr="00B97A2E">
        <w:t xml:space="preserve"> the GMT or SCR for the influenza B strains not in common between aQIV and aTIV.</w:t>
      </w:r>
      <w:r w:rsidR="00A6185A" w:rsidRPr="00B97A2E">
        <w:t xml:space="preserve"> The pre-sub-committee-respon</w:t>
      </w:r>
      <w:r w:rsidR="0034711A" w:rsidRPr="00B97A2E">
        <w:t>s</w:t>
      </w:r>
      <w:r w:rsidR="00A6185A" w:rsidRPr="00B97A2E">
        <w:t xml:space="preserve">e (PSCR, p3) provided results for the analyses of aQIV relative to aTIV for the alternate B strain (Full Analysis Set), as presented in the </w:t>
      </w:r>
      <w:r w:rsidR="00A6185A" w:rsidRPr="0021563D">
        <w:t>table below.</w:t>
      </w:r>
    </w:p>
    <w:p w:rsidR="00EF4495" w:rsidRDefault="00EF4495">
      <w:pPr>
        <w:rPr>
          <w:rFonts w:ascii="Arial Narrow" w:eastAsiaTheme="majorEastAsia" w:hAnsi="Arial Narrow" w:cstheme="majorBidi"/>
          <w:b/>
          <w:bCs/>
          <w:sz w:val="20"/>
        </w:rPr>
      </w:pPr>
      <w:r>
        <w:br w:type="page"/>
      </w:r>
    </w:p>
    <w:p w:rsidR="00FF0C69" w:rsidRDefault="00FF0C69" w:rsidP="00FF0C69">
      <w:pPr>
        <w:pStyle w:val="TableFigureHeading"/>
      </w:pPr>
      <w:r>
        <w:lastRenderedPageBreak/>
        <w:t xml:space="preserve">Table </w:t>
      </w:r>
      <w:fldSimple w:instr=" SEQ Table \* ARABIC ">
        <w:r w:rsidR="009C284C">
          <w:rPr>
            <w:noProof/>
          </w:rPr>
          <w:t>9</w:t>
        </w:r>
      </w:fldSimple>
      <w:r w:rsidRPr="00BD1BD6">
        <w:t>: Analyses of aQIV relative to aTIV for the alternate B Strain (Full Analysis Set)</w:t>
      </w:r>
    </w:p>
    <w:tbl>
      <w:tblPr>
        <w:tblStyle w:val="TableGrid"/>
        <w:tblW w:w="9072" w:type="dxa"/>
        <w:tblInd w:w="-5" w:type="dxa"/>
        <w:tblLook w:val="04A0" w:firstRow="1" w:lastRow="0" w:firstColumn="1" w:lastColumn="0" w:noHBand="0" w:noVBand="1"/>
        <w:tblCaption w:val="Table 9: Analyses of aQIV relative to aTIV for the alternate B Strain (Full Analysis Set)"/>
      </w:tblPr>
      <w:tblGrid>
        <w:gridCol w:w="993"/>
        <w:gridCol w:w="992"/>
        <w:gridCol w:w="1559"/>
        <w:gridCol w:w="1559"/>
        <w:gridCol w:w="1985"/>
        <w:gridCol w:w="1984"/>
      </w:tblGrid>
      <w:tr w:rsidR="00A6185A" w:rsidRPr="0021563D" w:rsidTr="004F2EEA">
        <w:trPr>
          <w:tblHeader/>
        </w:trPr>
        <w:tc>
          <w:tcPr>
            <w:tcW w:w="993" w:type="dxa"/>
            <w:tcMar>
              <w:left w:w="28" w:type="dxa"/>
              <w:right w:w="28" w:type="dxa"/>
            </w:tcMar>
          </w:tcPr>
          <w:p w:rsidR="00A6185A" w:rsidRPr="0021563D" w:rsidRDefault="00A6185A" w:rsidP="00052F5C">
            <w:pPr>
              <w:pStyle w:val="Tabletitlecentred0"/>
              <w:rPr>
                <w:rFonts w:ascii="Arial Narrow" w:hAnsi="Arial Narrow"/>
                <w:sz w:val="20"/>
              </w:rPr>
            </w:pPr>
            <w:r w:rsidRPr="0021563D">
              <w:rPr>
                <w:rFonts w:ascii="Arial Narrow" w:hAnsi="Arial Narrow"/>
                <w:sz w:val="20"/>
              </w:rPr>
              <w:t>Strain</w:t>
            </w:r>
          </w:p>
        </w:tc>
        <w:tc>
          <w:tcPr>
            <w:tcW w:w="992" w:type="dxa"/>
            <w:tcMar>
              <w:left w:w="28" w:type="dxa"/>
              <w:right w:w="28" w:type="dxa"/>
            </w:tcMar>
          </w:tcPr>
          <w:p w:rsidR="00A6185A" w:rsidRPr="0021563D" w:rsidRDefault="00A6185A" w:rsidP="00052F5C">
            <w:pPr>
              <w:pStyle w:val="Tabletitlecentred0"/>
              <w:rPr>
                <w:rFonts w:ascii="Arial Narrow" w:hAnsi="Arial Narrow"/>
                <w:sz w:val="20"/>
              </w:rPr>
            </w:pPr>
            <w:r w:rsidRPr="0021563D">
              <w:rPr>
                <w:rFonts w:ascii="Arial Narrow" w:hAnsi="Arial Narrow"/>
                <w:sz w:val="20"/>
              </w:rPr>
              <w:t>Comparator aTIV group</w:t>
            </w:r>
          </w:p>
        </w:tc>
        <w:tc>
          <w:tcPr>
            <w:tcW w:w="1559" w:type="dxa"/>
            <w:tcMar>
              <w:left w:w="28" w:type="dxa"/>
              <w:right w:w="28" w:type="dxa"/>
            </w:tcMar>
          </w:tcPr>
          <w:p w:rsidR="00A6185A" w:rsidRPr="0021563D" w:rsidRDefault="00A6185A" w:rsidP="00052F5C">
            <w:pPr>
              <w:pStyle w:val="Tabletitlecentred0"/>
              <w:rPr>
                <w:rFonts w:ascii="Arial Narrow" w:eastAsiaTheme="minorEastAsia" w:hAnsi="Arial Narrow"/>
                <w:sz w:val="20"/>
              </w:rPr>
            </w:pPr>
            <w:r w:rsidRPr="0021563D">
              <w:rPr>
                <w:rFonts w:ascii="Arial Narrow" w:hAnsi="Arial Narrow"/>
                <w:sz w:val="20"/>
              </w:rPr>
              <w:t>GMT ratios</w:t>
            </w:r>
          </w:p>
          <w:p w:rsidR="00A6185A" w:rsidRPr="0021563D" w:rsidRDefault="00A6185A" w:rsidP="00052F5C">
            <w:pPr>
              <w:pStyle w:val="Tabletitlecentred0"/>
              <w:rPr>
                <w:rFonts w:ascii="Arial Narrow" w:hAnsi="Arial Narrow"/>
                <w:sz w:val="20"/>
              </w:rPr>
            </w:pPr>
            <w:r w:rsidRPr="0021563D">
              <w:rPr>
                <w:rFonts w:ascii="Arial Narrow" w:hAnsi="Arial Narrow"/>
                <w:sz w:val="20"/>
              </w:rPr>
              <w:t xml:space="preserve">aTIV/aQIV </w:t>
            </w:r>
            <w:r w:rsidR="003706E9" w:rsidRPr="0021563D">
              <w:rPr>
                <w:rFonts w:ascii="Arial Narrow" w:hAnsi="Arial Narrow"/>
                <w:sz w:val="20"/>
              </w:rPr>
              <w:br/>
            </w:r>
            <w:r w:rsidRPr="0021563D">
              <w:rPr>
                <w:rFonts w:ascii="Arial Narrow" w:hAnsi="Arial Narrow"/>
                <w:sz w:val="20"/>
              </w:rPr>
              <w:t>(95% CI)</w:t>
            </w:r>
          </w:p>
        </w:tc>
        <w:tc>
          <w:tcPr>
            <w:tcW w:w="1559" w:type="dxa"/>
            <w:tcMar>
              <w:left w:w="28" w:type="dxa"/>
              <w:right w:w="28" w:type="dxa"/>
            </w:tcMar>
          </w:tcPr>
          <w:p w:rsidR="00A6185A" w:rsidRPr="0021563D" w:rsidRDefault="00A6185A" w:rsidP="00052F5C">
            <w:pPr>
              <w:pStyle w:val="Tabletitlecentred0"/>
              <w:rPr>
                <w:rFonts w:ascii="Arial Narrow" w:hAnsi="Arial Narrow"/>
                <w:sz w:val="20"/>
              </w:rPr>
            </w:pPr>
            <w:r w:rsidRPr="0021563D">
              <w:rPr>
                <w:rFonts w:ascii="Arial Narrow" w:hAnsi="Arial Narrow"/>
                <w:sz w:val="20"/>
              </w:rPr>
              <w:t>Met pre-defined superiority criteria for GMT ratio?</w:t>
            </w:r>
          </w:p>
        </w:tc>
        <w:tc>
          <w:tcPr>
            <w:tcW w:w="1985" w:type="dxa"/>
            <w:tcMar>
              <w:left w:w="28" w:type="dxa"/>
              <w:right w:w="28" w:type="dxa"/>
            </w:tcMar>
          </w:tcPr>
          <w:p w:rsidR="00A6185A" w:rsidRPr="0021563D" w:rsidRDefault="00A6185A" w:rsidP="00052F5C">
            <w:pPr>
              <w:pStyle w:val="Tabletitlecentred0"/>
              <w:rPr>
                <w:rFonts w:ascii="Arial Narrow" w:eastAsiaTheme="minorEastAsia" w:hAnsi="Arial Narrow"/>
                <w:sz w:val="20"/>
              </w:rPr>
            </w:pPr>
            <w:r w:rsidRPr="0021563D">
              <w:rPr>
                <w:rFonts w:ascii="Arial Narrow" w:hAnsi="Arial Narrow"/>
                <w:sz w:val="20"/>
              </w:rPr>
              <w:t>SCR (%) difference</w:t>
            </w:r>
          </w:p>
          <w:p w:rsidR="00A6185A" w:rsidRPr="0021563D" w:rsidRDefault="00A6185A" w:rsidP="00052F5C">
            <w:pPr>
              <w:pStyle w:val="Tabletitlecentred0"/>
              <w:rPr>
                <w:rFonts w:ascii="Arial Narrow" w:hAnsi="Arial Narrow"/>
                <w:sz w:val="20"/>
              </w:rPr>
            </w:pPr>
            <w:r w:rsidRPr="0021563D">
              <w:rPr>
                <w:rFonts w:ascii="Arial Narrow" w:hAnsi="Arial Narrow"/>
                <w:sz w:val="20"/>
              </w:rPr>
              <w:t>aTIV−aQIV</w:t>
            </w:r>
          </w:p>
          <w:p w:rsidR="00A6185A" w:rsidRPr="0021563D" w:rsidRDefault="00A6185A" w:rsidP="00052F5C">
            <w:pPr>
              <w:pStyle w:val="Tabletitlecentred0"/>
              <w:rPr>
                <w:rFonts w:ascii="Arial Narrow" w:hAnsi="Arial Narrow"/>
                <w:sz w:val="20"/>
              </w:rPr>
            </w:pPr>
            <w:r w:rsidRPr="0021563D">
              <w:rPr>
                <w:rFonts w:ascii="Arial Narrow" w:hAnsi="Arial Narrow"/>
                <w:sz w:val="20"/>
              </w:rPr>
              <w:t>(95% CI)</w:t>
            </w:r>
          </w:p>
        </w:tc>
        <w:tc>
          <w:tcPr>
            <w:tcW w:w="1984" w:type="dxa"/>
            <w:tcMar>
              <w:left w:w="28" w:type="dxa"/>
              <w:right w:w="28" w:type="dxa"/>
            </w:tcMar>
          </w:tcPr>
          <w:p w:rsidR="00A6185A" w:rsidRPr="0021563D" w:rsidRDefault="00A6185A" w:rsidP="00052F5C">
            <w:pPr>
              <w:pStyle w:val="Tabletitlecentred0"/>
              <w:rPr>
                <w:rFonts w:ascii="Arial Narrow" w:hAnsi="Arial Narrow"/>
                <w:sz w:val="20"/>
              </w:rPr>
            </w:pPr>
            <w:r w:rsidRPr="0021563D">
              <w:rPr>
                <w:rFonts w:ascii="Arial Narrow" w:hAnsi="Arial Narrow"/>
                <w:sz w:val="20"/>
              </w:rPr>
              <w:t>Met pre-defined superiority criteria for SCR difference?</w:t>
            </w:r>
          </w:p>
        </w:tc>
      </w:tr>
      <w:tr w:rsidR="00A6185A" w:rsidRPr="0021563D" w:rsidTr="003706E9">
        <w:tc>
          <w:tcPr>
            <w:tcW w:w="993" w:type="dxa"/>
            <w:tcMar>
              <w:left w:w="28" w:type="dxa"/>
              <w:right w:w="28" w:type="dxa"/>
            </w:tcMar>
          </w:tcPr>
          <w:p w:rsidR="00A6185A" w:rsidRPr="0021563D" w:rsidRDefault="00A6185A" w:rsidP="003706E9">
            <w:pPr>
              <w:keepNext/>
              <w:autoSpaceDE w:val="0"/>
              <w:autoSpaceDN w:val="0"/>
              <w:adjustRightInd w:val="0"/>
              <w:rPr>
                <w:rFonts w:ascii="Arial Narrow" w:hAnsi="Arial Narrow"/>
                <w:sz w:val="20"/>
                <w:szCs w:val="20"/>
              </w:rPr>
            </w:pPr>
            <w:r w:rsidRPr="0021563D">
              <w:rPr>
                <w:rFonts w:ascii="Arial Narrow" w:hAnsi="Arial Narrow"/>
                <w:sz w:val="20"/>
                <w:szCs w:val="20"/>
              </w:rPr>
              <w:t>B-</w:t>
            </w:r>
            <w:r w:rsidRPr="0021563D">
              <w:rPr>
                <w:rFonts w:ascii="Arial Narrow" w:hAnsi="Arial Narrow" w:cstheme="minorHAnsi"/>
                <w:sz w:val="20"/>
                <w:szCs w:val="20"/>
              </w:rPr>
              <w:t>Yamagata</w:t>
            </w:r>
          </w:p>
        </w:tc>
        <w:tc>
          <w:tcPr>
            <w:tcW w:w="992"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559"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559"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985"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984"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r>
      <w:tr w:rsidR="00A6185A" w:rsidRPr="0021563D" w:rsidTr="003706E9">
        <w:tc>
          <w:tcPr>
            <w:tcW w:w="993" w:type="dxa"/>
            <w:tcMar>
              <w:left w:w="28" w:type="dxa"/>
              <w:right w:w="28" w:type="dxa"/>
            </w:tcMar>
          </w:tcPr>
          <w:p w:rsidR="00A6185A" w:rsidRPr="0021563D" w:rsidRDefault="00A6185A" w:rsidP="00052F5C">
            <w:pPr>
              <w:pStyle w:val="TableTextleftalign"/>
              <w:rPr>
                <w:rFonts w:ascii="Arial Narrow" w:hAnsi="Arial Narrow"/>
                <w:sz w:val="20"/>
                <w:szCs w:val="20"/>
              </w:rPr>
            </w:pPr>
            <w:r w:rsidRPr="0021563D">
              <w:rPr>
                <w:rFonts w:ascii="Arial Narrow" w:hAnsi="Arial Narrow"/>
                <w:sz w:val="20"/>
                <w:szCs w:val="20"/>
              </w:rPr>
              <w:t>B-Victoria</w:t>
            </w:r>
          </w:p>
        </w:tc>
        <w:tc>
          <w:tcPr>
            <w:tcW w:w="992"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559"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559"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985"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 '''''''''''''''</w:t>
            </w:r>
          </w:p>
        </w:tc>
        <w:tc>
          <w:tcPr>
            <w:tcW w:w="1984" w:type="dxa"/>
            <w:tcMar>
              <w:left w:w="28" w:type="dxa"/>
              <w:right w:w="28" w:type="dxa"/>
            </w:tcMar>
          </w:tcPr>
          <w:p w:rsidR="00A6185A" w:rsidRPr="005C4E78" w:rsidRDefault="005C4E78" w:rsidP="00052F5C">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r>
    </w:tbl>
    <w:p w:rsidR="00A6185A" w:rsidRPr="0021563D" w:rsidRDefault="00A6185A" w:rsidP="00FF0C69">
      <w:pPr>
        <w:pStyle w:val="TableFigureFooter"/>
      </w:pPr>
      <w:r w:rsidRPr="0021563D">
        <w:t xml:space="preserve">CI = confidence interval; GMT = geometric mean </w:t>
      </w:r>
      <w:r w:rsidR="00E80845" w:rsidRPr="0021563D">
        <w:t>titre</w:t>
      </w:r>
      <w:r w:rsidRPr="0021563D">
        <w:t>; HI = h</w:t>
      </w:r>
      <w:r w:rsidR="00E80845" w:rsidRPr="0021563D">
        <w:t>a</w:t>
      </w:r>
      <w:r w:rsidRPr="0021563D">
        <w:t>emagglutination inhibition; SCR = seroconversion rate.</w:t>
      </w:r>
    </w:p>
    <w:p w:rsidR="00BF039E" w:rsidRDefault="00A6185A" w:rsidP="00BF039E">
      <w:pPr>
        <w:pStyle w:val="TableFigureFooter"/>
      </w:pPr>
      <w:r w:rsidRPr="0021563D">
        <w:t>Source:</w:t>
      </w:r>
      <w:r w:rsidR="008D396C" w:rsidRPr="0021563D">
        <w:t xml:space="preserve"> </w:t>
      </w:r>
      <w:r w:rsidRPr="0021563D">
        <w:t>Table 12, V112_20 Clinical Study Report</w:t>
      </w:r>
      <w:r w:rsidR="00587969">
        <w:t xml:space="preserve">; </w:t>
      </w:r>
      <w:r w:rsidR="00FF0C69">
        <w:t>PSCR, Table 2, p3.</w:t>
      </w:r>
    </w:p>
    <w:p w:rsidR="00BF039E" w:rsidRPr="009D61D5" w:rsidRDefault="00BF039E" w:rsidP="00BF039E">
      <w:pPr>
        <w:pStyle w:val="3-BodyText"/>
      </w:pPr>
      <w:r>
        <w:t>The Evaluation noted i</w:t>
      </w:r>
      <w:r w:rsidRPr="009D61D5">
        <w:t>t is unclear whether the GMT and SCR immunogenicity results translate to non-inferiority in terms of influenza cases, hospitalisations and mortality.</w:t>
      </w:r>
    </w:p>
    <w:p w:rsidR="00BF039E" w:rsidRPr="008E537B" w:rsidRDefault="00BF039E" w:rsidP="00BF039E">
      <w:pPr>
        <w:pStyle w:val="ListParagraph"/>
        <w:keepNext/>
        <w:widowControl/>
        <w:numPr>
          <w:ilvl w:val="1"/>
          <w:numId w:val="39"/>
        </w:numPr>
        <w:spacing w:after="0"/>
        <w:ind w:left="709" w:hanging="709"/>
        <w:rPr>
          <w:rStyle w:val="CommentReference"/>
          <w:rFonts w:asciiTheme="minorHAnsi" w:hAnsiTheme="minorHAnsi"/>
          <w:b w:val="0"/>
          <w:sz w:val="24"/>
          <w:szCs w:val="24"/>
        </w:rPr>
      </w:pPr>
      <w:r w:rsidRPr="009D61D5">
        <w:rPr>
          <w:rStyle w:val="CommentReference"/>
          <w:rFonts w:ascii="Calibri" w:hAnsi="Calibri"/>
          <w:b w:val="0"/>
          <w:sz w:val="24"/>
          <w:szCs w:val="22"/>
        </w:rPr>
        <w:t xml:space="preserve">ATAGI noted in its presubmission advice, that … “the greatest advantage of QIV over TIV is likely to be in infants and children, who have had less exposure to influenza B, compared to the elderly” </w:t>
      </w:r>
      <w:r w:rsidRPr="009D61D5">
        <w:t>(p8 of the ATAGI Februa</w:t>
      </w:r>
      <w:r w:rsidR="00F116BF">
        <w:t>ry 2019 pre-submission advice).</w:t>
      </w:r>
    </w:p>
    <w:p w:rsidR="002267F2" w:rsidRPr="009D61D5" w:rsidRDefault="002267F2" w:rsidP="008E537B">
      <w:pPr>
        <w:pStyle w:val="4-SubsectionHeading"/>
      </w:pPr>
      <w:bookmarkStart w:id="14" w:name="_Toc9407310"/>
      <w:r w:rsidRPr="009D61D5">
        <w:t>Comparative harms</w:t>
      </w:r>
      <w:bookmarkEnd w:id="14"/>
    </w:p>
    <w:p w:rsidR="00637C5C" w:rsidRPr="009D61D5" w:rsidRDefault="00637C5C" w:rsidP="008E537B">
      <w:pPr>
        <w:pStyle w:val="5-SubsectionSubheading"/>
      </w:pPr>
      <w:r w:rsidRPr="009D61D5">
        <w:t>aTIV</w:t>
      </w:r>
      <w:r w:rsidR="0026309F" w:rsidRPr="009D61D5">
        <w:t xml:space="preserve"> (Fluad) </w:t>
      </w:r>
      <w:r w:rsidRPr="009D61D5">
        <w:t xml:space="preserve">compared to </w:t>
      </w:r>
      <w:r w:rsidR="009F3C70" w:rsidRPr="009D61D5">
        <w:t>Q</w:t>
      </w:r>
      <w:r w:rsidRPr="009D61D5">
        <w:t>IV</w:t>
      </w:r>
    </w:p>
    <w:p w:rsidR="002267F2" w:rsidRPr="009D61D5" w:rsidRDefault="002267F2" w:rsidP="00F37302">
      <w:pPr>
        <w:pStyle w:val="ListParagraph"/>
        <w:keepNext/>
        <w:widowControl/>
        <w:numPr>
          <w:ilvl w:val="1"/>
          <w:numId w:val="39"/>
        </w:numPr>
        <w:ind w:left="709" w:hanging="709"/>
      </w:pPr>
      <w:r w:rsidRPr="00412CB6">
        <w:t>The</w:t>
      </w:r>
      <w:r w:rsidRPr="009D61D5">
        <w:rPr>
          <w:rFonts w:eastAsiaTheme="minorHAnsi"/>
        </w:rPr>
        <w:t xml:space="preserve"> safety outcomes from </w:t>
      </w:r>
      <w:r w:rsidR="002D2864" w:rsidRPr="009D61D5">
        <w:rPr>
          <w:rFonts w:eastAsiaTheme="minorHAnsi"/>
        </w:rPr>
        <w:t xml:space="preserve">the </w:t>
      </w:r>
      <w:r w:rsidRPr="009D61D5">
        <w:rPr>
          <w:rFonts w:eastAsiaTheme="minorHAnsi"/>
        </w:rPr>
        <w:t>LIVE study (Villa 2013</w:t>
      </w:r>
      <w:r w:rsidRPr="009D61D5">
        <w:rPr>
          <w:rFonts w:eastAsiaTheme="minorHAnsi" w:cstheme="minorHAnsi"/>
          <w:color w:val="000000"/>
        </w:rPr>
        <w:t xml:space="preserve">) </w:t>
      </w:r>
      <w:r w:rsidR="0069272D" w:rsidRPr="009D61D5">
        <w:rPr>
          <w:rFonts w:eastAsiaTheme="minorHAnsi" w:cstheme="minorHAnsi"/>
          <w:color w:val="000000"/>
        </w:rPr>
        <w:t xml:space="preserve">comparing </w:t>
      </w:r>
      <w:r w:rsidRPr="009D61D5">
        <w:rPr>
          <w:rFonts w:eastAsiaTheme="minorHAnsi" w:cstheme="minorHAnsi"/>
          <w:color w:val="000000"/>
        </w:rPr>
        <w:t xml:space="preserve">aTIV (Fluad) </w:t>
      </w:r>
      <w:r w:rsidR="0069272D" w:rsidRPr="009D61D5">
        <w:rPr>
          <w:rFonts w:eastAsiaTheme="minorHAnsi" w:cstheme="minorHAnsi"/>
          <w:color w:val="000000"/>
        </w:rPr>
        <w:t>to TIV</w:t>
      </w:r>
      <w:r w:rsidRPr="009D61D5">
        <w:rPr>
          <w:rFonts w:eastAsiaTheme="minorHAnsi" w:cstheme="minorHAnsi"/>
          <w:color w:val="000000"/>
        </w:rPr>
        <w:t xml:space="preserve"> </w:t>
      </w:r>
      <w:r w:rsidRPr="009D61D5">
        <w:t xml:space="preserve">are presented in Table </w:t>
      </w:r>
      <w:r w:rsidR="00783D3A">
        <w:t>10</w:t>
      </w:r>
      <w:r w:rsidRPr="009D61D5">
        <w:t>.</w:t>
      </w:r>
    </w:p>
    <w:p w:rsidR="0009656B" w:rsidRDefault="0009656B" w:rsidP="0009656B">
      <w:pPr>
        <w:pStyle w:val="TableFigureHeading"/>
      </w:pPr>
      <w:r>
        <w:t xml:space="preserve">Table </w:t>
      </w:r>
      <w:fldSimple w:instr=" SEQ Table \* ARABIC ">
        <w:r w:rsidR="009C284C">
          <w:rPr>
            <w:noProof/>
          </w:rPr>
          <w:t>10</w:t>
        </w:r>
      </w:fldSimple>
      <w:r w:rsidRPr="00574592">
        <w:t>: Numbers of ‘definite’, ‘probable’ and ‘possible’ cases of adverse events of special interest arising during 6-month time window following vaccination (aged &gt; 65 years, secondary analysis)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Numbers of ‘definite’, ‘probable’ and ‘possible’ cases of adverse events of special interest arising during 6-month time window following vaccination (aged &gt; 65 years, secondary analysis)"/>
      </w:tblPr>
      <w:tblGrid>
        <w:gridCol w:w="2270"/>
        <w:gridCol w:w="539"/>
        <w:gridCol w:w="1892"/>
        <w:gridCol w:w="545"/>
        <w:gridCol w:w="1843"/>
        <w:gridCol w:w="1928"/>
      </w:tblGrid>
      <w:tr w:rsidR="002267F2" w:rsidRPr="009D61D5" w:rsidTr="0009656B">
        <w:trPr>
          <w:cantSplit/>
          <w:tblHeader/>
        </w:trPr>
        <w:tc>
          <w:tcPr>
            <w:tcW w:w="1259" w:type="pct"/>
            <w:vMerge w:val="restart"/>
            <w:shd w:val="clear" w:color="auto" w:fill="auto"/>
          </w:tcPr>
          <w:p w:rsidR="002267F2" w:rsidRPr="009D61D5" w:rsidRDefault="002267F2" w:rsidP="00A00426">
            <w:pPr>
              <w:keepNext/>
              <w:spacing w:before="20" w:after="20"/>
              <w:rPr>
                <w:rFonts w:ascii="Arial Narrow" w:hAnsi="Arial Narrow" w:cstheme="minorHAnsi"/>
                <w:b/>
                <w:sz w:val="20"/>
                <w:szCs w:val="20"/>
              </w:rPr>
            </w:pPr>
            <w:r w:rsidRPr="009D61D5">
              <w:rPr>
                <w:rFonts w:ascii="Arial Narrow" w:hAnsi="Arial Narrow" w:cstheme="minorHAnsi"/>
                <w:b/>
                <w:sz w:val="20"/>
                <w:szCs w:val="20"/>
              </w:rPr>
              <w:t xml:space="preserve">Outcome </w:t>
            </w:r>
          </w:p>
        </w:tc>
        <w:tc>
          <w:tcPr>
            <w:tcW w:w="1348" w:type="pct"/>
            <w:gridSpan w:val="2"/>
            <w:tcBorders>
              <w:bottom w:val="single" w:sz="4" w:space="0" w:color="auto"/>
            </w:tcBorders>
            <w:shd w:val="clear" w:color="auto" w:fill="auto"/>
          </w:tcPr>
          <w:p w:rsidR="002267F2" w:rsidRPr="009D61D5" w:rsidRDefault="002267F2" w:rsidP="00A00426">
            <w:pPr>
              <w:keepNext/>
              <w:spacing w:before="20" w:after="20"/>
              <w:jc w:val="center"/>
              <w:rPr>
                <w:rFonts w:ascii="Arial Narrow" w:hAnsi="Arial Narrow"/>
                <w:b/>
                <w:sz w:val="20"/>
                <w:szCs w:val="20"/>
              </w:rPr>
            </w:pPr>
            <w:r w:rsidRPr="009D61D5">
              <w:rPr>
                <w:rFonts w:ascii="Arial Narrow" w:hAnsi="Arial Narrow"/>
                <w:b/>
                <w:sz w:val="20"/>
                <w:szCs w:val="20"/>
              </w:rPr>
              <w:t xml:space="preserve">TIV </w:t>
            </w:r>
          </w:p>
          <w:p w:rsidR="002267F2" w:rsidRPr="009D61D5" w:rsidRDefault="002267F2" w:rsidP="00A00426">
            <w:pPr>
              <w:keepNext/>
              <w:spacing w:before="20" w:after="20"/>
              <w:jc w:val="center"/>
              <w:rPr>
                <w:rFonts w:ascii="Arial Narrow" w:hAnsi="Arial Narrow"/>
                <w:b/>
                <w:sz w:val="20"/>
                <w:szCs w:val="20"/>
              </w:rPr>
            </w:pPr>
            <w:r w:rsidRPr="009D61D5">
              <w:rPr>
                <w:rFonts w:ascii="Arial Narrow" w:hAnsi="Arial Narrow" w:cstheme="minorHAnsi"/>
                <w:b/>
                <w:iCs/>
                <w:sz w:val="20"/>
                <w:szCs w:val="20"/>
              </w:rPr>
              <w:t>(n=</w:t>
            </w:r>
            <w:r w:rsidRPr="009D61D5">
              <w:rPr>
                <w:rFonts w:ascii="Arial Narrow" w:hAnsi="Arial Narrow" w:cstheme="minorHAnsi"/>
                <w:b/>
                <w:sz w:val="20"/>
                <w:szCs w:val="20"/>
              </w:rPr>
              <w:t>82,539)</w:t>
            </w:r>
          </w:p>
        </w:tc>
        <w:tc>
          <w:tcPr>
            <w:tcW w:w="1324" w:type="pct"/>
            <w:gridSpan w:val="2"/>
            <w:tcBorders>
              <w:bottom w:val="single" w:sz="4" w:space="0" w:color="auto"/>
            </w:tcBorders>
            <w:shd w:val="clear" w:color="auto" w:fill="auto"/>
          </w:tcPr>
          <w:p w:rsidR="002267F2" w:rsidRPr="009D61D5" w:rsidRDefault="002267F2" w:rsidP="00A00426">
            <w:pPr>
              <w:keepNext/>
              <w:spacing w:before="20" w:after="20"/>
              <w:jc w:val="center"/>
              <w:rPr>
                <w:rFonts w:ascii="Arial Narrow" w:hAnsi="Arial Narrow" w:cstheme="minorHAnsi"/>
                <w:b/>
                <w:sz w:val="20"/>
                <w:szCs w:val="20"/>
              </w:rPr>
            </w:pPr>
            <w:r w:rsidRPr="009D61D5">
              <w:rPr>
                <w:rFonts w:ascii="Arial Narrow" w:hAnsi="Arial Narrow"/>
                <w:b/>
                <w:sz w:val="20"/>
                <w:szCs w:val="20"/>
              </w:rPr>
              <w:t>Fluad (aTIV)</w:t>
            </w:r>
          </w:p>
          <w:p w:rsidR="002267F2" w:rsidRPr="009D61D5" w:rsidRDefault="002267F2" w:rsidP="00A00426">
            <w:pPr>
              <w:jc w:val="center"/>
              <w:rPr>
                <w:rFonts w:ascii="Arial Narrow" w:hAnsi="Arial Narrow"/>
                <w:sz w:val="20"/>
                <w:szCs w:val="20"/>
              </w:rPr>
            </w:pPr>
            <w:r w:rsidRPr="009D61D5">
              <w:rPr>
                <w:rFonts w:ascii="Arial Narrow" w:hAnsi="Arial Narrow" w:cstheme="minorHAnsi"/>
                <w:b/>
                <w:sz w:val="20"/>
                <w:szCs w:val="20"/>
              </w:rPr>
              <w:t>(n=88,449)</w:t>
            </w:r>
          </w:p>
        </w:tc>
        <w:tc>
          <w:tcPr>
            <w:tcW w:w="1069" w:type="pct"/>
            <w:tcBorders>
              <w:bottom w:val="single" w:sz="4" w:space="0" w:color="auto"/>
            </w:tcBorders>
            <w:shd w:val="clear" w:color="auto" w:fill="auto"/>
          </w:tcPr>
          <w:p w:rsidR="002267F2" w:rsidRPr="009D61D5" w:rsidRDefault="002267F2" w:rsidP="00A00426">
            <w:pPr>
              <w:keepNext/>
              <w:spacing w:before="20" w:after="20"/>
              <w:jc w:val="center"/>
              <w:rPr>
                <w:rFonts w:ascii="Arial Narrow" w:hAnsi="Arial Narrow"/>
                <w:b/>
                <w:sz w:val="20"/>
                <w:szCs w:val="20"/>
              </w:rPr>
            </w:pPr>
            <w:r w:rsidRPr="009D61D5">
              <w:rPr>
                <w:rFonts w:ascii="Arial Narrow" w:hAnsi="Arial Narrow"/>
                <w:b/>
                <w:sz w:val="20"/>
                <w:szCs w:val="20"/>
              </w:rPr>
              <w:t>Difference</w:t>
            </w:r>
          </w:p>
        </w:tc>
      </w:tr>
      <w:tr w:rsidR="002267F2" w:rsidRPr="009D61D5" w:rsidTr="0009656B">
        <w:trPr>
          <w:cantSplit/>
          <w:tblHeader/>
        </w:trPr>
        <w:tc>
          <w:tcPr>
            <w:tcW w:w="1259" w:type="pct"/>
            <w:vMerge/>
            <w:tcBorders>
              <w:bottom w:val="single" w:sz="4" w:space="0" w:color="auto"/>
            </w:tcBorders>
            <w:shd w:val="clear" w:color="auto" w:fill="auto"/>
          </w:tcPr>
          <w:p w:rsidR="002267F2" w:rsidRPr="009D61D5" w:rsidRDefault="002267F2" w:rsidP="00A00426">
            <w:pPr>
              <w:keepNext/>
              <w:spacing w:before="20" w:after="20"/>
              <w:rPr>
                <w:rFonts w:ascii="Arial Narrow" w:hAnsi="Arial Narrow" w:cstheme="minorHAnsi"/>
                <w:b/>
                <w:sz w:val="20"/>
                <w:szCs w:val="20"/>
              </w:rPr>
            </w:pPr>
          </w:p>
        </w:tc>
        <w:tc>
          <w:tcPr>
            <w:tcW w:w="299" w:type="pct"/>
            <w:tcBorders>
              <w:bottom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n</w:t>
            </w:r>
          </w:p>
        </w:tc>
        <w:tc>
          <w:tcPr>
            <w:tcW w:w="1049" w:type="pct"/>
            <w:tcBorders>
              <w:bottom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c>
          <w:tcPr>
            <w:tcW w:w="302" w:type="pct"/>
            <w:tcBorders>
              <w:bottom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n</w:t>
            </w:r>
          </w:p>
        </w:tc>
        <w:tc>
          <w:tcPr>
            <w:tcW w:w="1022" w:type="pct"/>
            <w:tcBorders>
              <w:bottom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c>
          <w:tcPr>
            <w:tcW w:w="1069" w:type="pct"/>
            <w:tcBorders>
              <w:bottom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Anaphylaxis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w:t>
            </w:r>
          </w:p>
        </w:tc>
        <w:tc>
          <w:tcPr>
            <w:tcW w:w="102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1.13 (0.00, 6.30)</w:t>
            </w:r>
          </w:p>
        </w:tc>
        <w:tc>
          <w:tcPr>
            <w:tcW w:w="106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1.13 (-1.09,</w:t>
            </w:r>
            <w:r w:rsidR="003712E8" w:rsidRPr="009D61D5">
              <w:rPr>
                <w:rFonts w:ascii="Arial Narrow" w:hAnsi="Arial Narrow"/>
                <w:sz w:val="20"/>
                <w:szCs w:val="20"/>
              </w:rPr>
              <w:t xml:space="preserve"> </w:t>
            </w:r>
            <w:r w:rsidRPr="009D61D5">
              <w:rPr>
                <w:rFonts w:ascii="Arial Narrow" w:hAnsi="Arial Narrow"/>
                <w:sz w:val="20"/>
                <w:szCs w:val="20"/>
              </w:rPr>
              <w:t>3.35)</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Autoimmune hepatitis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w:t>
            </w:r>
          </w:p>
        </w:tc>
        <w:tc>
          <w:tcPr>
            <w:tcW w:w="102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(0.00,</w:t>
            </w:r>
            <w:r w:rsidR="003712E8" w:rsidRPr="009D61D5">
              <w:rPr>
                <w:rFonts w:ascii="Arial Narrow" w:hAnsi="Arial Narrow"/>
                <w:sz w:val="20"/>
                <w:szCs w:val="20"/>
              </w:rPr>
              <w:t xml:space="preserve"> </w:t>
            </w:r>
            <w:r w:rsidRPr="009D61D5">
              <w:rPr>
                <w:rFonts w:ascii="Arial Narrow" w:hAnsi="Arial Narrow"/>
                <w:sz w:val="20"/>
                <w:szCs w:val="20"/>
              </w:rPr>
              <w:t>4.17)</w:t>
            </w:r>
          </w:p>
        </w:tc>
        <w:tc>
          <w:tcPr>
            <w:tcW w:w="106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(N/A)</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Bell’s palsy</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1.21 (0.03, 6.75)</w:t>
            </w:r>
          </w:p>
        </w:tc>
        <w:tc>
          <w:tcPr>
            <w:tcW w:w="30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2</w:t>
            </w:r>
          </w:p>
        </w:tc>
        <w:tc>
          <w:tcPr>
            <w:tcW w:w="102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2.26 (0.27,</w:t>
            </w:r>
            <w:r w:rsidR="003712E8" w:rsidRPr="009D61D5">
              <w:rPr>
                <w:rFonts w:ascii="Arial Narrow" w:hAnsi="Arial Narrow"/>
                <w:sz w:val="20"/>
                <w:szCs w:val="20"/>
              </w:rPr>
              <w:t xml:space="preserve"> </w:t>
            </w:r>
            <w:r w:rsidRPr="009D61D5">
              <w:rPr>
                <w:rFonts w:ascii="Arial Narrow" w:hAnsi="Arial Narrow"/>
                <w:sz w:val="20"/>
                <w:szCs w:val="20"/>
              </w:rPr>
              <w:t>8.17)</w:t>
            </w:r>
          </w:p>
        </w:tc>
        <w:tc>
          <w:tcPr>
            <w:tcW w:w="106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1.05 (-2.88, 4.98)</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Convulsions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41</w:t>
            </w:r>
          </w:p>
        </w:tc>
        <w:tc>
          <w:tcPr>
            <w:tcW w:w="104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49.67 (35.65, 67.39)</w:t>
            </w:r>
          </w:p>
        </w:tc>
        <w:tc>
          <w:tcPr>
            <w:tcW w:w="30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39</w:t>
            </w:r>
          </w:p>
        </w:tc>
        <w:tc>
          <w:tcPr>
            <w:tcW w:w="102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44.09 (31.36, 60.27)</w:t>
            </w:r>
          </w:p>
        </w:tc>
        <w:tc>
          <w:tcPr>
            <w:tcW w:w="106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-5.58 (-26.12,</w:t>
            </w:r>
            <w:r w:rsidR="003712E8" w:rsidRPr="009D61D5">
              <w:rPr>
                <w:rFonts w:ascii="Arial Narrow" w:hAnsi="Arial Narrow"/>
                <w:sz w:val="20"/>
                <w:szCs w:val="20"/>
              </w:rPr>
              <w:t xml:space="preserve"> </w:t>
            </w:r>
            <w:r w:rsidRPr="009D61D5">
              <w:rPr>
                <w:rFonts w:ascii="Arial Narrow" w:hAnsi="Arial Narrow"/>
                <w:sz w:val="20"/>
                <w:szCs w:val="20"/>
              </w:rPr>
              <w:t>14.97)</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Demyelinating disorders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w:t>
            </w:r>
          </w:p>
        </w:tc>
        <w:tc>
          <w:tcPr>
            <w:tcW w:w="1022"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(0.00,</w:t>
            </w:r>
            <w:r w:rsidR="003712E8" w:rsidRPr="009D61D5">
              <w:rPr>
                <w:rFonts w:ascii="Arial Narrow" w:hAnsi="Arial Narrow"/>
                <w:sz w:val="20"/>
                <w:szCs w:val="20"/>
              </w:rPr>
              <w:t xml:space="preserve"> </w:t>
            </w:r>
            <w:r w:rsidRPr="009D61D5">
              <w:rPr>
                <w:rFonts w:ascii="Arial Narrow" w:hAnsi="Arial Narrow"/>
                <w:sz w:val="20"/>
                <w:szCs w:val="20"/>
              </w:rPr>
              <w:t>4.17)</w:t>
            </w:r>
          </w:p>
        </w:tc>
        <w:tc>
          <w:tcPr>
            <w:tcW w:w="106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0.00 (N/A)</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Encephalitis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0</w:t>
            </w:r>
          </w:p>
        </w:tc>
        <w:tc>
          <w:tcPr>
            <w:tcW w:w="102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0.00 (0.00,</w:t>
            </w:r>
            <w:r w:rsidR="003712E8" w:rsidRPr="009D61D5">
              <w:rPr>
                <w:rFonts w:ascii="Arial Narrow" w:hAnsi="Arial Narrow" w:cstheme="minorHAnsi"/>
                <w:sz w:val="20"/>
                <w:szCs w:val="20"/>
              </w:rPr>
              <w:t xml:space="preserve"> </w:t>
            </w:r>
            <w:r w:rsidRPr="009D61D5">
              <w:rPr>
                <w:rFonts w:ascii="Arial Narrow" w:hAnsi="Arial Narrow" w:cstheme="minorHAnsi"/>
                <w:sz w:val="20"/>
                <w:szCs w:val="20"/>
              </w:rPr>
              <w:t>4.17</w:t>
            </w:r>
          </w:p>
        </w:tc>
        <w:tc>
          <w:tcPr>
            <w:tcW w:w="106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-1.21 (-3.59,</w:t>
            </w:r>
            <w:r w:rsidR="003712E8" w:rsidRPr="009D61D5">
              <w:rPr>
                <w:rFonts w:ascii="Arial Narrow" w:hAnsi="Arial Narrow" w:cstheme="minorHAnsi"/>
                <w:sz w:val="20"/>
                <w:szCs w:val="20"/>
              </w:rPr>
              <w:t xml:space="preserve"> </w:t>
            </w:r>
            <w:r w:rsidRPr="009D61D5">
              <w:rPr>
                <w:rFonts w:ascii="Arial Narrow" w:hAnsi="Arial Narrow" w:cstheme="minorHAnsi"/>
                <w:sz w:val="20"/>
                <w:szCs w:val="20"/>
              </w:rPr>
              <w:t>1.16)</w:t>
            </w:r>
          </w:p>
        </w:tc>
      </w:tr>
      <w:tr w:rsidR="002267F2" w:rsidRPr="009D61D5" w:rsidTr="0009656B">
        <w:trPr>
          <w:cantSplit/>
          <w:trHeight w:val="20"/>
        </w:trPr>
        <w:tc>
          <w:tcPr>
            <w:tcW w:w="1259" w:type="pct"/>
            <w:shd w:val="clear" w:color="auto" w:fill="auto"/>
          </w:tcPr>
          <w:p w:rsidR="002267F2" w:rsidRPr="009D61D5" w:rsidRDefault="00E80845" w:rsidP="00A00426">
            <w:pPr>
              <w:pStyle w:val="TableTextleftalign"/>
              <w:keepNext/>
              <w:rPr>
                <w:rFonts w:ascii="Arial Narrow" w:hAnsi="Arial Narrow"/>
                <w:sz w:val="20"/>
                <w:szCs w:val="20"/>
                <w:lang w:val="en-AU"/>
              </w:rPr>
            </w:pPr>
            <w:r w:rsidRPr="009D61D5">
              <w:rPr>
                <w:rFonts w:ascii="Arial Narrow" w:hAnsi="Arial Narrow"/>
                <w:sz w:val="20"/>
                <w:szCs w:val="20"/>
                <w:lang w:val="en-AU"/>
              </w:rPr>
              <w:t>Guillain-Barre</w:t>
            </w:r>
            <w:r w:rsidR="002267F2" w:rsidRPr="009D61D5">
              <w:rPr>
                <w:rFonts w:ascii="Arial Narrow" w:hAnsi="Arial Narrow"/>
                <w:sz w:val="20"/>
                <w:szCs w:val="20"/>
                <w:lang w:val="en-AU"/>
              </w:rPr>
              <w:t xml:space="preserve"> syndrome</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4</w:t>
            </w:r>
          </w:p>
        </w:tc>
        <w:tc>
          <w:tcPr>
            <w:tcW w:w="104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4.85 (1.32, 12.41)</w:t>
            </w:r>
          </w:p>
        </w:tc>
        <w:tc>
          <w:tcPr>
            <w:tcW w:w="30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w:t>
            </w:r>
          </w:p>
        </w:tc>
        <w:tc>
          <w:tcPr>
            <w:tcW w:w="102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1.13 (0.03, 6.30)</w:t>
            </w:r>
          </w:p>
        </w:tc>
        <w:tc>
          <w:tcPr>
            <w:tcW w:w="106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-3.72 (-8.96, 1.53)</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Immune thrombocytopenic purpura</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3</w:t>
            </w:r>
          </w:p>
        </w:tc>
        <w:tc>
          <w:tcPr>
            <w:tcW w:w="102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3.39 (0.70, 9.91)</w:t>
            </w:r>
          </w:p>
        </w:tc>
        <w:tc>
          <w:tcPr>
            <w:tcW w:w="106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2.18 (-2.33, 6.69)</w:t>
            </w:r>
          </w:p>
        </w:tc>
      </w:tr>
      <w:tr w:rsidR="002267F2" w:rsidRPr="009D61D5" w:rsidTr="0009656B">
        <w:trPr>
          <w:cantSplit/>
          <w:trHeight w:val="20"/>
        </w:trPr>
        <w:tc>
          <w:tcPr>
            <w:tcW w:w="1259" w:type="pct"/>
            <w:shd w:val="clear" w:color="auto" w:fill="auto"/>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Vasculitis</w:t>
            </w:r>
          </w:p>
        </w:tc>
        <w:tc>
          <w:tcPr>
            <w:tcW w:w="299" w:type="pct"/>
          </w:tcPr>
          <w:p w:rsidR="002267F2" w:rsidRPr="009D61D5" w:rsidRDefault="002267F2" w:rsidP="00A00426">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5</w:t>
            </w:r>
          </w:p>
        </w:tc>
        <w:tc>
          <w:tcPr>
            <w:tcW w:w="1022"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5.65 (1.84, 13.19)</w:t>
            </w:r>
          </w:p>
        </w:tc>
        <w:tc>
          <w:tcPr>
            <w:tcW w:w="1069" w:type="pct"/>
          </w:tcPr>
          <w:p w:rsidR="002267F2" w:rsidRPr="009D61D5" w:rsidRDefault="002267F2" w:rsidP="00A00426">
            <w:pPr>
              <w:pStyle w:val="TableTextcentred"/>
              <w:keepNext/>
              <w:rPr>
                <w:rFonts w:ascii="Arial Narrow" w:hAnsi="Arial Narrow" w:cstheme="minorHAnsi"/>
                <w:sz w:val="20"/>
                <w:szCs w:val="20"/>
              </w:rPr>
            </w:pPr>
            <w:r w:rsidRPr="009D61D5">
              <w:rPr>
                <w:rFonts w:ascii="Arial Narrow" w:hAnsi="Arial Narrow" w:cstheme="minorHAnsi"/>
                <w:sz w:val="20"/>
                <w:szCs w:val="20"/>
              </w:rPr>
              <w:t>4.44 (-1.05,</w:t>
            </w:r>
            <w:r w:rsidR="003712E8" w:rsidRPr="009D61D5">
              <w:rPr>
                <w:rFonts w:ascii="Arial Narrow" w:hAnsi="Arial Narrow" w:cstheme="minorHAnsi"/>
                <w:sz w:val="20"/>
                <w:szCs w:val="20"/>
              </w:rPr>
              <w:t xml:space="preserve"> </w:t>
            </w:r>
            <w:r w:rsidRPr="009D61D5">
              <w:rPr>
                <w:rFonts w:ascii="Arial Narrow" w:hAnsi="Arial Narrow" w:cstheme="minorHAnsi"/>
                <w:sz w:val="20"/>
                <w:szCs w:val="20"/>
              </w:rPr>
              <w:t>9.94)</w:t>
            </w:r>
          </w:p>
        </w:tc>
      </w:tr>
    </w:tbl>
    <w:p w:rsidR="002267F2" w:rsidRPr="009D61D5" w:rsidRDefault="002267F2" w:rsidP="0009656B">
      <w:pPr>
        <w:pStyle w:val="TableFigureFooter"/>
        <w:rPr>
          <w:rFonts w:eastAsiaTheme="minorHAnsi"/>
        </w:rPr>
      </w:pPr>
      <w:r w:rsidRPr="009D61D5">
        <w:rPr>
          <w:rFonts w:eastAsiaTheme="minorHAnsi"/>
        </w:rPr>
        <w:t>Cl</w:t>
      </w:r>
      <w:r w:rsidR="003618CE" w:rsidRPr="009D61D5">
        <w:t>:</w:t>
      </w:r>
      <w:r w:rsidRPr="009D61D5">
        <w:rPr>
          <w:rFonts w:eastAsiaTheme="minorHAnsi"/>
        </w:rPr>
        <w:t xml:space="preserve"> confidence interval; N/A</w:t>
      </w:r>
      <w:r w:rsidR="003618CE" w:rsidRPr="009D61D5">
        <w:t>:</w:t>
      </w:r>
      <w:r w:rsidRPr="009D61D5">
        <w:rPr>
          <w:rFonts w:eastAsiaTheme="minorHAnsi"/>
        </w:rPr>
        <w:t xml:space="preserve"> not available; TIV</w:t>
      </w:r>
      <w:r w:rsidR="003618CE" w:rsidRPr="009D61D5">
        <w:t>:</w:t>
      </w:r>
      <w:r w:rsidRPr="009D61D5">
        <w:rPr>
          <w:rFonts w:eastAsiaTheme="minorHAnsi"/>
        </w:rPr>
        <w:t xml:space="preserve"> trivalent inactivated vaccine</w:t>
      </w:r>
    </w:p>
    <w:p w:rsidR="002267F2" w:rsidRPr="009D61D5" w:rsidRDefault="0009656B" w:rsidP="0009656B">
      <w:pPr>
        <w:pStyle w:val="TableFigureFooter"/>
        <w:rPr>
          <w:rFonts w:eastAsiaTheme="minorHAnsi"/>
        </w:rPr>
      </w:pPr>
      <w:r w:rsidRPr="0009656B">
        <w:rPr>
          <w:rFonts w:eastAsiaTheme="minorHAnsi"/>
          <w:vertAlign w:val="superscript"/>
        </w:rPr>
        <w:t>1</w:t>
      </w:r>
      <w:r>
        <w:rPr>
          <w:rFonts w:eastAsiaTheme="minorHAnsi"/>
        </w:rPr>
        <w:t xml:space="preserve"> </w:t>
      </w:r>
      <w:r w:rsidR="002267F2" w:rsidRPr="009D61D5">
        <w:rPr>
          <w:rFonts w:eastAsiaTheme="minorHAnsi"/>
        </w:rPr>
        <w:t>Cumulative incidence (number of cases per 100,000 persons).</w:t>
      </w:r>
    </w:p>
    <w:p w:rsidR="002267F2" w:rsidRPr="008E537B" w:rsidRDefault="002267F2" w:rsidP="0009656B">
      <w:pPr>
        <w:pStyle w:val="TableFigureFooter"/>
      </w:pPr>
      <w:r w:rsidRPr="009D61D5">
        <w:t>Source: Table 2-28, p80 of the submission.</w:t>
      </w:r>
    </w:p>
    <w:p w:rsidR="0069272D" w:rsidRPr="009D61D5" w:rsidRDefault="00110632" w:rsidP="00061E86">
      <w:pPr>
        <w:pStyle w:val="3-BodyText"/>
      </w:pPr>
      <w:r w:rsidRPr="009D61D5">
        <w:rPr>
          <w:rFonts w:eastAsiaTheme="minorHAnsi"/>
        </w:rPr>
        <w:t xml:space="preserve">The submission stated that </w:t>
      </w:r>
      <w:r w:rsidR="0069272D" w:rsidRPr="009D61D5">
        <w:rPr>
          <w:rFonts w:eastAsiaTheme="minorHAnsi"/>
        </w:rPr>
        <w:t xml:space="preserve">hospitalisation for any Adverse Events of Special </w:t>
      </w:r>
      <w:r w:rsidR="0069272D" w:rsidRPr="00412CB6">
        <w:t>Interest</w:t>
      </w:r>
      <w:r w:rsidR="0069272D" w:rsidRPr="009D61D5">
        <w:rPr>
          <w:rFonts w:eastAsiaTheme="minorHAnsi"/>
        </w:rPr>
        <w:t xml:space="preserve"> (AESI), except for </w:t>
      </w:r>
      <w:r w:rsidR="0069272D" w:rsidRPr="00DA725C">
        <w:t>convulsion</w:t>
      </w:r>
      <w:r w:rsidR="0069272D" w:rsidRPr="009D61D5">
        <w:rPr>
          <w:rFonts w:eastAsiaTheme="minorHAnsi"/>
        </w:rPr>
        <w:t>, was rare in both groups</w:t>
      </w:r>
      <w:r w:rsidR="00C42279" w:rsidRPr="009D61D5">
        <w:rPr>
          <w:rFonts w:eastAsiaTheme="minorHAnsi"/>
        </w:rPr>
        <w:t xml:space="preserve">. </w:t>
      </w:r>
      <w:r w:rsidR="0069272D" w:rsidRPr="009D61D5">
        <w:rPr>
          <w:rFonts w:eastAsiaTheme="minorHAnsi"/>
        </w:rPr>
        <w:t xml:space="preserve">Risk of an AESI were similar for </w:t>
      </w:r>
      <w:r w:rsidR="0069272D" w:rsidRPr="009D61D5">
        <w:rPr>
          <w:rFonts w:eastAsiaTheme="minorHAnsi"/>
        </w:rPr>
        <w:lastRenderedPageBreak/>
        <w:t>aTIV and TIV. Overall, there was no indication that receipt of aTIV (Fluad) was associated with an increased risk of any AESI.</w:t>
      </w:r>
    </w:p>
    <w:p w:rsidR="00CF77EE" w:rsidRDefault="00CF77EE" w:rsidP="00F37302">
      <w:pPr>
        <w:pStyle w:val="ListParagraph"/>
        <w:keepNext/>
        <w:widowControl/>
        <w:numPr>
          <w:ilvl w:val="1"/>
          <w:numId w:val="39"/>
        </w:numPr>
        <w:ind w:left="709" w:hanging="709"/>
      </w:pPr>
      <w:r w:rsidRPr="009D61D5">
        <w:t>ATAGI ha</w:t>
      </w:r>
      <w:r w:rsidR="00210D11">
        <w:t>s</w:t>
      </w:r>
      <w:r w:rsidRPr="009D61D5">
        <w:t xml:space="preserve"> previously reported that they “… did not have major concerns regarding the safety of aTIV” (PBAC, March 2018, Public Summary Document – Fluad, paragraph 6.17).</w:t>
      </w:r>
    </w:p>
    <w:p w:rsidR="00637C5C" w:rsidRPr="009D61D5" w:rsidRDefault="00637C5C" w:rsidP="008E537B">
      <w:pPr>
        <w:pStyle w:val="5-SubsectionSubheading"/>
      </w:pPr>
      <w:r w:rsidRPr="009D61D5">
        <w:t>aQIV compared to aTIV</w:t>
      </w:r>
      <w:r w:rsidR="00980EA2" w:rsidRPr="009D61D5">
        <w:t xml:space="preserve"> (Fluad)</w:t>
      </w:r>
    </w:p>
    <w:p w:rsidR="002267F2" w:rsidRPr="009D61D5" w:rsidRDefault="002267F2" w:rsidP="00F37302">
      <w:pPr>
        <w:pStyle w:val="ListParagraph"/>
        <w:keepNext/>
        <w:widowControl/>
        <w:numPr>
          <w:ilvl w:val="1"/>
          <w:numId w:val="39"/>
        </w:numPr>
        <w:ind w:left="709" w:hanging="709"/>
      </w:pPr>
      <w:r w:rsidRPr="009D61D5">
        <w:rPr>
          <w:rFonts w:eastAsiaTheme="minorHAnsi"/>
        </w:rPr>
        <w:t xml:space="preserve">Table </w:t>
      </w:r>
      <w:r w:rsidR="00A05FF2" w:rsidRPr="009D61D5">
        <w:rPr>
          <w:rFonts w:eastAsiaTheme="minorHAnsi"/>
        </w:rPr>
        <w:t>1</w:t>
      </w:r>
      <w:r w:rsidR="00783D3A">
        <w:rPr>
          <w:rFonts w:eastAsiaTheme="minorHAnsi"/>
        </w:rPr>
        <w:t>1</w:t>
      </w:r>
      <w:r w:rsidRPr="009D61D5">
        <w:rPr>
          <w:rFonts w:eastAsiaTheme="minorHAnsi"/>
        </w:rPr>
        <w:t xml:space="preserve">, </w:t>
      </w:r>
      <w:r w:rsidRPr="009D61D5">
        <w:t xml:space="preserve">presents an overview of the unsolicited events reported in </w:t>
      </w:r>
      <w:r w:rsidR="0069272D" w:rsidRPr="009D61D5">
        <w:t xml:space="preserve">trial </w:t>
      </w:r>
      <w:r w:rsidRPr="009D61D5">
        <w:t xml:space="preserve">V118_20 </w:t>
      </w:r>
      <w:r w:rsidR="0069272D" w:rsidRPr="009D61D5">
        <w:t xml:space="preserve">comparing </w:t>
      </w:r>
      <w:r w:rsidRPr="009D61D5">
        <w:t xml:space="preserve">aQIV (Fluad Quad) </w:t>
      </w:r>
      <w:r w:rsidR="0069272D" w:rsidRPr="009D61D5">
        <w:t xml:space="preserve">to </w:t>
      </w:r>
      <w:r w:rsidR="009374B6" w:rsidRPr="009D61D5">
        <w:t>aTIV (Fluad)</w:t>
      </w:r>
      <w:r w:rsidRPr="009D61D5">
        <w:t>.</w:t>
      </w:r>
    </w:p>
    <w:p w:rsidR="00061E86" w:rsidRDefault="00061E86" w:rsidP="00061E86">
      <w:pPr>
        <w:pStyle w:val="TableFigureHeading"/>
      </w:pPr>
      <w:r>
        <w:t xml:space="preserve">Table </w:t>
      </w:r>
      <w:fldSimple w:instr=" SEQ Table \* ARABIC ">
        <w:r w:rsidR="009C284C">
          <w:rPr>
            <w:noProof/>
          </w:rPr>
          <w:t>11</w:t>
        </w:r>
      </w:fldSimple>
      <w:r w:rsidRPr="009427FB">
        <w:t>: Overall summary of unsolicited adverse events (overall safety set)</w:t>
      </w:r>
    </w:p>
    <w:tbl>
      <w:tblPr>
        <w:tblStyle w:val="Summarybox1"/>
        <w:tblW w:w="5000" w:type="pct"/>
        <w:tblInd w:w="-5" w:type="dxa"/>
        <w:tblLook w:val="04A0" w:firstRow="1" w:lastRow="0" w:firstColumn="1" w:lastColumn="0" w:noHBand="0" w:noVBand="1"/>
        <w:tblCaption w:val="Table 11: Overall summary of unsolicited adverse events (overall safety set)"/>
      </w:tblPr>
      <w:tblGrid>
        <w:gridCol w:w="3524"/>
        <w:gridCol w:w="1863"/>
        <w:gridCol w:w="1843"/>
        <w:gridCol w:w="1787"/>
      </w:tblGrid>
      <w:tr w:rsidR="002267F2" w:rsidRPr="009D61D5" w:rsidTr="003706E9">
        <w:trPr>
          <w:tblHeader/>
        </w:trPr>
        <w:tc>
          <w:tcPr>
            <w:tcW w:w="1954"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p>
        </w:tc>
        <w:tc>
          <w:tcPr>
            <w:tcW w:w="1033"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Fluad Quad (aQIV)</w:t>
            </w:r>
          </w:p>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n (%)</w:t>
            </w:r>
          </w:p>
        </w:tc>
        <w:tc>
          <w:tcPr>
            <w:tcW w:w="1022"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Fluad (aTIV)</w:t>
            </w:r>
          </w:p>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n (%)</w:t>
            </w:r>
          </w:p>
        </w:tc>
        <w:tc>
          <w:tcPr>
            <w:tcW w:w="991" w:type="pct"/>
            <w:tcBorders>
              <w:top w:val="single" w:sz="4" w:space="0" w:color="auto"/>
              <w:left w:val="single" w:sz="4" w:space="0" w:color="auto"/>
              <w:bottom w:val="nil"/>
              <w:right w:val="single" w:sz="4" w:space="0" w:color="auto"/>
            </w:tcBorders>
            <w:shd w:val="clear" w:color="auto" w:fill="auto"/>
          </w:tcPr>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aTIV-2</w:t>
            </w:r>
          </w:p>
          <w:p w:rsidR="002267F2" w:rsidRPr="009D61D5" w:rsidRDefault="002267F2" w:rsidP="00A00426">
            <w:pPr>
              <w:pStyle w:val="TableTitlecentred"/>
              <w:keepNext/>
              <w:rPr>
                <w:rFonts w:ascii="Arial Narrow" w:hAnsi="Arial Narrow"/>
                <w:sz w:val="20"/>
                <w:lang w:val="en-AU"/>
              </w:rPr>
            </w:pPr>
            <w:r w:rsidRPr="009D61D5">
              <w:rPr>
                <w:rFonts w:ascii="Arial Narrow" w:hAnsi="Arial Narrow"/>
                <w:sz w:val="20"/>
                <w:lang w:val="en-AU"/>
              </w:rPr>
              <w:t>n (%)</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sz w:val="20"/>
                <w:szCs w:val="20"/>
                <w:lang w:val="en-AU"/>
              </w:rPr>
              <w:t>Exposed</w:t>
            </w:r>
            <w:r w:rsidRPr="009D61D5">
              <w:rPr>
                <w:rFonts w:ascii="Arial Narrow" w:hAnsi="Arial Narrow"/>
                <w:sz w:val="20"/>
                <w:szCs w:val="20"/>
                <w:vertAlign w:val="superscript"/>
                <w:lang w:val="en-AU"/>
              </w:rPr>
              <w:t>1</w:t>
            </w:r>
          </w:p>
        </w:tc>
        <w:tc>
          <w:tcPr>
            <w:tcW w:w="1033" w:type="pct"/>
            <w:tcBorders>
              <w:top w:val="single" w:sz="4" w:space="0" w:color="auto"/>
            </w:tcBorders>
            <w:vAlign w:val="bottom"/>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bottom"/>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bottom"/>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5000" w:type="pct"/>
            <w:gridSpan w:val="4"/>
            <w:tcBorders>
              <w:top w:val="single" w:sz="4" w:space="0" w:color="auto"/>
            </w:tcBorders>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color w:val="000000" w:themeColor="text1"/>
                <w:sz w:val="20"/>
                <w:szCs w:val="20"/>
                <w:lang w:val="en-AU"/>
              </w:rPr>
              <w:t>Subjects with any unsolicited TEAE</w:t>
            </w:r>
            <w:r w:rsidRPr="009D61D5">
              <w:rPr>
                <w:rFonts w:ascii="Arial Narrow" w:hAnsi="Arial Narrow"/>
                <w:color w:val="000000" w:themeColor="text1"/>
                <w:sz w:val="20"/>
                <w:szCs w:val="20"/>
                <w:vertAlign w:val="superscript"/>
                <w:lang w:val="en-AU"/>
              </w:rPr>
              <w:t>2</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Days 1-22</w:t>
            </w:r>
          </w:p>
        </w:tc>
        <w:tc>
          <w:tcPr>
            <w:tcW w:w="1033"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Days 23-181</w:t>
            </w:r>
          </w:p>
        </w:tc>
        <w:tc>
          <w:tcPr>
            <w:tcW w:w="1033"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Days 1-181</w:t>
            </w:r>
          </w:p>
        </w:tc>
        <w:tc>
          <w:tcPr>
            <w:tcW w:w="1033"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r w:rsidR="002267F2" w:rsidRPr="005C4E78">
              <w:rPr>
                <w:rFonts w:ascii="Arial Narrow" w:hAnsi="Arial Narrow"/>
                <w:sz w:val="20"/>
                <w:szCs w:val="20"/>
                <w:highlight w:val="black"/>
              </w:rPr>
              <w:t xml:space="preserve"> </w:t>
            </w:r>
          </w:p>
        </w:tc>
        <w:tc>
          <w:tcPr>
            <w:tcW w:w="1022"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Related unsolicited AEs (Days 1-181)</w:t>
            </w:r>
            <w:r w:rsidRPr="009D61D5">
              <w:rPr>
                <w:rFonts w:ascii="Arial Narrow" w:hAnsi="Arial Narrow"/>
                <w:color w:val="000000" w:themeColor="text1"/>
                <w:sz w:val="20"/>
                <w:szCs w:val="20"/>
                <w:vertAlign w:val="superscript"/>
                <w:lang w:val="en-AU"/>
              </w:rPr>
              <w:t>3</w:t>
            </w:r>
          </w:p>
        </w:tc>
        <w:tc>
          <w:tcPr>
            <w:tcW w:w="1033"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2267F2" w:rsidRPr="009D61D5" w:rsidTr="003706E9">
        <w:trPr>
          <w:tblHeader/>
        </w:trPr>
        <w:tc>
          <w:tcPr>
            <w:tcW w:w="5000" w:type="pct"/>
            <w:gridSpan w:val="4"/>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Unsolicited AEs (Days 1-181), by severity</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Mild</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Moderate</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123C12" w:rsidP="00A00426">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002267F2" w:rsidRPr="009D61D5">
              <w:rPr>
                <w:rFonts w:ascii="Arial Narrow" w:hAnsi="Arial Narrow"/>
                <w:color w:val="000000" w:themeColor="text1"/>
                <w:sz w:val="20"/>
                <w:szCs w:val="20"/>
                <w:lang w:val="en-AU"/>
              </w:rPr>
              <w:t>Severe</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AEs leading to study discontinuation</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Serious adverse events (SAEs)</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Related SAEs</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Deaths</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2267F2" w:rsidRPr="009D61D5" w:rsidTr="003706E9">
        <w:trPr>
          <w:tblHeader/>
        </w:trPr>
        <w:tc>
          <w:tcPr>
            <w:tcW w:w="1954" w:type="pct"/>
            <w:tcBorders>
              <w:top w:val="single" w:sz="4" w:space="0" w:color="auto"/>
            </w:tcBorders>
          </w:tcPr>
          <w:p w:rsidR="002267F2" w:rsidRPr="009D61D5" w:rsidRDefault="002267F2" w:rsidP="00A00426">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Adverse events of special interest (AESI)</w:t>
            </w:r>
          </w:p>
        </w:tc>
        <w:tc>
          <w:tcPr>
            <w:tcW w:w="1033"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2267F2" w:rsidRPr="009D61D5" w:rsidTr="003706E9">
        <w:trPr>
          <w:tblHeader/>
        </w:trPr>
        <w:tc>
          <w:tcPr>
            <w:tcW w:w="1954" w:type="pct"/>
          </w:tcPr>
          <w:p w:rsidR="002267F2" w:rsidRPr="009D61D5" w:rsidRDefault="002267F2" w:rsidP="00A00426">
            <w:pPr>
              <w:pStyle w:val="TableTextleftalign"/>
              <w:keepNext/>
              <w:rPr>
                <w:rFonts w:ascii="Arial Narrow" w:hAnsi="Arial Narrow"/>
                <w:sz w:val="20"/>
                <w:szCs w:val="20"/>
                <w:lang w:val="en-AU"/>
              </w:rPr>
            </w:pPr>
            <w:r w:rsidRPr="009D61D5">
              <w:rPr>
                <w:rFonts w:ascii="Arial Narrow" w:hAnsi="Arial Narrow"/>
                <w:color w:val="000000" w:themeColor="text1"/>
                <w:sz w:val="20"/>
                <w:szCs w:val="20"/>
                <w:lang w:val="en-AU"/>
              </w:rPr>
              <w:t>Related AESIs</w:t>
            </w:r>
          </w:p>
        </w:tc>
        <w:tc>
          <w:tcPr>
            <w:tcW w:w="1033"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2267F2" w:rsidRPr="009D61D5" w:rsidTr="003706E9">
        <w:trPr>
          <w:tblHeader/>
        </w:trPr>
        <w:tc>
          <w:tcPr>
            <w:tcW w:w="1954" w:type="pct"/>
          </w:tcPr>
          <w:p w:rsidR="002267F2" w:rsidRPr="009D61D5" w:rsidRDefault="002267F2" w:rsidP="00A00426">
            <w:pPr>
              <w:pStyle w:val="TableTextleftalign"/>
              <w:keepNext/>
              <w:rPr>
                <w:rFonts w:ascii="Arial Narrow" w:hAnsi="Arial Narrow"/>
                <w:color w:val="000000" w:themeColor="text1"/>
                <w:sz w:val="20"/>
                <w:szCs w:val="20"/>
                <w:lang w:val="en-AU"/>
              </w:rPr>
            </w:pPr>
            <w:r w:rsidRPr="009D61D5">
              <w:rPr>
                <w:rFonts w:ascii="Arial Narrow" w:hAnsi="Arial Narrow"/>
                <w:color w:val="000000" w:themeColor="text1"/>
                <w:sz w:val="20"/>
                <w:szCs w:val="20"/>
                <w:lang w:val="en-AU"/>
              </w:rPr>
              <w:t xml:space="preserve">AEs causing new onset chronic disease </w:t>
            </w:r>
          </w:p>
        </w:tc>
        <w:tc>
          <w:tcPr>
            <w:tcW w:w="1033"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2267F2" w:rsidRPr="009D61D5" w:rsidTr="003706E9">
        <w:trPr>
          <w:tblHeader/>
        </w:trPr>
        <w:tc>
          <w:tcPr>
            <w:tcW w:w="1954" w:type="pct"/>
          </w:tcPr>
          <w:p w:rsidR="002267F2" w:rsidRPr="009D61D5" w:rsidRDefault="002267F2" w:rsidP="00A00426">
            <w:pPr>
              <w:pStyle w:val="TableTextleftalign"/>
              <w:keepNext/>
              <w:rPr>
                <w:rFonts w:ascii="Arial Narrow" w:hAnsi="Arial Narrow"/>
                <w:color w:val="000000" w:themeColor="text1"/>
                <w:sz w:val="20"/>
                <w:szCs w:val="20"/>
                <w:lang w:val="en-AU"/>
              </w:rPr>
            </w:pPr>
            <w:r w:rsidRPr="009D61D5">
              <w:rPr>
                <w:rFonts w:ascii="Arial Narrow" w:hAnsi="Arial Narrow"/>
                <w:color w:val="000000" w:themeColor="text1"/>
                <w:sz w:val="20"/>
                <w:szCs w:val="20"/>
                <w:lang w:val="en-AU"/>
              </w:rPr>
              <w:t>Medically-attended AEs</w:t>
            </w:r>
            <w:r w:rsidRPr="009D61D5">
              <w:rPr>
                <w:rFonts w:ascii="Arial Narrow" w:hAnsi="Arial Narrow"/>
                <w:color w:val="000000" w:themeColor="text1"/>
                <w:sz w:val="20"/>
                <w:szCs w:val="20"/>
                <w:vertAlign w:val="superscript"/>
                <w:lang w:val="en-AU"/>
              </w:rPr>
              <w:t>4</w:t>
            </w:r>
          </w:p>
        </w:tc>
        <w:tc>
          <w:tcPr>
            <w:tcW w:w="1033"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vAlign w:val="center"/>
          </w:tcPr>
          <w:p w:rsidR="002267F2" w:rsidRPr="005C4E78" w:rsidRDefault="005C4E78" w:rsidP="00A00426">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bl>
    <w:p w:rsidR="002267F2" w:rsidRPr="009D61D5" w:rsidRDefault="002267F2" w:rsidP="00A00426">
      <w:pPr>
        <w:pStyle w:val="TableTextLeft"/>
        <w:keepNext/>
        <w:rPr>
          <w:rFonts w:ascii="Arial Narrow" w:hAnsi="Arial Narrow" w:cstheme="minorHAnsi"/>
          <w:sz w:val="18"/>
          <w:szCs w:val="18"/>
          <w:lang w:val="en-AU"/>
        </w:rPr>
      </w:pPr>
      <w:r w:rsidRPr="009D61D5">
        <w:rPr>
          <w:rFonts w:ascii="Arial Narrow" w:hAnsi="Arial Narrow" w:cstheme="minorHAnsi"/>
          <w:sz w:val="18"/>
          <w:szCs w:val="18"/>
          <w:lang w:val="en-AU"/>
        </w:rPr>
        <w:t>AEs</w:t>
      </w:r>
      <w:r w:rsidR="00DA6BF2" w:rsidRPr="009D61D5">
        <w:rPr>
          <w:rFonts w:ascii="Arial Narrow" w:hAnsi="Arial Narrow" w:cstheme="minorHAnsi"/>
          <w:sz w:val="18"/>
          <w:szCs w:val="18"/>
          <w:lang w:val="en-AU"/>
        </w:rPr>
        <w:t>:</w:t>
      </w:r>
      <w:r w:rsidRPr="009D61D5">
        <w:rPr>
          <w:rFonts w:ascii="Arial Narrow" w:hAnsi="Arial Narrow" w:cstheme="minorHAnsi"/>
          <w:sz w:val="18"/>
          <w:szCs w:val="18"/>
          <w:lang w:val="en-AU"/>
        </w:rPr>
        <w:t xml:space="preserve"> adverse events; AESI</w:t>
      </w:r>
      <w:r w:rsidR="00DA6BF2" w:rsidRPr="009D61D5">
        <w:rPr>
          <w:rFonts w:ascii="Arial Narrow" w:hAnsi="Arial Narrow" w:cstheme="minorHAnsi"/>
          <w:sz w:val="18"/>
          <w:szCs w:val="18"/>
          <w:lang w:val="en-AU"/>
        </w:rPr>
        <w:t>:</w:t>
      </w:r>
      <w:r w:rsidRPr="009D61D5">
        <w:rPr>
          <w:rFonts w:ascii="Arial Narrow" w:hAnsi="Arial Narrow" w:cstheme="minorHAnsi"/>
          <w:sz w:val="18"/>
          <w:szCs w:val="18"/>
          <w:lang w:val="en-AU"/>
        </w:rPr>
        <w:t xml:space="preserve"> adverse events of special interest; SAE</w:t>
      </w:r>
      <w:r w:rsidR="00DA6BF2" w:rsidRPr="009D61D5">
        <w:rPr>
          <w:rFonts w:ascii="Arial Narrow" w:hAnsi="Arial Narrow" w:cstheme="minorHAnsi"/>
          <w:sz w:val="18"/>
          <w:szCs w:val="18"/>
          <w:lang w:val="en-AU"/>
        </w:rPr>
        <w:t>:</w:t>
      </w:r>
      <w:r w:rsidRPr="009D61D5">
        <w:rPr>
          <w:rFonts w:ascii="Arial Narrow" w:hAnsi="Arial Narrow" w:cstheme="minorHAnsi"/>
          <w:sz w:val="18"/>
          <w:szCs w:val="18"/>
          <w:lang w:val="en-AU"/>
        </w:rPr>
        <w:t xml:space="preserve"> serious adverse event; TEAE</w:t>
      </w:r>
      <w:r w:rsidR="00DA6BF2" w:rsidRPr="009D61D5">
        <w:rPr>
          <w:rFonts w:ascii="Arial Narrow" w:hAnsi="Arial Narrow" w:cstheme="minorHAnsi"/>
          <w:sz w:val="18"/>
          <w:szCs w:val="18"/>
          <w:lang w:val="en-AU"/>
        </w:rPr>
        <w:t>:</w:t>
      </w:r>
      <w:r w:rsidRPr="009D61D5">
        <w:rPr>
          <w:rFonts w:ascii="Arial Narrow" w:hAnsi="Arial Narrow" w:cstheme="minorHAnsi"/>
          <w:sz w:val="18"/>
          <w:szCs w:val="18"/>
          <w:lang w:val="en-AU"/>
        </w:rPr>
        <w:t xml:space="preserve"> treatment-emergent adverse event</w:t>
      </w:r>
    </w:p>
    <w:p w:rsidR="002267F2" w:rsidRPr="005C4E78" w:rsidRDefault="005C4E78" w:rsidP="00A00426">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w:t>
      </w:r>
    </w:p>
    <w:p w:rsidR="002267F2" w:rsidRPr="005C4E78" w:rsidRDefault="005C4E78" w:rsidP="00A00426">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 ''''''''''' ''' ''''''''''''''''''''''''''''''' '''''' '''''''''''''''' '''''''''''''''''''''' ''''''''''''''''''''''''''''''''''''''''''''''''' ''''''''''''' '''''''''' ''''''''''''''''' ''''' '''''''''''''''''''''' ''''''''''''''''''''''''</w:t>
      </w:r>
    </w:p>
    <w:p w:rsidR="002267F2" w:rsidRPr="005C4E78" w:rsidRDefault="005C4E78" w:rsidP="00A00426">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xml:space="preserve">'''''''''''''''''''''' ''''''''''''''''''''' ''''''''''''''''''''' ''''''''''''''''' '''''''''''''''''' ''''''''' '''''''''''''''''''''' ''''''''''''''''''''' ''''''''''''''''' '''''''''''' ''''' '''''''''''''' ''''''''''''''' ''''''''' ''''''''''' '''''''''''''''' ''''' '''''''' '''''''''''''' ''''''''''''''''''''''''''' '''''' '''''''''' ''''''' '''''''''''''''''''' '''''''''''''''''''''''''''' ''''''' '''''''''''''''''' '''''''''' ''''''''''' ''''''''''''''''' '''''' '''''''''''''''' ''''''''''' </w:t>
      </w:r>
    </w:p>
    <w:p w:rsidR="002267F2" w:rsidRPr="005C4E78" w:rsidRDefault="005C4E78" w:rsidP="00A00426">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 '''' '''''''''''''' '''''''''' ''''''''''''''''''''</w:t>
      </w:r>
    </w:p>
    <w:p w:rsidR="002267F2" w:rsidRPr="008E537B" w:rsidRDefault="002267F2" w:rsidP="008E537B">
      <w:pPr>
        <w:pStyle w:val="TableFootnoteindent"/>
        <w:keepNext/>
        <w:rPr>
          <w:rFonts w:ascii="Arial Narrow" w:hAnsi="Arial Narrow"/>
          <w:sz w:val="18"/>
          <w:szCs w:val="18"/>
        </w:rPr>
      </w:pPr>
      <w:r w:rsidRPr="009D61D5">
        <w:rPr>
          <w:rFonts w:ascii="Arial Narrow" w:hAnsi="Arial Narrow"/>
          <w:sz w:val="18"/>
          <w:szCs w:val="18"/>
        </w:rPr>
        <w:t xml:space="preserve">Source: </w:t>
      </w:r>
      <w:r w:rsidRPr="009D61D5">
        <w:rPr>
          <w:rFonts w:ascii="Arial Narrow" w:hAnsi="Arial Narrow" w:cstheme="minorHAnsi"/>
          <w:noProof/>
          <w:sz w:val="18"/>
          <w:szCs w:val="18"/>
        </w:rPr>
        <w:t>Table 2-31, p84 of the submission</w:t>
      </w:r>
    </w:p>
    <w:p w:rsidR="00B07A7B" w:rsidRPr="009D61D5" w:rsidRDefault="005C4E78" w:rsidP="00A00426">
      <w:pPr>
        <w:pStyle w:val="ListParagraph"/>
        <w:keepNext/>
        <w:widowControl/>
        <w:numPr>
          <w:ilvl w:val="1"/>
          <w:numId w:val="39"/>
        </w:numPr>
        <w:ind w:left="709" w:hanging="709"/>
      </w:pPr>
      <w:r>
        <w:rPr>
          <w:noProof/>
          <w:color w:val="000000"/>
          <w:highlight w:val="black"/>
        </w:rPr>
        <w:t>'''''''' ''''''''''''' '''''''''''''''''' '''' '''''' '''''''''' '''''''''''''' ''''''''''''' ''''''''''' ''''''''''' '''''''''''''''''''''' ''''''''''''''''''' ''''' ''''''' ''''''''''' '''''''''''''' '''''''''''''' '''''' '''''''''''' ''''''''''''''' ''''''' ''''' '''''''''' ''''''' ''''''''''''' ''''''''''''''' '''''''''''' ''''''''''''' '''''' '''''''''' '''''''''' '''' ''''''''' ''''''''''''' '''''' '''''''''' ''''''''''''''''' '''' ''''''''''' ''''''' '''''''''''' '''''''''''''''' '''''''''''' '''''''''' ''''''''''''''''' ''' '''''' '''''''''''</w:t>
      </w:r>
      <w:r w:rsidR="00C42279" w:rsidRPr="009D61D5">
        <w:t xml:space="preserve"> </w:t>
      </w:r>
      <w:r w:rsidR="0069272D" w:rsidRPr="009D61D5">
        <w:t xml:space="preserve">No serious adverse events </w:t>
      </w:r>
      <w:r w:rsidR="0069272D" w:rsidRPr="009D61D5">
        <w:lastRenderedPageBreak/>
        <w:t>were assessed as related to the study vaccines. No imbalance in frequency of serious adverse events was observed between the study groups</w:t>
      </w:r>
      <w:r w:rsidR="002D2864" w:rsidRPr="009D61D5">
        <w:t>.</w:t>
      </w:r>
    </w:p>
    <w:p w:rsidR="002267F2" w:rsidRPr="009D61D5" w:rsidRDefault="002267F2" w:rsidP="008E537B">
      <w:pPr>
        <w:pStyle w:val="4-SubsectionHeading"/>
      </w:pPr>
      <w:bookmarkStart w:id="15" w:name="_Toc9407311"/>
      <w:r w:rsidRPr="009D61D5">
        <w:t>Benefits/harms</w:t>
      </w:r>
      <w:bookmarkEnd w:id="15"/>
    </w:p>
    <w:p w:rsidR="0026309F" w:rsidRPr="009D61D5" w:rsidRDefault="0026309F" w:rsidP="008E537B">
      <w:pPr>
        <w:pStyle w:val="5-SubsectionSubheading"/>
      </w:pPr>
      <w:r w:rsidRPr="009D61D5">
        <w:t xml:space="preserve">aTIV (Fluad) compared to </w:t>
      </w:r>
      <w:r w:rsidR="009F3C70" w:rsidRPr="009D61D5">
        <w:t>Q</w:t>
      </w:r>
      <w:r w:rsidRPr="009D61D5">
        <w:t>IV</w:t>
      </w:r>
    </w:p>
    <w:p w:rsidR="0026309F" w:rsidRPr="009D61D5" w:rsidRDefault="002267F2" w:rsidP="00F37302">
      <w:pPr>
        <w:pStyle w:val="ListParagraph"/>
        <w:keepNext/>
        <w:widowControl/>
        <w:numPr>
          <w:ilvl w:val="1"/>
          <w:numId w:val="39"/>
        </w:numPr>
        <w:ind w:left="709" w:hanging="709"/>
        <w:rPr>
          <w:rFonts w:cs="Calibri"/>
          <w:snapToGrid/>
          <w:lang w:val="en-US"/>
        </w:rPr>
      </w:pPr>
      <w:r w:rsidRPr="009D61D5">
        <w:rPr>
          <w:rFonts w:cs="Calibri"/>
          <w:snapToGrid/>
          <w:lang w:val="en-US"/>
        </w:rPr>
        <w:t>The multi-step</w:t>
      </w:r>
      <w:r w:rsidR="00E739FD" w:rsidRPr="009D61D5">
        <w:rPr>
          <w:rFonts w:cs="Calibri"/>
          <w:snapToGrid/>
          <w:lang w:val="en-US"/>
        </w:rPr>
        <w:t>ped</w:t>
      </w:r>
      <w:r w:rsidRPr="009D61D5">
        <w:rPr>
          <w:rFonts w:cs="Calibri"/>
          <w:snapToGrid/>
          <w:lang w:val="en-US"/>
        </w:rPr>
        <w:t xml:space="preserve"> </w:t>
      </w:r>
      <w:r w:rsidR="00E739FD" w:rsidRPr="009D61D5">
        <w:rPr>
          <w:rFonts w:cs="Calibri"/>
          <w:snapToGrid/>
          <w:lang w:val="en-US"/>
        </w:rPr>
        <w:t xml:space="preserve">chain-of-evidence </w:t>
      </w:r>
      <w:r w:rsidRPr="009D61D5">
        <w:rPr>
          <w:rFonts w:cs="Calibri"/>
          <w:snapToGrid/>
          <w:lang w:val="en-US"/>
        </w:rPr>
        <w:t xml:space="preserve">presented in the submission did not allow for a </w:t>
      </w:r>
      <w:r w:rsidRPr="00DA725C">
        <w:t>quantitative</w:t>
      </w:r>
      <w:r w:rsidRPr="009D61D5">
        <w:rPr>
          <w:rFonts w:cs="Calibri"/>
          <w:snapToGrid/>
          <w:lang w:val="en-US"/>
        </w:rPr>
        <w:t xml:space="preserve"> comparison of the benefits and harms of aTIV and QIV. </w:t>
      </w:r>
      <w:r w:rsidR="0026309F" w:rsidRPr="009D61D5">
        <w:rPr>
          <w:rFonts w:cs="Calibri"/>
          <w:snapToGrid/>
          <w:lang w:val="en-US"/>
        </w:rPr>
        <w:t>How</w:t>
      </w:r>
      <w:r w:rsidR="0087429C" w:rsidRPr="009D61D5">
        <w:rPr>
          <w:rFonts w:cs="Calibri"/>
          <w:snapToGrid/>
          <w:lang w:val="en-US"/>
        </w:rPr>
        <w:t>e</w:t>
      </w:r>
      <w:r w:rsidR="0026309F" w:rsidRPr="009D61D5">
        <w:rPr>
          <w:rFonts w:cs="Calibri"/>
          <w:snapToGrid/>
          <w:lang w:val="en-US"/>
        </w:rPr>
        <w:t xml:space="preserve">ver, a summary of the comparative benefits and harms for aTIV versus TIV is presented in Table </w:t>
      </w:r>
      <w:r w:rsidR="00686CC3" w:rsidRPr="009D61D5">
        <w:rPr>
          <w:rFonts w:cs="Calibri"/>
          <w:snapToGrid/>
          <w:lang w:val="en-US"/>
        </w:rPr>
        <w:t>1</w:t>
      </w:r>
      <w:r w:rsidR="00783D3A">
        <w:rPr>
          <w:rFonts w:cs="Calibri"/>
          <w:snapToGrid/>
          <w:lang w:val="en-US"/>
        </w:rPr>
        <w:t>2</w:t>
      </w:r>
      <w:r w:rsidR="0026309F" w:rsidRPr="009D61D5">
        <w:rPr>
          <w:rFonts w:cs="Calibri"/>
          <w:snapToGrid/>
          <w:lang w:val="en-US"/>
        </w:rPr>
        <w:t xml:space="preserve">. </w:t>
      </w:r>
    </w:p>
    <w:p w:rsidR="009045C5" w:rsidRDefault="009045C5" w:rsidP="009045C5">
      <w:pPr>
        <w:pStyle w:val="TableFigureHeading"/>
      </w:pPr>
      <w:r>
        <w:t xml:space="preserve">Table </w:t>
      </w:r>
      <w:fldSimple w:instr=" SEQ Table \* ARABIC ">
        <w:r w:rsidR="009C284C">
          <w:rPr>
            <w:noProof/>
          </w:rPr>
          <w:t>12</w:t>
        </w:r>
      </w:fldSimple>
      <w:r w:rsidRPr="00C47F2C">
        <w:t>: Summary of comparative benefits and harms for aTIV (Fluad) and TIV</w:t>
      </w:r>
    </w:p>
    <w:tbl>
      <w:tblPr>
        <w:tblW w:w="4950" w:type="pct"/>
        <w:tblLayout w:type="fixed"/>
        <w:tblCellMar>
          <w:left w:w="28" w:type="dxa"/>
          <w:right w:w="28" w:type="dxa"/>
        </w:tblCellMar>
        <w:tblLook w:val="04A0" w:firstRow="1" w:lastRow="0" w:firstColumn="1" w:lastColumn="0" w:noHBand="0" w:noVBand="1"/>
        <w:tblCaption w:val="Table 12: Summary of comparative benefits and harms for aTIV (Fluad) and TIV"/>
      </w:tblPr>
      <w:tblGrid>
        <w:gridCol w:w="2266"/>
        <w:gridCol w:w="2266"/>
        <w:gridCol w:w="2269"/>
        <w:gridCol w:w="2126"/>
      </w:tblGrid>
      <w:tr w:rsidR="000429E7" w:rsidRPr="009D61D5" w:rsidTr="000429E7">
        <w:trPr>
          <w:trHeight w:val="229"/>
        </w:trPr>
        <w:tc>
          <w:tcPr>
            <w:tcW w:w="1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29E7" w:rsidRPr="009D61D5" w:rsidRDefault="000429E7" w:rsidP="00FF6F3B">
            <w:pPr>
              <w:keepNext/>
              <w:rPr>
                <w:rFonts w:ascii="Arial Narrow" w:hAnsi="Arial Narrow"/>
                <w:b/>
                <w:color w:val="000000"/>
                <w:sz w:val="20"/>
                <w:szCs w:val="18"/>
              </w:rPr>
            </w:pPr>
            <w:r w:rsidRPr="009D61D5">
              <w:rPr>
                <w:rFonts w:ascii="Arial Narrow" w:hAnsi="Arial Narrow"/>
                <w:b/>
                <w:color w:val="000000"/>
                <w:sz w:val="20"/>
                <w:szCs w:val="18"/>
              </w:rPr>
              <w:t>Trial</w:t>
            </w:r>
          </w:p>
        </w:tc>
        <w:tc>
          <w:tcPr>
            <w:tcW w:w="1269" w:type="pct"/>
            <w:vMerge w:val="restar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r w:rsidRPr="009D61D5">
              <w:rPr>
                <w:rFonts w:ascii="Arial Narrow" w:hAnsi="Arial Narrow"/>
                <w:b/>
                <w:color w:val="000000"/>
                <w:sz w:val="20"/>
                <w:szCs w:val="18"/>
              </w:rPr>
              <w:t>aTIV (Fluad)</w:t>
            </w:r>
          </w:p>
          <w:p w:rsidR="000429E7" w:rsidRPr="009D61D5" w:rsidRDefault="000429E7" w:rsidP="00FF6F3B">
            <w:pPr>
              <w:keepNext/>
              <w:jc w:val="center"/>
              <w:rPr>
                <w:rFonts w:ascii="Arial Narrow" w:hAnsi="Arial Narrow"/>
                <w:b/>
                <w:color w:val="000000"/>
                <w:sz w:val="20"/>
                <w:szCs w:val="18"/>
              </w:rPr>
            </w:pPr>
            <w:r w:rsidRPr="009D61D5">
              <w:rPr>
                <w:rFonts w:ascii="Arial Narrow" w:hAnsi="Arial Narrow"/>
                <w:b/>
                <w:color w:val="000000"/>
                <w:sz w:val="20"/>
                <w:szCs w:val="18"/>
              </w:rPr>
              <w:t>n/N (unadjusted)</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r w:rsidRPr="009D61D5">
              <w:rPr>
                <w:rFonts w:ascii="Arial Narrow" w:hAnsi="Arial Narrow"/>
                <w:b/>
                <w:color w:val="000000"/>
                <w:sz w:val="20"/>
                <w:szCs w:val="18"/>
              </w:rPr>
              <w:t>TIV</w:t>
            </w:r>
          </w:p>
          <w:p w:rsidR="000429E7" w:rsidRPr="009D61D5" w:rsidRDefault="000429E7" w:rsidP="003706E9">
            <w:pPr>
              <w:keepNext/>
              <w:jc w:val="center"/>
              <w:rPr>
                <w:rFonts w:ascii="Arial Narrow" w:hAnsi="Arial Narrow"/>
                <w:b/>
                <w:color w:val="000000"/>
                <w:sz w:val="20"/>
                <w:szCs w:val="18"/>
              </w:rPr>
            </w:pPr>
            <w:r w:rsidRPr="009D61D5">
              <w:rPr>
                <w:rFonts w:ascii="Arial Narrow" w:hAnsi="Arial Narrow"/>
                <w:b/>
                <w:color w:val="000000"/>
                <w:sz w:val="20"/>
                <w:szCs w:val="18"/>
              </w:rPr>
              <w:t>n/N</w:t>
            </w:r>
            <w:r>
              <w:rPr>
                <w:rFonts w:ascii="Arial Narrow" w:hAnsi="Arial Narrow"/>
                <w:b/>
                <w:color w:val="000000"/>
                <w:sz w:val="20"/>
                <w:szCs w:val="18"/>
              </w:rPr>
              <w:t xml:space="preserve"> </w:t>
            </w:r>
            <w:r w:rsidRPr="009D61D5">
              <w:rPr>
                <w:rFonts w:ascii="Arial Narrow" w:hAnsi="Arial Narrow"/>
                <w:b/>
                <w:color w:val="000000"/>
                <w:sz w:val="20"/>
                <w:szCs w:val="18"/>
              </w:rPr>
              <w:t>(unadjusted)</w:t>
            </w:r>
          </w:p>
        </w:tc>
        <w:tc>
          <w:tcPr>
            <w:tcW w:w="1191" w:type="pct"/>
            <w:vMerge w:val="restar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r w:rsidRPr="009D61D5">
              <w:rPr>
                <w:rFonts w:ascii="Arial Narrow" w:hAnsi="Arial Narrow"/>
                <w:b/>
                <w:color w:val="000000"/>
                <w:sz w:val="20"/>
                <w:szCs w:val="18"/>
              </w:rPr>
              <w:t>OR^</w:t>
            </w:r>
          </w:p>
          <w:p w:rsidR="000429E7" w:rsidRPr="009D61D5" w:rsidRDefault="000429E7" w:rsidP="00FF6F3B">
            <w:pPr>
              <w:keepNext/>
              <w:jc w:val="center"/>
              <w:rPr>
                <w:rFonts w:ascii="Arial Narrow" w:hAnsi="Arial Narrow"/>
                <w:b/>
                <w:color w:val="000000"/>
                <w:sz w:val="20"/>
                <w:szCs w:val="18"/>
              </w:rPr>
            </w:pPr>
            <w:r w:rsidRPr="009D61D5">
              <w:rPr>
                <w:rFonts w:ascii="Arial Narrow" w:hAnsi="Arial Narrow"/>
                <w:b/>
                <w:color w:val="000000"/>
                <w:sz w:val="20"/>
                <w:szCs w:val="18"/>
              </w:rPr>
              <w:t>(95% CI) (adjusted)</w:t>
            </w:r>
          </w:p>
        </w:tc>
      </w:tr>
      <w:tr w:rsidR="000429E7" w:rsidRPr="009D61D5" w:rsidTr="000429E7">
        <w:trPr>
          <w:trHeight w:val="229"/>
        </w:trPr>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29E7" w:rsidRPr="009D61D5" w:rsidRDefault="000429E7" w:rsidP="00FF6F3B">
            <w:pPr>
              <w:keepNext/>
              <w:rPr>
                <w:rFonts w:ascii="Arial Narrow" w:hAnsi="Arial Narrow"/>
                <w:b/>
                <w:color w:val="000000"/>
                <w:sz w:val="20"/>
                <w:szCs w:val="18"/>
              </w:rPr>
            </w:pPr>
          </w:p>
        </w:tc>
        <w:tc>
          <w:tcPr>
            <w:tcW w:w="1269" w:type="pct"/>
            <w:vMerge/>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p>
        </w:tc>
        <w:tc>
          <w:tcPr>
            <w:tcW w:w="1271" w:type="pct"/>
            <w:vMerge/>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p>
        </w:tc>
        <w:tc>
          <w:tcPr>
            <w:tcW w:w="1191" w:type="pct"/>
            <w:vMerge/>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b/>
                <w:color w:val="000000"/>
                <w:sz w:val="20"/>
                <w:szCs w:val="18"/>
              </w:rPr>
            </w:pPr>
          </w:p>
        </w:tc>
      </w:tr>
      <w:tr w:rsidR="000429E7" w:rsidRPr="009D61D5" w:rsidTr="000429E7">
        <w:tc>
          <w:tcPr>
            <w:tcW w:w="5000" w:type="pct"/>
            <w:gridSpan w:val="4"/>
            <w:tcBorders>
              <w:top w:val="double" w:sz="4" w:space="0" w:color="auto"/>
              <w:left w:val="single" w:sz="4" w:space="0" w:color="auto"/>
              <w:bottom w:val="single" w:sz="4" w:space="0" w:color="auto"/>
              <w:right w:val="single" w:sz="4" w:space="0" w:color="auto"/>
            </w:tcBorders>
            <w:shd w:val="clear" w:color="auto" w:fill="auto"/>
            <w:vAlign w:val="center"/>
          </w:tcPr>
          <w:p w:rsidR="000429E7" w:rsidRPr="009D61D5" w:rsidRDefault="000429E7" w:rsidP="00FF6F3B">
            <w:pPr>
              <w:keepNext/>
              <w:rPr>
                <w:rFonts w:ascii="Arial Narrow" w:hAnsi="Arial Narrow"/>
                <w:b/>
                <w:color w:val="000000"/>
                <w:sz w:val="20"/>
                <w:szCs w:val="18"/>
              </w:rPr>
            </w:pPr>
            <w:r w:rsidRPr="009D61D5">
              <w:rPr>
                <w:rFonts w:ascii="Arial Narrow" w:hAnsi="Arial Narrow"/>
                <w:b/>
                <w:color w:val="000000"/>
                <w:sz w:val="20"/>
                <w:szCs w:val="18"/>
              </w:rPr>
              <w:t>Influenza hospitalisations</w:t>
            </w:r>
          </w:p>
        </w:tc>
      </w:tr>
      <w:tr w:rsidR="000429E7" w:rsidRPr="009D61D5" w:rsidTr="000429E7">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0429E7" w:rsidRPr="009D61D5" w:rsidRDefault="000429E7" w:rsidP="003706E9">
            <w:pPr>
              <w:keepNext/>
              <w:rPr>
                <w:rFonts w:ascii="Arial Narrow" w:hAnsi="Arial Narrow"/>
                <w:color w:val="000000"/>
                <w:sz w:val="20"/>
                <w:szCs w:val="18"/>
              </w:rPr>
            </w:pPr>
            <w:r w:rsidRPr="009D61D5">
              <w:rPr>
                <w:rFonts w:ascii="Arial Narrow" w:hAnsi="Arial Narrow"/>
                <w:color w:val="000000"/>
                <w:sz w:val="20"/>
                <w:szCs w:val="18"/>
              </w:rPr>
              <w:t>LIVE study (Mannino 2012)</w:t>
            </w:r>
          </w:p>
        </w:tc>
        <w:tc>
          <w:tcPr>
            <w:tcW w:w="1269" w:type="pc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color w:val="000000"/>
                <w:sz w:val="20"/>
                <w:szCs w:val="18"/>
              </w:rPr>
            </w:pPr>
            <w:r w:rsidRPr="009D61D5">
              <w:rPr>
                <w:rFonts w:ascii="Arial Narrow" w:hAnsi="Arial Narrow"/>
                <w:color w:val="000000"/>
                <w:sz w:val="20"/>
                <w:szCs w:val="18"/>
              </w:rPr>
              <w:t>114/84,665</w:t>
            </w:r>
          </w:p>
        </w:tc>
        <w:tc>
          <w:tcPr>
            <w:tcW w:w="1271" w:type="pc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color w:val="000000"/>
                <w:sz w:val="20"/>
                <w:szCs w:val="18"/>
              </w:rPr>
            </w:pPr>
            <w:r w:rsidRPr="009D61D5">
              <w:rPr>
                <w:rFonts w:ascii="Arial Narrow" w:hAnsi="Arial Narrow"/>
                <w:color w:val="000000"/>
                <w:sz w:val="20"/>
                <w:szCs w:val="18"/>
              </w:rPr>
              <w:t>111/79,589</w:t>
            </w:r>
          </w:p>
        </w:tc>
        <w:tc>
          <w:tcPr>
            <w:tcW w:w="1191" w:type="pct"/>
            <w:tcBorders>
              <w:top w:val="single" w:sz="4" w:space="0" w:color="auto"/>
              <w:left w:val="single" w:sz="4" w:space="0" w:color="auto"/>
              <w:bottom w:val="single" w:sz="4" w:space="0" w:color="auto"/>
              <w:right w:val="single" w:sz="4" w:space="0" w:color="auto"/>
            </w:tcBorders>
            <w:vAlign w:val="center"/>
          </w:tcPr>
          <w:p w:rsidR="000429E7" w:rsidRPr="009D61D5" w:rsidRDefault="000429E7" w:rsidP="00FF6F3B">
            <w:pPr>
              <w:keepNext/>
              <w:jc w:val="center"/>
              <w:rPr>
                <w:rFonts w:ascii="Arial Narrow" w:hAnsi="Arial Narrow"/>
                <w:color w:val="000000"/>
                <w:sz w:val="20"/>
                <w:szCs w:val="18"/>
              </w:rPr>
            </w:pPr>
            <w:r w:rsidRPr="009D61D5">
              <w:rPr>
                <w:rFonts w:ascii="Arial Narrow" w:hAnsi="Arial Narrow"/>
                <w:color w:val="000000"/>
                <w:sz w:val="20"/>
                <w:szCs w:val="18"/>
              </w:rPr>
              <w:t xml:space="preserve">0.75 </w:t>
            </w:r>
          </w:p>
          <w:p w:rsidR="000429E7" w:rsidRPr="009D61D5" w:rsidRDefault="000429E7" w:rsidP="00FF6F3B">
            <w:pPr>
              <w:keepNext/>
              <w:jc w:val="center"/>
              <w:rPr>
                <w:rFonts w:ascii="Arial Narrow" w:hAnsi="Arial Narrow"/>
                <w:color w:val="000000"/>
                <w:sz w:val="20"/>
                <w:szCs w:val="18"/>
              </w:rPr>
            </w:pPr>
            <w:r w:rsidRPr="009D61D5">
              <w:rPr>
                <w:rFonts w:ascii="Arial Narrow" w:hAnsi="Arial Narrow"/>
                <w:color w:val="000000"/>
                <w:sz w:val="20"/>
                <w:szCs w:val="18"/>
              </w:rPr>
              <w:t>(0.57, 0.98)</w:t>
            </w:r>
          </w:p>
        </w:tc>
      </w:tr>
    </w:tbl>
    <w:p w:rsidR="002D4D86" w:rsidRPr="009D61D5" w:rsidRDefault="002D4D86" w:rsidP="00FF6F3B">
      <w:pPr>
        <w:pStyle w:val="TableFooter"/>
        <w:keepNext/>
      </w:pPr>
      <w:r w:rsidRPr="009D61D5">
        <w:t xml:space="preserve">^ Results were adjusted through the excluding incidences from the analyses for individuals with high </w:t>
      </w:r>
      <w:r w:rsidR="004D7EA0" w:rsidRPr="009D61D5">
        <w:t>propensity</w:t>
      </w:r>
      <w:r w:rsidRPr="009D61D5">
        <w:t xml:space="preserve"> scores; and through multivariate models to account for confounding from age, sex, influenza season, community and provider, physical impairment, cumulative length of stay in the hospital and cumulative number of drug prescriptions in the 5 years preceding the vaccination, history of hospitalization for pneumonia, influenza or emphysema, COPD, chronic kidney disease, diabetes, recent infectious disease, and recent transfusion. </w:t>
      </w:r>
    </w:p>
    <w:p w:rsidR="002D4D86" w:rsidRPr="009D61D5" w:rsidRDefault="002D4D86" w:rsidP="00FF6F3B">
      <w:pPr>
        <w:pStyle w:val="TableFooter"/>
        <w:keepNext/>
      </w:pPr>
      <w:r w:rsidRPr="009D61D5">
        <w:t>* Maximum duration of follow-up: Trial I = 16 weeks, over three years (Yr1: 4 weeks; Yr2: 5 weeks; Yr3: 7 weeks)</w:t>
      </w:r>
    </w:p>
    <w:p w:rsidR="002D4D86" w:rsidRPr="009D61D5" w:rsidRDefault="002D4D86" w:rsidP="00FF6F3B">
      <w:pPr>
        <w:pStyle w:val="TableFooter"/>
        <w:keepNext/>
      </w:pPr>
      <w:r w:rsidRPr="009D61D5">
        <w:t>OR= odds ratio</w:t>
      </w:r>
      <w:r w:rsidR="00852DFA">
        <w:t>;</w:t>
      </w:r>
      <w:r w:rsidRPr="009D61D5">
        <w:t xml:space="preserve"> </w:t>
      </w:r>
    </w:p>
    <w:p w:rsidR="0026309F" w:rsidRPr="008E537B" w:rsidRDefault="002D4D86" w:rsidP="008E537B">
      <w:pPr>
        <w:pStyle w:val="TableFooter"/>
        <w:rPr>
          <w:sz w:val="20"/>
        </w:rPr>
      </w:pPr>
      <w:r w:rsidRPr="009D61D5">
        <w:t>Source: Table 2-19, p66 of the submission and Mannino 2012</w:t>
      </w:r>
    </w:p>
    <w:p w:rsidR="00673D2A" w:rsidRPr="00673D2A" w:rsidRDefault="00673D2A" w:rsidP="00F37302">
      <w:pPr>
        <w:pStyle w:val="ListParagraph"/>
        <w:keepNext/>
        <w:widowControl/>
        <w:numPr>
          <w:ilvl w:val="1"/>
          <w:numId w:val="39"/>
        </w:numPr>
        <w:ind w:left="709" w:hanging="709"/>
        <w:rPr>
          <w:rFonts w:cs="Calibri"/>
          <w:snapToGrid/>
          <w:lang w:val="en-US"/>
        </w:rPr>
      </w:pPr>
      <w:r w:rsidRPr="009D61D5">
        <w:t xml:space="preserve">On the basis of direct evidence presented by the submission, for every </w:t>
      </w:r>
      <w:r w:rsidRPr="00673D2A">
        <w:rPr>
          <w:u w:val="single"/>
        </w:rPr>
        <w:t>10,000</w:t>
      </w:r>
      <w:r w:rsidRPr="009D61D5">
        <w:t xml:space="preserve"> patients vaccinated with aTIV (Fluad) in comparison to TIV:</w:t>
      </w:r>
    </w:p>
    <w:p w:rsidR="00D24145" w:rsidRDefault="00673D2A" w:rsidP="00D24145">
      <w:pPr>
        <w:pStyle w:val="ListParagraph"/>
        <w:widowControl/>
        <w:numPr>
          <w:ilvl w:val="1"/>
          <w:numId w:val="10"/>
        </w:numPr>
        <w:tabs>
          <w:tab w:val="left" w:pos="1134"/>
        </w:tabs>
        <w:ind w:left="1134" w:hanging="425"/>
      </w:pPr>
      <w:r w:rsidRPr="009D61D5">
        <w:t xml:space="preserve">Approximately 4 fewer patients would experience an influenza or pneumonia </w:t>
      </w:r>
      <w:r w:rsidRPr="00AD392A">
        <w:t>associated hospitalisation.</w:t>
      </w:r>
    </w:p>
    <w:p w:rsidR="00673D2A" w:rsidRPr="00AD392A" w:rsidRDefault="00673D2A" w:rsidP="00D24145">
      <w:pPr>
        <w:pStyle w:val="ListParagraph"/>
        <w:widowControl/>
        <w:numPr>
          <w:ilvl w:val="1"/>
          <w:numId w:val="10"/>
        </w:numPr>
        <w:tabs>
          <w:tab w:val="left" w:pos="1134"/>
        </w:tabs>
        <w:ind w:left="1134" w:hanging="425"/>
      </w:pPr>
      <w:r w:rsidRPr="00AD392A">
        <w:t>No additional patients would experience an adverse event.</w:t>
      </w:r>
    </w:p>
    <w:p w:rsidR="006B0C68" w:rsidRPr="00004E57" w:rsidRDefault="00AD392A" w:rsidP="00F37302">
      <w:pPr>
        <w:pStyle w:val="ListParagraph"/>
        <w:keepNext/>
        <w:widowControl/>
        <w:numPr>
          <w:ilvl w:val="1"/>
          <w:numId w:val="39"/>
        </w:numPr>
        <w:ind w:left="709" w:hanging="709"/>
      </w:pPr>
      <w:r w:rsidRPr="00AD392A">
        <w:t>Based on non-inferiority of aQIV to aTIV, t</w:t>
      </w:r>
      <w:r w:rsidR="006B0C68" w:rsidRPr="00AD392A">
        <w:t>he PBAC considered that it was reasonable to assume that the same benefit</w:t>
      </w:r>
      <w:r w:rsidRPr="00AD392A">
        <w:t xml:space="preserve"> presented above</w:t>
      </w:r>
      <w:r w:rsidR="006B0C68" w:rsidRPr="00AD392A">
        <w:t xml:space="preserve"> would apply to aQ</w:t>
      </w:r>
      <w:r w:rsidR="00AA4006">
        <w:t>IV (Fluad Quad) compared to QIV</w:t>
      </w:r>
      <w:r w:rsidR="00AA4006">
        <w:rPr>
          <w:color w:val="FF0000"/>
        </w:rPr>
        <w:t>.</w:t>
      </w:r>
    </w:p>
    <w:p w:rsidR="00673D2A" w:rsidRPr="000429E7" w:rsidRDefault="00004E57" w:rsidP="00F37302">
      <w:pPr>
        <w:pStyle w:val="ListParagraph"/>
        <w:keepNext/>
        <w:widowControl/>
        <w:numPr>
          <w:ilvl w:val="1"/>
          <w:numId w:val="39"/>
        </w:numPr>
        <w:ind w:left="709" w:hanging="709"/>
      </w:pPr>
      <w:r w:rsidRPr="00004E57">
        <w:t>The PBAC noted that the benefits and harms table had been devel</w:t>
      </w:r>
      <w:r w:rsidR="006B0F24">
        <w:t>oped using the 25% assumed VE and not the 17% VE used in the Pre-PBAC Response modelling</w:t>
      </w:r>
      <w:r w:rsidR="006B0F24" w:rsidRPr="006B0F24">
        <w:t>.</w:t>
      </w:r>
      <w:r w:rsidRPr="006E7980">
        <w:rPr>
          <w:highlight w:val="yellow"/>
        </w:rPr>
        <w:t xml:space="preserve"> </w:t>
      </w:r>
    </w:p>
    <w:p w:rsidR="002267F2" w:rsidRPr="009D61D5" w:rsidRDefault="002267F2" w:rsidP="008E537B">
      <w:pPr>
        <w:pStyle w:val="4-SubsectionHeading"/>
      </w:pPr>
      <w:bookmarkStart w:id="16" w:name="_Toc9407312"/>
      <w:r w:rsidRPr="009D61D5">
        <w:t>Clinical claim</w:t>
      </w:r>
      <w:bookmarkEnd w:id="16"/>
    </w:p>
    <w:p w:rsidR="00AC7488" w:rsidRPr="009D61D5" w:rsidRDefault="00AC7488" w:rsidP="008E537B">
      <w:pPr>
        <w:pStyle w:val="5-SubsectionSubheading"/>
      </w:pPr>
      <w:r w:rsidRPr="009D61D5">
        <w:t xml:space="preserve">aTIV (Fluad) compared to </w:t>
      </w:r>
      <w:r w:rsidR="00927C23" w:rsidRPr="009D61D5">
        <w:t>Q</w:t>
      </w:r>
      <w:r w:rsidRPr="009D61D5">
        <w:t>IV</w:t>
      </w:r>
    </w:p>
    <w:p w:rsidR="00055806" w:rsidRPr="009D61D5" w:rsidRDefault="002267F2" w:rsidP="00F37302">
      <w:pPr>
        <w:pStyle w:val="ListParagraph"/>
        <w:keepNext/>
        <w:widowControl/>
        <w:numPr>
          <w:ilvl w:val="1"/>
          <w:numId w:val="39"/>
        </w:numPr>
        <w:ind w:left="709" w:hanging="709"/>
      </w:pPr>
      <w:r w:rsidRPr="009D61D5">
        <w:t>The submission claimed that:</w:t>
      </w:r>
    </w:p>
    <w:p w:rsidR="00345BD2" w:rsidRPr="00345BD2" w:rsidRDefault="007E78BA" w:rsidP="00D24145">
      <w:pPr>
        <w:pStyle w:val="ListParagraph"/>
        <w:widowControl/>
        <w:numPr>
          <w:ilvl w:val="1"/>
          <w:numId w:val="10"/>
        </w:numPr>
        <w:tabs>
          <w:tab w:val="left" w:pos="1134"/>
        </w:tabs>
        <w:ind w:left="1134" w:hanging="425"/>
      </w:pPr>
      <w:r w:rsidRPr="00D24145">
        <w:t>”</w:t>
      </w:r>
      <w:r w:rsidRPr="00DA725C">
        <w:t>Fluad</w:t>
      </w:r>
      <w:r w:rsidRPr="00D24145">
        <w:t xml:space="preserve"> (aTIV) is superior to non-adjuvanted TIV in effectiveness against clinically relevant outcomes” (p93 of the submission).</w:t>
      </w:r>
    </w:p>
    <w:p w:rsidR="00055806" w:rsidRPr="009D61D5" w:rsidRDefault="007E78BA" w:rsidP="00D24145">
      <w:pPr>
        <w:pStyle w:val="ListParagraph"/>
        <w:widowControl/>
        <w:numPr>
          <w:ilvl w:val="1"/>
          <w:numId w:val="10"/>
        </w:numPr>
        <w:tabs>
          <w:tab w:val="left" w:pos="1134"/>
        </w:tabs>
        <w:ind w:left="1134" w:hanging="425"/>
      </w:pPr>
      <w:r w:rsidRPr="00D24145">
        <w:lastRenderedPageBreak/>
        <w:t>“</w:t>
      </w:r>
      <w:r w:rsidRPr="00DA725C">
        <w:t>The</w:t>
      </w:r>
      <w:r w:rsidRPr="00D24145">
        <w:t xml:space="preserve"> superiority claim [of aTIV over TIV] is proposed to extend to non-adjuvanted QIV </w:t>
      </w:r>
      <w:r w:rsidRPr="00345BD2">
        <w:t>where there is a strain match” (Figure 2.1, p46 of the submission)</w:t>
      </w:r>
      <w:r w:rsidR="001C3404">
        <w:t>.</w:t>
      </w:r>
    </w:p>
    <w:p w:rsidR="00AC7488" w:rsidRDefault="00AC7488" w:rsidP="00BF039E">
      <w:pPr>
        <w:pStyle w:val="3-BodyText"/>
      </w:pPr>
      <w:r w:rsidRPr="009D61D5">
        <w:t>The PBAC previously agreed with the ATAGI that “there is sufficient evidence indicating aTIV is superior in effectiveness to non-adjuvanted trivalent inactivated vaccine (TIV) in some scenarios, particularly in seasons dominated by influenza A/H3 disease which accounts for a substantial burden in this age group” (PBAC, March 2018, Public Summary Document – Fluad, paragraph 7.4).</w:t>
      </w:r>
    </w:p>
    <w:p w:rsidR="00AC7488" w:rsidRPr="009D61D5" w:rsidRDefault="00AD392A" w:rsidP="00F37302">
      <w:pPr>
        <w:pStyle w:val="ListParagraph"/>
        <w:keepNext/>
        <w:widowControl/>
        <w:numPr>
          <w:ilvl w:val="1"/>
          <w:numId w:val="39"/>
        </w:numPr>
        <w:ind w:left="709" w:hanging="709"/>
      </w:pPr>
      <w:r>
        <w:t>The ESC considered that</w:t>
      </w:r>
      <w:r w:rsidR="007C6263" w:rsidRPr="009D61D5">
        <w:t xml:space="preserve"> t</w:t>
      </w:r>
      <w:r w:rsidR="00AC7488" w:rsidRPr="009D61D5">
        <w:t xml:space="preserve">he magnitude of effectiveness of aTIV compared to TIV </w:t>
      </w:r>
      <w:r>
        <w:t>wa</w:t>
      </w:r>
      <w:r w:rsidR="00AC7488" w:rsidRPr="009D61D5">
        <w:t>s uncertain:</w:t>
      </w:r>
    </w:p>
    <w:p w:rsidR="00AC7488" w:rsidRPr="009D61D5" w:rsidRDefault="00AC7488" w:rsidP="00D24145">
      <w:pPr>
        <w:pStyle w:val="ListParagraph"/>
        <w:widowControl/>
        <w:numPr>
          <w:ilvl w:val="1"/>
          <w:numId w:val="10"/>
        </w:numPr>
        <w:tabs>
          <w:tab w:val="left" w:pos="1134"/>
        </w:tabs>
        <w:ind w:left="1134" w:hanging="425"/>
      </w:pPr>
      <w:r w:rsidRPr="009D61D5">
        <w:t xml:space="preserve">The key clinical evidence presented </w:t>
      </w:r>
      <w:r w:rsidR="00852DFA">
        <w:t>was a</w:t>
      </w:r>
      <w:r w:rsidRPr="009D61D5">
        <w:t xml:space="preserve"> non-randomised, non-blinded observational study comparing aTIV to TIV</w:t>
      </w:r>
      <w:r w:rsidR="00852DFA">
        <w:t xml:space="preserve"> which was considered to have a moderate risk of bias</w:t>
      </w:r>
      <w:r w:rsidRPr="009D61D5">
        <w:t xml:space="preserve"> (LIVE study, Mannino 2012). </w:t>
      </w:r>
    </w:p>
    <w:p w:rsidR="00F12A09" w:rsidRPr="009D61D5" w:rsidRDefault="00F12A09" w:rsidP="00D24145">
      <w:pPr>
        <w:pStyle w:val="ListParagraph"/>
        <w:widowControl/>
        <w:numPr>
          <w:ilvl w:val="1"/>
          <w:numId w:val="10"/>
        </w:numPr>
        <w:tabs>
          <w:tab w:val="left" w:pos="1134"/>
        </w:tabs>
        <w:ind w:left="1134" w:hanging="425"/>
      </w:pPr>
      <w:r w:rsidRPr="009D61D5">
        <w:t>The primary outcome was hospitalisations for influenza and pneumonia. The presence of influenza was not necessarily laboratory confirmed.</w:t>
      </w:r>
    </w:p>
    <w:p w:rsidR="00AC7488" w:rsidRPr="009D61D5" w:rsidRDefault="00F12A09" w:rsidP="00D24145">
      <w:pPr>
        <w:pStyle w:val="ListParagraph"/>
        <w:widowControl/>
        <w:numPr>
          <w:ilvl w:val="1"/>
          <w:numId w:val="10"/>
        </w:numPr>
        <w:tabs>
          <w:tab w:val="left" w:pos="1134"/>
        </w:tabs>
        <w:ind w:left="1134" w:hanging="425"/>
      </w:pPr>
      <w:r w:rsidRPr="009D61D5">
        <w:t xml:space="preserve">Vaccine </w:t>
      </w:r>
      <w:r w:rsidR="00777DD3" w:rsidRPr="009D61D5">
        <w:t>eff</w:t>
      </w:r>
      <w:r w:rsidR="00777DD3">
        <w:t>ectiveness</w:t>
      </w:r>
      <w:r w:rsidR="00777DD3" w:rsidRPr="009D61D5">
        <w:t xml:space="preserve"> </w:t>
      </w:r>
      <w:r w:rsidRPr="009D61D5">
        <w:t>against hospitalisations was adjusted for the presence of baseline confounders using propensity score matching, which resulted in 4% of observations excluded from the analysis.</w:t>
      </w:r>
    </w:p>
    <w:p w:rsidR="00AC7488" w:rsidRPr="009D61D5" w:rsidRDefault="00AC7488" w:rsidP="00D24145">
      <w:pPr>
        <w:pStyle w:val="ListParagraph"/>
        <w:widowControl/>
        <w:numPr>
          <w:ilvl w:val="1"/>
          <w:numId w:val="10"/>
        </w:numPr>
        <w:tabs>
          <w:tab w:val="left" w:pos="1134"/>
        </w:tabs>
        <w:ind w:left="1134" w:hanging="425"/>
      </w:pPr>
      <w:r w:rsidRPr="009D61D5">
        <w:t xml:space="preserve">Vaccine </w:t>
      </w:r>
      <w:r w:rsidR="00777DD3" w:rsidRPr="009D61D5">
        <w:t>eff</w:t>
      </w:r>
      <w:r w:rsidR="00777DD3">
        <w:t>ectiveness</w:t>
      </w:r>
      <w:r w:rsidR="00777DD3" w:rsidRPr="009D61D5">
        <w:t xml:space="preserve"> </w:t>
      </w:r>
      <w:r w:rsidR="00F12A09" w:rsidRPr="009D61D5">
        <w:t>against hospitalisations</w:t>
      </w:r>
      <w:r w:rsidRPr="009D61D5">
        <w:t xml:space="preserve"> was greater after adjusting for cohort differences at baseline and using a narrow time window (adjusted odds </w:t>
      </w:r>
      <w:r w:rsidRPr="00B97A2E">
        <w:t>ratio, narrowest window: 0.75 (95%CI: 0.57, 0.98</w:t>
      </w:r>
      <w:r w:rsidR="00973B35" w:rsidRPr="00B97A2E">
        <w:t>)</w:t>
      </w:r>
      <w:r w:rsidR="00852DFA">
        <w:t>)</w:t>
      </w:r>
      <w:r w:rsidR="00973B35" w:rsidRPr="00B97A2E">
        <w:t>.</w:t>
      </w:r>
      <w:r w:rsidR="008D396C">
        <w:t xml:space="preserve"> </w:t>
      </w:r>
      <w:r w:rsidR="005B0FCD" w:rsidRPr="00B97A2E">
        <w:t xml:space="preserve">A number of variables used in the derivation of the propensity scores appeared to have </w:t>
      </w:r>
      <w:r w:rsidR="00852DFA">
        <w:t xml:space="preserve">also </w:t>
      </w:r>
      <w:r w:rsidR="005B0FCD" w:rsidRPr="00B97A2E">
        <w:t>been used as explanatory variables in the multivariate model, and removal of this double handling may result in an estimate o</w:t>
      </w:r>
      <w:r w:rsidR="00126BB6" w:rsidRPr="00B97A2E">
        <w:t xml:space="preserve">f the true OR that overlaps </w:t>
      </w:r>
      <w:r w:rsidR="005B0FCD" w:rsidRPr="00B97A2E">
        <w:t>the null.</w:t>
      </w:r>
    </w:p>
    <w:p w:rsidR="00AC7488" w:rsidRPr="009D61D5" w:rsidRDefault="00A56186" w:rsidP="00F37302">
      <w:pPr>
        <w:pStyle w:val="ListParagraph"/>
        <w:keepNext/>
        <w:widowControl/>
        <w:numPr>
          <w:ilvl w:val="1"/>
          <w:numId w:val="39"/>
        </w:numPr>
        <w:ind w:left="709" w:hanging="709"/>
      </w:pPr>
      <w:r>
        <w:t>There was no data to support estimates of</w:t>
      </w:r>
      <w:r w:rsidR="00AC7488" w:rsidRPr="009D61D5">
        <w:t xml:space="preserve"> vaccine </w:t>
      </w:r>
      <w:r w:rsidR="00973B35" w:rsidRPr="009D61D5">
        <w:t>eff</w:t>
      </w:r>
      <w:r w:rsidR="00973B35">
        <w:t>ectiveness</w:t>
      </w:r>
      <w:r w:rsidR="00973B35" w:rsidRPr="009D61D5">
        <w:t xml:space="preserve"> </w:t>
      </w:r>
      <w:r w:rsidR="00E612B0" w:rsidRPr="009D61D5">
        <w:t>against</w:t>
      </w:r>
      <w:r w:rsidR="00AC7488" w:rsidRPr="009D61D5">
        <w:t xml:space="preserve"> influenza cases or mortality.</w:t>
      </w:r>
    </w:p>
    <w:p w:rsidR="00AC7488" w:rsidRPr="009D61D5" w:rsidRDefault="00AC7488" w:rsidP="00F37302">
      <w:pPr>
        <w:pStyle w:val="ListParagraph"/>
        <w:keepNext/>
        <w:widowControl/>
        <w:numPr>
          <w:ilvl w:val="1"/>
          <w:numId w:val="39"/>
        </w:numPr>
        <w:ind w:left="709" w:hanging="709"/>
      </w:pPr>
      <w:r w:rsidRPr="009D61D5">
        <w:t>The submission did not provide direct evidence or a formal indirect comparison of aTIV (Fluad) to QIV. The submission relied on the previous PBAC recommendation in March 2018 that “the PBAC accepted the ATAGI advice that aTIV is non-inferior overall to QIV for the prevention of seasonal influenza in adults aged ≥65 years” and that “the PBAC agreed with the ATAGI that the potential additional protection afforded by aTIV against the strains included in the vaccine is substantial enough to offset, if not outweigh, the potential loss of protection against the alternative B lineage not in the vaccine, in most years, for adults aged ≥65 years”.</w:t>
      </w:r>
    </w:p>
    <w:p w:rsidR="00AC7488" w:rsidRDefault="00AC7488" w:rsidP="00F37302">
      <w:pPr>
        <w:pStyle w:val="ListParagraph"/>
        <w:keepNext/>
        <w:widowControl/>
        <w:numPr>
          <w:ilvl w:val="1"/>
          <w:numId w:val="39"/>
        </w:numPr>
        <w:ind w:left="709" w:hanging="709"/>
      </w:pPr>
      <w:r w:rsidRPr="009D61D5">
        <w:t xml:space="preserve">The magnitude of effectiveness of aTIV (Fluad) to QIV is uncertain as no head-to-head RCTs or formal indirect comparison was presented comparing aTIV (Fluad) to QIV. Furthermore, the extent to which the benefits of aTIV (Fluad) outweighed the </w:t>
      </w:r>
      <w:r w:rsidRPr="009D61D5">
        <w:lastRenderedPageBreak/>
        <w:t xml:space="preserve">potential loss of protection against the mismatched B strain in QIV in a given year is uncertain given </w:t>
      </w:r>
      <w:r w:rsidR="004D7EA0" w:rsidRPr="009D61D5">
        <w:t>year-to-year</w:t>
      </w:r>
      <w:r w:rsidRPr="009D61D5">
        <w:t xml:space="preserve"> variability in influenza.</w:t>
      </w:r>
    </w:p>
    <w:p w:rsidR="0068395C" w:rsidRDefault="00AD392A" w:rsidP="00F37302">
      <w:pPr>
        <w:pStyle w:val="ListParagraph"/>
        <w:keepNext/>
        <w:widowControl/>
        <w:numPr>
          <w:ilvl w:val="1"/>
          <w:numId w:val="39"/>
        </w:numPr>
        <w:ind w:left="709" w:hanging="709"/>
      </w:pPr>
      <w:r w:rsidRPr="00AD392A">
        <w:t>The Pre-sub-committee response (</w:t>
      </w:r>
      <w:r w:rsidR="0068395C" w:rsidRPr="00AD392A">
        <w:t>p5) highlighted that the PBAC raised th</w:t>
      </w:r>
      <w:r w:rsidRPr="00AD392A">
        <w:t>is</w:t>
      </w:r>
      <w:r w:rsidR="0068395C" w:rsidRPr="00AD392A">
        <w:t xml:space="preserve"> issue in the context of an application requesting listing for a trivalent influenza vaccine (TIV-HD) compared to a quadrivalent vaccine (QIV). The sponsor considered that in the context of the current submission’s request for a quadrivalent vaccine (aQIV), the issue of the uncertainty of a mismatched B strain is eliminated. </w:t>
      </w:r>
    </w:p>
    <w:p w:rsidR="00937077" w:rsidRPr="00A36EF8" w:rsidRDefault="00937077" w:rsidP="00F37302">
      <w:pPr>
        <w:pStyle w:val="ListParagraph"/>
        <w:keepNext/>
        <w:widowControl/>
        <w:numPr>
          <w:ilvl w:val="1"/>
          <w:numId w:val="39"/>
        </w:numPr>
        <w:ind w:left="709" w:hanging="709"/>
      </w:pPr>
      <w:r w:rsidRPr="00A36EF8">
        <w:t xml:space="preserve">The PBAC considered that the claim of superior comparative effectiveness </w:t>
      </w:r>
      <w:r w:rsidR="001E7655">
        <w:t xml:space="preserve">of aTIV over QIV </w:t>
      </w:r>
      <w:r w:rsidRPr="00A36EF8">
        <w:t xml:space="preserve">was </w:t>
      </w:r>
      <w:r>
        <w:t xml:space="preserve">highly uncertain and </w:t>
      </w:r>
      <w:r w:rsidRPr="00A36EF8">
        <w:t>not adequately supported by the data.</w:t>
      </w:r>
      <w:r w:rsidR="001E7655">
        <w:t xml:space="preserve"> The PBAC accepted the superiority of aTIV over TIV, however, the magnitude of the benefit was uncertain.</w:t>
      </w:r>
    </w:p>
    <w:p w:rsidR="00AC7488" w:rsidRPr="009D61D5" w:rsidRDefault="00AC7488" w:rsidP="008E537B">
      <w:pPr>
        <w:pStyle w:val="5-SubsectionSubheading"/>
      </w:pPr>
      <w:r w:rsidRPr="009D61D5">
        <w:t>aQIV (Fluad Quad) compared to aTIV (Fluad)</w:t>
      </w:r>
    </w:p>
    <w:p w:rsidR="00AC7488" w:rsidRPr="009D61D5" w:rsidRDefault="00FF6F3B" w:rsidP="00F37302">
      <w:pPr>
        <w:pStyle w:val="ListParagraph"/>
        <w:keepNext/>
        <w:widowControl/>
        <w:numPr>
          <w:ilvl w:val="1"/>
          <w:numId w:val="39"/>
        </w:numPr>
        <w:ind w:left="709" w:hanging="709"/>
      </w:pPr>
      <w:r w:rsidRPr="009D61D5">
        <w:t xml:space="preserve">The submission claimed that </w:t>
      </w:r>
      <w:r w:rsidR="00AC7488" w:rsidRPr="009D61D5">
        <w:t>“Fluad Quad (aQIV) is non-inferior to Fluad (aTIV) in immunogenicity measures for A/H1N1, A/H3N2 and the included B/ Victoria and B/Yamagata strains” (p93 of the submission).</w:t>
      </w:r>
    </w:p>
    <w:p w:rsidR="00AC7488" w:rsidRPr="009D61D5" w:rsidRDefault="00AC7488" w:rsidP="00F37302">
      <w:pPr>
        <w:pStyle w:val="ListParagraph"/>
        <w:keepNext/>
        <w:widowControl/>
        <w:numPr>
          <w:ilvl w:val="1"/>
          <w:numId w:val="39"/>
        </w:numPr>
        <w:ind w:left="709" w:hanging="709"/>
      </w:pPr>
      <w:r w:rsidRPr="009D61D5">
        <w:t xml:space="preserve">The magnitude of benefit is uncertain as the V118_20 trial reported vaccine </w:t>
      </w:r>
      <w:r w:rsidR="00345BD2" w:rsidRPr="009D61D5">
        <w:t>eff</w:t>
      </w:r>
      <w:r w:rsidR="00345BD2">
        <w:t>ectiveness</w:t>
      </w:r>
      <w:r w:rsidR="00345BD2" w:rsidRPr="009D61D5">
        <w:t xml:space="preserve"> </w:t>
      </w:r>
      <w:r w:rsidRPr="009D61D5">
        <w:t xml:space="preserve">in terms of immunogenicity outcomes (GMTs and SCRs), rather than influenza cases avoided. As such, the magnitude of aQIV </w:t>
      </w:r>
      <w:r w:rsidR="00E80845" w:rsidRPr="009D61D5">
        <w:t>eff</w:t>
      </w:r>
      <w:r w:rsidR="00E80845">
        <w:t>ectiveness</w:t>
      </w:r>
      <w:r w:rsidRPr="009D61D5">
        <w:t xml:space="preserve"> in terms of influenza cases or hospitalisations avoided is unknown.</w:t>
      </w:r>
    </w:p>
    <w:p w:rsidR="007C6263" w:rsidRPr="009D61D5" w:rsidRDefault="004D5E1F" w:rsidP="00F37302">
      <w:pPr>
        <w:pStyle w:val="ListParagraph"/>
        <w:keepNext/>
        <w:widowControl/>
        <w:numPr>
          <w:ilvl w:val="1"/>
          <w:numId w:val="39"/>
        </w:numPr>
        <w:ind w:left="709" w:hanging="709"/>
      </w:pPr>
      <w:r w:rsidRPr="009D61D5">
        <w:t>T</w:t>
      </w:r>
      <w:r w:rsidR="006F2472" w:rsidRPr="009D61D5">
        <w:t>he results</w:t>
      </w:r>
      <w:r w:rsidR="00BF6FD2" w:rsidRPr="009D61D5">
        <w:t xml:space="preserve"> </w:t>
      </w:r>
      <w:r w:rsidR="00483E00" w:rsidRPr="009D61D5">
        <w:t>presented in V118_20 for the</w:t>
      </w:r>
      <w:r w:rsidR="006F2472" w:rsidRPr="009D61D5">
        <w:t xml:space="preserve"> </w:t>
      </w:r>
      <w:r w:rsidR="007C0443" w:rsidRPr="009D61D5">
        <w:t xml:space="preserve">Centre for Biologics Evaluation and Research (CBER) </w:t>
      </w:r>
      <w:r w:rsidR="00483E00" w:rsidRPr="009D61D5">
        <w:t xml:space="preserve">test of </w:t>
      </w:r>
      <w:r w:rsidR="004D7EA0" w:rsidRPr="009D61D5">
        <w:t>immunogenicity</w:t>
      </w:r>
      <w:r w:rsidR="006F2472" w:rsidRPr="009D61D5">
        <w:t xml:space="preserve"> </w:t>
      </w:r>
      <w:r w:rsidR="00483E00" w:rsidRPr="009D61D5">
        <w:t xml:space="preserve">indicates that </w:t>
      </w:r>
      <w:r w:rsidR="006F2472" w:rsidRPr="009D61D5">
        <w:t>uncertainties</w:t>
      </w:r>
      <w:r w:rsidR="00483E00" w:rsidRPr="009D61D5">
        <w:t xml:space="preserve"> remain</w:t>
      </w:r>
      <w:r w:rsidR="006F2472" w:rsidRPr="009D61D5">
        <w:t xml:space="preserve"> as to whether the aQIV provide</w:t>
      </w:r>
      <w:r w:rsidR="00CF5B9C">
        <w:t xml:space="preserve"> </w:t>
      </w:r>
      <w:r w:rsidR="006F2472" w:rsidRPr="009D61D5">
        <w:t xml:space="preserve">the desired immune response against B lineages. </w:t>
      </w:r>
      <w:r w:rsidR="00062BCD" w:rsidRPr="009D61D5">
        <w:t>T</w:t>
      </w:r>
      <w:r w:rsidR="006F2472" w:rsidRPr="009D61D5">
        <w:t>here was no investigation within the presented results of the impact of cross-seroprotection or natural immunity against the B lineages.</w:t>
      </w:r>
      <w:r w:rsidR="008D396C">
        <w:t xml:space="preserve"> </w:t>
      </w:r>
      <w:r w:rsidR="00937077">
        <w:t>ATAGI post-submission advice</w:t>
      </w:r>
      <w:r w:rsidR="00CF5B9C">
        <w:t xml:space="preserve"> </w:t>
      </w:r>
      <w:r w:rsidR="00937077">
        <w:t>(</w:t>
      </w:r>
      <w:r w:rsidR="00CF5B9C">
        <w:t xml:space="preserve">p2) </w:t>
      </w:r>
      <w:r w:rsidR="00937077">
        <w:t>(received</w:t>
      </w:r>
      <w:r w:rsidR="00937077" w:rsidRPr="00AD392A">
        <w:t xml:space="preserve"> </w:t>
      </w:r>
      <w:r w:rsidR="00937077">
        <w:t xml:space="preserve">after ESC consideration) </w:t>
      </w:r>
      <w:r w:rsidR="00CF5B9C">
        <w:t xml:space="preserve">noted that </w:t>
      </w:r>
      <w:r w:rsidR="004B0DDF">
        <w:t>use of immunogenicity data to assess non-inferiority in the absence of VE data or a direct comparison was acceptable, in line with standard practice of the US FDA.</w:t>
      </w:r>
      <w:r w:rsidR="0076700C">
        <w:t xml:space="preserve"> </w:t>
      </w:r>
    </w:p>
    <w:p w:rsidR="00CF5B9C" w:rsidRPr="00937A08" w:rsidRDefault="008D396C" w:rsidP="00F37302">
      <w:pPr>
        <w:pStyle w:val="ListParagraph"/>
        <w:keepNext/>
        <w:widowControl/>
        <w:numPr>
          <w:ilvl w:val="1"/>
          <w:numId w:val="39"/>
        </w:numPr>
        <w:ind w:left="709" w:hanging="709"/>
        <w:rPr>
          <w:rFonts w:cstheme="minorHAnsi"/>
          <w:u w:val="single"/>
        </w:rPr>
      </w:pPr>
      <w:r>
        <w:t xml:space="preserve">ATAGI post-submission </w:t>
      </w:r>
      <w:r w:rsidR="00AD392A">
        <w:t>advice</w:t>
      </w:r>
      <w:r w:rsidR="00937077">
        <w:t xml:space="preserve"> (p1)</w:t>
      </w:r>
      <w:r w:rsidR="00AD392A">
        <w:t xml:space="preserve">, </w:t>
      </w:r>
      <w:r>
        <w:t>advised</w:t>
      </w:r>
      <w:r w:rsidR="00CF5B9C">
        <w:t xml:space="preserve"> that </w:t>
      </w:r>
      <w:r w:rsidR="00AD392A">
        <w:t>ATAGI</w:t>
      </w:r>
      <w:r w:rsidR="00CF5B9C">
        <w:t xml:space="preserve"> considered aQIV to be at least non-inferior to aTIV based on immunogenicity data from the single pivotal phase 3 trial undertaken over a single season which demonstrated non-inferiority of aQIV to aTIV and another aTIV containing the alternative B strain in the first aTIV.</w:t>
      </w:r>
      <w:r>
        <w:t xml:space="preserve"> </w:t>
      </w:r>
      <w:r w:rsidR="00CF5B9C">
        <w:t>ATAGI noted this study found aQIV superior to aTIV for the B strain not included in each aTIV.</w:t>
      </w:r>
    </w:p>
    <w:p w:rsidR="00937A08" w:rsidRPr="00937A08" w:rsidRDefault="00937A08" w:rsidP="00F37302">
      <w:pPr>
        <w:pStyle w:val="ListParagraph"/>
        <w:widowControl/>
        <w:numPr>
          <w:ilvl w:val="1"/>
          <w:numId w:val="39"/>
        </w:numPr>
        <w:ind w:left="709" w:hanging="709"/>
        <w:rPr>
          <w:rFonts w:cstheme="minorHAnsi"/>
          <w:u w:val="single"/>
        </w:rPr>
      </w:pPr>
      <w:r>
        <w:t xml:space="preserve">The </w:t>
      </w:r>
      <w:r w:rsidRPr="00937A08">
        <w:t>PBAC considered aQIV was at least non-inferior to aTIV.</w:t>
      </w:r>
    </w:p>
    <w:p w:rsidR="00EF4495" w:rsidRDefault="005E46BD" w:rsidP="00EF4495">
      <w:pPr>
        <w:pStyle w:val="5-SubsectionSubheading"/>
      </w:pPr>
      <w:r w:rsidRPr="00937A08">
        <w:t>aQIV (Fluad Quad) compared to QIV</w:t>
      </w:r>
    </w:p>
    <w:p w:rsidR="00EF4495" w:rsidRDefault="00EF4495" w:rsidP="00EF4495">
      <w:pPr>
        <w:pStyle w:val="3-BodyText"/>
      </w:pPr>
      <w:r w:rsidRPr="009D61D5">
        <w:t>The submission also claimed that: “By extension, Fluad Quad (aQIV) is superior to non-</w:t>
      </w:r>
      <w:r w:rsidRPr="00052F5C">
        <w:t>adjuvanted QIV in effectiveness against clinically relevant outcomes” (p93 of the submission)</w:t>
      </w:r>
    </w:p>
    <w:p w:rsidR="00EF4495" w:rsidRDefault="00EF4495" w:rsidP="00EF4495"/>
    <w:p w:rsidR="00483E00" w:rsidRDefault="00CF4E67" w:rsidP="00F37302">
      <w:pPr>
        <w:pStyle w:val="ListParagraph"/>
        <w:keepNext/>
        <w:widowControl/>
        <w:numPr>
          <w:ilvl w:val="1"/>
          <w:numId w:val="39"/>
        </w:numPr>
        <w:ind w:left="709" w:hanging="709"/>
        <w:rPr>
          <w:rFonts w:cstheme="minorHAnsi"/>
        </w:rPr>
      </w:pPr>
      <w:r w:rsidRPr="00052F5C">
        <w:lastRenderedPageBreak/>
        <w:t>The therapeutic conclusions presented in the submission for aQIV</w:t>
      </w:r>
      <w:r w:rsidR="005E46BD" w:rsidRPr="00052F5C">
        <w:t xml:space="preserve"> (Fluad Quad)</w:t>
      </w:r>
      <w:r w:rsidRPr="00052F5C">
        <w:t xml:space="preserve"> over QIV, were not </w:t>
      </w:r>
      <w:r w:rsidR="00331817" w:rsidRPr="00B97A2E">
        <w:t>direct</w:t>
      </w:r>
      <w:r w:rsidR="00345BD2" w:rsidRPr="00B97A2E">
        <w:t>ly</w:t>
      </w:r>
      <w:r w:rsidR="00345BD2" w:rsidRPr="00052F5C">
        <w:t xml:space="preserve"> </w:t>
      </w:r>
      <w:r w:rsidRPr="00052F5C">
        <w:t xml:space="preserve">supported by the evidence presented. There were </w:t>
      </w:r>
      <w:r w:rsidRPr="00052F5C">
        <w:rPr>
          <w:rFonts w:cstheme="minorHAnsi"/>
        </w:rPr>
        <w:t xml:space="preserve">no head-to-head RCTs, nor formal indirect comparisons presented. </w:t>
      </w:r>
    </w:p>
    <w:p w:rsidR="00D24145" w:rsidRPr="00A36EF8" w:rsidRDefault="00202961" w:rsidP="00F37302">
      <w:pPr>
        <w:pStyle w:val="ListParagraph"/>
        <w:keepNext/>
        <w:widowControl/>
        <w:numPr>
          <w:ilvl w:val="1"/>
          <w:numId w:val="39"/>
        </w:numPr>
        <w:spacing w:after="0"/>
        <w:ind w:left="709" w:hanging="709"/>
      </w:pPr>
      <w:r w:rsidRPr="00D145DB">
        <w:rPr>
          <w:rFonts w:cs="Calibri"/>
          <w:snapToGrid/>
        </w:rPr>
        <w:t xml:space="preserve">The PBAC considered that the evidence </w:t>
      </w:r>
      <w:r w:rsidR="001E7655">
        <w:rPr>
          <w:rFonts w:cs="Calibri"/>
          <w:snapToGrid/>
        </w:rPr>
        <w:t xml:space="preserve">of </w:t>
      </w:r>
      <w:r w:rsidR="00D145DB" w:rsidRPr="00D145DB">
        <w:rPr>
          <w:rFonts w:cs="Calibri"/>
          <w:snapToGrid/>
        </w:rPr>
        <w:t>superior benefit for</w:t>
      </w:r>
      <w:r w:rsidR="001E7655">
        <w:rPr>
          <w:rFonts w:cs="Calibri"/>
          <w:snapToGrid/>
        </w:rPr>
        <w:t xml:space="preserve"> aTIV versus TIV could be </w:t>
      </w:r>
      <w:r w:rsidR="001E7655" w:rsidRPr="00DA725C">
        <w:t>extrapolated</w:t>
      </w:r>
      <w:r w:rsidR="001E7655">
        <w:rPr>
          <w:rFonts w:cs="Calibri"/>
          <w:snapToGrid/>
        </w:rPr>
        <w:t xml:space="preserve"> to</w:t>
      </w:r>
      <w:r w:rsidRPr="00D145DB">
        <w:rPr>
          <w:rFonts w:cs="Calibri"/>
          <w:snapToGrid/>
        </w:rPr>
        <w:t xml:space="preserve"> similarly apply to aQIV versus QIV</w:t>
      </w:r>
      <w:r w:rsidR="00D145DB" w:rsidRPr="00D145DB">
        <w:rPr>
          <w:rFonts w:cs="Calibri"/>
          <w:snapToGrid/>
        </w:rPr>
        <w:t>.</w:t>
      </w:r>
    </w:p>
    <w:p w:rsidR="009213A5" w:rsidRPr="009D61D5" w:rsidRDefault="009213A5" w:rsidP="001627E4">
      <w:pPr>
        <w:pStyle w:val="4-SubsectionHeading"/>
      </w:pPr>
      <w:bookmarkStart w:id="17" w:name="_Toc9407313"/>
      <w:r w:rsidRPr="00052F5C">
        <w:t>Economic analysis</w:t>
      </w:r>
      <w:bookmarkEnd w:id="17"/>
    </w:p>
    <w:p w:rsidR="00C36989" w:rsidRPr="009D61D5" w:rsidRDefault="00C36989" w:rsidP="001627E4">
      <w:pPr>
        <w:pStyle w:val="5-SubsectionSubheading"/>
      </w:pPr>
      <w:r w:rsidRPr="009D61D5">
        <w:t>aTIV (Fluad) compared to QIV</w:t>
      </w:r>
    </w:p>
    <w:p w:rsidR="00012A82" w:rsidRPr="009D61D5" w:rsidRDefault="00012A82" w:rsidP="00123C12">
      <w:pPr>
        <w:pStyle w:val="3-BodyText"/>
        <w:rPr>
          <w:snapToGrid/>
        </w:rPr>
      </w:pPr>
      <w:r w:rsidRPr="009D61D5">
        <w:rPr>
          <w:snapToGrid/>
        </w:rPr>
        <w:t>The submission presented a cost-utility analysis, comparing aTIV (Fluad) to QIVs.</w:t>
      </w:r>
    </w:p>
    <w:p w:rsidR="00012A82" w:rsidRPr="009D61D5" w:rsidRDefault="00012A82" w:rsidP="00F37302">
      <w:pPr>
        <w:pStyle w:val="ListParagraph"/>
        <w:keepNext/>
        <w:widowControl/>
        <w:numPr>
          <w:ilvl w:val="1"/>
          <w:numId w:val="39"/>
        </w:numPr>
        <w:ind w:left="709" w:hanging="709"/>
        <w:rPr>
          <w:rFonts w:cs="Calibri"/>
          <w:snapToGrid/>
        </w:rPr>
      </w:pPr>
      <w:r w:rsidRPr="009D61D5">
        <w:rPr>
          <w:rFonts w:cs="Calibri"/>
          <w:snapToGrid/>
        </w:rPr>
        <w:t xml:space="preserve">The economic evaluation was </w:t>
      </w:r>
      <w:r w:rsidR="001C3404">
        <w:rPr>
          <w:rFonts w:cs="Calibri"/>
          <w:snapToGrid/>
        </w:rPr>
        <w:t>presented</w:t>
      </w:r>
      <w:r w:rsidR="001C3404" w:rsidRPr="009D61D5">
        <w:rPr>
          <w:rFonts w:cs="Calibri"/>
          <w:snapToGrid/>
        </w:rPr>
        <w:t xml:space="preserve"> </w:t>
      </w:r>
      <w:r w:rsidRPr="009D61D5">
        <w:rPr>
          <w:rFonts w:cs="Calibri"/>
          <w:snapToGrid/>
        </w:rPr>
        <w:t>to support a price premium. A static Markov model was developed to estimate the health benefits for an Australian population cohort aged 65 years, over a 35-year time horizon. Herd immunity was not included.</w:t>
      </w:r>
    </w:p>
    <w:p w:rsidR="009045C5" w:rsidRDefault="009045C5" w:rsidP="009045C5">
      <w:pPr>
        <w:pStyle w:val="TableFigureHeading"/>
      </w:pPr>
      <w:r>
        <w:t xml:space="preserve">Table </w:t>
      </w:r>
      <w:fldSimple w:instr=" SEQ Table \* ARABIC ">
        <w:r w:rsidR="009C284C">
          <w:rPr>
            <w:noProof/>
          </w:rPr>
          <w:t>13</w:t>
        </w:r>
      </w:fldSimple>
      <w:r w:rsidRPr="00051A14">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model structure and rationale"/>
      </w:tblPr>
      <w:tblGrid>
        <w:gridCol w:w="1271"/>
        <w:gridCol w:w="7746"/>
      </w:tblGrid>
      <w:tr w:rsidR="00012A82" w:rsidRPr="009D61D5" w:rsidTr="00DD4558">
        <w:trPr>
          <w:cantSplit/>
          <w:tblHeader/>
        </w:trPr>
        <w:tc>
          <w:tcPr>
            <w:tcW w:w="705" w:type="pct"/>
            <w:shd w:val="clear" w:color="auto" w:fill="auto"/>
            <w:vAlign w:val="center"/>
          </w:tcPr>
          <w:p w:rsidR="00012A82" w:rsidRPr="009D61D5" w:rsidRDefault="00012A82" w:rsidP="00A00426">
            <w:pPr>
              <w:pStyle w:val="Tabletext"/>
              <w:rPr>
                <w:b/>
              </w:rPr>
            </w:pPr>
            <w:r w:rsidRPr="009D61D5">
              <w:rPr>
                <w:b/>
              </w:rPr>
              <w:t>Component</w:t>
            </w:r>
          </w:p>
        </w:tc>
        <w:tc>
          <w:tcPr>
            <w:tcW w:w="4295" w:type="pct"/>
            <w:shd w:val="clear" w:color="auto" w:fill="auto"/>
            <w:vAlign w:val="center"/>
          </w:tcPr>
          <w:p w:rsidR="00012A82" w:rsidRPr="009D61D5" w:rsidRDefault="00012A82" w:rsidP="00A00426">
            <w:pPr>
              <w:pStyle w:val="Tabletext"/>
              <w:jc w:val="center"/>
              <w:rPr>
                <w:b/>
              </w:rPr>
            </w:pPr>
            <w:r w:rsidRPr="009D61D5">
              <w:rPr>
                <w:b/>
              </w:rPr>
              <w:t>Summary</w:t>
            </w:r>
          </w:p>
        </w:tc>
      </w:tr>
      <w:tr w:rsidR="00012A82" w:rsidRPr="009D61D5" w:rsidTr="00DD4558">
        <w:trPr>
          <w:cantSplit/>
        </w:trPr>
        <w:tc>
          <w:tcPr>
            <w:tcW w:w="705" w:type="pct"/>
            <w:shd w:val="clear" w:color="auto" w:fill="auto"/>
            <w:vAlign w:val="center"/>
          </w:tcPr>
          <w:p w:rsidR="00012A82" w:rsidRPr="009D61D5" w:rsidRDefault="00012A82" w:rsidP="00A00426">
            <w:pPr>
              <w:pStyle w:val="Tabletext"/>
            </w:pPr>
            <w:r w:rsidRPr="009D61D5">
              <w:t>Time horizon</w:t>
            </w:r>
          </w:p>
        </w:tc>
        <w:tc>
          <w:tcPr>
            <w:tcW w:w="4295" w:type="pct"/>
            <w:shd w:val="clear" w:color="auto" w:fill="auto"/>
            <w:vAlign w:val="center"/>
          </w:tcPr>
          <w:p w:rsidR="00012A82" w:rsidRPr="00E668E6" w:rsidRDefault="00012A82" w:rsidP="00E668E6">
            <w:pPr>
              <w:pStyle w:val="Tabletext"/>
              <w:rPr>
                <w:color w:val="FF0000"/>
              </w:rPr>
            </w:pPr>
            <w:r w:rsidRPr="00B97A2E">
              <w:t xml:space="preserve">35 years in the model base case. </w:t>
            </w:r>
            <w:r w:rsidR="004F7C8B" w:rsidRPr="00B97A2E">
              <w:t>The evaluation no</w:t>
            </w:r>
            <w:r w:rsidR="00C003DE" w:rsidRPr="00B97A2E">
              <w:t>t</w:t>
            </w:r>
            <w:r w:rsidR="004F7C8B" w:rsidRPr="00B97A2E">
              <w:t>ed that a</w:t>
            </w:r>
            <w:r w:rsidRPr="00B97A2E">
              <w:t xml:space="preserve">pplying a one-year time horizon is a more typical approach </w:t>
            </w:r>
            <w:r w:rsidR="001C3404" w:rsidRPr="00B97A2E">
              <w:t xml:space="preserve">as </w:t>
            </w:r>
            <w:r w:rsidRPr="00B97A2E">
              <w:t xml:space="preserve">influenza </w:t>
            </w:r>
            <w:r w:rsidR="005967E3" w:rsidRPr="00B97A2E">
              <w:t xml:space="preserve">vaccination benefits are likely to be limited to a single season, due to waning antibody levels and antigenic drift. The submission did not assume that vaccine efficacy lasts more than one year. However, the submission applied a modelling approach where the expected utilities over the lifetime of the patient had they not died were estimated per year and then summed over 35 years, rather than estimating the expected total QALYs lost per death (discounted) in the year that the death occurred. </w:t>
            </w:r>
            <w:r w:rsidRPr="00B97A2E">
              <w:t xml:space="preserve">The ICER is sensitive to </w:t>
            </w:r>
            <w:r w:rsidR="005967E3" w:rsidRPr="00B97A2E">
              <w:t>changing the</w:t>
            </w:r>
            <w:r w:rsidRPr="00B97A2E">
              <w:t xml:space="preserve"> time horizon</w:t>
            </w:r>
            <w:r w:rsidR="00CF5C13" w:rsidRPr="00B97A2E">
              <w:t xml:space="preserve"> to 1 year</w:t>
            </w:r>
            <w:r w:rsidRPr="00B97A2E">
              <w:t xml:space="preserve"> </w:t>
            </w:r>
            <w:r w:rsidR="005967E3" w:rsidRPr="00B97A2E">
              <w:t xml:space="preserve">and changing the modelling </w:t>
            </w:r>
            <w:r w:rsidR="005967E3" w:rsidRPr="0068395C">
              <w:t>approach such that the estimating the expected total QALYs lost per death (discounted) in the year that the death occurred is applied. In this case, the ICER</w:t>
            </w:r>
            <w:r w:rsidRPr="0068395C">
              <w:t xml:space="preserve"> is only dominant for patients 75 years or older</w:t>
            </w:r>
            <w:r w:rsidRPr="00E668E6">
              <w:t>.</w:t>
            </w:r>
          </w:p>
        </w:tc>
      </w:tr>
      <w:tr w:rsidR="00012A82" w:rsidRPr="009D61D5" w:rsidTr="00DD4558">
        <w:trPr>
          <w:cantSplit/>
        </w:trPr>
        <w:tc>
          <w:tcPr>
            <w:tcW w:w="705" w:type="pct"/>
            <w:shd w:val="clear" w:color="auto" w:fill="auto"/>
            <w:vAlign w:val="center"/>
          </w:tcPr>
          <w:p w:rsidR="00012A82" w:rsidRPr="009D61D5" w:rsidRDefault="00012A82" w:rsidP="00A00426">
            <w:pPr>
              <w:pStyle w:val="Tabletext"/>
            </w:pPr>
            <w:r w:rsidRPr="009D61D5">
              <w:t>Outcomes</w:t>
            </w:r>
          </w:p>
        </w:tc>
        <w:tc>
          <w:tcPr>
            <w:tcW w:w="4295" w:type="pct"/>
            <w:shd w:val="clear" w:color="auto" w:fill="auto"/>
            <w:vAlign w:val="center"/>
          </w:tcPr>
          <w:p w:rsidR="00012A82" w:rsidRPr="009D61D5" w:rsidRDefault="00012A82" w:rsidP="00A00426">
            <w:pPr>
              <w:pStyle w:val="Tabletext"/>
            </w:pPr>
            <w:r w:rsidRPr="009D61D5">
              <w:t>Quality-adjusted life years, influenza cases avoided, influenza-attributable mortality</w:t>
            </w:r>
          </w:p>
        </w:tc>
      </w:tr>
      <w:tr w:rsidR="00012A82" w:rsidRPr="009D61D5" w:rsidTr="00DD4558">
        <w:trPr>
          <w:cantSplit/>
        </w:trPr>
        <w:tc>
          <w:tcPr>
            <w:tcW w:w="705" w:type="pct"/>
            <w:shd w:val="clear" w:color="auto" w:fill="auto"/>
            <w:vAlign w:val="center"/>
          </w:tcPr>
          <w:p w:rsidR="00012A82" w:rsidRPr="009D61D5" w:rsidRDefault="00012A82" w:rsidP="00A00426">
            <w:pPr>
              <w:pStyle w:val="Tabletext"/>
            </w:pPr>
            <w:r w:rsidRPr="009D61D5">
              <w:t>Methods used to generate results</w:t>
            </w:r>
          </w:p>
        </w:tc>
        <w:tc>
          <w:tcPr>
            <w:tcW w:w="4295" w:type="pct"/>
            <w:shd w:val="clear" w:color="auto" w:fill="auto"/>
            <w:vAlign w:val="center"/>
          </w:tcPr>
          <w:p w:rsidR="00012A82" w:rsidRPr="009D61D5" w:rsidRDefault="00012A82" w:rsidP="00A00426">
            <w:pPr>
              <w:pStyle w:val="Tabletext"/>
            </w:pPr>
            <w:r w:rsidRPr="009D61D5">
              <w:t>Static Markov cohort model</w:t>
            </w:r>
          </w:p>
        </w:tc>
      </w:tr>
      <w:tr w:rsidR="00012A82" w:rsidRPr="009D61D5" w:rsidTr="00DD4558">
        <w:trPr>
          <w:cantSplit/>
        </w:trPr>
        <w:tc>
          <w:tcPr>
            <w:tcW w:w="705" w:type="pct"/>
            <w:shd w:val="clear" w:color="auto" w:fill="auto"/>
            <w:vAlign w:val="center"/>
          </w:tcPr>
          <w:p w:rsidR="00012A82" w:rsidRPr="009D61D5" w:rsidRDefault="00012A82" w:rsidP="00A00426">
            <w:pPr>
              <w:pStyle w:val="Tabletext"/>
            </w:pPr>
            <w:r w:rsidRPr="009D61D5">
              <w:t>Health states</w:t>
            </w:r>
          </w:p>
        </w:tc>
        <w:tc>
          <w:tcPr>
            <w:tcW w:w="4295" w:type="pct"/>
            <w:shd w:val="clear" w:color="auto" w:fill="auto"/>
            <w:vAlign w:val="center"/>
          </w:tcPr>
          <w:p w:rsidR="00012A82" w:rsidRPr="009D61D5" w:rsidRDefault="00012A82" w:rsidP="00A00426">
            <w:pPr>
              <w:pStyle w:val="Tabletext"/>
            </w:pPr>
            <w:r w:rsidRPr="009D61D5">
              <w:t>• Vaccinated individual remains healthy (i.e., free of influenza)</w:t>
            </w:r>
          </w:p>
          <w:p w:rsidR="00012A82" w:rsidRPr="009D61D5" w:rsidRDefault="00012A82" w:rsidP="00A00426">
            <w:pPr>
              <w:pStyle w:val="Tabletext"/>
            </w:pPr>
            <w:r w:rsidRPr="009D61D5">
              <w:t>• Vaccinated individual develops influenza at some point during the year, presenting as an outpatient</w:t>
            </w:r>
          </w:p>
          <w:p w:rsidR="00012A82" w:rsidRPr="009D61D5" w:rsidRDefault="00012A82" w:rsidP="00A00426">
            <w:pPr>
              <w:pStyle w:val="Tabletext"/>
            </w:pPr>
            <w:r w:rsidRPr="009D61D5">
              <w:t>• Vaccinated individual develops influenza at some point during the year, presenting as an inpatient</w:t>
            </w:r>
          </w:p>
          <w:p w:rsidR="00012A82" w:rsidRPr="009D61D5" w:rsidRDefault="00012A82" w:rsidP="00A00426">
            <w:pPr>
              <w:pStyle w:val="Tabletext"/>
            </w:pPr>
            <w:r w:rsidRPr="009D61D5">
              <w:t>• Vaccinated individual dies from influenza infection</w:t>
            </w:r>
          </w:p>
          <w:p w:rsidR="00012A82" w:rsidRPr="009D61D5" w:rsidRDefault="00012A82" w:rsidP="00A00426">
            <w:pPr>
              <w:pStyle w:val="Tabletext"/>
            </w:pPr>
            <w:r w:rsidRPr="009D61D5">
              <w:t>• Vaccinated individual dies from other causes.</w:t>
            </w:r>
          </w:p>
          <w:p w:rsidR="00012A82" w:rsidRPr="009D61D5" w:rsidRDefault="00012A82" w:rsidP="00A00426">
            <w:pPr>
              <w:pStyle w:val="Tabletext"/>
            </w:pPr>
          </w:p>
          <w:p w:rsidR="00012A82" w:rsidRPr="009D61D5" w:rsidRDefault="00012A82" w:rsidP="00A00426">
            <w:pPr>
              <w:pStyle w:val="Tabletext"/>
            </w:pPr>
            <w:r w:rsidRPr="009D61D5">
              <w:t>These health states are appropriate. Similar health states are commonly used in modelling of influenza vaccines.</w:t>
            </w:r>
          </w:p>
          <w:p w:rsidR="00012A82" w:rsidRPr="009D61D5" w:rsidRDefault="00012A82" w:rsidP="00A00426">
            <w:pPr>
              <w:pStyle w:val="Tabletext"/>
            </w:pPr>
          </w:p>
          <w:p w:rsidR="00012A82" w:rsidRPr="009D61D5" w:rsidRDefault="00012A82" w:rsidP="00395370">
            <w:pPr>
              <w:pStyle w:val="Tabletext"/>
            </w:pPr>
            <w:r w:rsidRPr="009D61D5">
              <w:t xml:space="preserve">Most QALY benefits were gained by reducing </w:t>
            </w:r>
            <w:r w:rsidRPr="00B97A2E">
              <w:t xml:space="preserve">inpatient influenza cases and hence reducing the number of days with the disutility associated with inpatient influenza. There were no QALY </w:t>
            </w:r>
            <w:r w:rsidRPr="00B40889">
              <w:t xml:space="preserve">gains in the </w:t>
            </w:r>
            <w:r w:rsidR="003419BA" w:rsidRPr="00B40889">
              <w:t xml:space="preserve">originally submitted </w:t>
            </w:r>
            <w:r w:rsidRPr="00B40889">
              <w:t>model from influenza related deaths</w:t>
            </w:r>
            <w:r w:rsidR="003419BA" w:rsidRPr="00B40889">
              <w:t xml:space="preserve"> (the PSCR introduced a mortality benefit claim)</w:t>
            </w:r>
            <w:r w:rsidRPr="00B40889">
              <w:t>.</w:t>
            </w:r>
            <w:r w:rsidR="009E6B8A" w:rsidRPr="00B40889">
              <w:t xml:space="preserve"> </w:t>
            </w:r>
          </w:p>
        </w:tc>
      </w:tr>
      <w:tr w:rsidR="00012A82" w:rsidRPr="009D61D5" w:rsidTr="00DD4558">
        <w:trPr>
          <w:cantSplit/>
        </w:trPr>
        <w:tc>
          <w:tcPr>
            <w:tcW w:w="705" w:type="pct"/>
            <w:shd w:val="clear" w:color="auto" w:fill="auto"/>
            <w:vAlign w:val="center"/>
          </w:tcPr>
          <w:p w:rsidR="00012A82" w:rsidRPr="009D61D5" w:rsidRDefault="00012A82" w:rsidP="00A00426">
            <w:pPr>
              <w:pStyle w:val="Tabletext"/>
            </w:pPr>
            <w:r w:rsidRPr="009D61D5">
              <w:t>Cycle length</w:t>
            </w:r>
          </w:p>
        </w:tc>
        <w:tc>
          <w:tcPr>
            <w:tcW w:w="4295" w:type="pct"/>
            <w:shd w:val="clear" w:color="auto" w:fill="auto"/>
            <w:vAlign w:val="center"/>
          </w:tcPr>
          <w:p w:rsidR="00012A82" w:rsidRPr="009D61D5" w:rsidRDefault="00012A82" w:rsidP="00A00426">
            <w:pPr>
              <w:pStyle w:val="Tabletext"/>
            </w:pPr>
            <w:r w:rsidRPr="009D61D5">
              <w:t xml:space="preserve">One year </w:t>
            </w:r>
          </w:p>
        </w:tc>
      </w:tr>
      <w:tr w:rsidR="00012A82" w:rsidRPr="009D61D5" w:rsidTr="00DD4558">
        <w:trPr>
          <w:cantSplit/>
          <w:trHeight w:val="1035"/>
        </w:trPr>
        <w:tc>
          <w:tcPr>
            <w:tcW w:w="705" w:type="pct"/>
            <w:vMerge w:val="restart"/>
            <w:shd w:val="clear" w:color="auto" w:fill="auto"/>
            <w:vAlign w:val="center"/>
          </w:tcPr>
          <w:p w:rsidR="00012A82" w:rsidRPr="009D61D5" w:rsidRDefault="00012A82" w:rsidP="00A00426">
            <w:pPr>
              <w:pStyle w:val="Tabletext"/>
            </w:pPr>
            <w:r w:rsidRPr="009D61D5">
              <w:t>Transition probabilities</w:t>
            </w:r>
          </w:p>
        </w:tc>
        <w:tc>
          <w:tcPr>
            <w:tcW w:w="4295" w:type="pct"/>
            <w:shd w:val="clear" w:color="auto" w:fill="auto"/>
            <w:vAlign w:val="center"/>
          </w:tcPr>
          <w:p w:rsidR="00012A82" w:rsidRPr="009D61D5" w:rsidRDefault="00012A82" w:rsidP="00A00426">
            <w:pPr>
              <w:pStyle w:val="Tabletext"/>
              <w:rPr>
                <w:u w:val="single"/>
              </w:rPr>
            </w:pPr>
            <w:r w:rsidRPr="009D61D5">
              <w:rPr>
                <w:u w:val="single"/>
              </w:rPr>
              <w:t>Incidence of influenza</w:t>
            </w:r>
          </w:p>
          <w:p w:rsidR="00012A82" w:rsidRPr="009D61D5" w:rsidRDefault="00012A82" w:rsidP="00A00426">
            <w:pPr>
              <w:pStyle w:val="Tabletext"/>
            </w:pPr>
            <w:r w:rsidRPr="009D61D5">
              <w:t>National Notifiable Diseases Surveillance System (NNDSS) data were used to estimate the incidence of influenza in Australia. A five-year average was calculated based on NNDSS data for patients 65 years or older, and the 2017 influenza season increased the average.</w:t>
            </w:r>
            <w:r w:rsidR="00C635CB" w:rsidRPr="009D61D5">
              <w:t xml:space="preserve"> It is unclear whether 2017 was the peak of the influenza cycle and the incidence would return to lower levels in future years.</w:t>
            </w:r>
          </w:p>
          <w:p w:rsidR="00012A82" w:rsidRPr="009D61D5" w:rsidRDefault="00012A82" w:rsidP="00A00426">
            <w:pPr>
              <w:pStyle w:val="Tabletext"/>
            </w:pPr>
          </w:p>
          <w:p w:rsidR="00012A82" w:rsidRPr="009D61D5" w:rsidRDefault="00012A82" w:rsidP="00A00426">
            <w:pPr>
              <w:pStyle w:val="Tabletext"/>
            </w:pPr>
            <w:r w:rsidRPr="009D61D5">
              <w:t>Population estimates were sourced from the Australian Bureau of Statistics (ABS)</w:t>
            </w:r>
            <w:r w:rsidR="00852DFA">
              <w:t>,</w:t>
            </w:r>
            <w:r w:rsidRPr="009D61D5">
              <w:t xml:space="preserve"> and data were stratified by outpatient cases and inpatient cases using estimates from the published literature (Newall et al., 2008).</w:t>
            </w:r>
          </w:p>
        </w:tc>
      </w:tr>
      <w:tr w:rsidR="00012A82" w:rsidRPr="009D61D5" w:rsidTr="00DD4558">
        <w:trPr>
          <w:cantSplit/>
          <w:trHeight w:val="518"/>
        </w:trPr>
        <w:tc>
          <w:tcPr>
            <w:tcW w:w="705" w:type="pct"/>
            <w:vMerge/>
            <w:shd w:val="clear" w:color="auto" w:fill="auto"/>
            <w:vAlign w:val="center"/>
          </w:tcPr>
          <w:p w:rsidR="00012A82" w:rsidRPr="009D61D5" w:rsidRDefault="00012A82" w:rsidP="00A00426">
            <w:pPr>
              <w:pStyle w:val="Tabletext"/>
            </w:pPr>
          </w:p>
        </w:tc>
        <w:tc>
          <w:tcPr>
            <w:tcW w:w="4295" w:type="pct"/>
            <w:shd w:val="clear" w:color="auto" w:fill="auto"/>
          </w:tcPr>
          <w:p w:rsidR="00012A82" w:rsidRPr="00B97A2E" w:rsidRDefault="00012A82" w:rsidP="00A00426">
            <w:pPr>
              <w:pStyle w:val="Tabletext"/>
              <w:rPr>
                <w:u w:val="single"/>
              </w:rPr>
            </w:pPr>
            <w:r w:rsidRPr="00B97A2E">
              <w:rPr>
                <w:u w:val="single"/>
              </w:rPr>
              <w:t>Vaccine effectiveness</w:t>
            </w:r>
          </w:p>
          <w:p w:rsidR="00012A82" w:rsidRPr="00B97A2E" w:rsidRDefault="00012A82" w:rsidP="00A00426">
            <w:pPr>
              <w:pStyle w:val="Tabletext"/>
            </w:pPr>
            <w:r w:rsidRPr="00B97A2E">
              <w:t>The observational LIVE study (Mannino 2012) was used to model the vaccine effectiveness on hospitalisations. This data showed that the risk of hospitalisation for influenza or pneumonia was 25% lower for aTIV (Fluad) relative to TIV (relative risk = 0.75, 95% confidence interval: 0.57-0.98).</w:t>
            </w:r>
          </w:p>
          <w:p w:rsidR="00012A82" w:rsidRPr="00E668E6" w:rsidRDefault="00012A82" w:rsidP="00A00426">
            <w:pPr>
              <w:pStyle w:val="Tabletext"/>
              <w:rPr>
                <w:color w:val="FF0000"/>
              </w:rPr>
            </w:pPr>
            <w:r w:rsidRPr="00B97A2E">
              <w:t>No</w:t>
            </w:r>
            <w:r w:rsidR="00F35D7C" w:rsidRPr="00B97A2E">
              <w:t xml:space="preserve"> difference in</w:t>
            </w:r>
            <w:r w:rsidRPr="00B97A2E">
              <w:t xml:space="preserve"> eff</w:t>
            </w:r>
            <w:r w:rsidR="004F7C8B" w:rsidRPr="00B97A2E">
              <w:t>ectiveness</w:t>
            </w:r>
            <w:r w:rsidRPr="00B97A2E">
              <w:t xml:space="preserve"> was applied to mortality or to outpatient cases of influenza.</w:t>
            </w:r>
            <w:r w:rsidR="004F7C8B" w:rsidRPr="00B97A2E">
              <w:t xml:space="preserve"> The PSCR (pp3–4) adjusted the model to include a mortality benefit equivalent to the relative benefit of hospitalisations (</w:t>
            </w:r>
            <w:r w:rsidR="00E80845" w:rsidRPr="00B97A2E">
              <w:t>i.e.</w:t>
            </w:r>
            <w:r w:rsidR="004F7C8B" w:rsidRPr="00B97A2E">
              <w:t xml:space="preserve"> a 25% improvement). </w:t>
            </w:r>
          </w:p>
          <w:p w:rsidR="00012A82" w:rsidRPr="00B97A2E" w:rsidRDefault="00012A82" w:rsidP="00A00426">
            <w:pPr>
              <w:pStyle w:val="Tabletext"/>
            </w:pPr>
          </w:p>
          <w:p w:rsidR="00012A82" w:rsidRPr="00E668E6" w:rsidRDefault="00012A82" w:rsidP="00A00426">
            <w:pPr>
              <w:pStyle w:val="Tabletext"/>
              <w:rPr>
                <w:color w:val="FF0000"/>
                <w:highlight w:val="yellow"/>
              </w:rPr>
            </w:pPr>
            <w:r w:rsidRPr="00B97A2E">
              <w:t>There are some substantial uncertainties with regards to vaccine efficacy applied in the model. While the model compared aTIV (Fluad) to QIV, the LIVE study (Mannino 2012) compared the effectiveness of aTIV (Fluad) to TIV. ATAGI noted that the LIVE study results were appropriate to be applied to the base case of an economic model comparing the relative effectiveness of aTIV (Fluad) over TIV, in preventing hospitalisation for influenza or pneumonia. The application to the base case of an economic model comparing aTIV to QIV is questionable as it was not demonstrated to what extent influenza cases caused by the additional type B strain would be avoided with QIV. ATAGI also noted that a wide range of other estimates should be applied in sensitivity analyses given the substantial uncertainties associated with this estimate (p7 of the ATAGI February 2019 pre-submission advice).</w:t>
            </w:r>
            <w:r w:rsidR="009E6B8A">
              <w:t xml:space="preserve"> </w:t>
            </w:r>
          </w:p>
          <w:p w:rsidR="009E6B8A" w:rsidRPr="00B97A2E" w:rsidRDefault="009E6B8A" w:rsidP="00A00426">
            <w:pPr>
              <w:pStyle w:val="Tabletext"/>
            </w:pPr>
          </w:p>
        </w:tc>
      </w:tr>
      <w:tr w:rsidR="00012A82" w:rsidRPr="009D61D5" w:rsidTr="00DD4558">
        <w:trPr>
          <w:cantSplit/>
          <w:trHeight w:val="1035"/>
        </w:trPr>
        <w:tc>
          <w:tcPr>
            <w:tcW w:w="705" w:type="pct"/>
            <w:vMerge/>
            <w:shd w:val="clear" w:color="auto" w:fill="auto"/>
            <w:vAlign w:val="center"/>
          </w:tcPr>
          <w:p w:rsidR="00012A82" w:rsidRPr="009D61D5" w:rsidRDefault="00012A82" w:rsidP="00A00426">
            <w:pPr>
              <w:pStyle w:val="Tabletext"/>
            </w:pPr>
          </w:p>
        </w:tc>
        <w:tc>
          <w:tcPr>
            <w:tcW w:w="4295" w:type="pct"/>
            <w:shd w:val="clear" w:color="auto" w:fill="auto"/>
          </w:tcPr>
          <w:p w:rsidR="00012A82" w:rsidRPr="00B97A2E" w:rsidRDefault="00012A82" w:rsidP="00A00426">
            <w:pPr>
              <w:pStyle w:val="Tabletext"/>
              <w:rPr>
                <w:u w:val="single"/>
              </w:rPr>
            </w:pPr>
            <w:r w:rsidRPr="00B97A2E">
              <w:rPr>
                <w:u w:val="single"/>
              </w:rPr>
              <w:t>Mortality risk</w:t>
            </w:r>
          </w:p>
          <w:p w:rsidR="00012A82" w:rsidRPr="00B97A2E" w:rsidRDefault="00012A82" w:rsidP="00A00426">
            <w:pPr>
              <w:pStyle w:val="Tabletext"/>
            </w:pPr>
            <w:r w:rsidRPr="00B97A2E">
              <w:t xml:space="preserve">Data from Newall et al., (2010) was applied to estimate the influenza-attributable disease burden. </w:t>
            </w:r>
          </w:p>
          <w:p w:rsidR="00012A82" w:rsidRPr="00B97A2E" w:rsidRDefault="00012A82" w:rsidP="00A00426">
            <w:pPr>
              <w:pStyle w:val="Tabletext"/>
            </w:pPr>
            <w:r w:rsidRPr="00B97A2E">
              <w:t xml:space="preserve">The model assumed that influenza-related deaths arise only from inpatient cases. </w:t>
            </w:r>
          </w:p>
          <w:p w:rsidR="00012A82" w:rsidRPr="00B97A2E" w:rsidRDefault="00012A82" w:rsidP="00A00426">
            <w:pPr>
              <w:pStyle w:val="Tabletext"/>
              <w:rPr>
                <w:u w:val="single"/>
              </w:rPr>
            </w:pPr>
            <w:r w:rsidRPr="00B97A2E">
              <w:t>All-cause mortality rates were sourced from Australian Bureau of Statistics (ABS 2018).</w:t>
            </w:r>
          </w:p>
        </w:tc>
      </w:tr>
      <w:tr w:rsidR="00012A82" w:rsidRPr="009D61D5" w:rsidTr="00DD4558">
        <w:trPr>
          <w:cantSplit/>
          <w:trHeight w:val="1035"/>
        </w:trPr>
        <w:tc>
          <w:tcPr>
            <w:tcW w:w="705" w:type="pct"/>
            <w:vMerge/>
            <w:shd w:val="clear" w:color="auto" w:fill="auto"/>
            <w:vAlign w:val="center"/>
          </w:tcPr>
          <w:p w:rsidR="00012A82" w:rsidRPr="009D61D5" w:rsidRDefault="00012A82" w:rsidP="00A00426">
            <w:pPr>
              <w:pStyle w:val="Tabletext"/>
            </w:pPr>
          </w:p>
        </w:tc>
        <w:tc>
          <w:tcPr>
            <w:tcW w:w="4295" w:type="pct"/>
            <w:shd w:val="clear" w:color="auto" w:fill="auto"/>
          </w:tcPr>
          <w:p w:rsidR="00012A82" w:rsidRPr="009D61D5" w:rsidRDefault="00012A82" w:rsidP="00A00426">
            <w:pPr>
              <w:pStyle w:val="Tabletext"/>
              <w:rPr>
                <w:u w:val="single"/>
              </w:rPr>
            </w:pPr>
            <w:r w:rsidRPr="009D61D5">
              <w:rPr>
                <w:u w:val="single"/>
              </w:rPr>
              <w:t>Utility weights</w:t>
            </w:r>
          </w:p>
          <w:p w:rsidR="00012A82" w:rsidRPr="009D61D5" w:rsidRDefault="00012A82" w:rsidP="00A00426">
            <w:pPr>
              <w:pStyle w:val="Tabletext"/>
            </w:pPr>
            <w:r w:rsidRPr="009D61D5">
              <w:t>The submission sourced the utility weights from a targeted literature review.</w:t>
            </w:r>
          </w:p>
          <w:p w:rsidR="00012A82" w:rsidRPr="009D61D5" w:rsidRDefault="00012A82" w:rsidP="00A00426">
            <w:pPr>
              <w:pStyle w:val="Tabletext"/>
            </w:pPr>
            <w:r w:rsidRPr="009D61D5">
              <w:t>The submission assumed a baseline utility of 1, for individuals not suffering from an influenza infection.</w:t>
            </w:r>
          </w:p>
          <w:p w:rsidR="00012A82" w:rsidRPr="009D61D5" w:rsidRDefault="00012A82" w:rsidP="00A00426">
            <w:pPr>
              <w:pStyle w:val="Tabletext"/>
            </w:pPr>
            <w:r w:rsidRPr="009D61D5">
              <w:t>Disutilities for the health states outpatient and inpatient influenza were sourced from Meier et al., 2015, as was the duration spent in these health states.</w:t>
            </w:r>
          </w:p>
          <w:p w:rsidR="00012A82" w:rsidRPr="009D61D5" w:rsidRDefault="00012A82" w:rsidP="00A00426">
            <w:pPr>
              <w:pStyle w:val="Tabletext"/>
            </w:pPr>
          </w:p>
          <w:p w:rsidR="00012A82" w:rsidRPr="009D61D5" w:rsidRDefault="00012A82" w:rsidP="00A00426">
            <w:pPr>
              <w:pStyle w:val="Tabletext"/>
            </w:pPr>
            <w:r w:rsidRPr="009D61D5">
              <w:t>The studies used to estimate utilities associated with influenza were of poor quality limiting the applicability to the Australian setting and this economic evaluation. The studies had small sample sizes, assessed a limited number of strains and had poor methods for eliciting patient preferences.</w:t>
            </w:r>
          </w:p>
          <w:p w:rsidR="00012A82" w:rsidRPr="009D61D5" w:rsidRDefault="00012A82" w:rsidP="00A00426">
            <w:pPr>
              <w:pStyle w:val="Tabletext"/>
            </w:pPr>
          </w:p>
          <w:p w:rsidR="00E668E6" w:rsidRPr="009D61D5" w:rsidRDefault="00012A82" w:rsidP="00A00426">
            <w:pPr>
              <w:pStyle w:val="Tabletext"/>
            </w:pPr>
            <w:r w:rsidRPr="009D61D5">
              <w:t>The submission assumed that those over 65 would have a baseline utility of 1, which is equivalent to perfect health. It is more likely that the NIP eligible population would have a baseline utility value of approximately 0.8 (Clemens 2014). This is not appropriate and favours aTIV.</w:t>
            </w:r>
          </w:p>
        </w:tc>
      </w:tr>
    </w:tbl>
    <w:p w:rsidR="00012A82" w:rsidRPr="009D61D5" w:rsidRDefault="00012A82" w:rsidP="00F116BF">
      <w:pPr>
        <w:pStyle w:val="TableFigureFooter"/>
      </w:pPr>
      <w:r w:rsidRPr="009D61D5">
        <w:t>Source: Table 3.1, p95 of the submission.</w:t>
      </w:r>
    </w:p>
    <w:p w:rsidR="009045C5" w:rsidRPr="00F116BF" w:rsidRDefault="00012A82" w:rsidP="00F116BF">
      <w:pPr>
        <w:pStyle w:val="ListParagraph"/>
        <w:keepNext/>
        <w:widowControl/>
        <w:numPr>
          <w:ilvl w:val="1"/>
          <w:numId w:val="39"/>
        </w:numPr>
        <w:ind w:left="709" w:hanging="709"/>
      </w:pPr>
      <w:r w:rsidRPr="009D61D5">
        <w:t xml:space="preserve">Key drivers of the model are presented in Table </w:t>
      </w:r>
      <w:r w:rsidR="007C0C7D" w:rsidRPr="009D61D5">
        <w:t>1</w:t>
      </w:r>
      <w:r w:rsidR="00783D3A">
        <w:t>4</w:t>
      </w:r>
      <w:r w:rsidRPr="009D61D5">
        <w:t>.</w:t>
      </w:r>
    </w:p>
    <w:p w:rsidR="009045C5" w:rsidRDefault="009045C5" w:rsidP="009045C5">
      <w:pPr>
        <w:pStyle w:val="TableFigureHeading"/>
      </w:pPr>
      <w:r>
        <w:t xml:space="preserve">Table </w:t>
      </w:r>
      <w:fldSimple w:instr=" SEQ Table \* ARABIC ">
        <w:r w:rsidR="009C284C">
          <w:rPr>
            <w:noProof/>
          </w:rPr>
          <w:t>14</w:t>
        </w:r>
      </w:fldSimple>
      <w:r w:rsidRPr="00810FBD">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w:tblPr>
      <w:tblGrid>
        <w:gridCol w:w="1555"/>
        <w:gridCol w:w="4777"/>
        <w:gridCol w:w="2685"/>
      </w:tblGrid>
      <w:tr w:rsidR="00012A82" w:rsidRPr="009D61D5" w:rsidTr="00E80845">
        <w:trPr>
          <w:tblHeader/>
        </w:trPr>
        <w:tc>
          <w:tcPr>
            <w:tcW w:w="862" w:type="pct"/>
            <w:shd w:val="clear" w:color="auto" w:fill="auto"/>
            <w:vAlign w:val="center"/>
          </w:tcPr>
          <w:p w:rsidR="00012A82" w:rsidRPr="009D61D5" w:rsidRDefault="00012A82" w:rsidP="00A00426">
            <w:pPr>
              <w:pStyle w:val="Tabletext"/>
              <w:rPr>
                <w:b/>
              </w:rPr>
            </w:pPr>
            <w:r w:rsidRPr="009D61D5">
              <w:rPr>
                <w:b/>
              </w:rPr>
              <w:t>Description</w:t>
            </w:r>
          </w:p>
        </w:tc>
        <w:tc>
          <w:tcPr>
            <w:tcW w:w="2649" w:type="pct"/>
            <w:shd w:val="clear" w:color="auto" w:fill="auto"/>
            <w:vAlign w:val="center"/>
          </w:tcPr>
          <w:p w:rsidR="00012A82" w:rsidRPr="009D61D5" w:rsidRDefault="00012A82" w:rsidP="00A00426">
            <w:pPr>
              <w:pStyle w:val="Tabletext"/>
              <w:jc w:val="center"/>
              <w:rPr>
                <w:b/>
              </w:rPr>
            </w:pPr>
            <w:r w:rsidRPr="009D61D5">
              <w:rPr>
                <w:b/>
              </w:rPr>
              <w:t>Method/Value</w:t>
            </w:r>
          </w:p>
        </w:tc>
        <w:tc>
          <w:tcPr>
            <w:tcW w:w="1489" w:type="pct"/>
            <w:shd w:val="clear" w:color="auto" w:fill="auto"/>
            <w:vAlign w:val="center"/>
          </w:tcPr>
          <w:p w:rsidR="00012A82" w:rsidRPr="009D61D5" w:rsidRDefault="00012A82" w:rsidP="00A00426">
            <w:pPr>
              <w:pStyle w:val="Tabletext"/>
              <w:jc w:val="center"/>
              <w:rPr>
                <w:b/>
              </w:rPr>
            </w:pPr>
            <w:r w:rsidRPr="009D61D5">
              <w:rPr>
                <w:b/>
              </w:rPr>
              <w:t>Impact</w:t>
            </w:r>
          </w:p>
        </w:tc>
      </w:tr>
      <w:tr w:rsidR="00012A82" w:rsidRPr="009D61D5" w:rsidTr="00E80845">
        <w:trPr>
          <w:tblHeader/>
        </w:trPr>
        <w:tc>
          <w:tcPr>
            <w:tcW w:w="862" w:type="pct"/>
            <w:shd w:val="clear" w:color="auto" w:fill="auto"/>
          </w:tcPr>
          <w:p w:rsidR="00012A82" w:rsidRPr="009D61D5" w:rsidRDefault="00012A82" w:rsidP="003706E9">
            <w:pPr>
              <w:pStyle w:val="Tabletext"/>
            </w:pPr>
            <w:r w:rsidRPr="009D61D5">
              <w:t xml:space="preserve">Unit cost of inpatient influenza related hospitalisation </w:t>
            </w:r>
          </w:p>
        </w:tc>
        <w:tc>
          <w:tcPr>
            <w:tcW w:w="2649" w:type="pct"/>
            <w:shd w:val="clear" w:color="auto" w:fill="auto"/>
          </w:tcPr>
          <w:p w:rsidR="00FB14E4" w:rsidRPr="009D61D5" w:rsidRDefault="00012A82" w:rsidP="00FB14E4">
            <w:pPr>
              <w:pStyle w:val="Tabletext"/>
            </w:pPr>
            <w:r w:rsidRPr="009D61D5">
              <w:t>The submission applied a unit cost of $</w:t>
            </w:r>
            <w:r w:rsidR="005C4E78">
              <w:rPr>
                <w:noProof/>
                <w:color w:val="000000"/>
                <w:highlight w:val="black"/>
              </w:rPr>
              <w:t>'''''''''''''''''''''''</w:t>
            </w:r>
            <w:r w:rsidRPr="009D61D5">
              <w:t xml:space="preserve"> based on a list of DRGs covering a range of admissions, including some that are more complex than respiratory-related influenza cases.</w:t>
            </w:r>
          </w:p>
        </w:tc>
        <w:tc>
          <w:tcPr>
            <w:tcW w:w="1489" w:type="pct"/>
            <w:shd w:val="clear" w:color="auto" w:fill="auto"/>
          </w:tcPr>
          <w:p w:rsidR="00012A82" w:rsidRPr="009D61D5" w:rsidRDefault="00012A82" w:rsidP="003706E9">
            <w:pPr>
              <w:pStyle w:val="Tabletext"/>
              <w:jc w:val="center"/>
            </w:pPr>
            <w:r w:rsidRPr="009D61D5">
              <w:t>High, favours aTIV</w:t>
            </w:r>
          </w:p>
        </w:tc>
      </w:tr>
      <w:tr w:rsidR="00012A82" w:rsidRPr="009D61D5" w:rsidTr="00E80845">
        <w:trPr>
          <w:tblHeader/>
        </w:trPr>
        <w:tc>
          <w:tcPr>
            <w:tcW w:w="862" w:type="pct"/>
            <w:shd w:val="clear" w:color="auto" w:fill="auto"/>
          </w:tcPr>
          <w:p w:rsidR="00012A82" w:rsidRPr="009D61D5" w:rsidRDefault="00012A82" w:rsidP="003706E9">
            <w:pPr>
              <w:pStyle w:val="Tabletext"/>
            </w:pPr>
            <w:r w:rsidRPr="009D61D5">
              <w:t xml:space="preserve">Vaccine effectiveness against hospitalisations </w:t>
            </w:r>
          </w:p>
        </w:tc>
        <w:tc>
          <w:tcPr>
            <w:tcW w:w="2649" w:type="pct"/>
            <w:shd w:val="clear" w:color="auto" w:fill="auto"/>
          </w:tcPr>
          <w:p w:rsidR="00637F87" w:rsidRPr="009D61D5" w:rsidRDefault="00637F87" w:rsidP="003706E9">
            <w:pPr>
              <w:pStyle w:val="Tabletext"/>
            </w:pPr>
            <w:r w:rsidRPr="009D61D5">
              <w:t xml:space="preserve">Vaccine efficacy against hospitalisation (25%): </w:t>
            </w:r>
            <w:r w:rsidR="00012A82" w:rsidRPr="009D61D5">
              <w:t>LIVE study (Mannino 2012)</w:t>
            </w:r>
            <w:r w:rsidRPr="009D61D5">
              <w:t>.</w:t>
            </w:r>
          </w:p>
          <w:p w:rsidR="00637F87" w:rsidRDefault="00D358D6" w:rsidP="003706E9">
            <w:pPr>
              <w:pStyle w:val="Tabletext"/>
              <w:rPr>
                <w:color w:val="FF0000"/>
              </w:rPr>
            </w:pPr>
            <w:r w:rsidRPr="00D358D6">
              <w:t xml:space="preserve">The Pre-PBAC response (p1) provided revised ICERs using adjusted model components, including a reduced VE of 17% for aTIV versus QIV for influenza hospitalisations and mortality. </w:t>
            </w:r>
          </w:p>
          <w:p w:rsidR="00D358D6" w:rsidRPr="009D61D5" w:rsidRDefault="00D358D6" w:rsidP="003706E9">
            <w:pPr>
              <w:pStyle w:val="Tabletext"/>
            </w:pPr>
          </w:p>
          <w:p w:rsidR="00B948E5" w:rsidRPr="009D61D5" w:rsidRDefault="00637F87" w:rsidP="00852DFA">
            <w:pPr>
              <w:pStyle w:val="Tabletext"/>
            </w:pPr>
            <w:r w:rsidRPr="009D61D5">
              <w:t xml:space="preserve">The LIVE </w:t>
            </w:r>
            <w:r w:rsidRPr="00852DFA">
              <w:t>study</w:t>
            </w:r>
            <w:r w:rsidR="00012A82" w:rsidRPr="00852DFA">
              <w:t xml:space="preserve"> compared aTIV to TIV. </w:t>
            </w:r>
            <w:r w:rsidRPr="00852DFA">
              <w:t>In comparison, t</w:t>
            </w:r>
            <w:r w:rsidR="00012A82" w:rsidRPr="00852DFA">
              <w:t xml:space="preserve">he model evaluated aTIV to QIV </w:t>
            </w:r>
            <w:r w:rsidR="00852DFA">
              <w:t>however</w:t>
            </w:r>
            <w:r w:rsidR="00852DFA" w:rsidRPr="00852DFA">
              <w:t xml:space="preserve"> </w:t>
            </w:r>
            <w:r w:rsidR="00012A82" w:rsidRPr="00852DFA">
              <w:t>no influenza cases</w:t>
            </w:r>
            <w:r w:rsidR="00012A82" w:rsidRPr="009D61D5">
              <w:t xml:space="preserve"> due to the additional B strain covered by QIV were considered.</w:t>
            </w:r>
          </w:p>
        </w:tc>
        <w:tc>
          <w:tcPr>
            <w:tcW w:w="1489" w:type="pct"/>
            <w:shd w:val="clear" w:color="auto" w:fill="auto"/>
          </w:tcPr>
          <w:p w:rsidR="00012A82" w:rsidRPr="009D61D5" w:rsidRDefault="00012A82" w:rsidP="003706E9">
            <w:pPr>
              <w:pStyle w:val="Tabletext"/>
              <w:jc w:val="center"/>
            </w:pPr>
            <w:r w:rsidRPr="009D61D5">
              <w:t>High, favours aTIV</w:t>
            </w:r>
          </w:p>
        </w:tc>
      </w:tr>
    </w:tbl>
    <w:p w:rsidR="00012A82" w:rsidRPr="009D61D5" w:rsidRDefault="00012A82" w:rsidP="001627E4">
      <w:pPr>
        <w:pStyle w:val="TableFooter"/>
      </w:pPr>
      <w:r w:rsidRPr="009D61D5">
        <w:t xml:space="preserve">Source: </w:t>
      </w:r>
      <w:r w:rsidR="001627E4">
        <w:t>Complied during the evaluation.</w:t>
      </w:r>
    </w:p>
    <w:p w:rsidR="00012A82" w:rsidRPr="009D61D5" w:rsidRDefault="00012A82" w:rsidP="00F37302">
      <w:pPr>
        <w:pStyle w:val="ListParagraph"/>
        <w:keepNext/>
        <w:widowControl/>
        <w:numPr>
          <w:ilvl w:val="1"/>
          <w:numId w:val="39"/>
        </w:numPr>
        <w:ind w:left="709" w:hanging="709"/>
      </w:pPr>
      <w:r w:rsidRPr="009D61D5">
        <w:lastRenderedPageBreak/>
        <w:t xml:space="preserve">Results of the stepped economic evaluation are presented in Table </w:t>
      </w:r>
      <w:r w:rsidR="002305DB" w:rsidRPr="009D61D5">
        <w:t>1</w:t>
      </w:r>
      <w:r w:rsidR="00783D3A">
        <w:t>5</w:t>
      </w:r>
      <w:r w:rsidRPr="009D61D5">
        <w:t xml:space="preserve">. </w:t>
      </w:r>
    </w:p>
    <w:p w:rsidR="009045C5" w:rsidRDefault="009045C5" w:rsidP="009045C5">
      <w:pPr>
        <w:pStyle w:val="TableFigureHeading"/>
      </w:pPr>
      <w:r>
        <w:t xml:space="preserve">Table </w:t>
      </w:r>
      <w:fldSimple w:instr=" SEQ Table \* ARABIC ">
        <w:r w:rsidR="009C284C">
          <w:rPr>
            <w:noProof/>
          </w:rPr>
          <w:t>15</w:t>
        </w:r>
      </w:fldSimple>
      <w:r w:rsidRPr="00605763">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w:tblPr>
      <w:tblGrid>
        <w:gridCol w:w="2758"/>
        <w:gridCol w:w="1520"/>
        <w:gridCol w:w="1520"/>
        <w:gridCol w:w="3219"/>
      </w:tblGrid>
      <w:tr w:rsidR="00012A82" w:rsidRPr="009D61D5" w:rsidTr="001C5376">
        <w:trPr>
          <w:tblHeader/>
        </w:trPr>
        <w:tc>
          <w:tcPr>
            <w:tcW w:w="1529" w:type="pct"/>
            <w:vAlign w:val="center"/>
          </w:tcPr>
          <w:p w:rsidR="00012A82" w:rsidRPr="009D61D5" w:rsidRDefault="00012A82" w:rsidP="00FF6F3B">
            <w:pPr>
              <w:pStyle w:val="Tabletext"/>
              <w:keepNext/>
              <w:rPr>
                <w:b/>
              </w:rPr>
            </w:pPr>
            <w:r w:rsidRPr="009D61D5">
              <w:rPr>
                <w:b/>
              </w:rPr>
              <w:t>Step and component</w:t>
            </w:r>
          </w:p>
        </w:tc>
        <w:tc>
          <w:tcPr>
            <w:tcW w:w="843" w:type="pct"/>
            <w:vAlign w:val="center"/>
          </w:tcPr>
          <w:p w:rsidR="00012A82" w:rsidRPr="009D61D5" w:rsidRDefault="00012A82" w:rsidP="00FF6F3B">
            <w:pPr>
              <w:pStyle w:val="Tabletext"/>
              <w:keepNext/>
              <w:jc w:val="center"/>
              <w:rPr>
                <w:b/>
              </w:rPr>
            </w:pPr>
            <w:r w:rsidRPr="009D61D5">
              <w:rPr>
                <w:b/>
              </w:rPr>
              <w:t>aTIV (Fluad)</w:t>
            </w:r>
          </w:p>
        </w:tc>
        <w:tc>
          <w:tcPr>
            <w:tcW w:w="843" w:type="pct"/>
            <w:vAlign w:val="center"/>
          </w:tcPr>
          <w:p w:rsidR="00012A82" w:rsidRPr="009D61D5" w:rsidRDefault="00012A82" w:rsidP="00FF6F3B">
            <w:pPr>
              <w:pStyle w:val="Tabletext"/>
              <w:keepNext/>
              <w:jc w:val="center"/>
              <w:rPr>
                <w:b/>
              </w:rPr>
            </w:pPr>
            <w:r w:rsidRPr="009D61D5">
              <w:rPr>
                <w:b/>
              </w:rPr>
              <w:t>QIV</w:t>
            </w:r>
          </w:p>
        </w:tc>
        <w:tc>
          <w:tcPr>
            <w:tcW w:w="1785" w:type="pct"/>
            <w:vAlign w:val="center"/>
          </w:tcPr>
          <w:p w:rsidR="00012A82" w:rsidRPr="009D61D5" w:rsidRDefault="00012A82" w:rsidP="00FF6F3B">
            <w:pPr>
              <w:pStyle w:val="Tabletext"/>
              <w:keepNext/>
              <w:jc w:val="center"/>
              <w:rPr>
                <w:b/>
              </w:rPr>
            </w:pPr>
            <w:r w:rsidRPr="009D61D5">
              <w:rPr>
                <w:b/>
              </w:rPr>
              <w:t>Increment</w:t>
            </w:r>
          </w:p>
        </w:tc>
      </w:tr>
      <w:tr w:rsidR="00012A82" w:rsidRPr="009D61D5" w:rsidTr="001C5376">
        <w:tc>
          <w:tcPr>
            <w:tcW w:w="5000" w:type="pct"/>
            <w:gridSpan w:val="4"/>
            <w:vAlign w:val="center"/>
          </w:tcPr>
          <w:p w:rsidR="00012A82" w:rsidRPr="009D61D5" w:rsidRDefault="00012A82" w:rsidP="00FF6F3B">
            <w:pPr>
              <w:pStyle w:val="Tabletext"/>
              <w:keepNext/>
              <w:rPr>
                <w:b/>
              </w:rPr>
            </w:pPr>
            <w:r w:rsidRPr="009D61D5">
              <w:rPr>
                <w:b/>
              </w:rPr>
              <w:t>Step 1: Incremental cost per inpatient influenza case avoided over a one-year timeframe</w:t>
            </w:r>
          </w:p>
        </w:tc>
      </w:tr>
      <w:tr w:rsidR="00012A82" w:rsidRPr="009D61D5" w:rsidTr="001C5376">
        <w:tc>
          <w:tcPr>
            <w:tcW w:w="1529" w:type="pct"/>
            <w:vAlign w:val="center"/>
          </w:tcPr>
          <w:p w:rsidR="00012A82" w:rsidRPr="009D61D5" w:rsidRDefault="00012A82" w:rsidP="00FF6F3B">
            <w:pPr>
              <w:pStyle w:val="Tabletext"/>
              <w:keepNext/>
              <w:rPr>
                <w:rFonts w:ascii="Times" w:hAnsi="Times"/>
              </w:rPr>
            </w:pPr>
            <w:r w:rsidRPr="009D61D5">
              <w:t>Expected cost per patient</w:t>
            </w:r>
          </w:p>
        </w:tc>
        <w:tc>
          <w:tcPr>
            <w:tcW w:w="843"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c>
          <w:tcPr>
            <w:tcW w:w="843"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c>
          <w:tcPr>
            <w:tcW w:w="1785"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r>
      <w:tr w:rsidR="00012A82" w:rsidRPr="009D61D5" w:rsidTr="00E80845">
        <w:tc>
          <w:tcPr>
            <w:tcW w:w="1529" w:type="pct"/>
            <w:vAlign w:val="center"/>
          </w:tcPr>
          <w:p w:rsidR="00012A82" w:rsidRPr="009D61D5" w:rsidRDefault="00012A82" w:rsidP="00FF6F3B">
            <w:pPr>
              <w:pStyle w:val="Tabletext"/>
              <w:keepNext/>
              <w:rPr>
                <w:rFonts w:ascii="Times" w:hAnsi="Times"/>
              </w:rPr>
            </w:pPr>
            <w:r w:rsidRPr="009D61D5">
              <w:t xml:space="preserve">Expected cases of </w:t>
            </w:r>
            <w:r w:rsidR="00403309">
              <w:t xml:space="preserve">hospitalised </w:t>
            </w:r>
            <w:r w:rsidRPr="009D61D5">
              <w:t>influenza per patient</w:t>
            </w:r>
          </w:p>
        </w:tc>
        <w:tc>
          <w:tcPr>
            <w:tcW w:w="843" w:type="pct"/>
            <w:vAlign w:val="center"/>
          </w:tcPr>
          <w:p w:rsidR="00012A82" w:rsidRPr="009D61D5" w:rsidRDefault="00012A82" w:rsidP="00E80845">
            <w:pPr>
              <w:pStyle w:val="Tabletext"/>
              <w:keepNext/>
              <w:jc w:val="center"/>
              <w:rPr>
                <w:rFonts w:ascii="Times" w:hAnsi="Times"/>
              </w:rPr>
            </w:pPr>
            <w:r w:rsidRPr="009D61D5">
              <w:t>0.0036</w:t>
            </w:r>
          </w:p>
        </w:tc>
        <w:tc>
          <w:tcPr>
            <w:tcW w:w="843" w:type="pct"/>
            <w:vAlign w:val="center"/>
          </w:tcPr>
          <w:p w:rsidR="00012A82" w:rsidRPr="009D61D5" w:rsidRDefault="00012A82" w:rsidP="00E80845">
            <w:pPr>
              <w:pStyle w:val="Tabletext"/>
              <w:keepNext/>
              <w:jc w:val="center"/>
              <w:rPr>
                <w:rFonts w:ascii="Times" w:hAnsi="Times"/>
              </w:rPr>
            </w:pPr>
            <w:r w:rsidRPr="009D61D5">
              <w:t>0.0043</w:t>
            </w:r>
          </w:p>
        </w:tc>
        <w:tc>
          <w:tcPr>
            <w:tcW w:w="1785" w:type="pct"/>
            <w:vAlign w:val="center"/>
          </w:tcPr>
          <w:p w:rsidR="00012A82" w:rsidRPr="009D61D5" w:rsidRDefault="00012A82" w:rsidP="00E80845">
            <w:pPr>
              <w:pStyle w:val="Tabletext"/>
              <w:keepNext/>
              <w:jc w:val="center"/>
            </w:pPr>
            <w:r w:rsidRPr="009D61D5">
              <w:t>-0.0007</w:t>
            </w:r>
          </w:p>
        </w:tc>
      </w:tr>
      <w:tr w:rsidR="00012A82" w:rsidRPr="009D61D5" w:rsidTr="001C5376">
        <w:tc>
          <w:tcPr>
            <w:tcW w:w="3215" w:type="pct"/>
            <w:gridSpan w:val="3"/>
            <w:vAlign w:val="center"/>
          </w:tcPr>
          <w:p w:rsidR="00012A82" w:rsidRPr="009D61D5" w:rsidRDefault="00012A82" w:rsidP="00FF6F3B">
            <w:pPr>
              <w:pStyle w:val="Tabletext"/>
              <w:keepNext/>
              <w:rPr>
                <w:rFonts w:ascii="Times" w:hAnsi="Times"/>
              </w:rPr>
            </w:pPr>
            <w:r w:rsidRPr="009D61D5">
              <w:t xml:space="preserve">Incremental cost per </w:t>
            </w:r>
            <w:r w:rsidR="00403309">
              <w:t xml:space="preserve">hospitalised </w:t>
            </w:r>
            <w:r w:rsidRPr="009D61D5">
              <w:t>influenza case avoided (one year)</w:t>
            </w:r>
          </w:p>
        </w:tc>
        <w:tc>
          <w:tcPr>
            <w:tcW w:w="1785" w:type="pct"/>
            <w:vAlign w:val="center"/>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r>
      <w:tr w:rsidR="00012A82" w:rsidRPr="009D61D5" w:rsidTr="001C5376">
        <w:tc>
          <w:tcPr>
            <w:tcW w:w="5000" w:type="pct"/>
            <w:gridSpan w:val="4"/>
            <w:vAlign w:val="center"/>
          </w:tcPr>
          <w:p w:rsidR="00012A82" w:rsidRPr="009D61D5" w:rsidRDefault="00012A82" w:rsidP="00FF6F3B">
            <w:pPr>
              <w:pStyle w:val="Tabletext"/>
              <w:keepNext/>
              <w:rPr>
                <w:b/>
              </w:rPr>
            </w:pPr>
            <w:r w:rsidRPr="009D61D5">
              <w:rPr>
                <w:b/>
              </w:rPr>
              <w:t>Step 2: Incremental cost per inpatient influenza case avoided over a lifetime time horizon</w:t>
            </w:r>
          </w:p>
        </w:tc>
      </w:tr>
      <w:tr w:rsidR="00012A82" w:rsidRPr="009D61D5" w:rsidTr="001C5376">
        <w:tc>
          <w:tcPr>
            <w:tcW w:w="1529" w:type="pct"/>
            <w:vAlign w:val="center"/>
          </w:tcPr>
          <w:p w:rsidR="00012A82" w:rsidRPr="009D61D5" w:rsidRDefault="00012A82" w:rsidP="00FF6F3B">
            <w:pPr>
              <w:pStyle w:val="Tabletext"/>
              <w:keepNext/>
              <w:rPr>
                <w:rFonts w:ascii="Times" w:hAnsi="Times"/>
              </w:rPr>
            </w:pPr>
            <w:r w:rsidRPr="009D61D5">
              <w:t>Expected cost per patient</w:t>
            </w:r>
          </w:p>
        </w:tc>
        <w:tc>
          <w:tcPr>
            <w:tcW w:w="843"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c>
          <w:tcPr>
            <w:tcW w:w="843"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c>
          <w:tcPr>
            <w:tcW w:w="1785" w:type="pct"/>
          </w:tcPr>
          <w:p w:rsidR="00012A82" w:rsidRPr="009D61D5" w:rsidRDefault="00012A82" w:rsidP="00FF6F3B">
            <w:pPr>
              <w:pStyle w:val="Tabletext"/>
              <w:keepNext/>
              <w:jc w:val="center"/>
              <w:rPr>
                <w:rFonts w:ascii="Times" w:hAnsi="Times"/>
              </w:rPr>
            </w:pPr>
            <w:r w:rsidRPr="009D61D5">
              <w:t>-$</w:t>
            </w:r>
            <w:r w:rsidR="005C4E78">
              <w:rPr>
                <w:noProof/>
                <w:color w:val="000000"/>
                <w:highlight w:val="black"/>
              </w:rPr>
              <w:t>''''''''''''</w:t>
            </w:r>
          </w:p>
        </w:tc>
      </w:tr>
      <w:tr w:rsidR="00012A82" w:rsidRPr="009D61D5" w:rsidTr="00E80845">
        <w:tc>
          <w:tcPr>
            <w:tcW w:w="1529" w:type="pct"/>
            <w:vAlign w:val="center"/>
          </w:tcPr>
          <w:p w:rsidR="00012A82" w:rsidRPr="009D61D5" w:rsidRDefault="00012A82" w:rsidP="00FF6F3B">
            <w:pPr>
              <w:pStyle w:val="Tabletext"/>
              <w:keepNext/>
              <w:rPr>
                <w:rFonts w:ascii="Times" w:hAnsi="Times"/>
              </w:rPr>
            </w:pPr>
            <w:r w:rsidRPr="009D61D5">
              <w:t>Expected cases of</w:t>
            </w:r>
            <w:r w:rsidR="00403309">
              <w:t xml:space="preserve"> hospitalised</w:t>
            </w:r>
            <w:r w:rsidRPr="009D61D5">
              <w:t xml:space="preserve"> influenza per patient</w:t>
            </w:r>
          </w:p>
        </w:tc>
        <w:tc>
          <w:tcPr>
            <w:tcW w:w="843" w:type="pct"/>
            <w:vAlign w:val="center"/>
          </w:tcPr>
          <w:p w:rsidR="00012A82" w:rsidRPr="009D61D5" w:rsidRDefault="00012A82" w:rsidP="00E80845">
            <w:pPr>
              <w:pStyle w:val="Tabletext"/>
              <w:keepNext/>
              <w:jc w:val="center"/>
              <w:rPr>
                <w:rFonts w:ascii="Times" w:hAnsi="Times"/>
              </w:rPr>
            </w:pPr>
            <w:r w:rsidRPr="009D61D5">
              <w:t>0.1212</w:t>
            </w:r>
          </w:p>
        </w:tc>
        <w:tc>
          <w:tcPr>
            <w:tcW w:w="843" w:type="pct"/>
            <w:vAlign w:val="center"/>
          </w:tcPr>
          <w:p w:rsidR="00012A82" w:rsidRPr="009D61D5" w:rsidRDefault="00012A82" w:rsidP="00E80845">
            <w:pPr>
              <w:pStyle w:val="Tabletext"/>
              <w:keepNext/>
              <w:jc w:val="center"/>
              <w:rPr>
                <w:rFonts w:ascii="Times" w:hAnsi="Times"/>
              </w:rPr>
            </w:pPr>
            <w:r w:rsidRPr="009D61D5">
              <w:t>0.1472</w:t>
            </w:r>
          </w:p>
        </w:tc>
        <w:tc>
          <w:tcPr>
            <w:tcW w:w="1785" w:type="pct"/>
            <w:vAlign w:val="center"/>
          </w:tcPr>
          <w:p w:rsidR="00012A82" w:rsidRPr="009D61D5" w:rsidRDefault="00012A82" w:rsidP="00E80845">
            <w:pPr>
              <w:pStyle w:val="Tabletext"/>
              <w:keepNext/>
              <w:jc w:val="center"/>
            </w:pPr>
            <w:r w:rsidRPr="009D61D5">
              <w:t>-0.0260</w:t>
            </w:r>
          </w:p>
        </w:tc>
      </w:tr>
      <w:tr w:rsidR="00012A82" w:rsidRPr="009D61D5" w:rsidTr="001C5376">
        <w:tc>
          <w:tcPr>
            <w:tcW w:w="3215" w:type="pct"/>
            <w:gridSpan w:val="3"/>
            <w:vAlign w:val="center"/>
          </w:tcPr>
          <w:p w:rsidR="00012A82" w:rsidRPr="009D61D5" w:rsidRDefault="00012A82" w:rsidP="00FF6F3B">
            <w:pPr>
              <w:pStyle w:val="Tabletext"/>
              <w:keepNext/>
              <w:rPr>
                <w:rFonts w:ascii="Times" w:hAnsi="Times"/>
              </w:rPr>
            </w:pPr>
            <w:r w:rsidRPr="009D61D5">
              <w:t>Incremental cost per</w:t>
            </w:r>
            <w:r w:rsidR="00403309">
              <w:t xml:space="preserve"> hospitalised</w:t>
            </w:r>
            <w:r w:rsidRPr="009D61D5">
              <w:t xml:space="preserve"> influenza case avoided (lifetime)</w:t>
            </w:r>
          </w:p>
        </w:tc>
        <w:tc>
          <w:tcPr>
            <w:tcW w:w="1785" w:type="pct"/>
            <w:vAlign w:val="center"/>
          </w:tcPr>
          <w:p w:rsidR="00012A82" w:rsidRPr="009D61D5" w:rsidRDefault="00012A82" w:rsidP="00FF6F3B">
            <w:pPr>
              <w:pStyle w:val="Tabletext"/>
              <w:keepNext/>
            </w:pPr>
            <w:r w:rsidRPr="009D61D5">
              <w:t>aTIV (Fluad) dominates non-adjuvant QIV, offering better outcomes in terms less cases of influenza at a lower expected cost</w:t>
            </w:r>
          </w:p>
        </w:tc>
      </w:tr>
      <w:tr w:rsidR="00012A82" w:rsidRPr="009D61D5" w:rsidTr="001C5376">
        <w:tc>
          <w:tcPr>
            <w:tcW w:w="5000" w:type="pct"/>
            <w:gridSpan w:val="4"/>
            <w:vAlign w:val="center"/>
          </w:tcPr>
          <w:p w:rsidR="00012A82" w:rsidRPr="009D61D5" w:rsidRDefault="00012A82" w:rsidP="00FF6F3B">
            <w:pPr>
              <w:pStyle w:val="Tabletext"/>
              <w:keepNext/>
            </w:pPr>
            <w:r w:rsidRPr="009D61D5">
              <w:rPr>
                <w:b/>
              </w:rPr>
              <w:t>Step 3: Incremental cost per QALY over a lifetime time horizon (base case)</w:t>
            </w:r>
          </w:p>
        </w:tc>
      </w:tr>
      <w:tr w:rsidR="00012A82" w:rsidRPr="009D61D5" w:rsidTr="001C5376">
        <w:tc>
          <w:tcPr>
            <w:tcW w:w="1529" w:type="pct"/>
            <w:vAlign w:val="center"/>
          </w:tcPr>
          <w:p w:rsidR="00012A82" w:rsidRPr="009D61D5" w:rsidRDefault="00012A82" w:rsidP="00FF6F3B">
            <w:pPr>
              <w:pStyle w:val="Tabletext"/>
              <w:keepNext/>
              <w:rPr>
                <w:rFonts w:ascii="Times" w:hAnsi="Times"/>
              </w:rPr>
            </w:pPr>
            <w:r w:rsidRPr="009D61D5">
              <w:t>Expected cost per patient</w:t>
            </w:r>
          </w:p>
        </w:tc>
        <w:tc>
          <w:tcPr>
            <w:tcW w:w="843" w:type="pct"/>
          </w:tcPr>
          <w:p w:rsidR="00012A82" w:rsidRPr="009D61D5" w:rsidRDefault="00012A82" w:rsidP="00FF6F3B">
            <w:pPr>
              <w:pStyle w:val="Tabletext"/>
              <w:keepNext/>
              <w:jc w:val="center"/>
            </w:pPr>
            <w:r w:rsidRPr="009D61D5">
              <w:t>$</w:t>
            </w:r>
            <w:r w:rsidR="005C4E78">
              <w:rPr>
                <w:noProof/>
                <w:color w:val="000000"/>
                <w:highlight w:val="black"/>
              </w:rPr>
              <w:t>'''''''''''''''''''''''</w:t>
            </w:r>
          </w:p>
        </w:tc>
        <w:tc>
          <w:tcPr>
            <w:tcW w:w="843" w:type="pct"/>
          </w:tcPr>
          <w:p w:rsidR="00012A82" w:rsidRPr="009D61D5" w:rsidRDefault="00012A82" w:rsidP="00FF6F3B">
            <w:pPr>
              <w:pStyle w:val="Tabletext"/>
              <w:keepNext/>
              <w:jc w:val="center"/>
            </w:pPr>
            <w:r w:rsidRPr="009D61D5">
              <w:t>$</w:t>
            </w:r>
            <w:r w:rsidR="005C4E78">
              <w:rPr>
                <w:noProof/>
                <w:color w:val="000000"/>
                <w:highlight w:val="black"/>
              </w:rPr>
              <w:t>'''''''''''''''''''</w:t>
            </w:r>
          </w:p>
        </w:tc>
        <w:tc>
          <w:tcPr>
            <w:tcW w:w="1785" w:type="pct"/>
          </w:tcPr>
          <w:p w:rsidR="00012A82" w:rsidRPr="009D61D5" w:rsidRDefault="00012A82" w:rsidP="00FF6F3B">
            <w:pPr>
              <w:pStyle w:val="Tabletext"/>
              <w:keepNext/>
              <w:jc w:val="center"/>
            </w:pPr>
            <w:r w:rsidRPr="009D61D5">
              <w:t>-$</w:t>
            </w:r>
            <w:r w:rsidR="005C4E78">
              <w:rPr>
                <w:noProof/>
                <w:color w:val="000000"/>
                <w:highlight w:val="black"/>
              </w:rPr>
              <w:t>''''''''''''</w:t>
            </w:r>
          </w:p>
        </w:tc>
      </w:tr>
      <w:tr w:rsidR="00012A82" w:rsidRPr="009D61D5" w:rsidTr="001C5376">
        <w:tc>
          <w:tcPr>
            <w:tcW w:w="1529" w:type="pct"/>
            <w:vAlign w:val="center"/>
          </w:tcPr>
          <w:p w:rsidR="00012A82" w:rsidRPr="009D61D5" w:rsidRDefault="00012A82" w:rsidP="00FF6F3B">
            <w:pPr>
              <w:pStyle w:val="Tabletext"/>
              <w:keepNext/>
              <w:rPr>
                <w:rFonts w:ascii="Times" w:hAnsi="Times"/>
              </w:rPr>
            </w:pPr>
            <w:r w:rsidRPr="009D61D5">
              <w:t xml:space="preserve">Expected QALYs per patient </w:t>
            </w:r>
          </w:p>
        </w:tc>
        <w:tc>
          <w:tcPr>
            <w:tcW w:w="843" w:type="pct"/>
          </w:tcPr>
          <w:p w:rsidR="00012A82" w:rsidRPr="009D61D5" w:rsidRDefault="00012A82" w:rsidP="00FF6F3B">
            <w:pPr>
              <w:pStyle w:val="Tabletext"/>
              <w:keepNext/>
              <w:jc w:val="center"/>
            </w:pPr>
            <w:r w:rsidRPr="009D61D5">
              <w:t>12.4313</w:t>
            </w:r>
          </w:p>
        </w:tc>
        <w:tc>
          <w:tcPr>
            <w:tcW w:w="843" w:type="pct"/>
          </w:tcPr>
          <w:p w:rsidR="00012A82" w:rsidRPr="009D61D5" w:rsidRDefault="00012A82" w:rsidP="00FF6F3B">
            <w:pPr>
              <w:pStyle w:val="Tabletext"/>
              <w:keepNext/>
              <w:jc w:val="center"/>
            </w:pPr>
            <w:r w:rsidRPr="009D61D5">
              <w:t>12.4307</w:t>
            </w:r>
          </w:p>
        </w:tc>
        <w:tc>
          <w:tcPr>
            <w:tcW w:w="1785" w:type="pct"/>
          </w:tcPr>
          <w:p w:rsidR="00012A82" w:rsidRPr="009D61D5" w:rsidRDefault="00012A82" w:rsidP="00FF6F3B">
            <w:pPr>
              <w:pStyle w:val="Tabletext"/>
              <w:keepNext/>
              <w:jc w:val="center"/>
            </w:pPr>
            <w:r w:rsidRPr="009D61D5">
              <w:t>0.0005</w:t>
            </w:r>
          </w:p>
        </w:tc>
      </w:tr>
      <w:tr w:rsidR="00012A82" w:rsidRPr="009D61D5" w:rsidTr="001C5376">
        <w:tc>
          <w:tcPr>
            <w:tcW w:w="3215" w:type="pct"/>
            <w:gridSpan w:val="3"/>
            <w:vAlign w:val="center"/>
          </w:tcPr>
          <w:p w:rsidR="00012A82" w:rsidRPr="009D61D5" w:rsidRDefault="00012A82" w:rsidP="00FF6F3B">
            <w:pPr>
              <w:pStyle w:val="Tabletext"/>
              <w:keepNext/>
              <w:rPr>
                <w:rFonts w:ascii="Times" w:hAnsi="Times"/>
              </w:rPr>
            </w:pPr>
            <w:r w:rsidRPr="009D61D5">
              <w:t>Incremental cost per QALY (lifetime)</w:t>
            </w:r>
          </w:p>
        </w:tc>
        <w:tc>
          <w:tcPr>
            <w:tcW w:w="1785" w:type="pct"/>
            <w:vAlign w:val="center"/>
          </w:tcPr>
          <w:p w:rsidR="00012A82" w:rsidRPr="009D61D5" w:rsidRDefault="00012A82" w:rsidP="00FF6F3B">
            <w:pPr>
              <w:pStyle w:val="Tabletext"/>
              <w:keepNext/>
            </w:pPr>
            <w:r w:rsidRPr="009D61D5">
              <w:t>aTIV (Fluad) dominates non-adjuvant QIV, offering better outcomes in terms of QALYs at a lower expected cost</w:t>
            </w:r>
          </w:p>
        </w:tc>
      </w:tr>
    </w:tbl>
    <w:p w:rsidR="00012A82" w:rsidRPr="009D61D5" w:rsidRDefault="00012A82" w:rsidP="00A00426">
      <w:pPr>
        <w:pStyle w:val="TableFooter"/>
      </w:pPr>
      <w:r w:rsidRPr="009D61D5">
        <w:t>aTIV: Adjuvanted trivalent influenza vaccine; QALY; quality-adjusted life year; QIV: quadrivalent influenza vaccine</w:t>
      </w:r>
    </w:p>
    <w:p w:rsidR="00012A82" w:rsidRDefault="00012A82" w:rsidP="001627E4">
      <w:pPr>
        <w:pStyle w:val="TableFooter"/>
      </w:pPr>
      <w:r w:rsidRPr="009D61D5">
        <w:t>Source: Table 3.16, p113 of the submission.</w:t>
      </w:r>
    </w:p>
    <w:p w:rsidR="001627E4" w:rsidRPr="001627E4" w:rsidRDefault="001627E4" w:rsidP="001627E4">
      <w:pPr>
        <w:pStyle w:val="TableFooter"/>
        <w:rPr>
          <w:szCs w:val="22"/>
        </w:rPr>
      </w:pPr>
    </w:p>
    <w:p w:rsidR="00A86058" w:rsidRPr="009D61D5" w:rsidRDefault="00A86058" w:rsidP="00A00426">
      <w:r>
        <w:t>The redacted table shows incremental costs</w:t>
      </w:r>
      <w:r w:rsidR="001627E4">
        <w:t xml:space="preserve"> of less than $15,000 per QALY.</w:t>
      </w:r>
    </w:p>
    <w:p w:rsidR="00012A82" w:rsidRPr="009D61D5" w:rsidRDefault="001A227C" w:rsidP="00F37302">
      <w:pPr>
        <w:pStyle w:val="ListParagraph"/>
        <w:keepNext/>
        <w:widowControl/>
        <w:numPr>
          <w:ilvl w:val="1"/>
          <w:numId w:val="39"/>
        </w:numPr>
        <w:ind w:left="709" w:hanging="709"/>
      </w:pPr>
      <w:r>
        <w:t>From t</w:t>
      </w:r>
      <w:r w:rsidR="00012A82" w:rsidRPr="009D61D5">
        <w:t xml:space="preserve">he economic evaluation </w:t>
      </w:r>
      <w:r>
        <w:t xml:space="preserve">included in </w:t>
      </w:r>
      <w:r w:rsidR="00893F84">
        <w:t xml:space="preserve">the submission </w:t>
      </w:r>
      <w:r>
        <w:t>it was concluded</w:t>
      </w:r>
      <w:r w:rsidRPr="009D61D5">
        <w:t xml:space="preserve"> </w:t>
      </w:r>
      <w:r w:rsidR="00012A82" w:rsidRPr="009D61D5">
        <w:t>that aTIV</w:t>
      </w:r>
      <w:r w:rsidR="00FA6709" w:rsidRPr="009D61D5">
        <w:t xml:space="preserve"> </w:t>
      </w:r>
      <w:r w:rsidR="00012A82" w:rsidRPr="009D61D5">
        <w:t xml:space="preserve">was the dominant strategy compared to QIV resulting in better outcomes at a lower expected cost. </w:t>
      </w:r>
    </w:p>
    <w:p w:rsidR="005C348B" w:rsidRPr="00B97A2E" w:rsidRDefault="005C348B" w:rsidP="00F37302">
      <w:pPr>
        <w:pStyle w:val="ListParagraph"/>
        <w:keepNext/>
        <w:widowControl/>
        <w:numPr>
          <w:ilvl w:val="1"/>
          <w:numId w:val="39"/>
        </w:numPr>
        <w:ind w:left="709" w:hanging="709"/>
      </w:pPr>
      <w:r w:rsidRPr="00B97A2E">
        <w:t>The population evaluated in the submission model was a cohort of 65 year olds, who were assumed to receive the vaccine every year over their remaining lifetime. Problems with this approach include that the costs and benefits of the vaccine for older cohorts are discounted, and this model structure precludes the appropriate analysis of the cost-effectiveness of the vaccine within different age groups.</w:t>
      </w:r>
    </w:p>
    <w:p w:rsidR="005C348B" w:rsidRPr="00B97A2E" w:rsidRDefault="005C348B" w:rsidP="00F37302">
      <w:pPr>
        <w:pStyle w:val="ListParagraph"/>
        <w:keepNext/>
        <w:widowControl/>
        <w:numPr>
          <w:ilvl w:val="1"/>
          <w:numId w:val="39"/>
        </w:numPr>
        <w:ind w:left="709" w:hanging="709"/>
      </w:pPr>
      <w:r w:rsidRPr="00B97A2E">
        <w:t xml:space="preserve">The ESC considered the correct approach is to model cohorts of </w:t>
      </w:r>
      <w:r w:rsidR="00E80845" w:rsidRPr="00B97A2E">
        <w:t>individuals</w:t>
      </w:r>
      <w:r w:rsidRPr="00B97A2E">
        <w:t xml:space="preserve"> at different ages separately and then to weight the results for each cohort based on the age distribution of the Australian population. The PSCR accept</w:t>
      </w:r>
      <w:r w:rsidR="00893F84">
        <w:t>ed</w:t>
      </w:r>
      <w:r w:rsidRPr="00B97A2E">
        <w:t xml:space="preserve"> the premise of a one-year time horizon and adjust</w:t>
      </w:r>
      <w:r w:rsidR="00893F84">
        <w:t>ed</w:t>
      </w:r>
      <w:r w:rsidRPr="00B97A2E">
        <w:t xml:space="preserve"> the model correctly, to run the one-year model for every age between 65 and 99 years and then to weight the results from each model run according to the age distribution of the Australian population</w:t>
      </w:r>
      <w:r w:rsidR="000B0653" w:rsidRPr="00B97A2E">
        <w:t xml:space="preserve"> (PSCR, Table 1, p5)</w:t>
      </w:r>
      <w:r w:rsidRPr="00B97A2E">
        <w:t xml:space="preserve">. </w:t>
      </w:r>
    </w:p>
    <w:p w:rsidR="00012A82" w:rsidRPr="009D61D5" w:rsidRDefault="005C348B" w:rsidP="00F37302">
      <w:pPr>
        <w:pStyle w:val="ListParagraph"/>
        <w:keepNext/>
        <w:widowControl/>
        <w:numPr>
          <w:ilvl w:val="1"/>
          <w:numId w:val="39"/>
        </w:numPr>
        <w:ind w:left="709" w:hanging="709"/>
      </w:pPr>
      <w:r>
        <w:t xml:space="preserve">The </w:t>
      </w:r>
      <w:r w:rsidR="00012A82" w:rsidRPr="009D61D5">
        <w:t>results should be considered with caution because:</w:t>
      </w:r>
    </w:p>
    <w:p w:rsidR="00012A82" w:rsidRPr="009D61D5" w:rsidRDefault="00012A82" w:rsidP="00D24145">
      <w:pPr>
        <w:pStyle w:val="ListParagraph"/>
        <w:widowControl/>
        <w:numPr>
          <w:ilvl w:val="1"/>
          <w:numId w:val="10"/>
        </w:numPr>
        <w:tabs>
          <w:tab w:val="left" w:pos="1134"/>
        </w:tabs>
        <w:ind w:left="1134" w:hanging="425"/>
      </w:pPr>
      <w:r w:rsidRPr="009D61D5">
        <w:t>The relative vaccine efficacy was sourced from the LIVE study (Mannino 2012) which compared aTIV</w:t>
      </w:r>
      <w:r w:rsidR="00FA6709" w:rsidRPr="009D61D5">
        <w:t xml:space="preserve"> </w:t>
      </w:r>
      <w:r w:rsidRPr="009D61D5">
        <w:t>to TIV; whereas the economic model compared aTIV</w:t>
      </w:r>
      <w:r w:rsidR="00FA6709" w:rsidRPr="009D61D5">
        <w:t xml:space="preserve"> </w:t>
      </w:r>
      <w:r w:rsidRPr="009D61D5">
        <w:t xml:space="preserve">to QIV and hence the additional B strain covered by QIV was not considered. </w:t>
      </w:r>
    </w:p>
    <w:p w:rsidR="00012A82" w:rsidRPr="009D61D5" w:rsidRDefault="00012A82" w:rsidP="00D24145">
      <w:pPr>
        <w:pStyle w:val="ListParagraph"/>
        <w:widowControl/>
        <w:numPr>
          <w:ilvl w:val="1"/>
          <w:numId w:val="10"/>
        </w:numPr>
        <w:tabs>
          <w:tab w:val="left" w:pos="1134"/>
        </w:tabs>
        <w:ind w:left="1134" w:hanging="425"/>
      </w:pPr>
      <w:r w:rsidRPr="009D61D5">
        <w:t>The unit cost per inpatient influenza related hospitalisation was overestimated.</w:t>
      </w:r>
    </w:p>
    <w:p w:rsidR="00012A82" w:rsidRPr="009D61D5" w:rsidRDefault="00012A82" w:rsidP="00D24145">
      <w:pPr>
        <w:pStyle w:val="ListParagraph"/>
        <w:widowControl/>
        <w:numPr>
          <w:ilvl w:val="1"/>
          <w:numId w:val="10"/>
        </w:numPr>
        <w:tabs>
          <w:tab w:val="left" w:pos="1134"/>
        </w:tabs>
        <w:ind w:left="1134" w:hanging="425"/>
      </w:pPr>
      <w:r w:rsidRPr="009D61D5">
        <w:lastRenderedPageBreak/>
        <w:t xml:space="preserve">The incidence of inpatient influenza related hospitalisations is uncertain. It is unclear if the incidence of influenza cases in the last five years will reflect the future incidence of influenza cases. The impact of government influenza awareness campaigns </w:t>
      </w:r>
      <w:r w:rsidR="0067180E" w:rsidRPr="009D61D5">
        <w:t xml:space="preserve">on uptake rates </w:t>
      </w:r>
      <w:r w:rsidRPr="009D61D5">
        <w:t>is also unknown</w:t>
      </w:r>
      <w:r w:rsidR="00E653F5" w:rsidRPr="009D61D5">
        <w:t>.</w:t>
      </w:r>
    </w:p>
    <w:p w:rsidR="00012A82" w:rsidRPr="009D61D5" w:rsidRDefault="00012A82" w:rsidP="00D24145">
      <w:pPr>
        <w:pStyle w:val="ListParagraph"/>
        <w:widowControl/>
        <w:numPr>
          <w:ilvl w:val="1"/>
          <w:numId w:val="10"/>
        </w:numPr>
        <w:tabs>
          <w:tab w:val="left" w:pos="1134"/>
        </w:tabs>
        <w:ind w:left="1134" w:hanging="425"/>
      </w:pPr>
      <w:r w:rsidRPr="009D61D5">
        <w:t>Utilities were sources from low quality studies.</w:t>
      </w:r>
    </w:p>
    <w:p w:rsidR="00D24145" w:rsidRDefault="00C16CC2" w:rsidP="00F37302">
      <w:pPr>
        <w:pStyle w:val="ListParagraph"/>
        <w:keepNext/>
        <w:widowControl/>
        <w:numPr>
          <w:ilvl w:val="1"/>
          <w:numId w:val="39"/>
        </w:numPr>
        <w:ind w:left="709" w:hanging="709"/>
      </w:pPr>
      <w:r w:rsidRPr="00B97A2E">
        <w:t>Along with the change to a one-year time horizon, t</w:t>
      </w:r>
      <w:r w:rsidR="005C348B" w:rsidRPr="00B97A2E">
        <w:t>he PSCR (pp3</w:t>
      </w:r>
      <w:r w:rsidR="005C348B" w:rsidRPr="00B97A2E">
        <w:softHyphen/>
        <w:t xml:space="preserve">-4) </w:t>
      </w:r>
      <w:r w:rsidR="00FC2713" w:rsidRPr="00B97A2E">
        <w:t>revised</w:t>
      </w:r>
      <w:r w:rsidR="00575796" w:rsidRPr="00B97A2E">
        <w:t xml:space="preserve"> the</w:t>
      </w:r>
      <w:r w:rsidR="005C348B" w:rsidRPr="00B97A2E">
        <w:t xml:space="preserve"> unit cost per inpatient episode of influenza-related hospitalisation</w:t>
      </w:r>
      <w:r w:rsidR="00575796" w:rsidRPr="00B97A2E">
        <w:t xml:space="preserve"> </w:t>
      </w:r>
      <w:r w:rsidR="00FC2713" w:rsidRPr="00B97A2E">
        <w:t>and</w:t>
      </w:r>
      <w:r w:rsidR="00575796" w:rsidRPr="00B97A2E">
        <w:t xml:space="preserve"> propos</w:t>
      </w:r>
      <w:r w:rsidR="00FC2713" w:rsidRPr="00B97A2E">
        <w:t>ed</w:t>
      </w:r>
      <w:r w:rsidR="005C348B" w:rsidRPr="00B97A2E">
        <w:t xml:space="preserve"> a new claim of a relative </w:t>
      </w:r>
      <w:r w:rsidR="00575796" w:rsidRPr="00B97A2E">
        <w:t xml:space="preserve">effect on </w:t>
      </w:r>
      <w:r w:rsidR="005C348B" w:rsidRPr="00B97A2E">
        <w:t xml:space="preserve">mortality that is equal to the </w:t>
      </w:r>
      <w:r w:rsidR="00575796" w:rsidRPr="00B97A2E">
        <w:t xml:space="preserve">relative effect on </w:t>
      </w:r>
      <w:r w:rsidR="005C348B" w:rsidRPr="00B97A2E">
        <w:t>hospitalisation. The</w:t>
      </w:r>
      <w:r w:rsidR="00FC2713" w:rsidRPr="00B97A2E">
        <w:t xml:space="preserve"> ICERs based on the revised model are presented in Table 1</w:t>
      </w:r>
      <w:r w:rsidR="00783D3A" w:rsidRPr="00B97A2E">
        <w:t>6</w:t>
      </w:r>
      <w:r w:rsidR="00FC2713" w:rsidRPr="00B97A2E">
        <w:t>.</w:t>
      </w:r>
    </w:p>
    <w:p w:rsidR="009045C5" w:rsidRDefault="009045C5" w:rsidP="009045C5">
      <w:pPr>
        <w:pStyle w:val="TableFigureHeading"/>
      </w:pPr>
      <w:r>
        <w:t xml:space="preserve">Table </w:t>
      </w:r>
      <w:fldSimple w:instr=" SEQ Table \* ARABIC ">
        <w:r w:rsidR="009C284C">
          <w:rPr>
            <w:noProof/>
          </w:rPr>
          <w:t>16</w:t>
        </w:r>
      </w:fldSimple>
      <w:r w:rsidRPr="001101F7">
        <w:t>: Incremental cost per QALY (one-year time horizon, inpatient episode limited to $</w:t>
      </w:r>
      <w:r w:rsidR="00BC71B7" w:rsidRPr="00BC71B7">
        <w:rPr>
          <w:noProof/>
          <w:color w:val="000000"/>
          <w:highlight w:val="black"/>
          <w:shd w:val="clear" w:color="auto" w:fill="C0C0C1"/>
        </w:rPr>
        <w:t>'''''''''''''''</w:t>
      </w:r>
      <w:r w:rsidR="00BC71B7">
        <w:rPr>
          <w:noProof/>
          <w:color w:val="000000"/>
          <w:highlight w:val="black"/>
        </w:rPr>
        <w:t>'</w:t>
      </w:r>
      <w:r w:rsidR="00BC71B7">
        <w:t xml:space="preserve"> </w:t>
      </w:r>
      <w:r w:rsidRPr="001101F7">
        <w:t>and OR of Fluad versus non-adjuvant QIV mortality set to 0.75)</w:t>
      </w:r>
    </w:p>
    <w:tbl>
      <w:tblPr>
        <w:tblStyle w:val="Summarybox1"/>
        <w:tblW w:w="5003" w:type="pct"/>
        <w:jc w:val="right"/>
        <w:tblLook w:val="04A0" w:firstRow="1" w:lastRow="0" w:firstColumn="1" w:lastColumn="0" w:noHBand="0" w:noVBand="1"/>
        <w:tblCaption w:val="Table 16: Incremental cost per QALY (one-year time horizon, inpatient episode limited to $'''''''''''''''''' and OR of Fluad versus non-adjuvant QIV mortality set to 0.75)"/>
      </w:tblPr>
      <w:tblGrid>
        <w:gridCol w:w="2835"/>
        <w:gridCol w:w="1918"/>
        <w:gridCol w:w="54"/>
        <w:gridCol w:w="2412"/>
        <w:gridCol w:w="1803"/>
      </w:tblGrid>
      <w:tr w:rsidR="006139C0" w:rsidRPr="00893F84" w:rsidTr="009045C5">
        <w:trPr>
          <w:tblHeader/>
          <w:jc w:val="right"/>
        </w:trPr>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39C0" w:rsidRPr="00893F84" w:rsidRDefault="006139C0" w:rsidP="00525C36">
            <w:pPr>
              <w:pStyle w:val="TableTextleftalign"/>
              <w:keepNext/>
              <w:rPr>
                <w:rFonts w:ascii="Arial Narrow" w:hAnsi="Arial Narrow"/>
                <w:b/>
                <w:sz w:val="20"/>
                <w:szCs w:val="20"/>
              </w:rPr>
            </w:pPr>
            <w:r w:rsidRPr="00893F84">
              <w:rPr>
                <w:rFonts w:ascii="Arial Narrow" w:hAnsi="Arial Narrow"/>
                <w:b/>
                <w:sz w:val="20"/>
                <w:szCs w:val="20"/>
              </w:rPr>
              <w:t>Parameter</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39C0" w:rsidRPr="00893F84" w:rsidRDefault="006139C0" w:rsidP="00525C36">
            <w:pPr>
              <w:pStyle w:val="TableTextcentred"/>
              <w:keepNext/>
              <w:rPr>
                <w:rFonts w:ascii="Arial Narrow" w:hAnsi="Arial Narrow"/>
                <w:b/>
                <w:sz w:val="20"/>
                <w:szCs w:val="20"/>
                <w:vertAlign w:val="superscript"/>
              </w:rPr>
            </w:pPr>
            <w:r w:rsidRPr="00893F84">
              <w:rPr>
                <w:rFonts w:ascii="Arial Narrow" w:hAnsi="Arial Narrow"/>
                <w:b/>
                <w:sz w:val="20"/>
                <w:szCs w:val="20"/>
              </w:rPr>
              <w:t>Fluad (aTIV) arm</w:t>
            </w:r>
          </w:p>
        </w:tc>
        <w:tc>
          <w:tcPr>
            <w:tcW w:w="136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139C0" w:rsidRPr="00893F84" w:rsidRDefault="006139C0" w:rsidP="00525C36">
            <w:pPr>
              <w:pStyle w:val="TableTextcentred"/>
              <w:keepNext/>
              <w:rPr>
                <w:rFonts w:ascii="Arial Narrow" w:hAnsi="Arial Narrow"/>
                <w:b/>
                <w:caps/>
                <w:sz w:val="20"/>
                <w:szCs w:val="20"/>
              </w:rPr>
            </w:pPr>
            <w:r w:rsidRPr="00893F84">
              <w:rPr>
                <w:rFonts w:ascii="Arial Narrow" w:hAnsi="Arial Narrow"/>
                <w:b/>
                <w:sz w:val="20"/>
                <w:szCs w:val="20"/>
              </w:rPr>
              <w:t>Non-adjuvant QIV arm</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39C0" w:rsidRPr="00893F84" w:rsidRDefault="006139C0" w:rsidP="00525C36">
            <w:pPr>
              <w:pStyle w:val="TableTextcentred"/>
              <w:keepNext/>
              <w:rPr>
                <w:rFonts w:ascii="Arial Narrow" w:hAnsi="Arial Narrow"/>
                <w:b/>
                <w:sz w:val="20"/>
                <w:szCs w:val="20"/>
              </w:rPr>
            </w:pPr>
            <w:r w:rsidRPr="00893F84">
              <w:rPr>
                <w:rFonts w:ascii="Arial Narrow" w:hAnsi="Arial Narrow"/>
                <w:b/>
                <w:sz w:val="20"/>
                <w:szCs w:val="20"/>
              </w:rPr>
              <w:t>Incremental</w:t>
            </w:r>
          </w:p>
        </w:tc>
      </w:tr>
      <w:tr w:rsidR="006139C0" w:rsidRPr="00893F84" w:rsidTr="00525C36">
        <w:trPr>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b/>
                <w:sz w:val="20"/>
                <w:szCs w:val="20"/>
              </w:rPr>
            </w:pPr>
            <w:r w:rsidRPr="00893F84">
              <w:rPr>
                <w:rFonts w:ascii="Arial Narrow" w:hAnsi="Arial Narrow"/>
                <w:b/>
                <w:sz w:val="20"/>
                <w:szCs w:val="20"/>
              </w:rPr>
              <w:t>Age = 65 years</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63"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1367"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63"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0.1399</w:t>
            </w:r>
          </w:p>
        </w:tc>
        <w:tc>
          <w:tcPr>
            <w:tcW w:w="1367"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0.1409</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-0.0011</w:t>
            </w:r>
          </w:p>
        </w:tc>
      </w:tr>
      <w:tr w:rsidR="006139C0" w:rsidRPr="00893F84" w:rsidTr="009045C5">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525C36">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sz w:val="20"/>
                <w:szCs w:val="20"/>
              </w:rPr>
            </w:pPr>
            <w:r w:rsidRPr="00893F84">
              <w:rPr>
                <w:rFonts w:ascii="Arial Narrow" w:hAnsi="Arial Narrow"/>
                <w:b/>
                <w:sz w:val="20"/>
                <w:szCs w:val="20"/>
              </w:rPr>
              <w:t>Age = 75 years</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0.3345</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0.3377</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0.0032</w:t>
            </w:r>
          </w:p>
        </w:tc>
      </w:tr>
      <w:tr w:rsidR="006139C0" w:rsidRPr="00893F84" w:rsidTr="009045C5">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525C36">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b/>
                <w:sz w:val="20"/>
                <w:szCs w:val="20"/>
              </w:rPr>
            </w:pPr>
            <w:r w:rsidRPr="00893F84">
              <w:rPr>
                <w:rFonts w:ascii="Arial Narrow" w:hAnsi="Arial Narrow"/>
                <w:b/>
                <w:sz w:val="20"/>
                <w:szCs w:val="20"/>
              </w:rPr>
              <w:t xml:space="preserve">Weighted for all ages </w:t>
            </w:r>
            <w:r w:rsidRPr="00893F84">
              <w:rPr>
                <w:rFonts w:ascii="Arial Narrow" w:hAnsi="Arial Narrow" w:cs="Calibri"/>
                <w:b/>
                <w:sz w:val="20"/>
                <w:szCs w:val="20"/>
              </w:rPr>
              <w:t>≥</w:t>
            </w:r>
            <w:r w:rsidRPr="00893F84">
              <w:rPr>
                <w:rFonts w:ascii="Arial Narrow" w:hAnsi="Arial Narrow"/>
                <w:b/>
                <w:sz w:val="20"/>
                <w:szCs w:val="20"/>
              </w:rPr>
              <w:t>65 years</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0.4086</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0.4128</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-0.0041</w:t>
            </w:r>
          </w:p>
        </w:tc>
      </w:tr>
      <w:tr w:rsidR="006139C0" w:rsidRPr="00893F84" w:rsidTr="009045C5">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525C36">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b/>
                <w:sz w:val="20"/>
                <w:szCs w:val="20"/>
              </w:rPr>
            </w:pPr>
            <w:r w:rsidRPr="00893F84">
              <w:rPr>
                <w:rFonts w:ascii="Arial Narrow" w:hAnsi="Arial Narrow"/>
                <w:b/>
                <w:sz w:val="20"/>
                <w:szCs w:val="20"/>
              </w:rPr>
              <w:t xml:space="preserve">Weighted for all ages </w:t>
            </w:r>
            <w:r w:rsidRPr="00893F84">
              <w:rPr>
                <w:rFonts w:ascii="Arial Narrow" w:hAnsi="Arial Narrow" w:cs="Calibri"/>
                <w:b/>
                <w:sz w:val="20"/>
                <w:szCs w:val="20"/>
              </w:rPr>
              <w:t>≥</w:t>
            </w:r>
            <w:r w:rsidRPr="00893F84">
              <w:rPr>
                <w:rFonts w:ascii="Arial Narrow" w:hAnsi="Arial Narrow"/>
                <w:b/>
                <w:sz w:val="20"/>
                <w:szCs w:val="20"/>
              </w:rPr>
              <w:t>75 years</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r w:rsidR="006139C0" w:rsidRPr="00893F84" w:rsidTr="009045C5">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0.6781</w:t>
            </w:r>
          </w:p>
        </w:tc>
        <w:tc>
          <w:tcPr>
            <w:tcW w:w="1337"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0.6860</w:t>
            </w:r>
          </w:p>
        </w:tc>
        <w:tc>
          <w:tcPr>
            <w:tcW w:w="999" w:type="pct"/>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-0.0079</w:t>
            </w:r>
          </w:p>
        </w:tc>
      </w:tr>
      <w:tr w:rsidR="006139C0" w:rsidRPr="00893F84" w:rsidTr="009045C5">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6139C0" w:rsidRPr="00893F84" w:rsidRDefault="006139C0" w:rsidP="00525C36">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6139C0" w:rsidRPr="00893F84" w:rsidRDefault="006139C0" w:rsidP="00525C36">
            <w:pPr>
              <w:pStyle w:val="TableTextcentred"/>
              <w:keepNext/>
              <w:rPr>
                <w:rFonts w:ascii="Arial Narrow" w:hAnsi="Arial Narrow"/>
                <w:sz w:val="20"/>
                <w:szCs w:val="20"/>
              </w:rPr>
            </w:pPr>
            <w:r w:rsidRPr="00893F84">
              <w:rPr>
                <w:rFonts w:ascii="Arial Narrow" w:hAnsi="Arial Narrow"/>
                <w:sz w:val="20"/>
                <w:szCs w:val="20"/>
              </w:rPr>
              <w:t>$</w:t>
            </w:r>
            <w:r w:rsidR="005C4E78">
              <w:rPr>
                <w:rFonts w:ascii="Arial Narrow" w:hAnsi="Arial Narrow"/>
                <w:noProof/>
                <w:color w:val="000000"/>
                <w:sz w:val="20"/>
                <w:szCs w:val="20"/>
                <w:highlight w:val="black"/>
              </w:rPr>
              <w:t>'''''''''</w:t>
            </w:r>
          </w:p>
        </w:tc>
      </w:tr>
    </w:tbl>
    <w:p w:rsidR="006139C0" w:rsidRPr="00893F84" w:rsidRDefault="006139C0" w:rsidP="006139C0">
      <w:pPr>
        <w:pStyle w:val="TableFootnotetext"/>
        <w:keepNext/>
        <w:rPr>
          <w:rFonts w:ascii="Arial Narrow" w:eastAsia="Calibri" w:hAnsi="Arial Narrow"/>
          <w:sz w:val="18"/>
          <w:szCs w:val="18"/>
        </w:rPr>
      </w:pPr>
      <w:r w:rsidRPr="00893F84">
        <w:rPr>
          <w:rFonts w:ascii="Arial Narrow" w:eastAsia="Calibri" w:hAnsi="Arial Narrow"/>
          <w:sz w:val="18"/>
          <w:szCs w:val="18"/>
        </w:rPr>
        <w:t>QALY = quality-adjusted life year; QIV = quadrivalent influenza vaccine</w:t>
      </w:r>
    </w:p>
    <w:p w:rsidR="006139C0" w:rsidRPr="00893F84" w:rsidRDefault="006139C0" w:rsidP="006139C0">
      <w:pPr>
        <w:pStyle w:val="TableFootnotetext"/>
        <w:keepNext/>
        <w:rPr>
          <w:rFonts w:ascii="Arial Narrow" w:eastAsia="Calibri" w:hAnsi="Arial Narrow"/>
          <w:sz w:val="18"/>
          <w:szCs w:val="18"/>
        </w:rPr>
      </w:pPr>
      <w:r w:rsidRPr="00893F84">
        <w:rPr>
          <w:rFonts w:ascii="Arial Narrow" w:eastAsia="Calibri" w:hAnsi="Arial Narrow"/>
          <w:sz w:val="18"/>
          <w:szCs w:val="18"/>
        </w:rPr>
        <w:t>Source: Table 1, PSCR, p5.</w:t>
      </w:r>
    </w:p>
    <w:p w:rsidR="006139C0" w:rsidRDefault="006139C0" w:rsidP="006139C0">
      <w:pPr>
        <w:pStyle w:val="TableFooter"/>
        <w:rPr>
          <w:rFonts w:asciiTheme="minorHAnsi" w:eastAsiaTheme="minorHAnsi" w:hAnsiTheme="minorHAnsi" w:cstheme="minorBidi"/>
          <w:sz w:val="22"/>
        </w:rPr>
      </w:pPr>
    </w:p>
    <w:p w:rsidR="00A86058" w:rsidRDefault="00A86058" w:rsidP="006139C0">
      <w:pPr>
        <w:pStyle w:val="TableFooter"/>
        <w:rPr>
          <w:rFonts w:asciiTheme="minorHAnsi" w:eastAsiaTheme="minorHAnsi" w:hAnsiTheme="minorHAnsi" w:cstheme="minorBidi"/>
          <w:sz w:val="22"/>
        </w:rPr>
      </w:pPr>
      <w:r>
        <w:rPr>
          <w:rFonts w:asciiTheme="minorHAnsi" w:eastAsiaTheme="minorHAnsi" w:hAnsiTheme="minorHAnsi" w:cstheme="minorBidi"/>
          <w:sz w:val="22"/>
        </w:rPr>
        <w:t>The redacted table sho</w:t>
      </w:r>
      <w:r w:rsidR="009A06DA">
        <w:rPr>
          <w:rFonts w:asciiTheme="minorHAnsi" w:eastAsiaTheme="minorHAnsi" w:hAnsiTheme="minorHAnsi" w:cstheme="minorBidi"/>
          <w:sz w:val="22"/>
        </w:rPr>
        <w:t>w</w:t>
      </w:r>
      <w:r>
        <w:rPr>
          <w:rFonts w:asciiTheme="minorHAnsi" w:eastAsiaTheme="minorHAnsi" w:hAnsiTheme="minorHAnsi" w:cstheme="minorBidi"/>
          <w:sz w:val="22"/>
        </w:rPr>
        <w:t>s incremental costs of les</w:t>
      </w:r>
      <w:r w:rsidR="001627E4">
        <w:rPr>
          <w:rFonts w:asciiTheme="minorHAnsi" w:eastAsiaTheme="minorHAnsi" w:hAnsiTheme="minorHAnsi" w:cstheme="minorBidi"/>
          <w:sz w:val="22"/>
        </w:rPr>
        <w:t>s than $15,000 per QALY gained.</w:t>
      </w:r>
    </w:p>
    <w:p w:rsidR="009D601E" w:rsidRPr="00EF4495" w:rsidRDefault="0040500E" w:rsidP="009428C7">
      <w:pPr>
        <w:pStyle w:val="ListParagraph"/>
        <w:keepNext/>
        <w:widowControl/>
        <w:numPr>
          <w:ilvl w:val="1"/>
          <w:numId w:val="39"/>
        </w:numPr>
        <w:ind w:left="709" w:hanging="709"/>
        <w:rPr>
          <w:rFonts w:ascii="Arial Narrow" w:eastAsiaTheme="majorEastAsia" w:hAnsi="Arial Narrow" w:cstheme="majorBidi"/>
          <w:b/>
          <w:bCs/>
          <w:sz w:val="20"/>
        </w:rPr>
      </w:pPr>
      <w:r w:rsidRPr="00412CB6">
        <w:t>The</w:t>
      </w:r>
      <w:r w:rsidRPr="00EF4495">
        <w:rPr>
          <w:rFonts w:eastAsiaTheme="minorHAnsi" w:cstheme="minorBidi"/>
          <w:sz w:val="22"/>
        </w:rPr>
        <w:t xml:space="preserve"> ICER falls </w:t>
      </w:r>
      <w:r w:rsidR="00E3794A">
        <w:t>less than $15,000</w:t>
      </w:r>
      <w:r w:rsidRPr="00EF4495">
        <w:rPr>
          <w:rFonts w:eastAsiaTheme="minorHAnsi" w:cstheme="minorBidi"/>
          <w:sz w:val="22"/>
        </w:rPr>
        <w:t xml:space="preserve"> per QALY gained when the mortality OR = 0.91 (see Figure 5 </w:t>
      </w:r>
      <w:r w:rsidR="00A00A0B" w:rsidRPr="00EF4495">
        <w:rPr>
          <w:rFonts w:eastAsiaTheme="minorHAnsi" w:cstheme="minorBidi"/>
          <w:sz w:val="22"/>
        </w:rPr>
        <w:t>below</w:t>
      </w:r>
      <w:r w:rsidRPr="00EF4495">
        <w:rPr>
          <w:rFonts w:eastAsiaTheme="minorHAnsi" w:cstheme="minorBidi"/>
          <w:sz w:val="22"/>
        </w:rPr>
        <w:t>).</w:t>
      </w:r>
    </w:p>
    <w:p w:rsidR="00EF4495" w:rsidRDefault="00EF4495">
      <w:pPr>
        <w:rPr>
          <w:rFonts w:ascii="Arial Narrow" w:eastAsiaTheme="majorEastAsia" w:hAnsi="Arial Narrow" w:cstheme="majorBidi"/>
          <w:b/>
          <w:bCs/>
          <w:sz w:val="20"/>
        </w:rPr>
      </w:pPr>
      <w:r>
        <w:br w:type="page"/>
      </w:r>
    </w:p>
    <w:p w:rsidR="00BC71B7" w:rsidRDefault="00BC71B7" w:rsidP="00BC71B7">
      <w:pPr>
        <w:pStyle w:val="TableFigureHeading"/>
      </w:pPr>
      <w:r>
        <w:lastRenderedPageBreak/>
        <w:t xml:space="preserve">Figure </w:t>
      </w:r>
      <w:fldSimple w:instr=" SEQ Figure \* ARABIC ">
        <w:r w:rsidR="009C284C">
          <w:rPr>
            <w:noProof/>
          </w:rPr>
          <w:t>5</w:t>
        </w:r>
      </w:fldSimple>
      <w:r w:rsidRPr="001B5854">
        <w:t>:</w:t>
      </w:r>
      <w:r w:rsidRPr="001B5854">
        <w:tab/>
        <w:t>Incremental cost per QALY (one-year time horizon and inpatient episode limited to $</w:t>
      </w:r>
      <w:r>
        <w:rPr>
          <w:noProof/>
          <w:color w:val="000000"/>
          <w:highlight w:val="black"/>
        </w:rPr>
        <w:t>''''''''''''''''</w:t>
      </w:r>
      <w:r w:rsidRPr="001B5854">
        <w:t>) for a range of odds ratios applied to mortality - PSCR</w:t>
      </w:r>
    </w:p>
    <w:p w:rsidR="006139C0" w:rsidRPr="00893F84" w:rsidRDefault="006139C0" w:rsidP="00BC71B7">
      <w:r w:rsidRPr="00893F84">
        <w:rPr>
          <w:noProof/>
        </w:rPr>
        <w:drawing>
          <wp:inline distT="0" distB="0" distL="0" distR="0" wp14:anchorId="75827B9A" wp14:editId="29CCBBA8">
            <wp:extent cx="4565650" cy="2743200"/>
            <wp:effectExtent l="0" t="0" r="6350" b="0"/>
            <wp:docPr id="8" name="Picture 8" title="Figure 5: Incremental cost per QALY (one-year time horizon and inpatient episode limited to $''''''''''''''''''') for a range of odds ratios applied to mortality - P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5650" cy="2743200"/>
                    </a:xfrm>
                    <a:prstGeom prst="rect">
                      <a:avLst/>
                    </a:prstGeom>
                    <a:noFill/>
                    <a:ln>
                      <a:noFill/>
                    </a:ln>
                  </pic:spPr>
                </pic:pic>
              </a:graphicData>
            </a:graphic>
          </wp:inline>
        </w:drawing>
      </w:r>
    </w:p>
    <w:p w:rsidR="006139C0" w:rsidRPr="001627E4" w:rsidRDefault="001627E4" w:rsidP="001627E4">
      <w:pPr>
        <w:pStyle w:val="TableFootnotetext"/>
        <w:keepNext/>
        <w:rPr>
          <w:rFonts w:ascii="Arial Narrow" w:eastAsia="Calibri" w:hAnsi="Arial Narrow"/>
          <w:sz w:val="18"/>
          <w:szCs w:val="18"/>
        </w:rPr>
      </w:pPr>
      <w:r>
        <w:rPr>
          <w:rFonts w:ascii="Arial Narrow" w:eastAsia="Calibri" w:hAnsi="Arial Narrow"/>
          <w:sz w:val="18"/>
          <w:szCs w:val="18"/>
        </w:rPr>
        <w:t>Source: Figure 1, PSCR, p5.</w:t>
      </w:r>
    </w:p>
    <w:p w:rsidR="00B40889" w:rsidRPr="00B97A2E" w:rsidRDefault="00FD72E2" w:rsidP="00F37302">
      <w:pPr>
        <w:pStyle w:val="ListParagraph"/>
        <w:keepNext/>
        <w:widowControl/>
        <w:numPr>
          <w:ilvl w:val="1"/>
          <w:numId w:val="39"/>
        </w:numPr>
        <w:ind w:left="709" w:hanging="709"/>
      </w:pPr>
      <w:r>
        <w:t>T</w:t>
      </w:r>
      <w:r w:rsidR="001A227C">
        <w:t xml:space="preserve">he </w:t>
      </w:r>
      <w:r>
        <w:t>ESC</w:t>
      </w:r>
      <w:r w:rsidR="001A227C">
        <w:t xml:space="preserve"> considered that</w:t>
      </w:r>
      <w:r w:rsidR="00525C36" w:rsidRPr="00B97A2E">
        <w:t xml:space="preserve"> the estimated QALY effects of non-fatal influenza-related hospitalisations </w:t>
      </w:r>
      <w:r w:rsidR="001A227C">
        <w:t>were likely</w:t>
      </w:r>
      <w:r w:rsidR="00525C36" w:rsidRPr="00B97A2E">
        <w:t xml:space="preserve"> overestimated. It </w:t>
      </w:r>
      <w:r w:rsidR="001A227C">
        <w:t>wa</w:t>
      </w:r>
      <w:r w:rsidR="00525C36" w:rsidRPr="00B97A2E">
        <w:t>s assumed the effect of influenza remain</w:t>
      </w:r>
      <w:r w:rsidR="001A227C">
        <w:t>s</w:t>
      </w:r>
      <w:r w:rsidR="00525C36" w:rsidRPr="00B97A2E">
        <w:t xml:space="preserve"> for 14.3 days and that during those 14.3 days, patients are in a health state </w:t>
      </w:r>
      <w:r w:rsidR="004B4AA7">
        <w:t xml:space="preserve">almost </w:t>
      </w:r>
      <w:r w:rsidR="00525C36" w:rsidRPr="00B97A2E">
        <w:t>equivalent to being dead. This result</w:t>
      </w:r>
      <w:r w:rsidR="001A227C">
        <w:t>ed</w:t>
      </w:r>
      <w:r w:rsidR="00525C36" w:rsidRPr="00B97A2E">
        <w:t xml:space="preserve"> in a QALY gain of 0.04 per non-fatal influenza-related hospitalisation avoided.</w:t>
      </w:r>
      <w:r w:rsidR="00210C7E">
        <w:t xml:space="preserve"> </w:t>
      </w:r>
    </w:p>
    <w:p w:rsidR="0008334D" w:rsidRPr="00B97A2E" w:rsidRDefault="00525C36" w:rsidP="00F37302">
      <w:pPr>
        <w:pStyle w:val="ListParagraph"/>
        <w:keepNext/>
        <w:widowControl/>
        <w:numPr>
          <w:ilvl w:val="1"/>
          <w:numId w:val="39"/>
        </w:numPr>
        <w:ind w:left="709" w:hanging="709"/>
      </w:pPr>
      <w:r w:rsidRPr="00B97A2E">
        <w:t xml:space="preserve">The </w:t>
      </w:r>
      <w:r w:rsidR="004B4AA7">
        <w:t xml:space="preserve">ESC considered the </w:t>
      </w:r>
      <w:r w:rsidRPr="00B97A2E">
        <w:t xml:space="preserve">source of the utility values </w:t>
      </w:r>
      <w:r w:rsidR="001A227C">
        <w:t>was unclear</w:t>
      </w:r>
      <w:r w:rsidR="006011FE" w:rsidRPr="00B97A2E">
        <w:t xml:space="preserve">, with the </w:t>
      </w:r>
      <w:r w:rsidR="00597BD6" w:rsidRPr="00B97A2E">
        <w:t xml:space="preserve">referenced </w:t>
      </w:r>
      <w:r w:rsidR="006011FE" w:rsidRPr="00B97A2E">
        <w:t>Meier (2015) paper using multiple other sources to derive values</w:t>
      </w:r>
      <w:r w:rsidRPr="00B97A2E">
        <w:t xml:space="preserve">. </w:t>
      </w:r>
      <w:r w:rsidR="0017540E">
        <w:t>T</w:t>
      </w:r>
      <w:r w:rsidRPr="00B97A2E">
        <w:t>he original source of the util</w:t>
      </w:r>
      <w:r w:rsidR="006011FE" w:rsidRPr="00B97A2E">
        <w:t>ity values</w:t>
      </w:r>
      <w:r w:rsidR="0017540E">
        <w:t xml:space="preserve"> was retrieved and</w:t>
      </w:r>
      <w:r w:rsidR="00BE3A6F" w:rsidRPr="00B97A2E">
        <w:t xml:space="preserve"> </w:t>
      </w:r>
      <w:r w:rsidR="004B4AA7">
        <w:t xml:space="preserve">it included </w:t>
      </w:r>
      <w:r w:rsidR="00BE3A6F" w:rsidRPr="00B97A2E">
        <w:t>a sample 21 individuals retrospectively completed the EQ-5D questionnaire</w:t>
      </w:r>
      <w:r w:rsidR="006011FE" w:rsidRPr="00B97A2E">
        <w:t xml:space="preserve"> </w:t>
      </w:r>
      <w:r w:rsidR="00CE0D83" w:rsidRPr="00B97A2E">
        <w:t>after having experienced outpatient influenza.</w:t>
      </w:r>
    </w:p>
    <w:p w:rsidR="00576232" w:rsidRPr="00B97A2E" w:rsidRDefault="0008334D" w:rsidP="00F37302">
      <w:pPr>
        <w:pStyle w:val="ListParagraph"/>
        <w:keepNext/>
        <w:widowControl/>
        <w:numPr>
          <w:ilvl w:val="1"/>
          <w:numId w:val="39"/>
        </w:numPr>
        <w:ind w:left="709" w:hanging="709"/>
      </w:pPr>
      <w:r w:rsidRPr="00B97A2E">
        <w:t xml:space="preserve">It is notoriously difficult to </w:t>
      </w:r>
      <w:r w:rsidR="00292A75" w:rsidRPr="00B97A2E">
        <w:t>get people currently experiencing influenza to complete a utility instrument. On the other hand, most people have experienced influenza.</w:t>
      </w:r>
      <w:r w:rsidR="00797A88" w:rsidRPr="00B97A2E">
        <w:t xml:space="preserve"> </w:t>
      </w:r>
      <w:r w:rsidR="009C36A6" w:rsidRPr="00B97A2E">
        <w:t>A study by Mauskopf and colleagues</w:t>
      </w:r>
      <w:r w:rsidR="001E2E99" w:rsidRPr="00B97A2E">
        <w:t xml:space="preserve"> (2000)</w:t>
      </w:r>
      <w:r w:rsidR="001E2E99" w:rsidRPr="00B97A2E">
        <w:rPr>
          <w:rStyle w:val="FootnoteReference"/>
        </w:rPr>
        <w:footnoteReference w:id="3"/>
      </w:r>
      <w:r w:rsidR="009C36A6" w:rsidRPr="00B97A2E">
        <w:t xml:space="preserve"> </w:t>
      </w:r>
      <w:r w:rsidR="00797A88" w:rsidRPr="00B97A2E">
        <w:t xml:space="preserve">drew on this experience to define </w:t>
      </w:r>
      <w:r w:rsidR="005154C2" w:rsidRPr="00B97A2E">
        <w:t>a health state representing the effects of influenza</w:t>
      </w:r>
      <w:r w:rsidR="003C10F7" w:rsidRPr="00B97A2E">
        <w:t xml:space="preserve">, in which </w:t>
      </w:r>
      <w:r w:rsidR="00576232" w:rsidRPr="00B97A2E">
        <w:t>f</w:t>
      </w:r>
      <w:r w:rsidR="009C36A6" w:rsidRPr="00B97A2E">
        <w:t xml:space="preserve">unctional status on a day with influenza symptoms was assumed to be as follows: </w:t>
      </w:r>
    </w:p>
    <w:p w:rsidR="00576232" w:rsidRPr="00B97A2E" w:rsidRDefault="009C36A6" w:rsidP="00D24145">
      <w:pPr>
        <w:pStyle w:val="ListParagraph"/>
        <w:widowControl/>
        <w:numPr>
          <w:ilvl w:val="1"/>
          <w:numId w:val="10"/>
        </w:numPr>
        <w:tabs>
          <w:tab w:val="left" w:pos="1134"/>
        </w:tabs>
        <w:ind w:left="1134" w:hanging="425"/>
      </w:pPr>
      <w:r w:rsidRPr="00B97A2E">
        <w:t xml:space="preserve">mobility – in house; </w:t>
      </w:r>
    </w:p>
    <w:p w:rsidR="00576232" w:rsidRPr="00B97A2E" w:rsidRDefault="009C36A6" w:rsidP="00D24145">
      <w:pPr>
        <w:pStyle w:val="ListParagraph"/>
        <w:widowControl/>
        <w:numPr>
          <w:ilvl w:val="1"/>
          <w:numId w:val="10"/>
        </w:numPr>
        <w:tabs>
          <w:tab w:val="left" w:pos="1134"/>
        </w:tabs>
        <w:ind w:left="1134" w:hanging="425"/>
      </w:pPr>
      <w:r w:rsidRPr="00B97A2E">
        <w:t xml:space="preserve">physical activity – walked with physical limitations; </w:t>
      </w:r>
    </w:p>
    <w:p w:rsidR="00576232" w:rsidRPr="00B97A2E" w:rsidRDefault="009C36A6" w:rsidP="00D24145">
      <w:pPr>
        <w:pStyle w:val="ListParagraph"/>
        <w:widowControl/>
        <w:numPr>
          <w:ilvl w:val="1"/>
          <w:numId w:val="10"/>
        </w:numPr>
        <w:tabs>
          <w:tab w:val="left" w:pos="1134"/>
        </w:tabs>
        <w:ind w:left="1134" w:hanging="425"/>
      </w:pPr>
      <w:r w:rsidRPr="00B97A2E">
        <w:t xml:space="preserve">social activity – limited in work, school or housework. </w:t>
      </w:r>
    </w:p>
    <w:p w:rsidR="00525C36" w:rsidRPr="00B97A2E" w:rsidRDefault="003B4061" w:rsidP="00F37302">
      <w:pPr>
        <w:pStyle w:val="ListParagraph"/>
        <w:keepNext/>
        <w:widowControl/>
        <w:numPr>
          <w:ilvl w:val="1"/>
          <w:numId w:val="39"/>
        </w:numPr>
        <w:ind w:left="709" w:hanging="709"/>
      </w:pPr>
      <w:r w:rsidRPr="00B97A2E">
        <w:lastRenderedPageBreak/>
        <w:t xml:space="preserve">Using the quality of well-being scale, this set of measures gave an index value of 0.56. Assuming a general population utility weight of 0.9, generates a disutility associated with influenza of 0.34 (0.9 – 0.56). Hospitalised influenza may generate more disutility, but a value of 0.5 (0.9 – 0.4) may be more appropriate than a disutility of </w:t>
      </w:r>
      <w:r w:rsidR="004B4AA7">
        <w:t xml:space="preserve">approximately </w:t>
      </w:r>
      <w:r w:rsidRPr="00B97A2E">
        <w:t>1.</w:t>
      </w:r>
    </w:p>
    <w:p w:rsidR="003B4061" w:rsidRPr="00B97A2E" w:rsidRDefault="003B4061" w:rsidP="00F37302">
      <w:pPr>
        <w:pStyle w:val="ListParagraph"/>
        <w:keepNext/>
        <w:widowControl/>
        <w:numPr>
          <w:ilvl w:val="1"/>
          <w:numId w:val="39"/>
        </w:numPr>
        <w:ind w:left="709" w:hanging="709"/>
      </w:pPr>
      <w:r w:rsidRPr="00B97A2E">
        <w:t xml:space="preserve">Also, the duration of an episode requiring </w:t>
      </w:r>
      <w:r w:rsidR="00E80845" w:rsidRPr="00B97A2E">
        <w:t>hospitalisation</w:t>
      </w:r>
      <w:r w:rsidRPr="00B97A2E">
        <w:t xml:space="preserve"> was taken as the length of stay for </w:t>
      </w:r>
      <w:r w:rsidRPr="00B97A2E">
        <w:rPr>
          <w:u w:val="single"/>
        </w:rPr>
        <w:t>influenza with any complication</w:t>
      </w:r>
      <w:r w:rsidRPr="00B97A2E">
        <w:t xml:space="preserve"> reported in a UK database study (four references were provided in the Meier (2015) paper). The statement that it was “influenza with any complication” (p752) implies the estimated duration reflects complicated influenza-related hospitalisations. </w:t>
      </w:r>
    </w:p>
    <w:p w:rsidR="00525C36" w:rsidRPr="00B97A2E" w:rsidRDefault="005B0FCD" w:rsidP="00F37302">
      <w:pPr>
        <w:pStyle w:val="ListParagraph"/>
        <w:keepNext/>
        <w:widowControl/>
        <w:numPr>
          <w:ilvl w:val="1"/>
          <w:numId w:val="39"/>
        </w:numPr>
        <w:ind w:left="709" w:hanging="709"/>
      </w:pPr>
      <w:r w:rsidRPr="00B97A2E">
        <w:t>On the basis of other economic evaluations for influenza vaccines, the ESC considered</w:t>
      </w:r>
      <w:r w:rsidR="00D82D78" w:rsidRPr="00B97A2E">
        <w:t xml:space="preserve"> </w:t>
      </w:r>
      <w:r w:rsidR="00C16CC2" w:rsidRPr="00B97A2E">
        <w:t>i</w:t>
      </w:r>
      <w:r w:rsidR="00525C36" w:rsidRPr="00B97A2E">
        <w:t>t may be more reasonable to assume a duration of 7</w:t>
      </w:r>
      <w:r w:rsidR="00DD3F41" w:rsidRPr="00B97A2E">
        <w:t xml:space="preserve"> to 10</w:t>
      </w:r>
      <w:r w:rsidR="00525C36" w:rsidRPr="00B97A2E">
        <w:t xml:space="preserve"> days </w:t>
      </w:r>
      <w:r w:rsidR="00CF6F76" w:rsidRPr="00B97A2E">
        <w:t xml:space="preserve">combined with the estimated </w:t>
      </w:r>
      <w:r w:rsidR="00525C36" w:rsidRPr="00B97A2E">
        <w:t>utility decrement of 0.</w:t>
      </w:r>
      <w:r w:rsidR="008D5445" w:rsidRPr="00B97A2E">
        <w:t>5</w:t>
      </w:r>
      <w:r w:rsidR="00525C36" w:rsidRPr="00B97A2E">
        <w:t>.</w:t>
      </w:r>
    </w:p>
    <w:p w:rsidR="000424CF" w:rsidRPr="00B97A2E" w:rsidRDefault="000424CF" w:rsidP="00F37302">
      <w:pPr>
        <w:pStyle w:val="ListParagraph"/>
        <w:keepNext/>
        <w:widowControl/>
        <w:numPr>
          <w:ilvl w:val="1"/>
          <w:numId w:val="39"/>
        </w:numPr>
        <w:ind w:left="709" w:hanging="709"/>
      </w:pPr>
      <w:r w:rsidRPr="00B97A2E">
        <w:t xml:space="preserve">Given the uncertainties in the clinical evidence, the ESC considered it would be </w:t>
      </w:r>
      <w:r w:rsidR="00CB42F0" w:rsidRPr="00B97A2E">
        <w:t>informative</w:t>
      </w:r>
      <w:r w:rsidRPr="00B97A2E">
        <w:t xml:space="preserve"> to use the model as described in the PSCR (as per table 1</w:t>
      </w:r>
      <w:r w:rsidR="00783D3A" w:rsidRPr="00B97A2E">
        <w:t>6</w:t>
      </w:r>
      <w:r w:rsidRPr="00B97A2E">
        <w:t xml:space="preserve"> above) to run the base case:</w:t>
      </w:r>
    </w:p>
    <w:p w:rsidR="000424CF" w:rsidRPr="00B97A2E" w:rsidRDefault="000424CF" w:rsidP="00D24145">
      <w:pPr>
        <w:pStyle w:val="ListParagraph"/>
        <w:widowControl/>
        <w:numPr>
          <w:ilvl w:val="1"/>
          <w:numId w:val="10"/>
        </w:numPr>
        <w:tabs>
          <w:tab w:val="left" w:pos="1134"/>
        </w:tabs>
        <w:ind w:left="1134" w:hanging="425"/>
      </w:pPr>
      <w:r w:rsidRPr="00B97A2E">
        <w:t>Vaccine effectiveness on hospitalisations and mortality: 0.83 (potentially conservative for hospitalisations, but allowing for a mortality effect)</w:t>
      </w:r>
    </w:p>
    <w:p w:rsidR="000424CF" w:rsidRPr="00B97A2E" w:rsidRDefault="000424CF" w:rsidP="00D24145">
      <w:pPr>
        <w:pStyle w:val="ListParagraph"/>
        <w:widowControl/>
        <w:numPr>
          <w:ilvl w:val="1"/>
          <w:numId w:val="10"/>
        </w:numPr>
        <w:tabs>
          <w:tab w:val="left" w:pos="1134"/>
        </w:tabs>
        <w:ind w:left="1134" w:hanging="425"/>
      </w:pPr>
      <w:r w:rsidRPr="00B97A2E">
        <w:t>QALY gain per non-fatal influenza-related hospitalisation avoided: 0.02</w:t>
      </w:r>
    </w:p>
    <w:p w:rsidR="000424CF" w:rsidRPr="00B97A2E" w:rsidRDefault="000424CF" w:rsidP="00431745">
      <w:pPr>
        <w:pStyle w:val="ListParagraph"/>
        <w:widowControl/>
        <w:numPr>
          <w:ilvl w:val="1"/>
          <w:numId w:val="10"/>
        </w:numPr>
        <w:tabs>
          <w:tab w:val="left" w:pos="1134"/>
        </w:tabs>
        <w:ind w:left="1134" w:hanging="425"/>
      </w:pPr>
      <w:r w:rsidRPr="00B97A2E">
        <w:t>Unit cost of inpatient episode of influenza: $</w:t>
      </w:r>
      <w:r w:rsidR="005C4E78">
        <w:rPr>
          <w:noProof/>
          <w:color w:val="000000"/>
          <w:highlight w:val="black"/>
        </w:rPr>
        <w:t>''''''''''''''''</w:t>
      </w:r>
    </w:p>
    <w:p w:rsidR="00BD0A80" w:rsidRDefault="00141EFB" w:rsidP="00431745">
      <w:pPr>
        <w:pStyle w:val="Bulletpoints"/>
        <w:widowControl/>
        <w:numPr>
          <w:ilvl w:val="0"/>
          <w:numId w:val="0"/>
        </w:numPr>
        <w:spacing w:after="120"/>
        <w:ind w:left="720"/>
      </w:pPr>
      <w:r>
        <w:t>The ESC further considered that a</w:t>
      </w:r>
      <w:r w:rsidR="000424CF" w:rsidRPr="00B97A2E">
        <w:t xml:space="preserve"> separate analysis for individuals aged under 75 years old may be informative.</w:t>
      </w:r>
    </w:p>
    <w:p w:rsidR="00DD4558" w:rsidRPr="00431745" w:rsidRDefault="00DB70E9" w:rsidP="00F37302">
      <w:pPr>
        <w:pStyle w:val="ListParagraph"/>
        <w:keepNext/>
        <w:widowControl/>
        <w:numPr>
          <w:ilvl w:val="1"/>
          <w:numId w:val="39"/>
        </w:numPr>
        <w:ind w:left="709" w:hanging="709"/>
      </w:pPr>
      <w:r>
        <w:t>The Pre-PBAC Response (p</w:t>
      </w:r>
      <w:r w:rsidR="00BD0A80">
        <w:t>1-2) provided revised ICERs using adjusted model components, as requested by the ESC</w:t>
      </w:r>
      <w:r>
        <w:t xml:space="preserve"> (above)</w:t>
      </w:r>
      <w:r w:rsidR="00BD0A80">
        <w:t>.</w:t>
      </w:r>
      <w:r w:rsidR="008D396C">
        <w:t xml:space="preserve"> </w:t>
      </w:r>
      <w:r w:rsidR="00BD0A80">
        <w:t xml:space="preserve">The revised results demonstrated ICERs remaining </w:t>
      </w:r>
      <w:r w:rsidR="00E3794A">
        <w:t>less than $15,000</w:t>
      </w:r>
      <w:r w:rsidR="00BD0A80">
        <w:t xml:space="preserve"> per QALY gained in all scenarios.</w:t>
      </w:r>
    </w:p>
    <w:p w:rsidR="00BC71B7" w:rsidRDefault="00BC71B7" w:rsidP="00BC71B7">
      <w:pPr>
        <w:pStyle w:val="TableFigureHeading"/>
      </w:pPr>
      <w:r>
        <w:t xml:space="preserve">Table </w:t>
      </w:r>
      <w:fldSimple w:instr=" SEQ Table \* ARABIC ">
        <w:r w:rsidR="009C284C">
          <w:rPr>
            <w:noProof/>
          </w:rPr>
          <w:t>17</w:t>
        </w:r>
      </w:fldSimple>
      <w:r>
        <w:t>:</w:t>
      </w:r>
      <w:r w:rsidRPr="00C10141">
        <w:tab/>
        <w:t>Incremental cost per QALY with one-year time horizon, 17% VE of aTIV versus QIV for influenza hospitalisations and mortality, QALY gain per non-fatal influenza hospitalisation avoided set to 0.02 and inpatient episode cost of $</w:t>
      </w:r>
      <w:r>
        <w:rPr>
          <w:noProof/>
          <w:color w:val="000000"/>
          <w:highlight w:val="black"/>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Incremental cost per QALY with one-year time horizon, 17% VE of aTIV versus QIV for influenza hospitalisations and mortality, QALY gain per non-fatal influenza hospitalisation avoided set to 0.02 and inpatient episode cost of $''''''''''''''''''"/>
      </w:tblPr>
      <w:tblGrid>
        <w:gridCol w:w="4463"/>
        <w:gridCol w:w="4464"/>
      </w:tblGrid>
      <w:tr w:rsidR="00BD0A80" w:rsidRPr="00F43787" w:rsidTr="00525D25">
        <w:trPr>
          <w:trHeight w:val="20"/>
        </w:trPr>
        <w:tc>
          <w:tcPr>
            <w:tcW w:w="2500" w:type="pct"/>
            <w:shd w:val="clear" w:color="auto" w:fill="auto"/>
            <w:vAlign w:val="center"/>
            <w:hideMark/>
          </w:tcPr>
          <w:p w:rsidR="00BD0A80" w:rsidRPr="00F43787" w:rsidRDefault="00BD0A80" w:rsidP="00CF5B9C">
            <w:pPr>
              <w:pStyle w:val="Tabletitlecentred0"/>
              <w:rPr>
                <w:rFonts w:ascii="Arial Narrow" w:hAnsi="Arial Narrow" w:cs="Arial"/>
                <w:bCs/>
                <w:color w:val="000000"/>
                <w:sz w:val="20"/>
              </w:rPr>
            </w:pPr>
            <w:r w:rsidRPr="00F43787">
              <w:rPr>
                <w:rFonts w:ascii="Arial Narrow" w:hAnsi="Arial Narrow" w:cs="Arial"/>
                <w:sz w:val="20"/>
              </w:rPr>
              <w:t>Parameter</w:t>
            </w:r>
          </w:p>
        </w:tc>
        <w:tc>
          <w:tcPr>
            <w:tcW w:w="2500" w:type="pct"/>
            <w:shd w:val="clear" w:color="auto" w:fill="auto"/>
            <w:vAlign w:val="center"/>
            <w:hideMark/>
          </w:tcPr>
          <w:p w:rsidR="00BD0A80" w:rsidRPr="00F43787" w:rsidRDefault="00BD0A80" w:rsidP="00CF5B9C">
            <w:pPr>
              <w:pStyle w:val="Tabletitlecentred0"/>
              <w:rPr>
                <w:rFonts w:ascii="Arial Narrow" w:hAnsi="Arial Narrow" w:cs="Arial"/>
                <w:b w:val="0"/>
                <w:sz w:val="20"/>
              </w:rPr>
            </w:pPr>
            <w:r w:rsidRPr="00F43787">
              <w:rPr>
                <w:rFonts w:ascii="Arial Narrow" w:hAnsi="Arial Narrow" w:cs="Arial"/>
                <w:sz w:val="20"/>
              </w:rPr>
              <w:t xml:space="preserve">Incremental Cost Effectiveness Ratio </w:t>
            </w:r>
          </w:p>
        </w:tc>
      </w:tr>
      <w:tr w:rsidR="00BD0A80" w:rsidRPr="00F43787" w:rsidTr="00525D25">
        <w:trPr>
          <w:trHeight w:val="20"/>
        </w:trPr>
        <w:tc>
          <w:tcPr>
            <w:tcW w:w="2500" w:type="pct"/>
            <w:shd w:val="clear" w:color="auto" w:fill="auto"/>
            <w:vAlign w:val="center"/>
            <w:hideMark/>
          </w:tcPr>
          <w:p w:rsidR="00BD0A80" w:rsidRPr="00F43787" w:rsidRDefault="00BD0A80" w:rsidP="00CF5B9C">
            <w:pPr>
              <w:rPr>
                <w:rFonts w:ascii="Arial Narrow" w:hAnsi="Arial Narrow"/>
                <w:bCs/>
                <w:iCs/>
                <w:sz w:val="20"/>
                <w:szCs w:val="20"/>
              </w:rPr>
            </w:pPr>
            <w:r w:rsidRPr="00F43787">
              <w:rPr>
                <w:rFonts w:ascii="Arial Narrow" w:hAnsi="Arial Narrow"/>
                <w:bCs/>
                <w:iCs/>
                <w:sz w:val="20"/>
                <w:szCs w:val="20"/>
              </w:rPr>
              <w:t>Age = 65 years</w:t>
            </w:r>
          </w:p>
        </w:tc>
        <w:tc>
          <w:tcPr>
            <w:tcW w:w="2500" w:type="pct"/>
            <w:shd w:val="clear" w:color="auto" w:fill="auto"/>
            <w:vAlign w:val="center"/>
            <w:hideMark/>
          </w:tcPr>
          <w:p w:rsidR="00BD0A80" w:rsidRPr="00F43787" w:rsidRDefault="00BD0A80" w:rsidP="00CF5B9C">
            <w:pPr>
              <w:jc w:val="center"/>
              <w:rPr>
                <w:rFonts w:ascii="Arial Narrow" w:hAnsi="Arial Narrow"/>
                <w:bCs/>
                <w:iCs/>
                <w:sz w:val="20"/>
                <w:szCs w:val="20"/>
              </w:rPr>
            </w:pPr>
            <w:r w:rsidRPr="00F43787">
              <w:rPr>
                <w:rFonts w:ascii="Arial Narrow" w:hAnsi="Arial Narrow"/>
                <w:sz w:val="20"/>
                <w:szCs w:val="20"/>
              </w:rPr>
              <w:t>$</w:t>
            </w:r>
            <w:r w:rsidR="005C4E78">
              <w:rPr>
                <w:rFonts w:ascii="Arial Narrow" w:hAnsi="Arial Narrow"/>
                <w:noProof/>
                <w:color w:val="000000"/>
                <w:sz w:val="20"/>
                <w:szCs w:val="20"/>
                <w:highlight w:val="black"/>
              </w:rPr>
              <w:t>'''''''''''''''</w:t>
            </w:r>
            <w:r w:rsidRPr="00F43787">
              <w:rPr>
                <w:rFonts w:ascii="Arial Narrow" w:hAnsi="Arial Narrow"/>
                <w:sz w:val="20"/>
                <w:szCs w:val="20"/>
              </w:rPr>
              <w:t xml:space="preserve"> per QALY</w:t>
            </w:r>
          </w:p>
        </w:tc>
      </w:tr>
      <w:tr w:rsidR="00BD0A80" w:rsidRPr="00F43787" w:rsidTr="00525D25">
        <w:trPr>
          <w:trHeight w:val="20"/>
        </w:trPr>
        <w:tc>
          <w:tcPr>
            <w:tcW w:w="2500" w:type="pct"/>
            <w:tcBorders>
              <w:bottom w:val="single" w:sz="4" w:space="0" w:color="auto"/>
            </w:tcBorders>
            <w:shd w:val="clear" w:color="auto" w:fill="auto"/>
            <w:vAlign w:val="center"/>
            <w:hideMark/>
          </w:tcPr>
          <w:p w:rsidR="00BD0A80" w:rsidRPr="00F43787" w:rsidRDefault="00BD0A80" w:rsidP="00CF5B9C">
            <w:pPr>
              <w:rPr>
                <w:rFonts w:ascii="Arial Narrow" w:hAnsi="Arial Narrow"/>
                <w:bCs/>
                <w:iCs/>
                <w:sz w:val="20"/>
                <w:szCs w:val="20"/>
              </w:rPr>
            </w:pPr>
            <w:r w:rsidRPr="00F43787">
              <w:rPr>
                <w:rFonts w:ascii="Arial Narrow" w:hAnsi="Arial Narrow"/>
                <w:bCs/>
                <w:iCs/>
                <w:sz w:val="20"/>
                <w:szCs w:val="20"/>
              </w:rPr>
              <w:t>Age = 75 years</w:t>
            </w:r>
          </w:p>
        </w:tc>
        <w:tc>
          <w:tcPr>
            <w:tcW w:w="2500" w:type="pct"/>
            <w:tcBorders>
              <w:bottom w:val="single" w:sz="4" w:space="0" w:color="auto"/>
            </w:tcBorders>
            <w:shd w:val="clear" w:color="auto" w:fill="auto"/>
            <w:vAlign w:val="center"/>
            <w:hideMark/>
          </w:tcPr>
          <w:p w:rsidR="00BD0A80" w:rsidRPr="00F43787" w:rsidRDefault="00BD0A80" w:rsidP="00CF5B9C">
            <w:pPr>
              <w:jc w:val="center"/>
              <w:rPr>
                <w:rFonts w:ascii="Arial Narrow" w:hAnsi="Arial Narrow"/>
                <w:bCs/>
                <w:iCs/>
                <w:sz w:val="20"/>
                <w:szCs w:val="20"/>
              </w:rPr>
            </w:pPr>
            <w:r w:rsidRPr="00F43787">
              <w:rPr>
                <w:rFonts w:ascii="Arial Narrow" w:hAnsi="Arial Narrow"/>
                <w:sz w:val="20"/>
                <w:szCs w:val="20"/>
              </w:rPr>
              <w:t>$</w:t>
            </w:r>
            <w:r w:rsidR="005C4E78">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r w:rsidR="00BD0A80" w:rsidRPr="00F43787" w:rsidTr="00525D25">
        <w:trPr>
          <w:trHeight w:val="20"/>
        </w:trPr>
        <w:tc>
          <w:tcPr>
            <w:tcW w:w="2500" w:type="pct"/>
            <w:tcBorders>
              <w:top w:val="single" w:sz="4" w:space="0" w:color="auto"/>
              <w:left w:val="single" w:sz="4" w:space="0" w:color="auto"/>
              <w:bottom w:val="single" w:sz="4" w:space="0" w:color="auto"/>
              <w:right w:val="nil"/>
            </w:tcBorders>
            <w:shd w:val="clear" w:color="auto" w:fill="auto"/>
            <w:vAlign w:val="center"/>
            <w:hideMark/>
          </w:tcPr>
          <w:p w:rsidR="00BD0A80" w:rsidRPr="00F43787" w:rsidRDefault="00BD0A80" w:rsidP="00CF5B9C">
            <w:pPr>
              <w:rPr>
                <w:rFonts w:ascii="Arial Narrow" w:hAnsi="Arial Narrow"/>
                <w:b/>
                <w:bCs/>
                <w:iCs/>
                <w:sz w:val="20"/>
                <w:szCs w:val="20"/>
              </w:rPr>
            </w:pPr>
            <w:r w:rsidRPr="00F43787">
              <w:rPr>
                <w:rFonts w:ascii="Arial Narrow" w:hAnsi="Arial Narrow"/>
                <w:b/>
                <w:bCs/>
                <w:iCs/>
                <w:sz w:val="20"/>
                <w:szCs w:val="20"/>
              </w:rPr>
              <w:t>Weighted average ICER</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BD0A80" w:rsidRPr="00F43787" w:rsidRDefault="00BD0A80" w:rsidP="00CF5B9C">
            <w:pPr>
              <w:rPr>
                <w:rFonts w:ascii="Arial Narrow" w:hAnsi="Arial Narrow"/>
                <w:bCs/>
                <w:iCs/>
                <w:sz w:val="20"/>
                <w:szCs w:val="20"/>
              </w:rPr>
            </w:pPr>
            <w:r w:rsidRPr="00F43787">
              <w:rPr>
                <w:rFonts w:ascii="Arial Narrow" w:hAnsi="Arial Narrow"/>
                <w:bCs/>
                <w:iCs/>
                <w:sz w:val="20"/>
                <w:szCs w:val="20"/>
              </w:rPr>
              <w:t> </w:t>
            </w:r>
          </w:p>
        </w:tc>
      </w:tr>
      <w:tr w:rsidR="00BD0A80" w:rsidRPr="00F43787" w:rsidTr="00525D25">
        <w:trPr>
          <w:trHeight w:val="20"/>
        </w:trPr>
        <w:tc>
          <w:tcPr>
            <w:tcW w:w="2500" w:type="pct"/>
            <w:tcBorders>
              <w:top w:val="single" w:sz="4" w:space="0" w:color="auto"/>
            </w:tcBorders>
            <w:shd w:val="clear" w:color="auto" w:fill="auto"/>
            <w:vAlign w:val="center"/>
            <w:hideMark/>
          </w:tcPr>
          <w:p w:rsidR="00BD0A80" w:rsidRPr="00F43787" w:rsidRDefault="00BD0A80" w:rsidP="00CF5B9C">
            <w:pPr>
              <w:rPr>
                <w:rFonts w:ascii="Arial Narrow" w:hAnsi="Arial Narrow"/>
                <w:sz w:val="20"/>
                <w:szCs w:val="20"/>
              </w:rPr>
            </w:pPr>
            <w:r w:rsidRPr="00F43787">
              <w:rPr>
                <w:rFonts w:ascii="Arial Narrow" w:hAnsi="Arial Narrow"/>
                <w:bCs/>
                <w:iCs/>
                <w:sz w:val="20"/>
                <w:szCs w:val="20"/>
              </w:rPr>
              <w:t>Age ≥65 years</w:t>
            </w:r>
            <w:r w:rsidRPr="00F43787">
              <w:rPr>
                <w:rFonts w:ascii="Arial Narrow" w:hAnsi="Arial Narrow"/>
                <w:sz w:val="20"/>
                <w:szCs w:val="20"/>
              </w:rPr>
              <w:t xml:space="preserve"> </w:t>
            </w:r>
          </w:p>
        </w:tc>
        <w:tc>
          <w:tcPr>
            <w:tcW w:w="2500" w:type="pct"/>
            <w:tcBorders>
              <w:top w:val="single" w:sz="4" w:space="0" w:color="auto"/>
            </w:tcBorders>
            <w:shd w:val="clear" w:color="auto" w:fill="auto"/>
            <w:vAlign w:val="center"/>
            <w:hideMark/>
          </w:tcPr>
          <w:p w:rsidR="00BD0A80" w:rsidRPr="00F43787" w:rsidRDefault="00BD0A80" w:rsidP="00CF5B9C">
            <w:pPr>
              <w:jc w:val="center"/>
              <w:rPr>
                <w:rFonts w:ascii="Arial Narrow" w:hAnsi="Arial Narrow"/>
                <w:sz w:val="20"/>
                <w:szCs w:val="20"/>
              </w:rPr>
            </w:pPr>
            <w:r w:rsidRPr="00F43787">
              <w:rPr>
                <w:rFonts w:ascii="Arial Narrow" w:hAnsi="Arial Narrow"/>
                <w:sz w:val="20"/>
                <w:szCs w:val="20"/>
              </w:rPr>
              <w:t>$</w:t>
            </w:r>
            <w:r w:rsidR="005C4E78">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r w:rsidR="00BD0A80" w:rsidRPr="00F43787" w:rsidTr="00525D25">
        <w:trPr>
          <w:trHeight w:val="20"/>
        </w:trPr>
        <w:tc>
          <w:tcPr>
            <w:tcW w:w="2500" w:type="pct"/>
            <w:shd w:val="clear" w:color="auto" w:fill="auto"/>
            <w:vAlign w:val="center"/>
            <w:hideMark/>
          </w:tcPr>
          <w:p w:rsidR="00BD0A80" w:rsidRPr="00F43787" w:rsidRDefault="00BD0A80" w:rsidP="00CF5B9C">
            <w:pPr>
              <w:rPr>
                <w:rFonts w:ascii="Arial Narrow" w:hAnsi="Arial Narrow"/>
                <w:bCs/>
                <w:iCs/>
                <w:sz w:val="20"/>
                <w:szCs w:val="20"/>
              </w:rPr>
            </w:pPr>
            <w:r w:rsidRPr="00F43787">
              <w:rPr>
                <w:rFonts w:ascii="Arial Narrow" w:hAnsi="Arial Narrow"/>
                <w:bCs/>
                <w:iCs/>
                <w:sz w:val="20"/>
                <w:szCs w:val="20"/>
              </w:rPr>
              <w:t>Ages ≥75 years</w:t>
            </w:r>
          </w:p>
        </w:tc>
        <w:tc>
          <w:tcPr>
            <w:tcW w:w="2500" w:type="pct"/>
            <w:shd w:val="clear" w:color="auto" w:fill="auto"/>
            <w:vAlign w:val="center"/>
            <w:hideMark/>
          </w:tcPr>
          <w:p w:rsidR="00BD0A80" w:rsidRPr="00F43787" w:rsidRDefault="00BD0A80" w:rsidP="00CF5B9C">
            <w:pPr>
              <w:jc w:val="center"/>
              <w:rPr>
                <w:rFonts w:ascii="Arial Narrow" w:hAnsi="Arial Narrow"/>
                <w:bCs/>
                <w:iCs/>
                <w:sz w:val="20"/>
                <w:szCs w:val="20"/>
              </w:rPr>
            </w:pPr>
            <w:r w:rsidRPr="00F43787">
              <w:rPr>
                <w:rFonts w:ascii="Arial Narrow" w:hAnsi="Arial Narrow"/>
                <w:sz w:val="20"/>
                <w:szCs w:val="20"/>
              </w:rPr>
              <w:t>$</w:t>
            </w:r>
            <w:r w:rsidR="005C4E78">
              <w:rPr>
                <w:rFonts w:ascii="Arial Narrow" w:hAnsi="Arial Narrow"/>
                <w:noProof/>
                <w:color w:val="000000"/>
                <w:sz w:val="20"/>
                <w:szCs w:val="20"/>
                <w:highlight w:val="black"/>
              </w:rPr>
              <w:t xml:space="preserve">''''''''''''' </w:t>
            </w:r>
            <w:r w:rsidRPr="00F43787">
              <w:rPr>
                <w:rFonts w:ascii="Arial Narrow" w:hAnsi="Arial Narrow"/>
                <w:sz w:val="20"/>
                <w:szCs w:val="20"/>
              </w:rPr>
              <w:t xml:space="preserve">per QALY </w:t>
            </w:r>
          </w:p>
        </w:tc>
      </w:tr>
      <w:tr w:rsidR="00BD0A80" w:rsidRPr="00F43787" w:rsidTr="00525D25">
        <w:trPr>
          <w:trHeight w:val="20"/>
        </w:trPr>
        <w:tc>
          <w:tcPr>
            <w:tcW w:w="2500" w:type="pct"/>
            <w:shd w:val="clear" w:color="auto" w:fill="auto"/>
            <w:vAlign w:val="center"/>
            <w:hideMark/>
          </w:tcPr>
          <w:p w:rsidR="00BD0A80" w:rsidRPr="00F43787" w:rsidRDefault="00BD0A80" w:rsidP="00CF5B9C">
            <w:pPr>
              <w:keepNext/>
              <w:rPr>
                <w:rFonts w:ascii="Arial Narrow" w:hAnsi="Arial Narrow"/>
                <w:bCs/>
                <w:iCs/>
                <w:sz w:val="20"/>
                <w:szCs w:val="20"/>
              </w:rPr>
            </w:pPr>
            <w:r w:rsidRPr="00F43787">
              <w:rPr>
                <w:rFonts w:ascii="Arial Narrow" w:hAnsi="Arial Narrow"/>
                <w:bCs/>
                <w:iCs/>
                <w:sz w:val="20"/>
                <w:szCs w:val="20"/>
              </w:rPr>
              <w:t>Age = 65-74 years</w:t>
            </w:r>
          </w:p>
        </w:tc>
        <w:tc>
          <w:tcPr>
            <w:tcW w:w="2500" w:type="pct"/>
            <w:shd w:val="clear" w:color="auto" w:fill="auto"/>
            <w:vAlign w:val="center"/>
            <w:hideMark/>
          </w:tcPr>
          <w:p w:rsidR="00BD0A80" w:rsidRPr="00F43787" w:rsidRDefault="00BD0A80" w:rsidP="00CF5B9C">
            <w:pPr>
              <w:keepNext/>
              <w:jc w:val="center"/>
              <w:rPr>
                <w:rFonts w:ascii="Arial Narrow" w:hAnsi="Arial Narrow"/>
                <w:bCs/>
                <w:iCs/>
                <w:sz w:val="20"/>
                <w:szCs w:val="20"/>
              </w:rPr>
            </w:pPr>
            <w:r w:rsidRPr="00F43787">
              <w:rPr>
                <w:rFonts w:ascii="Arial Narrow" w:hAnsi="Arial Narrow"/>
                <w:sz w:val="20"/>
                <w:szCs w:val="20"/>
              </w:rPr>
              <w:t>$</w:t>
            </w:r>
            <w:r w:rsidR="005C4E78">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bl>
    <w:p w:rsidR="00BD0A80" w:rsidRPr="004B4AA7" w:rsidRDefault="00BD0A80" w:rsidP="00BD0A80">
      <w:pPr>
        <w:rPr>
          <w:rFonts w:ascii="Arial Narrow" w:hAnsi="Arial Narrow"/>
          <w:iCs/>
          <w:sz w:val="18"/>
          <w:szCs w:val="18"/>
        </w:rPr>
      </w:pPr>
      <w:r w:rsidRPr="004B4AA7">
        <w:rPr>
          <w:rFonts w:ascii="Arial Narrow" w:hAnsi="Arial Narrow"/>
          <w:iCs/>
          <w:sz w:val="18"/>
          <w:szCs w:val="18"/>
        </w:rPr>
        <w:t>Source: Pre-PBAC Response (P1)</w:t>
      </w:r>
    </w:p>
    <w:p w:rsidR="000424CF" w:rsidRPr="00F43787" w:rsidRDefault="00BA3560" w:rsidP="00F37302">
      <w:pPr>
        <w:pStyle w:val="ListParagraph"/>
        <w:keepNext/>
        <w:widowControl/>
        <w:numPr>
          <w:ilvl w:val="1"/>
          <w:numId w:val="39"/>
        </w:numPr>
        <w:ind w:left="709" w:hanging="709"/>
      </w:pPr>
      <w:r>
        <w:t>The Pre-PBAC Response (p2) also provided an updated sensitivity analysis on the incremental effectiveness of aTIV versus QIV against hospitalisations and mortality for 65 year olds showing that the ICER remained below $</w:t>
      </w:r>
      <w:r w:rsidR="00E3794A">
        <w:t>45,000 - $75,000</w:t>
      </w:r>
      <w:r>
        <w:t xml:space="preserve">/QALY </w:t>
      </w:r>
      <w:r w:rsidRPr="00B663F5">
        <w:t xml:space="preserve">unless </w:t>
      </w:r>
      <w:r w:rsidRPr="00B663F5">
        <w:lastRenderedPageBreak/>
        <w:t>the incremental effectiveness applied was less than 5%.</w:t>
      </w:r>
      <w:r w:rsidR="00F43787">
        <w:t xml:space="preserve"> </w:t>
      </w:r>
      <w:r w:rsidR="00F43787" w:rsidRPr="00F43787">
        <w:t>As the incremental effectiveness increases to 11%, the ICER falls below $</w:t>
      </w:r>
      <w:r w:rsidR="00E3794A">
        <w:t>15,000 - $45,000</w:t>
      </w:r>
      <w:r w:rsidR="00F43787" w:rsidRPr="00F43787">
        <w:t>/QALY.</w:t>
      </w:r>
    </w:p>
    <w:p w:rsidR="00266A56" w:rsidRDefault="00266A56" w:rsidP="00266A56">
      <w:pPr>
        <w:pStyle w:val="TableFigureHeading"/>
      </w:pPr>
      <w:r>
        <w:t xml:space="preserve">Figure </w:t>
      </w:r>
      <w:fldSimple w:instr=" SEQ Figure \* ARABIC ">
        <w:r w:rsidR="009C284C">
          <w:rPr>
            <w:noProof/>
          </w:rPr>
          <w:t>6</w:t>
        </w:r>
      </w:fldSimple>
      <w:r w:rsidRPr="0095113F">
        <w:t>:</w:t>
      </w:r>
      <w:r w:rsidRPr="0095113F">
        <w:tab/>
        <w:t>Sensitivity of the economic model to the incremental effectiveness of aTIV versus QIV against hospitalisations and mortality for the 65 year old population – Pre-PBAC response</w:t>
      </w:r>
    </w:p>
    <w:p w:rsidR="00BA3560" w:rsidRDefault="005C4E78" w:rsidP="00266A56">
      <w:pPr>
        <w:pStyle w:val="NormalWeb"/>
        <w:rPr>
          <w:color w:val="000000"/>
        </w:rPr>
      </w:pPr>
      <w:r>
        <w:rPr>
          <w:noProof/>
          <w:color w:val="000000"/>
          <w:lang w:val="en-AU"/>
        </w:rPr>
        <w:drawing>
          <wp:inline distT="0" distB="0" distL="0" distR="0" wp14:anchorId="120A3DB7" wp14:editId="2DEE45D0">
            <wp:extent cx="4762360" cy="2858844"/>
            <wp:effectExtent l="0" t="0" r="635" b="0"/>
            <wp:docPr id="2" name="Picture 2" descr="cid:db28525b-17c0-4bca-9691-d98a1adb7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0767" descr="cid:db28525b-17c0-4bca-9691-d98a1adb7d1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784504" cy="2872137"/>
                    </a:xfrm>
                    <a:prstGeom prst="rect">
                      <a:avLst/>
                    </a:prstGeom>
                    <a:noFill/>
                    <a:ln>
                      <a:noFill/>
                    </a:ln>
                  </pic:spPr>
                </pic:pic>
              </a:graphicData>
            </a:graphic>
          </wp:inline>
        </w:drawing>
      </w:r>
    </w:p>
    <w:p w:rsidR="00266A56" w:rsidRPr="00266A56" w:rsidRDefault="00B663F5" w:rsidP="00266A56">
      <w:pPr>
        <w:pStyle w:val="TableFigureFooter"/>
        <w:rPr>
          <w:lang w:val="en-GB"/>
        </w:rPr>
      </w:pPr>
      <w:r w:rsidRPr="00F43787">
        <w:rPr>
          <w:lang w:val="en-GB"/>
        </w:rPr>
        <w:t>Source: Pre-PBAC Response, p2</w:t>
      </w:r>
    </w:p>
    <w:p w:rsidR="004E53BE" w:rsidRPr="009D61D5" w:rsidRDefault="004E53BE" w:rsidP="001627E4">
      <w:pPr>
        <w:pStyle w:val="5-SubsectionSubheading"/>
      </w:pPr>
      <w:r w:rsidRPr="009D61D5">
        <w:t>aQIV (Fluad Quad) compared to aTIV (Fluad)</w:t>
      </w:r>
    </w:p>
    <w:p w:rsidR="00BE66A0" w:rsidRPr="009D61D5" w:rsidRDefault="00012A82" w:rsidP="00F37302">
      <w:pPr>
        <w:pStyle w:val="ListParagraph"/>
        <w:keepNext/>
        <w:widowControl/>
        <w:numPr>
          <w:ilvl w:val="1"/>
          <w:numId w:val="39"/>
        </w:numPr>
        <w:spacing w:after="0"/>
        <w:ind w:left="709" w:hanging="709"/>
      </w:pPr>
      <w:r w:rsidRPr="009D61D5">
        <w:t xml:space="preserve">The submission did not present a cost-minimisation analysis of aQIV (Fluad Quad) to aTIV (Fluad). This was conducted during the evaluation. The equi-effective doses </w:t>
      </w:r>
      <w:r w:rsidR="00141EFB">
        <w:t>were</w:t>
      </w:r>
      <w:r w:rsidR="00141EFB" w:rsidRPr="009D61D5">
        <w:t xml:space="preserve"> </w:t>
      </w:r>
      <w:r w:rsidRPr="009D61D5">
        <w:t>estimated as aQIV (Fluad Quad) 0.5mL = aTIV (Fluad) 0.5mL.</w:t>
      </w:r>
    </w:p>
    <w:p w:rsidR="00012A82" w:rsidRPr="009D61D5" w:rsidRDefault="0087429C" w:rsidP="001627E4">
      <w:pPr>
        <w:pStyle w:val="4-SubsectionHeading"/>
      </w:pPr>
      <w:bookmarkStart w:id="18" w:name="_Toc9407314"/>
      <w:r w:rsidRPr="009D61D5">
        <w:t>Vaccine</w:t>
      </w:r>
      <w:r w:rsidR="00012A82" w:rsidRPr="009D61D5">
        <w:t xml:space="preserve"> cost/patient/year</w:t>
      </w:r>
      <w:bookmarkEnd w:id="18"/>
    </w:p>
    <w:p w:rsidR="00012A82" w:rsidRDefault="00012A82" w:rsidP="00F37302">
      <w:pPr>
        <w:pStyle w:val="ListParagraph"/>
        <w:keepNext/>
        <w:widowControl/>
        <w:numPr>
          <w:ilvl w:val="1"/>
          <w:numId w:val="39"/>
        </w:numPr>
        <w:ind w:left="709" w:hanging="709"/>
      </w:pPr>
      <w:r w:rsidRPr="009D61D5">
        <w:t xml:space="preserve">The estimated </w:t>
      </w:r>
      <w:r w:rsidR="0087429C" w:rsidRPr="009D61D5">
        <w:t xml:space="preserve">vaccine </w:t>
      </w:r>
      <w:r w:rsidRPr="009D61D5">
        <w:t>cost/patient/year is $</w:t>
      </w:r>
      <w:r w:rsidR="005C4E78">
        <w:rPr>
          <w:noProof/>
          <w:color w:val="000000"/>
          <w:highlight w:val="black"/>
        </w:rPr>
        <w:t>'''''''''''</w:t>
      </w:r>
      <w:r w:rsidRPr="009D61D5">
        <w:t xml:space="preserve"> (</w:t>
      </w:r>
      <w:r w:rsidR="00C92FEF" w:rsidRPr="009D61D5">
        <w:t>compared to the current cost of QIV of $</w:t>
      </w:r>
      <w:r w:rsidR="005C4E78">
        <w:rPr>
          <w:noProof/>
          <w:color w:val="000000"/>
          <w:highlight w:val="black"/>
        </w:rPr>
        <w:t>''''''''</w:t>
      </w:r>
      <w:r w:rsidRPr="009D61D5">
        <w:t>).</w:t>
      </w:r>
    </w:p>
    <w:p w:rsidR="00BE66A0" w:rsidRDefault="00BD0A80" w:rsidP="00F37302">
      <w:pPr>
        <w:pStyle w:val="ListParagraph"/>
        <w:keepNext/>
        <w:widowControl/>
        <w:numPr>
          <w:ilvl w:val="1"/>
          <w:numId w:val="39"/>
        </w:numPr>
        <w:spacing w:after="0"/>
        <w:ind w:left="709" w:hanging="709"/>
      </w:pPr>
      <w:r>
        <w:t>The Pre-PBAC Response proposed a discounted price of $</w:t>
      </w:r>
      <w:r w:rsidR="005C4E78">
        <w:rPr>
          <w:noProof/>
          <w:color w:val="000000"/>
          <w:highlight w:val="black"/>
        </w:rPr>
        <w:t>'''''</w:t>
      </w:r>
      <w:r>
        <w:t xml:space="preserve"> per dose for aTIV for 2020 only in the event that aQIV could not be supplied in 2020.</w:t>
      </w:r>
    </w:p>
    <w:p w:rsidR="00012A82" w:rsidRPr="009D61D5" w:rsidRDefault="00012A82" w:rsidP="001627E4">
      <w:pPr>
        <w:pStyle w:val="4-SubsectionHeading"/>
      </w:pPr>
      <w:bookmarkStart w:id="19" w:name="_Toc9407315"/>
      <w:r w:rsidRPr="009D61D5">
        <w:t>Estimated PBS usage &amp; financial implications</w:t>
      </w:r>
      <w:bookmarkEnd w:id="19"/>
    </w:p>
    <w:p w:rsidR="006473CC" w:rsidRPr="009D61D5" w:rsidRDefault="00012A82" w:rsidP="00F37302">
      <w:pPr>
        <w:pStyle w:val="ListParagraph"/>
        <w:keepNext/>
        <w:widowControl/>
        <w:numPr>
          <w:ilvl w:val="1"/>
          <w:numId w:val="39"/>
        </w:numPr>
        <w:ind w:left="709" w:hanging="709"/>
      </w:pPr>
      <w:r w:rsidRPr="009D61D5">
        <w:t xml:space="preserve">This submission </w:t>
      </w:r>
      <w:r w:rsidR="009D61D5">
        <w:t>was not considered</w:t>
      </w:r>
      <w:r w:rsidRPr="009D61D5">
        <w:t xml:space="preserve"> by DUSC.</w:t>
      </w:r>
    </w:p>
    <w:p w:rsidR="006473CC" w:rsidRDefault="006473CC" w:rsidP="001627E4">
      <w:pPr>
        <w:pStyle w:val="5-SubsectionSubheading"/>
      </w:pPr>
      <w:r w:rsidRPr="009D61D5">
        <w:t>aTIV (Fluad) compared to QIV</w:t>
      </w:r>
    </w:p>
    <w:p w:rsidR="006473CC" w:rsidRDefault="006473CC" w:rsidP="00F37302">
      <w:pPr>
        <w:pStyle w:val="ListParagraph"/>
        <w:keepNext/>
        <w:widowControl/>
        <w:numPr>
          <w:ilvl w:val="1"/>
          <w:numId w:val="39"/>
        </w:numPr>
        <w:ind w:left="709" w:hanging="709"/>
      </w:pPr>
      <w:r w:rsidRPr="009D61D5">
        <w:t>Not presented</w:t>
      </w:r>
      <w:r w:rsidR="00694ED5">
        <w:t xml:space="preserve"> in the submission</w:t>
      </w:r>
      <w:r w:rsidRPr="009D61D5">
        <w:t xml:space="preserve">. The submission proposed a price increase for aTIV (Fluad) but suggested that aQIV (Fluad Quad) is expected to entirely replace aTIV </w:t>
      </w:r>
      <w:r w:rsidRPr="009D61D5">
        <w:lastRenderedPageBreak/>
        <w:t>(Fluad). Consequently, the submission only estimated the financial impact of listing aQIV.</w:t>
      </w:r>
    </w:p>
    <w:p w:rsidR="006473CC" w:rsidRDefault="006473CC" w:rsidP="001627E4">
      <w:pPr>
        <w:pStyle w:val="5-SubsectionSubheading"/>
      </w:pPr>
      <w:r w:rsidRPr="009D61D5">
        <w:t>aQIV (Fluad Quad) compared to QIV</w:t>
      </w:r>
    </w:p>
    <w:p w:rsidR="00012A82" w:rsidRPr="009D61D5" w:rsidRDefault="00012A82" w:rsidP="00F37302">
      <w:pPr>
        <w:pStyle w:val="ListParagraph"/>
        <w:keepNext/>
        <w:widowControl/>
        <w:numPr>
          <w:ilvl w:val="1"/>
          <w:numId w:val="39"/>
        </w:numPr>
        <w:ind w:left="709" w:hanging="709"/>
      </w:pPr>
      <w:r w:rsidRPr="009D61D5">
        <w:t xml:space="preserve">The submission used a mixed market share and epidemiological approach based on ABS data and supply forecast provided by the Department of Health (November 2017). The submission did not provide </w:t>
      </w:r>
      <w:r w:rsidR="006473CC" w:rsidRPr="009D61D5">
        <w:t xml:space="preserve">the data </w:t>
      </w:r>
      <w:r w:rsidR="006532F3" w:rsidRPr="009D61D5">
        <w:t>from</w:t>
      </w:r>
      <w:r w:rsidR="006473CC" w:rsidRPr="009D61D5">
        <w:t xml:space="preserve"> the </w:t>
      </w:r>
      <w:r w:rsidRPr="009D61D5">
        <w:t>Department of Health.</w:t>
      </w:r>
    </w:p>
    <w:p w:rsidR="00012A82" w:rsidRPr="009D61D5" w:rsidRDefault="00012A82" w:rsidP="00F37302">
      <w:pPr>
        <w:pStyle w:val="ListParagraph"/>
        <w:keepNext/>
        <w:widowControl/>
        <w:numPr>
          <w:ilvl w:val="1"/>
          <w:numId w:val="39"/>
        </w:numPr>
        <w:ind w:left="709" w:hanging="709"/>
      </w:pPr>
      <w:r w:rsidRPr="009D61D5">
        <w:t xml:space="preserve">A 100% </w:t>
      </w:r>
      <w:r w:rsidR="00BE6AB5">
        <w:t>market share was</w:t>
      </w:r>
      <w:r w:rsidRPr="009D61D5">
        <w:t xml:space="preserve"> assumed</w:t>
      </w:r>
      <w:r w:rsidR="00BE6AB5">
        <w:t xml:space="preserve"> for aQIV</w:t>
      </w:r>
      <w:r w:rsidRPr="009D61D5">
        <w:t>. This assumption may overestimate the uptake due to uncertainties around the current clinical evidence. It is unlikely that a complete product substitution will occur</w:t>
      </w:r>
      <w:r w:rsidR="00E74A47" w:rsidRPr="009D61D5">
        <w:t xml:space="preserve"> with QIV </w:t>
      </w:r>
      <w:r w:rsidR="00C92FEF" w:rsidRPr="009D61D5">
        <w:t xml:space="preserve">and </w:t>
      </w:r>
      <w:r w:rsidR="006532F3" w:rsidRPr="009D61D5">
        <w:t>aQIV</w:t>
      </w:r>
      <w:r w:rsidR="00C92FEF" w:rsidRPr="009D61D5">
        <w:t xml:space="preserve"> </w:t>
      </w:r>
      <w:r w:rsidR="00E74A47" w:rsidRPr="009D61D5">
        <w:t>because</w:t>
      </w:r>
      <w:r w:rsidR="00C92FEF" w:rsidRPr="009D61D5">
        <w:t xml:space="preserve"> of the limited clinical evidence</w:t>
      </w:r>
      <w:r w:rsidRPr="009D61D5">
        <w:t>.</w:t>
      </w:r>
    </w:p>
    <w:p w:rsidR="00012A82" w:rsidRPr="009D61D5" w:rsidRDefault="00012A82" w:rsidP="00F37302">
      <w:pPr>
        <w:pStyle w:val="ListParagraph"/>
        <w:keepNext/>
        <w:widowControl/>
        <w:numPr>
          <w:ilvl w:val="1"/>
          <w:numId w:val="39"/>
        </w:numPr>
        <w:ind w:left="709" w:hanging="709"/>
      </w:pPr>
      <w:r w:rsidRPr="009D61D5">
        <w:t xml:space="preserve">Table </w:t>
      </w:r>
      <w:r w:rsidR="007C0C7D" w:rsidRPr="009D61D5">
        <w:t>1</w:t>
      </w:r>
      <w:r w:rsidR="00266A56">
        <w:t>8</w:t>
      </w:r>
      <w:r w:rsidR="007C0C7D" w:rsidRPr="009D61D5">
        <w:t xml:space="preserve"> </w:t>
      </w:r>
      <w:r w:rsidRPr="009D61D5">
        <w:t xml:space="preserve">reports estimated use and financial implications for listing aQIV on the NIP. </w:t>
      </w:r>
    </w:p>
    <w:p w:rsidR="00266A56" w:rsidRDefault="00266A56" w:rsidP="00266A56">
      <w:pPr>
        <w:pStyle w:val="TableFigureHeading"/>
      </w:pPr>
      <w:r>
        <w:t xml:space="preserve">Table </w:t>
      </w:r>
      <w:fldSimple w:instr=" SEQ Table \* ARABIC ">
        <w:r w:rsidR="009C284C">
          <w:rPr>
            <w:noProof/>
          </w:rPr>
          <w:t>18</w:t>
        </w:r>
      </w:fldSimple>
      <w:r w:rsidRPr="00F05DB5">
        <w:t>: Estimated financial implications for the NIP</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financial implications for the NIP"/>
      </w:tblPr>
      <w:tblGrid>
        <w:gridCol w:w="2000"/>
        <w:gridCol w:w="1156"/>
        <w:gridCol w:w="1157"/>
        <w:gridCol w:w="1157"/>
        <w:gridCol w:w="1157"/>
        <w:gridCol w:w="1157"/>
        <w:gridCol w:w="1155"/>
      </w:tblGrid>
      <w:tr w:rsidR="00012A82" w:rsidRPr="009D61D5" w:rsidTr="001C5376">
        <w:trPr>
          <w:tblHeader/>
        </w:trPr>
        <w:tc>
          <w:tcPr>
            <w:tcW w:w="1119" w:type="pct"/>
            <w:shd w:val="clear" w:color="auto" w:fill="auto"/>
            <w:vAlign w:val="center"/>
          </w:tcPr>
          <w:p w:rsidR="00012A82" w:rsidRPr="009D61D5" w:rsidRDefault="00012A82" w:rsidP="00A00426">
            <w:pPr>
              <w:pStyle w:val="Tabletext"/>
            </w:pPr>
          </w:p>
        </w:tc>
        <w:tc>
          <w:tcPr>
            <w:tcW w:w="647" w:type="pct"/>
            <w:shd w:val="clear" w:color="auto" w:fill="auto"/>
            <w:vAlign w:val="center"/>
          </w:tcPr>
          <w:p w:rsidR="00012A82" w:rsidRPr="009D61D5" w:rsidRDefault="00012A82" w:rsidP="00A00426">
            <w:pPr>
              <w:pStyle w:val="Tabletext"/>
              <w:jc w:val="center"/>
              <w:rPr>
                <w:b/>
              </w:rPr>
            </w:pPr>
            <w:r w:rsidRPr="009D61D5">
              <w:rPr>
                <w:b/>
              </w:rPr>
              <w:t>2020</w:t>
            </w:r>
          </w:p>
        </w:tc>
        <w:tc>
          <w:tcPr>
            <w:tcW w:w="647" w:type="pct"/>
            <w:shd w:val="clear" w:color="auto" w:fill="auto"/>
            <w:vAlign w:val="center"/>
          </w:tcPr>
          <w:p w:rsidR="00012A82" w:rsidRPr="009D61D5" w:rsidRDefault="00012A82" w:rsidP="00A00426">
            <w:pPr>
              <w:pStyle w:val="Tabletext"/>
              <w:jc w:val="center"/>
              <w:rPr>
                <w:b/>
              </w:rPr>
            </w:pPr>
            <w:r w:rsidRPr="009D61D5">
              <w:rPr>
                <w:b/>
              </w:rPr>
              <w:t>2021</w:t>
            </w:r>
          </w:p>
        </w:tc>
        <w:tc>
          <w:tcPr>
            <w:tcW w:w="647" w:type="pct"/>
            <w:shd w:val="clear" w:color="auto" w:fill="auto"/>
            <w:vAlign w:val="center"/>
          </w:tcPr>
          <w:p w:rsidR="00012A82" w:rsidRPr="009D61D5" w:rsidRDefault="00012A82" w:rsidP="00A00426">
            <w:pPr>
              <w:pStyle w:val="Tabletext"/>
              <w:jc w:val="center"/>
              <w:rPr>
                <w:b/>
              </w:rPr>
            </w:pPr>
            <w:r w:rsidRPr="009D61D5">
              <w:rPr>
                <w:b/>
              </w:rPr>
              <w:t>2022</w:t>
            </w:r>
          </w:p>
        </w:tc>
        <w:tc>
          <w:tcPr>
            <w:tcW w:w="647" w:type="pct"/>
            <w:shd w:val="clear" w:color="auto" w:fill="auto"/>
            <w:vAlign w:val="center"/>
          </w:tcPr>
          <w:p w:rsidR="00012A82" w:rsidRPr="009D61D5" w:rsidRDefault="00012A82" w:rsidP="00A00426">
            <w:pPr>
              <w:pStyle w:val="Tabletext"/>
              <w:jc w:val="center"/>
              <w:rPr>
                <w:b/>
              </w:rPr>
            </w:pPr>
            <w:r w:rsidRPr="009D61D5">
              <w:rPr>
                <w:b/>
              </w:rPr>
              <w:t>2023</w:t>
            </w:r>
          </w:p>
        </w:tc>
        <w:tc>
          <w:tcPr>
            <w:tcW w:w="647" w:type="pct"/>
            <w:shd w:val="clear" w:color="auto" w:fill="auto"/>
            <w:vAlign w:val="center"/>
          </w:tcPr>
          <w:p w:rsidR="00012A82" w:rsidRPr="009D61D5" w:rsidRDefault="00012A82" w:rsidP="00A00426">
            <w:pPr>
              <w:pStyle w:val="Tabletext"/>
              <w:jc w:val="center"/>
              <w:rPr>
                <w:b/>
              </w:rPr>
            </w:pPr>
            <w:r w:rsidRPr="009D61D5">
              <w:rPr>
                <w:b/>
              </w:rPr>
              <w:t>2024</w:t>
            </w:r>
          </w:p>
        </w:tc>
        <w:tc>
          <w:tcPr>
            <w:tcW w:w="646" w:type="pct"/>
            <w:vAlign w:val="center"/>
          </w:tcPr>
          <w:p w:rsidR="00012A82" w:rsidRPr="009D61D5" w:rsidRDefault="00012A82" w:rsidP="00A00426">
            <w:pPr>
              <w:pStyle w:val="Tabletext"/>
              <w:jc w:val="center"/>
              <w:rPr>
                <w:b/>
              </w:rPr>
            </w:pPr>
            <w:r w:rsidRPr="009D61D5">
              <w:rPr>
                <w:b/>
              </w:rPr>
              <w:t>2025</w:t>
            </w:r>
          </w:p>
        </w:tc>
      </w:tr>
      <w:tr w:rsidR="00012A82" w:rsidRPr="009D61D5" w:rsidTr="001C5376">
        <w:tc>
          <w:tcPr>
            <w:tcW w:w="5000" w:type="pct"/>
            <w:gridSpan w:val="7"/>
            <w:shd w:val="clear" w:color="auto" w:fill="auto"/>
            <w:vAlign w:val="center"/>
          </w:tcPr>
          <w:p w:rsidR="00012A82" w:rsidRPr="009D61D5" w:rsidRDefault="00012A82" w:rsidP="00A00426">
            <w:pPr>
              <w:pStyle w:val="Tabletext"/>
              <w:rPr>
                <w:b/>
                <w:bCs/>
                <w:color w:val="000000"/>
              </w:rPr>
            </w:pPr>
            <w:r w:rsidRPr="009D61D5">
              <w:rPr>
                <w:b/>
                <w:bCs/>
                <w:color w:val="000000"/>
              </w:rPr>
              <w:t>Estimated extent of use</w:t>
            </w:r>
          </w:p>
        </w:tc>
      </w:tr>
      <w:tr w:rsidR="00012A82" w:rsidRPr="009D61D5" w:rsidTr="001C5376">
        <w:tc>
          <w:tcPr>
            <w:tcW w:w="1119" w:type="pct"/>
            <w:shd w:val="clear" w:color="auto" w:fill="auto"/>
            <w:vAlign w:val="center"/>
          </w:tcPr>
          <w:p w:rsidR="00012A82" w:rsidRPr="009D61D5" w:rsidRDefault="00012A82" w:rsidP="00A00426">
            <w:pPr>
              <w:pStyle w:val="Tabletext"/>
            </w:pPr>
            <w:r w:rsidRPr="009D61D5">
              <w:t>Number of aQIV (Fluad Quad) vaccinations</w:t>
            </w:r>
          </w:p>
        </w:tc>
        <w:tc>
          <w:tcPr>
            <w:tcW w:w="647" w:type="pct"/>
            <w:shd w:val="clear" w:color="auto" w:fill="auto"/>
            <w:vAlign w:val="center"/>
          </w:tcPr>
          <w:p w:rsidR="00012A82" w:rsidRPr="005C4E78" w:rsidRDefault="005C4E78" w:rsidP="00A00426">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12A82" w:rsidRPr="005C4E78" w:rsidRDefault="005C4E78" w:rsidP="00A00426">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12A82" w:rsidRPr="005C4E78" w:rsidRDefault="005C4E78" w:rsidP="00A00426">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12A82" w:rsidRPr="005C4E78" w:rsidRDefault="005C4E78" w:rsidP="00A00426">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12A82" w:rsidRPr="005C4E78" w:rsidRDefault="005C4E78" w:rsidP="00A00426">
            <w:pPr>
              <w:pStyle w:val="Tabletext"/>
              <w:jc w:val="center"/>
              <w:rPr>
                <w:bCs/>
                <w:color w:val="000000"/>
                <w:highlight w:val="black"/>
              </w:rPr>
            </w:pPr>
            <w:r>
              <w:rPr>
                <w:noProof/>
                <w:color w:val="000000"/>
                <w:highlight w:val="black"/>
              </w:rPr>
              <w:t>'''''''''''''''''''''</w:t>
            </w:r>
          </w:p>
        </w:tc>
        <w:tc>
          <w:tcPr>
            <w:tcW w:w="646" w:type="pct"/>
            <w:vAlign w:val="center"/>
          </w:tcPr>
          <w:p w:rsidR="00012A82" w:rsidRPr="005C4E78" w:rsidRDefault="005C4E78" w:rsidP="00A00426">
            <w:pPr>
              <w:pStyle w:val="Tabletext"/>
              <w:jc w:val="center"/>
              <w:rPr>
                <w:bCs/>
                <w:color w:val="000000"/>
                <w:highlight w:val="black"/>
              </w:rPr>
            </w:pPr>
            <w:r>
              <w:rPr>
                <w:noProof/>
                <w:color w:val="000000"/>
                <w:highlight w:val="black"/>
              </w:rPr>
              <w:t>''''''''''''''''''''''''''</w:t>
            </w:r>
          </w:p>
        </w:tc>
      </w:tr>
      <w:tr w:rsidR="00012A82" w:rsidRPr="009D61D5" w:rsidTr="001C5376">
        <w:tc>
          <w:tcPr>
            <w:tcW w:w="5000" w:type="pct"/>
            <w:gridSpan w:val="7"/>
            <w:shd w:val="clear" w:color="auto" w:fill="auto"/>
            <w:vAlign w:val="center"/>
          </w:tcPr>
          <w:p w:rsidR="00012A82" w:rsidRPr="009D61D5" w:rsidRDefault="00012A82" w:rsidP="00A00426">
            <w:pPr>
              <w:pStyle w:val="Tabletext"/>
              <w:rPr>
                <w:b/>
                <w:bCs/>
                <w:color w:val="000000"/>
              </w:rPr>
            </w:pPr>
            <w:r w:rsidRPr="009D61D5">
              <w:rPr>
                <w:b/>
                <w:bCs/>
                <w:color w:val="000000"/>
              </w:rPr>
              <w:t>Estimated financial implications of aQIV</w:t>
            </w:r>
          </w:p>
        </w:tc>
      </w:tr>
      <w:tr w:rsidR="00012A82" w:rsidRPr="009D61D5" w:rsidTr="001C5376">
        <w:tc>
          <w:tcPr>
            <w:tcW w:w="1119" w:type="pct"/>
            <w:shd w:val="clear" w:color="auto" w:fill="auto"/>
            <w:vAlign w:val="center"/>
          </w:tcPr>
          <w:p w:rsidR="00012A82" w:rsidRPr="009D61D5" w:rsidRDefault="00012A82" w:rsidP="00A00426">
            <w:pPr>
              <w:pStyle w:val="Tabletext"/>
              <w:rPr>
                <w:rFonts w:ascii="Times" w:hAnsi="Times"/>
              </w:rPr>
            </w:pPr>
            <w:r w:rsidRPr="009D61D5">
              <w:rPr>
                <w:sz w:val="19"/>
                <w:szCs w:val="19"/>
              </w:rPr>
              <w:t>Cost to the NIP</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6" w:type="pct"/>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r>
      <w:tr w:rsidR="00012A82" w:rsidRPr="009D61D5" w:rsidTr="001C5376">
        <w:tc>
          <w:tcPr>
            <w:tcW w:w="5000" w:type="pct"/>
            <w:gridSpan w:val="7"/>
            <w:shd w:val="clear" w:color="auto" w:fill="auto"/>
            <w:vAlign w:val="center"/>
          </w:tcPr>
          <w:p w:rsidR="00012A82" w:rsidRPr="009D61D5" w:rsidRDefault="00012A82" w:rsidP="00A00426">
            <w:pPr>
              <w:pStyle w:val="Tabletext"/>
              <w:rPr>
                <w:bCs/>
                <w:color w:val="000000"/>
              </w:rPr>
            </w:pPr>
            <w:r w:rsidRPr="009D61D5">
              <w:rPr>
                <w:b/>
                <w:bCs/>
                <w:color w:val="000000"/>
              </w:rPr>
              <w:t>Estimated financial implications for alternative vaccinations substituted</w:t>
            </w:r>
          </w:p>
        </w:tc>
      </w:tr>
      <w:tr w:rsidR="00012A82" w:rsidRPr="009D61D5" w:rsidTr="001C5376">
        <w:tc>
          <w:tcPr>
            <w:tcW w:w="1119" w:type="pct"/>
            <w:shd w:val="clear" w:color="auto" w:fill="auto"/>
            <w:vAlign w:val="center"/>
          </w:tcPr>
          <w:p w:rsidR="00012A82" w:rsidRPr="009D61D5" w:rsidRDefault="00012A82" w:rsidP="00A00426">
            <w:pPr>
              <w:pStyle w:val="Tabletext"/>
              <w:rPr>
                <w:sz w:val="19"/>
                <w:szCs w:val="19"/>
              </w:rPr>
            </w:pPr>
            <w:r w:rsidRPr="009D61D5">
              <w:rPr>
                <w:sz w:val="19"/>
                <w:szCs w:val="19"/>
              </w:rPr>
              <w:t>Cost to the NIP</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6" w:type="pct"/>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r>
      <w:tr w:rsidR="00012A82" w:rsidRPr="009D61D5" w:rsidTr="001C5376">
        <w:tc>
          <w:tcPr>
            <w:tcW w:w="5000" w:type="pct"/>
            <w:gridSpan w:val="7"/>
            <w:shd w:val="clear" w:color="auto" w:fill="auto"/>
            <w:vAlign w:val="center"/>
          </w:tcPr>
          <w:p w:rsidR="00012A82" w:rsidRPr="009D61D5" w:rsidRDefault="00012A82" w:rsidP="00A00426">
            <w:pPr>
              <w:pStyle w:val="Tabletext"/>
              <w:rPr>
                <w:b/>
                <w:bCs/>
                <w:color w:val="000000"/>
              </w:rPr>
            </w:pPr>
            <w:r w:rsidRPr="009D61D5">
              <w:rPr>
                <w:b/>
                <w:bCs/>
                <w:color w:val="000000"/>
              </w:rPr>
              <w:t>Net financial implications for listing aQIV on the NIP</w:t>
            </w:r>
          </w:p>
        </w:tc>
      </w:tr>
      <w:tr w:rsidR="00012A82" w:rsidRPr="009D61D5" w:rsidTr="001C5376">
        <w:tc>
          <w:tcPr>
            <w:tcW w:w="1119" w:type="pct"/>
            <w:shd w:val="clear" w:color="auto" w:fill="auto"/>
            <w:vAlign w:val="center"/>
          </w:tcPr>
          <w:p w:rsidR="00012A82" w:rsidRPr="009D61D5" w:rsidRDefault="00012A82" w:rsidP="00A00426">
            <w:pPr>
              <w:pStyle w:val="Tabletext"/>
              <w:rPr>
                <w:sz w:val="19"/>
                <w:szCs w:val="19"/>
              </w:rPr>
            </w:pPr>
            <w:r w:rsidRPr="009D61D5">
              <w:rPr>
                <w:sz w:val="19"/>
                <w:szCs w:val="19"/>
              </w:rPr>
              <w:t>Net cost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7" w:type="pct"/>
            <w:shd w:val="clear" w:color="auto" w:fill="auto"/>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c>
          <w:tcPr>
            <w:tcW w:w="646" w:type="pct"/>
            <w:vAlign w:val="center"/>
          </w:tcPr>
          <w:p w:rsidR="00012A82" w:rsidRPr="009D61D5" w:rsidRDefault="00012A82" w:rsidP="00A00426">
            <w:pPr>
              <w:pStyle w:val="Tabletext"/>
              <w:jc w:val="center"/>
              <w:rPr>
                <w:bCs/>
                <w:color w:val="000000"/>
              </w:rPr>
            </w:pPr>
            <w:r w:rsidRPr="009D61D5">
              <w:t>$</w:t>
            </w:r>
            <w:r w:rsidR="005C4E78">
              <w:rPr>
                <w:noProof/>
                <w:color w:val="000000"/>
                <w:highlight w:val="black"/>
              </w:rPr>
              <w:t>'''''''''''''''''''''''''''''</w:t>
            </w:r>
          </w:p>
        </w:tc>
      </w:tr>
    </w:tbl>
    <w:p w:rsidR="00012A82" w:rsidRPr="009D61D5" w:rsidRDefault="00012A82" w:rsidP="00A00426">
      <w:pPr>
        <w:pStyle w:val="TableFooter"/>
        <w:rPr>
          <w:rStyle w:val="CommentReference"/>
        </w:rPr>
      </w:pPr>
      <w:r w:rsidRPr="009D61D5">
        <w:t>Source: Table 4.6-4.8, p124-125 of the submission.</w:t>
      </w:r>
    </w:p>
    <w:p w:rsidR="00012A82" w:rsidRPr="009D61D5" w:rsidRDefault="00012A82" w:rsidP="00A00426"/>
    <w:p w:rsidR="00012A82" w:rsidRPr="009D61D5" w:rsidRDefault="00012A82" w:rsidP="00F37302">
      <w:pPr>
        <w:pStyle w:val="ListParagraph"/>
        <w:keepNext/>
        <w:widowControl/>
        <w:numPr>
          <w:ilvl w:val="1"/>
          <w:numId w:val="39"/>
        </w:numPr>
        <w:ind w:left="709" w:hanging="709"/>
      </w:pPr>
      <w:r w:rsidRPr="009D61D5">
        <w:t>The submission estimated the net cost to the Government for listing aQIV</w:t>
      </w:r>
      <w:r w:rsidR="00FA6709" w:rsidRPr="009D61D5">
        <w:t xml:space="preserve"> (Fluad Quad)</w:t>
      </w:r>
      <w:r w:rsidRPr="009D61D5">
        <w:t xml:space="preserve"> on the NIP to be </w:t>
      </w:r>
      <w:r w:rsidR="00FB7625">
        <w:t>over $100</w:t>
      </w:r>
      <w:r w:rsidRPr="009D61D5">
        <w:t xml:space="preserve"> million over six years.</w:t>
      </w:r>
    </w:p>
    <w:p w:rsidR="006473CC" w:rsidRPr="00BD0A80" w:rsidRDefault="006473CC" w:rsidP="00F37302">
      <w:pPr>
        <w:pStyle w:val="ListParagraph"/>
        <w:keepNext/>
        <w:widowControl/>
        <w:numPr>
          <w:ilvl w:val="1"/>
          <w:numId w:val="39"/>
        </w:numPr>
        <w:ind w:left="709" w:hanging="709"/>
      </w:pPr>
      <w:r w:rsidRPr="009D61D5">
        <w:t xml:space="preserve">The net cost of adding aQIV (Fluad Quad) to the NIP was driven by the increased cost of the vaccine compared to other TIV and QIVs. This cost estimate may be </w:t>
      </w:r>
      <w:r w:rsidR="004D7EA0" w:rsidRPr="009D61D5">
        <w:t>overestimated,</w:t>
      </w:r>
      <w:r w:rsidRPr="009D61D5">
        <w:t xml:space="preserve"> as it is unlikely that the market share of aQIV (Fluad Quad) will be 100%.</w:t>
      </w:r>
      <w:r w:rsidRPr="00F43787">
        <w:t xml:space="preserve"> </w:t>
      </w:r>
    </w:p>
    <w:p w:rsidR="00012A82" w:rsidRPr="001627E4" w:rsidRDefault="001C4E56" w:rsidP="00A00426">
      <w:pPr>
        <w:rPr>
          <w:i/>
        </w:rPr>
      </w:pPr>
      <w:r w:rsidRPr="001627E4">
        <w:rPr>
          <w:i/>
        </w:rPr>
        <w:t>For more detail on PBAC’s view, see section 7 PBAC outcome.</w:t>
      </w:r>
    </w:p>
    <w:p w:rsidR="001C4E56" w:rsidRDefault="00633086" w:rsidP="001627E4">
      <w:pPr>
        <w:pStyle w:val="2-SectionHeading"/>
        <w:rPr>
          <w:rFonts w:eastAsiaTheme="majorEastAsia"/>
        </w:rPr>
      </w:pPr>
      <w:r>
        <w:rPr>
          <w:rFonts w:eastAsiaTheme="majorEastAsia"/>
        </w:rPr>
        <w:t>PBA</w:t>
      </w:r>
      <w:r w:rsidR="001C4E56" w:rsidRPr="00667282">
        <w:rPr>
          <w:rFonts w:eastAsiaTheme="majorEastAsia"/>
        </w:rPr>
        <w:t>C Outcome</w:t>
      </w:r>
    </w:p>
    <w:p w:rsidR="00111ADD" w:rsidRPr="00111ADD" w:rsidRDefault="00111ADD" w:rsidP="001627E4">
      <w:pPr>
        <w:pStyle w:val="5-SubsectionSubheading"/>
      </w:pPr>
      <w:r w:rsidRPr="00111ADD">
        <w:t>aTIV (Fluad) compared to QIV</w:t>
      </w:r>
    </w:p>
    <w:p w:rsidR="001307B2" w:rsidRPr="00A00A0B" w:rsidRDefault="00111ADD" w:rsidP="00F37302">
      <w:pPr>
        <w:pStyle w:val="ListParagraph"/>
        <w:keepNext/>
        <w:widowControl/>
        <w:numPr>
          <w:ilvl w:val="1"/>
          <w:numId w:val="39"/>
        </w:numPr>
        <w:ind w:left="709" w:hanging="709"/>
      </w:pPr>
      <w:r w:rsidRPr="00A00A0B">
        <w:rPr>
          <w:bCs/>
          <w:lang w:val="en-GB"/>
        </w:rPr>
        <w:t>The</w:t>
      </w:r>
      <w:r w:rsidRPr="00A00A0B">
        <w:rPr>
          <w:lang w:val="en-GB"/>
        </w:rPr>
        <w:t xml:space="preserve"> PBAC </w:t>
      </w:r>
      <w:r w:rsidRPr="00A00A0B">
        <w:t xml:space="preserve">did not recommend the requested </w:t>
      </w:r>
      <w:r w:rsidR="002E72FE" w:rsidRPr="00A00A0B">
        <w:t xml:space="preserve">price </w:t>
      </w:r>
      <w:r w:rsidRPr="00A00A0B">
        <w:t xml:space="preserve">increase for adjuvanted trivalent </w:t>
      </w:r>
      <w:r w:rsidRPr="00DA725C">
        <w:t>influenza</w:t>
      </w:r>
      <w:r w:rsidRPr="00A00A0B">
        <w:t xml:space="preserve"> vaccine (aTIV, Fluad) on the </w:t>
      </w:r>
      <w:r w:rsidRPr="00A00A0B">
        <w:rPr>
          <w:i/>
          <w:iCs/>
        </w:rPr>
        <w:t>National Health (Immunisation Program – Designated Vaccines) Determination 2014 (No.1)</w:t>
      </w:r>
      <w:r w:rsidRPr="00A00A0B">
        <w:t xml:space="preserve"> (the Determination), for vaccination against influenza in adults aged 65 years and above on the basis that the extent of benefit of the adjuvanted trivalent formulation over the </w:t>
      </w:r>
      <w:r w:rsidR="00A00A0B" w:rsidRPr="00A00A0B">
        <w:t>non-adjuvanted</w:t>
      </w:r>
      <w:r w:rsidR="00A00A0B">
        <w:t xml:space="preserve"> </w:t>
      </w:r>
      <w:r w:rsidRPr="00A00A0B">
        <w:t xml:space="preserve">quadrivalent </w:t>
      </w:r>
      <w:r w:rsidRPr="00A00A0B">
        <w:lastRenderedPageBreak/>
        <w:t xml:space="preserve">vaccine was uncertain given </w:t>
      </w:r>
      <w:r w:rsidR="001307B2" w:rsidRPr="00A00A0B">
        <w:t>the impact of the loss of the additional B strain differed across influenza seasons.</w:t>
      </w:r>
    </w:p>
    <w:p w:rsidR="00111ADD" w:rsidRPr="00D05A95" w:rsidRDefault="00111ADD" w:rsidP="00F37302">
      <w:pPr>
        <w:pStyle w:val="ListParagraph"/>
        <w:keepNext/>
        <w:widowControl/>
        <w:numPr>
          <w:ilvl w:val="1"/>
          <w:numId w:val="39"/>
        </w:numPr>
        <w:ind w:left="709" w:hanging="709"/>
        <w:rPr>
          <w:rFonts w:cs="Calibri"/>
          <w:snapToGrid/>
          <w:lang w:val="en-GB"/>
        </w:rPr>
      </w:pPr>
      <w:r w:rsidRPr="00DA725C">
        <w:t>The</w:t>
      </w:r>
      <w:r w:rsidRPr="00D05A95">
        <w:t xml:space="preserve"> PBAC considered that this uncertainty made it difficult to assess the cost-effectiveness of aTIV, and that although a small price premium for aTIV over QIV may be </w:t>
      </w:r>
      <w:r w:rsidR="00AA73EE">
        <w:t>reasonable</w:t>
      </w:r>
      <w:r w:rsidRPr="00D05A95">
        <w:t xml:space="preserve">, the proposed price premium was not justified. </w:t>
      </w:r>
    </w:p>
    <w:p w:rsidR="00111ADD" w:rsidRPr="00D05A95" w:rsidRDefault="00111ADD" w:rsidP="00F37302">
      <w:pPr>
        <w:pStyle w:val="ListParagraph"/>
        <w:keepNext/>
        <w:widowControl/>
        <w:numPr>
          <w:ilvl w:val="1"/>
          <w:numId w:val="39"/>
        </w:numPr>
        <w:ind w:left="709" w:hanging="709"/>
        <w:rPr>
          <w:bCs/>
          <w:lang w:val="en-GB"/>
        </w:rPr>
      </w:pPr>
      <w:r w:rsidRPr="00DA725C">
        <w:t>The</w:t>
      </w:r>
      <w:r w:rsidRPr="00D05A95">
        <w:rPr>
          <w:bCs/>
          <w:lang w:val="en-GB"/>
        </w:rPr>
        <w:t xml:space="preserve"> PBAC </w:t>
      </w:r>
      <w:r w:rsidR="00997670">
        <w:rPr>
          <w:bCs/>
          <w:lang w:val="en-GB"/>
        </w:rPr>
        <w:t xml:space="preserve">considered </w:t>
      </w:r>
      <w:r w:rsidR="00AA73EE">
        <w:rPr>
          <w:bCs/>
          <w:lang w:val="en-GB"/>
        </w:rPr>
        <w:t>the</w:t>
      </w:r>
      <w:r w:rsidR="00997670">
        <w:rPr>
          <w:bCs/>
          <w:lang w:val="en-GB"/>
        </w:rPr>
        <w:t xml:space="preserve"> clinical need</w:t>
      </w:r>
      <w:r w:rsidRPr="00D05A95">
        <w:rPr>
          <w:bCs/>
          <w:lang w:val="en-GB"/>
        </w:rPr>
        <w:t xml:space="preserve"> for aTIV</w:t>
      </w:r>
      <w:r w:rsidR="00AA73EE">
        <w:rPr>
          <w:bCs/>
          <w:lang w:val="en-GB"/>
        </w:rPr>
        <w:t xml:space="preserve"> was moderate</w:t>
      </w:r>
      <w:r w:rsidRPr="00D05A95">
        <w:rPr>
          <w:bCs/>
          <w:lang w:val="en-GB"/>
        </w:rPr>
        <w:t xml:space="preserve">, </w:t>
      </w:r>
      <w:r w:rsidR="00AA73EE">
        <w:rPr>
          <w:bCs/>
          <w:lang w:val="en-GB"/>
        </w:rPr>
        <w:t>this was based on</w:t>
      </w:r>
      <w:r w:rsidR="00AA73EE" w:rsidRPr="00D05A95">
        <w:rPr>
          <w:bCs/>
          <w:lang w:val="en-GB"/>
        </w:rPr>
        <w:t xml:space="preserve"> </w:t>
      </w:r>
      <w:r w:rsidRPr="00D05A95">
        <w:rPr>
          <w:bCs/>
          <w:lang w:val="en-GB"/>
        </w:rPr>
        <w:t xml:space="preserve">the </w:t>
      </w:r>
      <w:r w:rsidR="00AA73EE">
        <w:rPr>
          <w:bCs/>
          <w:lang w:val="en-GB"/>
        </w:rPr>
        <w:t xml:space="preserve">reduced </w:t>
      </w:r>
      <w:r w:rsidRPr="00D05A95">
        <w:rPr>
          <w:bCs/>
          <w:lang w:val="en-GB"/>
        </w:rPr>
        <w:t xml:space="preserve">vaccine effectiveness typically observed in </w:t>
      </w:r>
      <w:r w:rsidR="00AA73EE">
        <w:rPr>
          <w:bCs/>
          <w:lang w:val="en-GB"/>
        </w:rPr>
        <w:t xml:space="preserve">older </w:t>
      </w:r>
      <w:r w:rsidRPr="00D05A95">
        <w:rPr>
          <w:bCs/>
          <w:lang w:val="en-GB"/>
        </w:rPr>
        <w:t>adults with</w:t>
      </w:r>
      <w:r w:rsidR="00412DC9">
        <w:rPr>
          <w:bCs/>
          <w:lang w:val="en-GB"/>
        </w:rPr>
        <w:t xml:space="preserve"> the use of</w:t>
      </w:r>
      <w:r w:rsidRPr="00D05A95">
        <w:rPr>
          <w:bCs/>
          <w:lang w:val="en-GB"/>
        </w:rPr>
        <w:t xml:space="preserve"> </w:t>
      </w:r>
      <w:r w:rsidR="00241BB3">
        <w:rPr>
          <w:bCs/>
          <w:lang w:val="en-GB"/>
        </w:rPr>
        <w:t>non-adjuvanted</w:t>
      </w:r>
      <w:r w:rsidRPr="00D05A95">
        <w:rPr>
          <w:bCs/>
          <w:lang w:val="en-GB"/>
        </w:rPr>
        <w:t xml:space="preserve"> vaccines.</w:t>
      </w:r>
      <w:r w:rsidR="008D396C">
        <w:rPr>
          <w:bCs/>
          <w:lang w:val="en-GB"/>
        </w:rPr>
        <w:t xml:space="preserve"> </w:t>
      </w:r>
    </w:p>
    <w:p w:rsidR="004E75E8" w:rsidRPr="004E75E8" w:rsidRDefault="00111ADD" w:rsidP="00F37302">
      <w:pPr>
        <w:pStyle w:val="ListParagraph"/>
        <w:keepNext/>
        <w:widowControl/>
        <w:numPr>
          <w:ilvl w:val="1"/>
          <w:numId w:val="39"/>
        </w:numPr>
        <w:ind w:left="709" w:hanging="709"/>
        <w:rPr>
          <w:bCs/>
          <w:lang w:val="en-GB"/>
        </w:rPr>
      </w:pPr>
      <w:r w:rsidRPr="00D05A95">
        <w:rPr>
          <w:bCs/>
          <w:lang w:val="en-GB"/>
        </w:rPr>
        <w:t xml:space="preserve">The PBAC </w:t>
      </w:r>
      <w:r w:rsidR="004E75E8">
        <w:rPr>
          <w:bCs/>
          <w:lang w:val="en-GB"/>
        </w:rPr>
        <w:t>reaffirmed</w:t>
      </w:r>
      <w:r w:rsidR="004E75E8" w:rsidRPr="00D05A95">
        <w:rPr>
          <w:bCs/>
          <w:lang w:val="en-GB"/>
        </w:rPr>
        <w:t xml:space="preserve"> </w:t>
      </w:r>
      <w:r w:rsidR="004E75E8">
        <w:rPr>
          <w:bCs/>
          <w:lang w:val="en-GB"/>
        </w:rPr>
        <w:t>its March 2018 decision</w:t>
      </w:r>
      <w:r w:rsidR="007F7005" w:rsidRPr="00004E57">
        <w:rPr>
          <w:rStyle w:val="FootnoteReference"/>
          <w:bCs/>
          <w:lang w:val="en-GB"/>
        </w:rPr>
        <w:footnoteReference w:id="4"/>
      </w:r>
      <w:r w:rsidR="004E75E8" w:rsidRPr="00004E57">
        <w:rPr>
          <w:bCs/>
          <w:lang w:val="en-GB"/>
        </w:rPr>
        <w:t xml:space="preserve"> that</w:t>
      </w:r>
      <w:r w:rsidR="004E75E8">
        <w:rPr>
          <w:bCs/>
          <w:lang w:val="en-GB"/>
        </w:rPr>
        <w:t xml:space="preserve"> </w:t>
      </w:r>
      <w:r w:rsidRPr="00D05A95">
        <w:rPr>
          <w:bCs/>
          <w:lang w:val="en-GB"/>
        </w:rPr>
        <w:t xml:space="preserve">the </w:t>
      </w:r>
      <w:r w:rsidR="004E75E8">
        <w:rPr>
          <w:bCs/>
          <w:lang w:val="en-GB"/>
        </w:rPr>
        <w:t>appropriate</w:t>
      </w:r>
      <w:r w:rsidR="004E75E8" w:rsidRPr="00D05A95">
        <w:rPr>
          <w:bCs/>
          <w:lang w:val="en-GB"/>
        </w:rPr>
        <w:t xml:space="preserve"> </w:t>
      </w:r>
      <w:r w:rsidRPr="00D05A95">
        <w:rPr>
          <w:bCs/>
          <w:lang w:val="en-GB"/>
        </w:rPr>
        <w:t xml:space="preserve">comparator </w:t>
      </w:r>
      <w:r w:rsidR="004E75E8">
        <w:rPr>
          <w:bCs/>
          <w:lang w:val="en-GB"/>
        </w:rPr>
        <w:t>for</w:t>
      </w:r>
      <w:r w:rsidR="004E75E8" w:rsidRPr="00D05A95">
        <w:rPr>
          <w:bCs/>
          <w:lang w:val="en-GB"/>
        </w:rPr>
        <w:t xml:space="preserve"> </w:t>
      </w:r>
      <w:r w:rsidRPr="00D05A95">
        <w:rPr>
          <w:bCs/>
          <w:lang w:val="en-GB"/>
        </w:rPr>
        <w:t xml:space="preserve">aTIV </w:t>
      </w:r>
      <w:r w:rsidR="004E75E8">
        <w:rPr>
          <w:bCs/>
          <w:lang w:val="en-GB"/>
        </w:rPr>
        <w:t>was</w:t>
      </w:r>
      <w:r w:rsidRPr="00D05A95">
        <w:rPr>
          <w:bCs/>
          <w:lang w:val="en-GB"/>
        </w:rPr>
        <w:t xml:space="preserve"> QIV</w:t>
      </w:r>
      <w:r w:rsidR="004E75E8">
        <w:rPr>
          <w:bCs/>
          <w:lang w:val="en-GB"/>
        </w:rPr>
        <w:t xml:space="preserve">, which represented </w:t>
      </w:r>
      <w:r w:rsidR="004E75E8" w:rsidRPr="004E75E8">
        <w:rPr>
          <w:bCs/>
          <w:lang w:val="en-GB"/>
        </w:rPr>
        <w:t xml:space="preserve">existing standard </w:t>
      </w:r>
      <w:r w:rsidR="004E75E8">
        <w:rPr>
          <w:bCs/>
          <w:lang w:val="en-GB"/>
        </w:rPr>
        <w:t xml:space="preserve">of </w:t>
      </w:r>
      <w:r w:rsidR="004E75E8" w:rsidRPr="004E75E8">
        <w:rPr>
          <w:bCs/>
          <w:lang w:val="en-GB"/>
        </w:rPr>
        <w:t>care available on the NIP.</w:t>
      </w:r>
      <w:r w:rsidR="00997670">
        <w:rPr>
          <w:bCs/>
          <w:lang w:val="en-GB"/>
        </w:rPr>
        <w:t xml:space="preserve"> High dose trivalent influenza vaccine (TIV-HD) was considered a near market comparator, but the PBAC noted that no clinical evidence was provided to assess the comparative effectiveness of aTIV with TIV-HD</w:t>
      </w:r>
      <w:r w:rsidR="002D6BAE">
        <w:rPr>
          <w:bCs/>
          <w:lang w:val="en-GB"/>
        </w:rPr>
        <w:t>.</w:t>
      </w:r>
      <w:r w:rsidR="00997670">
        <w:rPr>
          <w:bCs/>
          <w:lang w:val="en-GB"/>
        </w:rPr>
        <w:t xml:space="preserve"> </w:t>
      </w:r>
    </w:p>
    <w:p w:rsidR="00111ADD" w:rsidRPr="00D05A95" w:rsidRDefault="00111ADD" w:rsidP="00F37302">
      <w:pPr>
        <w:pStyle w:val="ListParagraph"/>
        <w:keepNext/>
        <w:widowControl/>
        <w:numPr>
          <w:ilvl w:val="1"/>
          <w:numId w:val="39"/>
        </w:numPr>
        <w:ind w:left="709" w:hanging="709"/>
        <w:rPr>
          <w:bCs/>
          <w:lang w:val="en-GB"/>
        </w:rPr>
      </w:pPr>
      <w:r w:rsidRPr="00D05A95">
        <w:rPr>
          <w:bCs/>
          <w:lang w:val="en-GB"/>
        </w:rPr>
        <w:t xml:space="preserve">The </w:t>
      </w:r>
      <w:r w:rsidRPr="00DA725C">
        <w:t>PBAC</w:t>
      </w:r>
      <w:r w:rsidRPr="00D05A95">
        <w:rPr>
          <w:bCs/>
          <w:lang w:val="en-GB"/>
        </w:rPr>
        <w:t xml:space="preserve"> noted that the submission </w:t>
      </w:r>
      <w:r w:rsidR="00997670">
        <w:rPr>
          <w:bCs/>
          <w:lang w:val="en-GB"/>
        </w:rPr>
        <w:t>reli</w:t>
      </w:r>
      <w:r w:rsidR="00997670" w:rsidRPr="00D05A95">
        <w:rPr>
          <w:bCs/>
          <w:lang w:val="en-GB"/>
        </w:rPr>
        <w:t xml:space="preserve">ed </w:t>
      </w:r>
      <w:r w:rsidR="00997670">
        <w:rPr>
          <w:bCs/>
          <w:lang w:val="en-GB"/>
        </w:rPr>
        <w:t xml:space="preserve">on </w:t>
      </w:r>
      <w:r w:rsidRPr="00D05A95">
        <w:rPr>
          <w:bCs/>
          <w:lang w:val="en-GB"/>
        </w:rPr>
        <w:t xml:space="preserve">a complex </w:t>
      </w:r>
      <w:r w:rsidR="00E14008">
        <w:rPr>
          <w:bCs/>
          <w:lang w:val="en-GB"/>
        </w:rPr>
        <w:t>multi-step chain-</w:t>
      </w:r>
      <w:r w:rsidR="00997670">
        <w:rPr>
          <w:bCs/>
          <w:lang w:val="en-GB"/>
        </w:rPr>
        <w:t>of</w:t>
      </w:r>
      <w:r w:rsidR="00E14008">
        <w:rPr>
          <w:bCs/>
          <w:lang w:val="en-GB"/>
        </w:rPr>
        <w:t>-</w:t>
      </w:r>
      <w:r w:rsidRPr="00D05A95">
        <w:rPr>
          <w:bCs/>
          <w:lang w:val="en-GB"/>
        </w:rPr>
        <w:t>evidence to support its claims.</w:t>
      </w:r>
    </w:p>
    <w:p w:rsidR="001D5BA6" w:rsidRDefault="00111ADD" w:rsidP="00F37302">
      <w:pPr>
        <w:pStyle w:val="ListParagraph"/>
        <w:keepNext/>
        <w:widowControl/>
        <w:numPr>
          <w:ilvl w:val="1"/>
          <w:numId w:val="39"/>
        </w:numPr>
        <w:ind w:left="709" w:hanging="709"/>
        <w:rPr>
          <w:bCs/>
          <w:lang w:val="en-GB"/>
        </w:rPr>
      </w:pPr>
      <w:r w:rsidRPr="00D05A95">
        <w:rPr>
          <w:bCs/>
          <w:lang w:val="en-GB"/>
        </w:rPr>
        <w:t>The PB</w:t>
      </w:r>
      <w:r w:rsidRPr="00DA725C">
        <w:t xml:space="preserve">AC noted </w:t>
      </w:r>
      <w:r w:rsidR="00E14008" w:rsidRPr="00DA725C">
        <w:t>the key clinical evidence</w:t>
      </w:r>
      <w:r w:rsidR="003F1F4A" w:rsidRPr="00DA725C">
        <w:t xml:space="preserve"> compared aTIV to </w:t>
      </w:r>
      <w:r w:rsidR="00AA780F">
        <w:t xml:space="preserve">non-adjuvanted </w:t>
      </w:r>
      <w:r w:rsidR="003F1F4A" w:rsidRPr="00DA725C">
        <w:t>TIV</w:t>
      </w:r>
      <w:r w:rsidR="00E14008" w:rsidRPr="00DA725C">
        <w:t xml:space="preserve"> </w:t>
      </w:r>
      <w:r w:rsidR="003F1F4A" w:rsidRPr="00DA725C">
        <w:t xml:space="preserve">in </w:t>
      </w:r>
      <w:r w:rsidR="00E14008" w:rsidRPr="00DA725C">
        <w:t xml:space="preserve">a </w:t>
      </w:r>
      <w:r w:rsidR="003F1F4A" w:rsidRPr="00210C7E">
        <w:t>non-randomised, non-blinded</w:t>
      </w:r>
      <w:r w:rsidR="003F1F4A" w:rsidRPr="0053013C">
        <w:t xml:space="preserve">, </w:t>
      </w:r>
      <w:r w:rsidR="003F1F4A" w:rsidRPr="0053013C">
        <w:rPr>
          <w:bCs/>
          <w:lang w:val="en-GB"/>
        </w:rPr>
        <w:t xml:space="preserve">prospective, population-based cohort study in a community setting covering three influenza seasons (LIVE study, Mannino 2012). The PBAC noted the key outcome of </w:t>
      </w:r>
      <w:r w:rsidR="003F1F4A" w:rsidRPr="0053013C">
        <w:t xml:space="preserve">hospitalisations for influenza and pneumonia showed no benefit of aTIV compared to TIV based on the </w:t>
      </w:r>
      <w:r w:rsidR="004A02B1" w:rsidRPr="0053013C">
        <w:t>unadjusted</w:t>
      </w:r>
      <w:r w:rsidR="003F1F4A" w:rsidRPr="0053013C">
        <w:t xml:space="preserve"> data, but propensity score matching and regression analyses </w:t>
      </w:r>
      <w:r w:rsidR="00D3696B" w:rsidRPr="0053013C">
        <w:t xml:space="preserve">resulted in </w:t>
      </w:r>
      <w:r w:rsidR="003F1F4A" w:rsidRPr="0053013C">
        <w:t xml:space="preserve">lower hospitalisation </w:t>
      </w:r>
      <w:r w:rsidR="004A02B1" w:rsidRPr="0053013C">
        <w:t>rates for aTIV compared to TIV</w:t>
      </w:r>
      <w:r w:rsidR="00611181" w:rsidRPr="0053013C">
        <w:t>, supporting the claim of superior effectiveness</w:t>
      </w:r>
      <w:r w:rsidR="003F1F4A" w:rsidRPr="0053013C">
        <w:t>.</w:t>
      </w:r>
      <w:r w:rsidR="004A02B1" w:rsidRPr="0053013C">
        <w:t xml:space="preserve"> The PBAC considered </w:t>
      </w:r>
      <w:r w:rsidR="001D5BA6" w:rsidRPr="0053013C">
        <w:t>using a</w:t>
      </w:r>
      <w:r w:rsidR="004A02B1" w:rsidRPr="0053013C">
        <w:t xml:space="preserve"> narrow time window</w:t>
      </w:r>
      <w:r w:rsidR="006B53AD">
        <w:t xml:space="preserve"> to define events when</w:t>
      </w:r>
      <w:r w:rsidR="00123C12">
        <w:t xml:space="preserve"> </w:t>
      </w:r>
      <w:r w:rsidR="006B53AD">
        <w:t>estimating vaccine effectiveness</w:t>
      </w:r>
      <w:r w:rsidR="001D5BA6" w:rsidRPr="0053013C">
        <w:t xml:space="preserve"> </w:t>
      </w:r>
      <w:r w:rsidR="004A02B1" w:rsidRPr="0053013C">
        <w:t xml:space="preserve">(VE = 25%) may </w:t>
      </w:r>
      <w:r w:rsidR="001D5BA6" w:rsidRPr="0053013C">
        <w:t>have been a reasonable</w:t>
      </w:r>
      <w:r w:rsidR="006B53AD">
        <w:t xml:space="preserve"> </w:t>
      </w:r>
      <w:r w:rsidR="00C1118E">
        <w:t xml:space="preserve">approach </w:t>
      </w:r>
      <w:r w:rsidR="006B53AD">
        <w:t>to increase specificity</w:t>
      </w:r>
      <w:r w:rsidR="004A02B1" w:rsidRPr="0053013C">
        <w:rPr>
          <w:bCs/>
          <w:lang w:val="en-GB"/>
        </w:rPr>
        <w:t>; however, given the low quality of the evidence, the actual size of the benefit of aTIV over TIV remained uncertain. The PBAC considered it appropriate to use the wider time window (</w:t>
      </w:r>
      <w:r w:rsidR="006B53AD">
        <w:rPr>
          <w:bCs/>
          <w:lang w:val="en-GB"/>
        </w:rPr>
        <w:t xml:space="preserve">with </w:t>
      </w:r>
      <w:r w:rsidR="004A02B1" w:rsidRPr="0053013C">
        <w:rPr>
          <w:bCs/>
          <w:lang w:val="en-GB"/>
        </w:rPr>
        <w:t xml:space="preserve">VE = 17%), to assess the sensitivity of the incremental cost effectiveness to a </w:t>
      </w:r>
      <w:r w:rsidR="006B53AD">
        <w:rPr>
          <w:bCs/>
          <w:lang w:val="en-GB"/>
        </w:rPr>
        <w:t>smaller</w:t>
      </w:r>
      <w:r w:rsidR="006B53AD" w:rsidRPr="0053013C">
        <w:rPr>
          <w:bCs/>
          <w:lang w:val="en-GB"/>
        </w:rPr>
        <w:t xml:space="preserve"> </w:t>
      </w:r>
      <w:r w:rsidR="004A02B1" w:rsidRPr="0053013C">
        <w:rPr>
          <w:bCs/>
          <w:lang w:val="en-GB"/>
        </w:rPr>
        <w:t xml:space="preserve">benefit. </w:t>
      </w:r>
    </w:p>
    <w:p w:rsidR="00AE5093" w:rsidRPr="00D05A95" w:rsidRDefault="00AE5093" w:rsidP="00F37302">
      <w:pPr>
        <w:pStyle w:val="ListParagraph"/>
        <w:keepNext/>
        <w:widowControl/>
        <w:numPr>
          <w:ilvl w:val="1"/>
          <w:numId w:val="39"/>
        </w:numPr>
        <w:ind w:left="709" w:hanging="709"/>
        <w:rPr>
          <w:bCs/>
          <w:lang w:val="en-GB"/>
        </w:rPr>
      </w:pPr>
      <w:r w:rsidRPr="00D05A95">
        <w:rPr>
          <w:bCs/>
          <w:lang w:val="en-GB"/>
        </w:rPr>
        <w:t xml:space="preserve">The PBAC noted </w:t>
      </w:r>
      <w:r w:rsidRPr="00985A11">
        <w:rPr>
          <w:bCs/>
          <w:lang w:val="en-GB"/>
        </w:rPr>
        <w:t>the safety data from</w:t>
      </w:r>
      <w:r>
        <w:rPr>
          <w:bCs/>
          <w:lang w:val="en-GB"/>
        </w:rPr>
        <w:t xml:space="preserve"> the LIVE study </w:t>
      </w:r>
      <w:r w:rsidRPr="00D05A95">
        <w:rPr>
          <w:bCs/>
          <w:lang w:val="en-GB"/>
        </w:rPr>
        <w:t xml:space="preserve">showing no increased risk of </w:t>
      </w:r>
      <w:r w:rsidRPr="009D61D5">
        <w:rPr>
          <w:rFonts w:eastAsiaTheme="minorHAnsi"/>
        </w:rPr>
        <w:t>Adverse Events of Special Interest (</w:t>
      </w:r>
      <w:r w:rsidRPr="00D05A95">
        <w:rPr>
          <w:bCs/>
          <w:lang w:val="en-GB"/>
        </w:rPr>
        <w:t>AESI</w:t>
      </w:r>
      <w:r>
        <w:rPr>
          <w:bCs/>
          <w:lang w:val="en-GB"/>
        </w:rPr>
        <w:t>)</w:t>
      </w:r>
      <w:r w:rsidRPr="00D05A95">
        <w:rPr>
          <w:bCs/>
          <w:lang w:val="en-GB"/>
        </w:rPr>
        <w:t xml:space="preserve"> with aTIV compared to TIV</w:t>
      </w:r>
      <w:r>
        <w:rPr>
          <w:bCs/>
          <w:lang w:val="en-GB"/>
        </w:rPr>
        <w:t>.</w:t>
      </w:r>
    </w:p>
    <w:p w:rsidR="00111ADD" w:rsidRPr="00D05A95" w:rsidRDefault="004536B4" w:rsidP="00F37302">
      <w:pPr>
        <w:pStyle w:val="ListParagraph"/>
        <w:keepNext/>
        <w:widowControl/>
        <w:numPr>
          <w:ilvl w:val="1"/>
          <w:numId w:val="39"/>
        </w:numPr>
        <w:ind w:left="709" w:hanging="709"/>
        <w:rPr>
          <w:bCs/>
          <w:lang w:val="en-GB"/>
        </w:rPr>
      </w:pPr>
      <w:r>
        <w:rPr>
          <w:bCs/>
          <w:lang w:val="en-GB"/>
        </w:rPr>
        <w:t xml:space="preserve">The PBAC reaffirmed its </w:t>
      </w:r>
      <w:r w:rsidR="00413423">
        <w:rPr>
          <w:bCs/>
          <w:lang w:val="en-GB"/>
        </w:rPr>
        <w:t xml:space="preserve">March 2018 decision that aTIV is non-inferior overall to QIV for </w:t>
      </w:r>
      <w:r w:rsidR="00413423" w:rsidRPr="00DA725C">
        <w:t>the</w:t>
      </w:r>
      <w:r w:rsidR="00413423">
        <w:rPr>
          <w:bCs/>
          <w:lang w:val="en-GB"/>
        </w:rPr>
        <w:t xml:space="preserve"> prevention of seasonal influenza in adults aged 65 years</w:t>
      </w:r>
      <w:r w:rsidR="009D6309">
        <w:rPr>
          <w:bCs/>
          <w:lang w:val="en-GB"/>
        </w:rPr>
        <w:t xml:space="preserve"> and above</w:t>
      </w:r>
      <w:r w:rsidR="00413423">
        <w:rPr>
          <w:rStyle w:val="FootnoteReference"/>
          <w:bCs/>
          <w:lang w:val="en-GB"/>
        </w:rPr>
        <w:footnoteReference w:id="5"/>
      </w:r>
      <w:r w:rsidR="00413423">
        <w:rPr>
          <w:bCs/>
          <w:lang w:val="en-GB"/>
        </w:rPr>
        <w:t>. The PBAC considered that t</w:t>
      </w:r>
      <w:r w:rsidR="006E7980" w:rsidRPr="006E7980">
        <w:rPr>
          <w:bCs/>
          <w:lang w:val="en-GB"/>
        </w:rPr>
        <w:t xml:space="preserve">he claim </w:t>
      </w:r>
      <w:r w:rsidR="006E7980" w:rsidRPr="00413423">
        <w:rPr>
          <w:bCs/>
          <w:lang w:val="en-GB"/>
        </w:rPr>
        <w:t xml:space="preserve">of superiority of aTIV over QIV was uncertain and dependent on relative contribution of discordant B strains and additional protection against </w:t>
      </w:r>
      <w:r w:rsidR="006E7980" w:rsidRPr="00413423">
        <w:rPr>
          <w:bCs/>
          <w:lang w:val="en-GB"/>
        </w:rPr>
        <w:lastRenderedPageBreak/>
        <w:t>shared strains. As such, the PBAC did not consider the likely superiority of aTIV over TIV could be extrapolated to aTIV over QIV.</w:t>
      </w:r>
      <w:r w:rsidR="00111ADD" w:rsidRPr="00D05A95">
        <w:rPr>
          <w:bCs/>
          <w:color w:val="FF0000"/>
          <w:lang w:val="en-GB"/>
        </w:rPr>
        <w:t xml:space="preserve"> </w:t>
      </w:r>
    </w:p>
    <w:p w:rsidR="009958B2" w:rsidRDefault="009958B2" w:rsidP="00F37302">
      <w:pPr>
        <w:pStyle w:val="ListParagraph"/>
        <w:keepNext/>
        <w:widowControl/>
        <w:numPr>
          <w:ilvl w:val="1"/>
          <w:numId w:val="39"/>
        </w:numPr>
        <w:ind w:left="709" w:hanging="709"/>
        <w:rPr>
          <w:bCs/>
          <w:lang w:val="en-GB"/>
        </w:rPr>
      </w:pPr>
      <w:r>
        <w:rPr>
          <w:bCs/>
          <w:lang w:val="en-GB"/>
        </w:rPr>
        <w:t>The PBAC noted</w:t>
      </w:r>
      <w:r w:rsidR="007311F5">
        <w:rPr>
          <w:bCs/>
          <w:lang w:val="en-GB"/>
        </w:rPr>
        <w:t xml:space="preserve"> and accepted</w:t>
      </w:r>
      <w:r>
        <w:rPr>
          <w:bCs/>
          <w:lang w:val="en-GB"/>
        </w:rPr>
        <w:t xml:space="preserve"> the revised </w:t>
      </w:r>
      <w:r w:rsidR="007311F5">
        <w:rPr>
          <w:bCs/>
          <w:lang w:val="en-GB"/>
        </w:rPr>
        <w:t xml:space="preserve">parameters of the </w:t>
      </w:r>
      <w:r w:rsidR="00212848">
        <w:rPr>
          <w:bCs/>
          <w:lang w:val="en-GB"/>
        </w:rPr>
        <w:t xml:space="preserve">economic </w:t>
      </w:r>
      <w:r w:rsidR="007311F5">
        <w:rPr>
          <w:bCs/>
          <w:lang w:val="en-GB"/>
        </w:rPr>
        <w:t>model</w:t>
      </w:r>
      <w:r>
        <w:rPr>
          <w:bCs/>
          <w:lang w:val="en-GB"/>
        </w:rPr>
        <w:t xml:space="preserve"> in the pre-</w:t>
      </w:r>
      <w:r w:rsidRPr="00DA725C">
        <w:t>PBAC</w:t>
      </w:r>
      <w:r w:rsidR="00212848">
        <w:rPr>
          <w:bCs/>
          <w:lang w:val="en-GB"/>
        </w:rPr>
        <w:t xml:space="preserve"> response for determining incremental cost-effectiveness of aTIV over TIV</w:t>
      </w:r>
      <w:r w:rsidR="007311F5">
        <w:rPr>
          <w:bCs/>
          <w:lang w:val="en-GB"/>
        </w:rPr>
        <w:t>,</w:t>
      </w:r>
      <w:r>
        <w:rPr>
          <w:bCs/>
          <w:lang w:val="en-GB"/>
        </w:rPr>
        <w:t xml:space="preserve"> which included:</w:t>
      </w:r>
    </w:p>
    <w:p w:rsidR="007311F5" w:rsidRPr="00D24145" w:rsidRDefault="00212848" w:rsidP="00D24145">
      <w:pPr>
        <w:pStyle w:val="ListParagraph"/>
        <w:widowControl/>
        <w:numPr>
          <w:ilvl w:val="1"/>
          <w:numId w:val="10"/>
        </w:numPr>
        <w:tabs>
          <w:tab w:val="left" w:pos="1134"/>
        </w:tabs>
        <w:ind w:left="1134" w:hanging="425"/>
      </w:pPr>
      <w:r>
        <w:t xml:space="preserve">a </w:t>
      </w:r>
      <w:r w:rsidR="007311F5" w:rsidRPr="00974859">
        <w:t xml:space="preserve">one-year time horizon, </w:t>
      </w:r>
    </w:p>
    <w:p w:rsidR="007311F5" w:rsidRPr="00D24145" w:rsidRDefault="007311F5" w:rsidP="00D24145">
      <w:pPr>
        <w:pStyle w:val="ListParagraph"/>
        <w:widowControl/>
        <w:numPr>
          <w:ilvl w:val="1"/>
          <w:numId w:val="10"/>
        </w:numPr>
        <w:tabs>
          <w:tab w:val="left" w:pos="1134"/>
        </w:tabs>
        <w:ind w:left="1134" w:hanging="425"/>
      </w:pPr>
      <w:r>
        <w:t xml:space="preserve">17% </w:t>
      </w:r>
      <w:r w:rsidRPr="00974859">
        <w:t xml:space="preserve">VE of aTIV versus </w:t>
      </w:r>
      <w:r w:rsidR="00A32004">
        <w:t>T</w:t>
      </w:r>
      <w:r w:rsidRPr="00974859">
        <w:t xml:space="preserve">IV for influenza hospitalisations and </w:t>
      </w:r>
      <w:r>
        <w:t xml:space="preserve">mortality </w:t>
      </w:r>
    </w:p>
    <w:p w:rsidR="007311F5" w:rsidRPr="00D24145" w:rsidRDefault="007311F5" w:rsidP="00D24145">
      <w:pPr>
        <w:pStyle w:val="ListParagraph"/>
        <w:widowControl/>
        <w:numPr>
          <w:ilvl w:val="1"/>
          <w:numId w:val="10"/>
        </w:numPr>
        <w:tabs>
          <w:tab w:val="left" w:pos="1134"/>
        </w:tabs>
        <w:ind w:left="1134" w:hanging="425"/>
      </w:pPr>
      <w:r w:rsidRPr="00974859">
        <w:t>QALY gain per non-fatal influenza hospitalisation</w:t>
      </w:r>
      <w:r>
        <w:t xml:space="preserve"> avoided set to 0.02 </w:t>
      </w:r>
    </w:p>
    <w:p w:rsidR="009958B2" w:rsidRPr="00D24145" w:rsidRDefault="007311F5" w:rsidP="00D24145">
      <w:pPr>
        <w:pStyle w:val="ListParagraph"/>
        <w:widowControl/>
        <w:numPr>
          <w:ilvl w:val="1"/>
          <w:numId w:val="10"/>
        </w:numPr>
        <w:tabs>
          <w:tab w:val="left" w:pos="1134"/>
        </w:tabs>
        <w:ind w:left="1134" w:hanging="425"/>
      </w:pPr>
      <w:r w:rsidRPr="00BD0A80">
        <w:t>inpatient episode cost of $</w:t>
      </w:r>
      <w:r w:rsidR="005C4E78">
        <w:rPr>
          <w:noProof/>
          <w:color w:val="000000"/>
          <w:highlight w:val="black"/>
        </w:rPr>
        <w:t>''''''''''''''''</w:t>
      </w:r>
    </w:p>
    <w:p w:rsidR="008019AF" w:rsidRPr="00D24145" w:rsidRDefault="008019AF" w:rsidP="00D24145">
      <w:pPr>
        <w:pStyle w:val="ListParagraph"/>
        <w:widowControl/>
        <w:numPr>
          <w:ilvl w:val="1"/>
          <w:numId w:val="10"/>
        </w:numPr>
        <w:tabs>
          <w:tab w:val="left" w:pos="1134"/>
        </w:tabs>
        <w:ind w:left="1134" w:hanging="425"/>
      </w:pPr>
      <w:r>
        <w:t>aTIV cost $</w:t>
      </w:r>
      <w:r w:rsidR="005C4E78">
        <w:rPr>
          <w:noProof/>
          <w:color w:val="000000"/>
          <w:highlight w:val="black"/>
        </w:rPr>
        <w:t>'''''</w:t>
      </w:r>
      <w:r>
        <w:t>.</w:t>
      </w:r>
    </w:p>
    <w:p w:rsidR="00251D7F" w:rsidRDefault="00251D7F" w:rsidP="001627E4">
      <w:pPr>
        <w:spacing w:after="120"/>
        <w:ind w:firstLine="709"/>
        <w:rPr>
          <w:rFonts w:asciiTheme="minorHAnsi" w:hAnsiTheme="minorHAnsi"/>
          <w:bCs/>
          <w:lang w:val="en-GB"/>
        </w:rPr>
      </w:pPr>
      <w:r>
        <w:t xml:space="preserve">The revised ICER for patients </w:t>
      </w:r>
      <w:r w:rsidRPr="00251D7F">
        <w:t>≥65 years</w:t>
      </w:r>
      <w:r>
        <w:t xml:space="preserve"> of age was</w:t>
      </w:r>
      <w:r w:rsidRPr="00251D7F">
        <w:t xml:space="preserve"> </w:t>
      </w:r>
      <w:r w:rsidR="001A0110">
        <w:t xml:space="preserve">less than </w:t>
      </w:r>
      <w:r w:rsidRPr="00251D7F">
        <w:t>$</w:t>
      </w:r>
      <w:r w:rsidR="001A0110">
        <w:t xml:space="preserve">15,000 </w:t>
      </w:r>
      <w:r w:rsidRPr="00251D7F">
        <w:t>per QALY</w:t>
      </w:r>
      <w:r w:rsidR="008019AF">
        <w:t>.</w:t>
      </w:r>
    </w:p>
    <w:p w:rsidR="006E7980" w:rsidRPr="00AA2EE6" w:rsidRDefault="006E7980" w:rsidP="00F37302">
      <w:pPr>
        <w:pStyle w:val="ListParagraph"/>
        <w:keepNext/>
        <w:widowControl/>
        <w:numPr>
          <w:ilvl w:val="1"/>
          <w:numId w:val="39"/>
        </w:numPr>
        <w:ind w:left="709" w:hanging="709"/>
        <w:rPr>
          <w:bCs/>
          <w:color w:val="FF0000"/>
          <w:lang w:val="en-GB"/>
        </w:rPr>
      </w:pPr>
      <w:r w:rsidRPr="00D05A95">
        <w:rPr>
          <w:bCs/>
          <w:lang w:val="en-GB"/>
        </w:rPr>
        <w:t>The PBAC noted that hospitalisation cost</w:t>
      </w:r>
      <w:r w:rsidR="006B53AD">
        <w:rPr>
          <w:bCs/>
          <w:lang w:val="en-GB"/>
        </w:rPr>
        <w:t xml:space="preserve"> </w:t>
      </w:r>
      <w:r w:rsidRPr="00D05A95">
        <w:rPr>
          <w:bCs/>
          <w:lang w:val="en-GB"/>
        </w:rPr>
        <w:t xml:space="preserve">and vaccine effectiveness against </w:t>
      </w:r>
      <w:r w:rsidRPr="00DA725C">
        <w:t>hospitalisations</w:t>
      </w:r>
      <w:r w:rsidRPr="00D05A95">
        <w:rPr>
          <w:bCs/>
          <w:lang w:val="en-GB"/>
        </w:rPr>
        <w:t xml:space="preserve"> were the key drivers of the economic model. </w:t>
      </w:r>
    </w:p>
    <w:p w:rsidR="00111ADD" w:rsidRPr="00D05A95" w:rsidRDefault="00212848" w:rsidP="00F37302">
      <w:pPr>
        <w:pStyle w:val="ListParagraph"/>
        <w:keepNext/>
        <w:widowControl/>
        <w:numPr>
          <w:ilvl w:val="1"/>
          <w:numId w:val="39"/>
        </w:numPr>
        <w:ind w:left="709" w:hanging="709"/>
        <w:rPr>
          <w:bCs/>
          <w:lang w:val="en-GB"/>
        </w:rPr>
      </w:pPr>
      <w:r>
        <w:rPr>
          <w:bCs/>
          <w:lang w:val="en-GB"/>
        </w:rPr>
        <w:t>G</w:t>
      </w:r>
      <w:r w:rsidR="00611181">
        <w:rPr>
          <w:bCs/>
          <w:lang w:val="en-GB"/>
        </w:rPr>
        <w:t xml:space="preserve">iven the </w:t>
      </w:r>
      <w:r w:rsidR="009958B2">
        <w:rPr>
          <w:bCs/>
          <w:lang w:val="en-GB"/>
        </w:rPr>
        <w:t xml:space="preserve">comparative </w:t>
      </w:r>
      <w:r w:rsidR="00744D6B">
        <w:rPr>
          <w:bCs/>
          <w:lang w:val="en-GB"/>
        </w:rPr>
        <w:t xml:space="preserve">benefit </w:t>
      </w:r>
      <w:r w:rsidR="00611181">
        <w:rPr>
          <w:bCs/>
          <w:lang w:val="en-GB"/>
        </w:rPr>
        <w:t>of aTIV over QIV was not accepted</w:t>
      </w:r>
      <w:r w:rsidR="003645DE">
        <w:rPr>
          <w:bCs/>
          <w:lang w:val="en-GB"/>
        </w:rPr>
        <w:t xml:space="preserve"> </w:t>
      </w:r>
      <w:r w:rsidR="00A32004">
        <w:rPr>
          <w:bCs/>
          <w:lang w:val="en-GB"/>
        </w:rPr>
        <w:t>as being</w:t>
      </w:r>
      <w:r w:rsidR="003645DE">
        <w:rPr>
          <w:bCs/>
          <w:lang w:val="en-GB"/>
        </w:rPr>
        <w:t xml:space="preserve"> equivalent to </w:t>
      </w:r>
      <w:r w:rsidR="003645DE" w:rsidRPr="00DA725C">
        <w:t>the</w:t>
      </w:r>
      <w:r w:rsidR="003645DE">
        <w:rPr>
          <w:bCs/>
          <w:lang w:val="en-GB"/>
        </w:rPr>
        <w:t xml:space="preserve"> benefit of aTIV over TIV</w:t>
      </w:r>
      <w:r w:rsidR="00611181">
        <w:rPr>
          <w:bCs/>
          <w:lang w:val="en-GB"/>
        </w:rPr>
        <w:t xml:space="preserve">, the PBAC did not consider the economic model could be relied on to determine the </w:t>
      </w:r>
      <w:r w:rsidR="00A32004">
        <w:rPr>
          <w:bCs/>
          <w:lang w:val="en-GB"/>
        </w:rPr>
        <w:t>cost-effectiveness of</w:t>
      </w:r>
      <w:r w:rsidR="003645DE">
        <w:rPr>
          <w:bCs/>
          <w:lang w:val="en-GB"/>
        </w:rPr>
        <w:t xml:space="preserve"> aTIV </w:t>
      </w:r>
      <w:r w:rsidR="00A32004">
        <w:rPr>
          <w:bCs/>
          <w:lang w:val="en-GB"/>
        </w:rPr>
        <w:t xml:space="preserve">versus </w:t>
      </w:r>
      <w:r w:rsidR="00744D6B">
        <w:rPr>
          <w:bCs/>
          <w:lang w:val="en-GB"/>
        </w:rPr>
        <w:t>QIV. The PBAC considered the</w:t>
      </w:r>
      <w:r>
        <w:rPr>
          <w:bCs/>
          <w:lang w:val="en-GB"/>
        </w:rPr>
        <w:t xml:space="preserve"> incremental</w:t>
      </w:r>
      <w:r w:rsidR="00744D6B">
        <w:rPr>
          <w:bCs/>
          <w:lang w:val="en-GB"/>
        </w:rPr>
        <w:t xml:space="preserve"> cost </w:t>
      </w:r>
      <w:r w:rsidR="009958B2">
        <w:rPr>
          <w:bCs/>
          <w:lang w:val="en-GB"/>
        </w:rPr>
        <w:t>effectiveness</w:t>
      </w:r>
      <w:r w:rsidR="00744D6B">
        <w:rPr>
          <w:bCs/>
          <w:lang w:val="en-GB"/>
        </w:rPr>
        <w:t xml:space="preserve"> of</w:t>
      </w:r>
      <w:r w:rsidR="009958B2">
        <w:rPr>
          <w:bCs/>
          <w:lang w:val="en-GB"/>
        </w:rPr>
        <w:t xml:space="preserve"> </w:t>
      </w:r>
      <w:r w:rsidR="00744D6B">
        <w:rPr>
          <w:bCs/>
          <w:lang w:val="en-GB"/>
        </w:rPr>
        <w:t>aTIV over QIV at the revised price in the pre-PBAC response ($</w:t>
      </w:r>
      <w:r w:rsidR="005C4E78">
        <w:rPr>
          <w:bCs/>
          <w:noProof/>
          <w:color w:val="000000"/>
          <w:highlight w:val="black"/>
          <w:lang w:val="en-GB"/>
        </w:rPr>
        <w:t>''''''</w:t>
      </w:r>
      <w:r w:rsidR="00744D6B">
        <w:rPr>
          <w:bCs/>
          <w:lang w:val="en-GB"/>
        </w:rPr>
        <w:t>) remained too uncertain to accept</w:t>
      </w:r>
      <w:r w:rsidR="009958B2">
        <w:rPr>
          <w:bCs/>
          <w:lang w:val="en-GB"/>
        </w:rPr>
        <w:t xml:space="preserve"> given the</w:t>
      </w:r>
      <w:r w:rsidR="009958B2" w:rsidRPr="00D05A95">
        <w:rPr>
          <w:bCs/>
          <w:lang w:val="en-GB"/>
        </w:rPr>
        <w:t xml:space="preserve"> loss of protection against the alternative B lineage</w:t>
      </w:r>
      <w:r w:rsidR="00744D6B">
        <w:rPr>
          <w:bCs/>
          <w:lang w:val="en-GB"/>
        </w:rPr>
        <w:t xml:space="preserve">. However, the PBAC did consider </w:t>
      </w:r>
      <w:r w:rsidR="009958B2">
        <w:rPr>
          <w:bCs/>
          <w:lang w:val="en-GB"/>
        </w:rPr>
        <w:t xml:space="preserve">a smaller price premium may be </w:t>
      </w:r>
      <w:r w:rsidR="00A32004">
        <w:rPr>
          <w:bCs/>
          <w:lang w:val="en-GB"/>
        </w:rPr>
        <w:t xml:space="preserve">reasonable </w:t>
      </w:r>
      <w:r w:rsidR="009958B2">
        <w:rPr>
          <w:bCs/>
          <w:lang w:val="en-GB"/>
        </w:rPr>
        <w:t xml:space="preserve">given </w:t>
      </w:r>
      <w:r w:rsidR="00744D6B">
        <w:rPr>
          <w:bCs/>
          <w:lang w:val="en-GB"/>
        </w:rPr>
        <w:t xml:space="preserve">the </w:t>
      </w:r>
      <w:r w:rsidR="009958B2">
        <w:rPr>
          <w:bCs/>
          <w:lang w:val="en-GB"/>
        </w:rPr>
        <w:t xml:space="preserve">likely </w:t>
      </w:r>
      <w:r w:rsidR="00744D6B">
        <w:rPr>
          <w:bCs/>
          <w:lang w:val="en-GB"/>
        </w:rPr>
        <w:t xml:space="preserve">advantages of an adjuvanted formulation </w:t>
      </w:r>
      <w:r w:rsidR="009958B2">
        <w:rPr>
          <w:bCs/>
          <w:lang w:val="en-GB"/>
        </w:rPr>
        <w:t>for the common strains.</w:t>
      </w:r>
    </w:p>
    <w:p w:rsidR="007F7005" w:rsidRPr="00BE66A0" w:rsidRDefault="00111ADD" w:rsidP="00F37302">
      <w:pPr>
        <w:pStyle w:val="ListParagraph"/>
        <w:keepNext/>
        <w:widowControl/>
        <w:numPr>
          <w:ilvl w:val="1"/>
          <w:numId w:val="39"/>
        </w:numPr>
        <w:spacing w:after="240"/>
        <w:ind w:left="709" w:hanging="709"/>
      </w:pPr>
      <w:r w:rsidRPr="00D05A95">
        <w:t xml:space="preserve">The PBAC noted that this submission is not eligible for independent review as </w:t>
      </w:r>
      <w:r w:rsidRPr="00D05A95">
        <w:rPr>
          <w:bCs/>
          <w:lang w:val="en-GB"/>
        </w:rPr>
        <w:t>independent</w:t>
      </w:r>
      <w:r w:rsidRPr="00D05A95">
        <w:t xml:space="preserve"> review is only relevant to PBS listing.</w:t>
      </w:r>
    </w:p>
    <w:p w:rsidR="00111ADD" w:rsidRPr="00111ADD" w:rsidRDefault="001627E4" w:rsidP="00BE66A0">
      <w:pPr>
        <w:spacing w:after="120"/>
        <w:rPr>
          <w:rFonts w:asciiTheme="minorHAnsi" w:eastAsiaTheme="minorHAnsi" w:hAnsiTheme="minorHAnsi" w:cs="Times New Roman"/>
          <w:b/>
          <w:bCs/>
          <w:lang w:val="en-GB"/>
        </w:rPr>
      </w:pPr>
      <w:r>
        <w:rPr>
          <w:rFonts w:asciiTheme="minorHAnsi" w:eastAsiaTheme="minorHAnsi" w:hAnsiTheme="minorHAnsi" w:cs="Times New Roman"/>
          <w:b/>
          <w:bCs/>
          <w:lang w:val="en-GB"/>
        </w:rPr>
        <w:t>O</w:t>
      </w:r>
      <w:r w:rsidR="00111ADD" w:rsidRPr="00111ADD">
        <w:rPr>
          <w:rFonts w:asciiTheme="minorHAnsi" w:eastAsiaTheme="minorHAnsi" w:hAnsiTheme="minorHAnsi" w:cs="Times New Roman"/>
          <w:b/>
          <w:bCs/>
          <w:lang w:val="en-GB"/>
        </w:rPr>
        <w:t>utcome</w:t>
      </w:r>
      <w:r>
        <w:rPr>
          <w:rFonts w:asciiTheme="minorHAnsi" w:eastAsiaTheme="minorHAnsi" w:hAnsiTheme="minorHAnsi" w:cs="Times New Roman"/>
          <w:b/>
          <w:bCs/>
          <w:lang w:val="en-GB"/>
        </w:rPr>
        <w:t>:</w:t>
      </w:r>
    </w:p>
    <w:p w:rsidR="00111ADD" w:rsidRPr="00111ADD" w:rsidRDefault="00D05C16" w:rsidP="00BE66A0">
      <w:pPr>
        <w:spacing w:after="120"/>
        <w:rPr>
          <w:rFonts w:asciiTheme="minorHAnsi" w:hAnsiTheme="minorHAnsi"/>
          <w:bCs/>
          <w:lang w:val="en-GB"/>
        </w:rPr>
      </w:pPr>
      <w:r>
        <w:rPr>
          <w:rFonts w:asciiTheme="minorHAnsi" w:hAnsiTheme="minorHAnsi"/>
          <w:bCs/>
          <w:lang w:val="en-GB"/>
        </w:rPr>
        <w:t>Rejected</w:t>
      </w:r>
    </w:p>
    <w:p w:rsidR="00111ADD" w:rsidRPr="00111ADD" w:rsidRDefault="00111ADD" w:rsidP="001627E4">
      <w:pPr>
        <w:pStyle w:val="5-SubsectionSubheading"/>
      </w:pPr>
      <w:r w:rsidRPr="00111ADD">
        <w:t>aQIV</w:t>
      </w:r>
      <w:r w:rsidR="00BE66A0">
        <w:t xml:space="preserve"> (Fluad Quad) compared to QIV</w:t>
      </w:r>
    </w:p>
    <w:p w:rsidR="00111ADD" w:rsidRPr="00D05A95" w:rsidRDefault="00111ADD" w:rsidP="00F37302">
      <w:pPr>
        <w:pStyle w:val="ListParagraph"/>
        <w:keepNext/>
        <w:widowControl/>
        <w:numPr>
          <w:ilvl w:val="1"/>
          <w:numId w:val="39"/>
        </w:numPr>
        <w:ind w:left="709" w:hanging="709"/>
        <w:rPr>
          <w:rFonts w:cs="Calibri"/>
          <w:snapToGrid/>
          <w:lang w:val="en-GB"/>
        </w:rPr>
      </w:pPr>
      <w:r w:rsidRPr="00D05A95">
        <w:rPr>
          <w:bCs/>
          <w:lang w:val="en-GB"/>
        </w:rPr>
        <w:t xml:space="preserve">The </w:t>
      </w:r>
      <w:r w:rsidRPr="00DA725C">
        <w:t>PBAC</w:t>
      </w:r>
      <w:r w:rsidRPr="00D05A95">
        <w:rPr>
          <w:bCs/>
          <w:lang w:val="en-GB"/>
        </w:rPr>
        <w:t xml:space="preserve"> deferred making a recommendation for a new listing for adjuvanted</w:t>
      </w:r>
      <w:r w:rsidRPr="00D05A95">
        <w:rPr>
          <w:lang w:val="en-GB"/>
        </w:rPr>
        <w:t xml:space="preserve"> quadrivalent influenza vaccine (aQIV, Fluad Quad</w:t>
      </w:r>
      <w:r w:rsidRPr="00D05A95">
        <w:t>®</w:t>
      </w:r>
      <w:r w:rsidRPr="00D05A95">
        <w:rPr>
          <w:lang w:val="en-GB"/>
        </w:rPr>
        <w:t xml:space="preserve">) </w:t>
      </w:r>
      <w:r w:rsidRPr="00D05A95">
        <w:t xml:space="preserve">on the </w:t>
      </w:r>
      <w:r w:rsidRPr="00D05A95">
        <w:rPr>
          <w:i/>
          <w:iCs/>
        </w:rPr>
        <w:t>National Health (Immunisation Program – Designated Vaccines) Determination 2014 (No.1)</w:t>
      </w:r>
      <w:r w:rsidRPr="00D05A95">
        <w:t xml:space="preserve"> (the Determination), for vaccination against influenza in adults aged 65 years and above</w:t>
      </w:r>
      <w:r w:rsidRPr="00D05A95">
        <w:rPr>
          <w:lang w:val="en-GB"/>
        </w:rPr>
        <w:t>.</w:t>
      </w:r>
      <w:r w:rsidR="008D396C">
        <w:rPr>
          <w:lang w:val="en-GB"/>
        </w:rPr>
        <w:t xml:space="preserve"> </w:t>
      </w:r>
      <w:r w:rsidRPr="00D05A95">
        <w:rPr>
          <w:lang w:val="en-GB"/>
        </w:rPr>
        <w:t xml:space="preserve">However, the PBAC was of a mind to recommend aQIV on a cost-effectiveness basis to </w:t>
      </w:r>
      <w:r w:rsidR="00AA780F">
        <w:t>non-adjuvanted</w:t>
      </w:r>
      <w:r w:rsidRPr="00D05A95">
        <w:rPr>
          <w:lang w:val="en-GB"/>
        </w:rPr>
        <w:t xml:space="preserve"> quadrivalent (QIV) influenza vaccine pending provision of a positive TGA Delegate’s Overview.</w:t>
      </w:r>
      <w:r w:rsidR="008D396C">
        <w:rPr>
          <w:lang w:val="en-GB"/>
        </w:rPr>
        <w:t xml:space="preserve"> </w:t>
      </w:r>
      <w:r w:rsidRPr="00D05A95">
        <w:rPr>
          <w:lang w:val="en-GB"/>
        </w:rPr>
        <w:t xml:space="preserve">The PBAC considered that </w:t>
      </w:r>
      <w:r w:rsidR="00AF72E0">
        <w:rPr>
          <w:lang w:val="en-GB"/>
        </w:rPr>
        <w:t>aQIV</w:t>
      </w:r>
      <w:r w:rsidRPr="00D05A95">
        <w:rPr>
          <w:lang w:val="en-GB"/>
        </w:rPr>
        <w:t xml:space="preserve"> would provide additional clinical effectiveness to </w:t>
      </w:r>
      <w:r w:rsidR="00AF72E0">
        <w:rPr>
          <w:lang w:val="en-GB"/>
        </w:rPr>
        <w:t>QIV</w:t>
      </w:r>
      <w:r w:rsidR="00123C12">
        <w:rPr>
          <w:lang w:val="en-GB"/>
        </w:rPr>
        <w:t xml:space="preserve"> </w:t>
      </w:r>
      <w:r w:rsidR="00AF72E0">
        <w:rPr>
          <w:lang w:val="en-GB"/>
        </w:rPr>
        <w:t>and the</w:t>
      </w:r>
      <w:r w:rsidR="000E69B6">
        <w:rPr>
          <w:lang w:val="en-GB"/>
        </w:rPr>
        <w:t xml:space="preserve"> magnitude</w:t>
      </w:r>
      <w:r w:rsidR="00AF72E0">
        <w:rPr>
          <w:lang w:val="en-GB"/>
        </w:rPr>
        <w:t xml:space="preserve"> of the benefit would be </w:t>
      </w:r>
      <w:r w:rsidR="00D96AC4">
        <w:rPr>
          <w:lang w:val="en-GB"/>
        </w:rPr>
        <w:t xml:space="preserve">similar </w:t>
      </w:r>
      <w:r w:rsidR="000E69B6">
        <w:rPr>
          <w:lang w:val="en-GB"/>
        </w:rPr>
        <w:t>to that for</w:t>
      </w:r>
      <w:r w:rsidR="00E974A5">
        <w:rPr>
          <w:lang w:val="en-GB"/>
        </w:rPr>
        <w:t xml:space="preserve"> aTIV over TIV. As such, </w:t>
      </w:r>
      <w:r w:rsidRPr="00D05A95">
        <w:rPr>
          <w:lang w:val="en-GB"/>
        </w:rPr>
        <w:t xml:space="preserve">the economic analysis provided in the submission </w:t>
      </w:r>
      <w:r w:rsidR="00E974A5">
        <w:rPr>
          <w:lang w:val="en-GB"/>
        </w:rPr>
        <w:t xml:space="preserve">for </w:t>
      </w:r>
      <w:r w:rsidR="00E974A5">
        <w:rPr>
          <w:bCs/>
          <w:lang w:val="en-GB"/>
        </w:rPr>
        <w:t xml:space="preserve">aTIV </w:t>
      </w:r>
      <w:r w:rsidR="00AF72E0">
        <w:rPr>
          <w:bCs/>
          <w:lang w:val="en-GB"/>
        </w:rPr>
        <w:lastRenderedPageBreak/>
        <w:t xml:space="preserve">versus </w:t>
      </w:r>
      <w:r w:rsidR="00E974A5">
        <w:rPr>
          <w:bCs/>
          <w:lang w:val="en-GB"/>
        </w:rPr>
        <w:t>TIV, could be relied on to determine th</w:t>
      </w:r>
      <w:r w:rsidR="00AF72E0">
        <w:rPr>
          <w:bCs/>
          <w:lang w:val="en-GB"/>
        </w:rPr>
        <w:t>e cost-effectiveness of</w:t>
      </w:r>
      <w:r w:rsidR="00E974A5" w:rsidRPr="00D05A95">
        <w:rPr>
          <w:lang w:val="en-GB"/>
        </w:rPr>
        <w:t xml:space="preserve"> </w:t>
      </w:r>
      <w:r w:rsidRPr="00D05A95">
        <w:rPr>
          <w:lang w:val="en-GB"/>
        </w:rPr>
        <w:t>aQIV</w:t>
      </w:r>
      <w:r w:rsidR="00AF72E0">
        <w:rPr>
          <w:lang w:val="en-GB"/>
        </w:rPr>
        <w:t xml:space="preserve"> versus QIV</w:t>
      </w:r>
      <w:r w:rsidR="009D6309">
        <w:rPr>
          <w:lang w:val="en-GB"/>
        </w:rPr>
        <w:t xml:space="preserve"> and aQIV was considered </w:t>
      </w:r>
      <w:r w:rsidRPr="00D05A95">
        <w:rPr>
          <w:lang w:val="en-GB"/>
        </w:rPr>
        <w:t xml:space="preserve">cost-effective at the proposed price. </w:t>
      </w:r>
    </w:p>
    <w:p w:rsidR="00111ADD" w:rsidRPr="00D05A95" w:rsidRDefault="00111ADD" w:rsidP="00F37302">
      <w:pPr>
        <w:pStyle w:val="ListParagraph"/>
        <w:keepNext/>
        <w:widowControl/>
        <w:numPr>
          <w:ilvl w:val="1"/>
          <w:numId w:val="39"/>
        </w:numPr>
        <w:ind w:left="709" w:hanging="709"/>
        <w:rPr>
          <w:bCs/>
          <w:lang w:val="en-GB"/>
        </w:rPr>
      </w:pPr>
      <w:r w:rsidRPr="008E7C71">
        <w:t>The</w:t>
      </w:r>
      <w:r w:rsidRPr="00D05A95">
        <w:rPr>
          <w:bCs/>
          <w:lang w:val="en-GB"/>
        </w:rPr>
        <w:t xml:space="preserve"> PBAC </w:t>
      </w:r>
      <w:r w:rsidRPr="00DA725C">
        <w:t>was</w:t>
      </w:r>
      <w:r w:rsidRPr="00D05A95">
        <w:rPr>
          <w:bCs/>
          <w:lang w:val="en-GB"/>
        </w:rPr>
        <w:t xml:space="preserve"> satisfied that aQIV provides, for adults aged 65 and above, a significant improvement in efficacy over </w:t>
      </w:r>
      <w:r w:rsidR="00AA780F">
        <w:t>non-adjuvanted</w:t>
      </w:r>
      <w:r w:rsidRPr="00D05A95">
        <w:rPr>
          <w:bCs/>
          <w:lang w:val="en-GB"/>
        </w:rPr>
        <w:t xml:space="preserve"> QIVs.</w:t>
      </w:r>
      <w:r w:rsidR="008D396C">
        <w:rPr>
          <w:bCs/>
          <w:lang w:val="en-GB"/>
        </w:rPr>
        <w:t xml:space="preserve"> </w:t>
      </w:r>
    </w:p>
    <w:p w:rsidR="00C1118E" w:rsidRPr="00C1118E" w:rsidRDefault="00C1118E" w:rsidP="00F37302">
      <w:pPr>
        <w:pStyle w:val="ListParagraph"/>
        <w:keepNext/>
        <w:widowControl/>
        <w:numPr>
          <w:ilvl w:val="1"/>
          <w:numId w:val="39"/>
        </w:numPr>
        <w:ind w:left="709" w:hanging="709"/>
        <w:rPr>
          <w:bCs/>
        </w:rPr>
      </w:pPr>
      <w:r w:rsidRPr="00C1118E">
        <w:t xml:space="preserve"> </w:t>
      </w:r>
      <w:r w:rsidRPr="00C1118E">
        <w:rPr>
          <w:bCs/>
        </w:rPr>
        <w:t xml:space="preserve">The PBAC considered the clinical need for aQIV to be moderate on the basis of the reduced </w:t>
      </w:r>
      <w:r w:rsidRPr="00DA725C">
        <w:t>effectiveness</w:t>
      </w:r>
      <w:r w:rsidRPr="00C1118E">
        <w:rPr>
          <w:bCs/>
        </w:rPr>
        <w:t xml:space="preserve"> of QIV older adults.</w:t>
      </w:r>
    </w:p>
    <w:p w:rsidR="00895256" w:rsidRPr="00C1118E" w:rsidRDefault="00111ADD" w:rsidP="00F37302">
      <w:pPr>
        <w:pStyle w:val="ListParagraph"/>
        <w:keepNext/>
        <w:widowControl/>
        <w:numPr>
          <w:ilvl w:val="1"/>
          <w:numId w:val="39"/>
        </w:numPr>
        <w:ind w:left="709" w:hanging="709"/>
        <w:rPr>
          <w:bCs/>
          <w:lang w:val="en-GB"/>
        </w:rPr>
      </w:pPr>
      <w:r w:rsidRPr="00C1118E">
        <w:rPr>
          <w:bCs/>
          <w:lang w:val="en-GB"/>
        </w:rPr>
        <w:t xml:space="preserve">The PBAC </w:t>
      </w:r>
      <w:r w:rsidRPr="00DA725C">
        <w:t>agreed</w:t>
      </w:r>
      <w:r w:rsidRPr="00C1118E">
        <w:rPr>
          <w:bCs/>
          <w:lang w:val="en-GB"/>
        </w:rPr>
        <w:t xml:space="preserve"> that aTIV was a</w:t>
      </w:r>
      <w:r w:rsidR="00552618" w:rsidRPr="00C1118E">
        <w:rPr>
          <w:bCs/>
          <w:lang w:val="en-GB"/>
        </w:rPr>
        <w:t>n appropriate</w:t>
      </w:r>
      <w:r w:rsidRPr="00C1118E">
        <w:rPr>
          <w:bCs/>
          <w:lang w:val="en-GB"/>
        </w:rPr>
        <w:t xml:space="preserve"> comparator for aQIV, however it considered that QIV was also a relevant comparator.</w:t>
      </w:r>
      <w:r w:rsidR="007138EC" w:rsidRPr="00C1118E">
        <w:rPr>
          <w:bCs/>
          <w:lang w:val="en-GB"/>
        </w:rPr>
        <w:t xml:space="preserve"> </w:t>
      </w:r>
    </w:p>
    <w:p w:rsidR="00895256" w:rsidRPr="00895256" w:rsidRDefault="00895256" w:rsidP="00F37302">
      <w:pPr>
        <w:pStyle w:val="ListParagraph"/>
        <w:keepNext/>
        <w:widowControl/>
        <w:numPr>
          <w:ilvl w:val="1"/>
          <w:numId w:val="39"/>
        </w:numPr>
        <w:ind w:left="709" w:hanging="709"/>
        <w:rPr>
          <w:bCs/>
          <w:lang w:val="en-GB"/>
        </w:rPr>
      </w:pPr>
      <w:r w:rsidRPr="00895256">
        <w:rPr>
          <w:bCs/>
          <w:lang w:val="en-GB"/>
        </w:rPr>
        <w:t xml:space="preserve">The PBAC </w:t>
      </w:r>
      <w:r w:rsidRPr="00DA725C">
        <w:t>noted</w:t>
      </w:r>
      <w:r w:rsidRPr="00895256">
        <w:rPr>
          <w:bCs/>
          <w:lang w:val="en-GB"/>
        </w:rPr>
        <w:t xml:space="preserve"> the</w:t>
      </w:r>
      <w:r>
        <w:rPr>
          <w:bCs/>
          <w:lang w:val="en-GB"/>
        </w:rPr>
        <w:t xml:space="preserve"> key evidence presented was a</w:t>
      </w:r>
      <w:r w:rsidRPr="00895256">
        <w:rPr>
          <w:bCs/>
          <w:lang w:val="en-GB"/>
        </w:rPr>
        <w:t xml:space="preserve"> single safety and immunogenicity randomised control trial, V118_20, comparing aQIV to aTIV, based on immunogenicity outcomes as surrogate outputs. The PBAC recalled that surrogate outcomes</w:t>
      </w:r>
      <w:r w:rsidR="007F512E">
        <w:rPr>
          <w:bCs/>
          <w:lang w:val="en-GB"/>
        </w:rPr>
        <w:t xml:space="preserve"> for influenza vaccines</w:t>
      </w:r>
      <w:r w:rsidRPr="00895256">
        <w:rPr>
          <w:bCs/>
          <w:lang w:val="en-GB"/>
        </w:rPr>
        <w:t xml:space="preserve"> have previously </w:t>
      </w:r>
      <w:r w:rsidR="007F512E" w:rsidRPr="00895256">
        <w:rPr>
          <w:bCs/>
          <w:lang w:val="en-GB"/>
        </w:rPr>
        <w:t xml:space="preserve">been used </w:t>
      </w:r>
      <w:r w:rsidR="007F512E">
        <w:rPr>
          <w:bCs/>
          <w:lang w:val="en-GB"/>
        </w:rPr>
        <w:t>in</w:t>
      </w:r>
      <w:r w:rsidRPr="00895256">
        <w:rPr>
          <w:bCs/>
          <w:lang w:val="en-GB"/>
        </w:rPr>
        <w:t xml:space="preserve"> PBAC decision-making</w:t>
      </w:r>
      <w:r w:rsidRPr="00D05A95">
        <w:rPr>
          <w:rStyle w:val="FootnoteReference"/>
          <w:bCs/>
          <w:lang w:val="en-GB"/>
        </w:rPr>
        <w:footnoteReference w:id="6"/>
      </w:r>
      <w:r w:rsidRPr="00895256">
        <w:rPr>
          <w:bCs/>
          <w:lang w:val="en-GB"/>
        </w:rPr>
        <w:t>.</w:t>
      </w:r>
    </w:p>
    <w:p w:rsidR="00895256" w:rsidRPr="00AE5093" w:rsidRDefault="00895256" w:rsidP="00F37302">
      <w:pPr>
        <w:pStyle w:val="ListParagraph"/>
        <w:keepNext/>
        <w:widowControl/>
        <w:numPr>
          <w:ilvl w:val="1"/>
          <w:numId w:val="39"/>
        </w:numPr>
        <w:ind w:left="709" w:hanging="709"/>
        <w:rPr>
          <w:bCs/>
          <w:lang w:val="en-GB"/>
        </w:rPr>
      </w:pPr>
      <w:r w:rsidRPr="00895256">
        <w:rPr>
          <w:rFonts w:cs="Calibri"/>
          <w:snapToGrid/>
          <w:lang w:val="en-GB"/>
        </w:rPr>
        <w:t>The PBAC noted that trial V118_20 demonstrated non-inferiority of aQIV versus aT</w:t>
      </w:r>
      <w:r w:rsidRPr="00895256">
        <w:rPr>
          <w:rFonts w:cs="Calibri"/>
          <w:lang w:val="en-GB"/>
        </w:rPr>
        <w:t xml:space="preserve">IV </w:t>
      </w:r>
      <w:r w:rsidR="00C47452">
        <w:rPr>
          <w:rFonts w:cs="Calibri"/>
          <w:snapToGrid/>
          <w:lang w:val="en-GB"/>
        </w:rPr>
        <w:t>based on</w:t>
      </w:r>
      <w:r w:rsidR="00C47452" w:rsidRPr="00895256">
        <w:rPr>
          <w:rFonts w:cs="Calibri"/>
          <w:snapToGrid/>
          <w:lang w:val="en-GB"/>
        </w:rPr>
        <w:t xml:space="preserve"> </w:t>
      </w:r>
      <w:r w:rsidRPr="00DA725C">
        <w:t>GMT</w:t>
      </w:r>
      <w:r w:rsidRPr="00895256">
        <w:rPr>
          <w:rFonts w:cs="Calibri"/>
          <w:snapToGrid/>
          <w:lang w:val="en-GB"/>
        </w:rPr>
        <w:t xml:space="preserve"> and SCR</w:t>
      </w:r>
      <w:r w:rsidR="00C47452">
        <w:rPr>
          <w:rFonts w:cs="Calibri"/>
          <w:snapToGrid/>
          <w:lang w:val="en-GB"/>
        </w:rPr>
        <w:t xml:space="preserve"> for the matching strains</w:t>
      </w:r>
      <w:r w:rsidRPr="00895256">
        <w:rPr>
          <w:rFonts w:cs="Calibri"/>
          <w:lang w:val="en-GB"/>
        </w:rPr>
        <w:t xml:space="preserve">. The PBAC considered </w:t>
      </w:r>
      <w:r w:rsidRPr="00895256">
        <w:rPr>
          <w:rFonts w:cs="Calibri"/>
          <w:snapToGrid/>
          <w:lang w:val="en-GB"/>
        </w:rPr>
        <w:t>that although CBER criteria were not met for the B strains in either vaccine, the results were comparable for</w:t>
      </w:r>
      <w:r w:rsidR="00C47452">
        <w:rPr>
          <w:rFonts w:cs="Calibri"/>
          <w:snapToGrid/>
          <w:lang w:val="en-GB"/>
        </w:rPr>
        <w:t xml:space="preserve"> the</w:t>
      </w:r>
      <w:r w:rsidRPr="00895256">
        <w:rPr>
          <w:rFonts w:cs="Calibri"/>
          <w:snapToGrid/>
          <w:lang w:val="en-GB"/>
        </w:rPr>
        <w:t xml:space="preserve"> B strains in both vaccines. </w:t>
      </w:r>
    </w:p>
    <w:p w:rsidR="00AE5093" w:rsidRPr="00895256" w:rsidRDefault="00AE5093" w:rsidP="00F37302">
      <w:pPr>
        <w:pStyle w:val="ListParagraph"/>
        <w:keepNext/>
        <w:widowControl/>
        <w:numPr>
          <w:ilvl w:val="1"/>
          <w:numId w:val="39"/>
        </w:numPr>
        <w:ind w:left="709" w:hanging="709"/>
        <w:rPr>
          <w:bCs/>
          <w:lang w:val="en-GB"/>
        </w:rPr>
      </w:pPr>
      <w:r>
        <w:rPr>
          <w:bCs/>
          <w:lang w:val="en-GB"/>
        </w:rPr>
        <w:t xml:space="preserve">The PBAC </w:t>
      </w:r>
      <w:r w:rsidRPr="00DA725C">
        <w:t>noted</w:t>
      </w:r>
      <w:r>
        <w:rPr>
          <w:bCs/>
          <w:lang w:val="en-GB"/>
        </w:rPr>
        <w:t xml:space="preserve"> that there was no imbalance in the </w:t>
      </w:r>
      <w:r w:rsidRPr="009D61D5">
        <w:t>frequency of serious adverse events observed between the study groups</w:t>
      </w:r>
      <w:r>
        <w:t xml:space="preserve"> in trial V118_20.</w:t>
      </w:r>
    </w:p>
    <w:p w:rsidR="00AE5093" w:rsidRPr="00AE5093" w:rsidRDefault="007138EC" w:rsidP="00F37302">
      <w:pPr>
        <w:pStyle w:val="ListParagraph"/>
        <w:keepNext/>
        <w:widowControl/>
        <w:numPr>
          <w:ilvl w:val="1"/>
          <w:numId w:val="39"/>
        </w:numPr>
        <w:ind w:left="709" w:hanging="709"/>
        <w:rPr>
          <w:bCs/>
          <w:lang w:val="en-GB"/>
        </w:rPr>
      </w:pPr>
      <w:r w:rsidRPr="00AE5093">
        <w:rPr>
          <w:bCs/>
          <w:lang w:val="en-GB"/>
        </w:rPr>
        <w:t xml:space="preserve">The PBAC </w:t>
      </w:r>
      <w:r w:rsidRPr="00DA725C">
        <w:t>accepted</w:t>
      </w:r>
      <w:r w:rsidRPr="00AE5093">
        <w:rPr>
          <w:bCs/>
          <w:lang w:val="en-GB"/>
        </w:rPr>
        <w:t xml:space="preserve"> that aQIV would be at least non-inferior to aTIV based on the immunogenicity </w:t>
      </w:r>
      <w:r w:rsidR="00895256" w:rsidRPr="00AE5093">
        <w:rPr>
          <w:bCs/>
          <w:lang w:val="en-GB"/>
        </w:rPr>
        <w:t xml:space="preserve">results from </w:t>
      </w:r>
      <w:r w:rsidR="00895256" w:rsidRPr="009D61D5">
        <w:t>Trial V118_20</w:t>
      </w:r>
      <w:r w:rsidR="00895256">
        <w:t>.</w:t>
      </w:r>
      <w:r w:rsidR="00895256" w:rsidRPr="009D61D5">
        <w:t xml:space="preserve"> </w:t>
      </w:r>
    </w:p>
    <w:p w:rsidR="00111ADD" w:rsidRPr="00AE5093" w:rsidRDefault="003C4AC7" w:rsidP="00F37302">
      <w:pPr>
        <w:pStyle w:val="ListParagraph"/>
        <w:keepNext/>
        <w:widowControl/>
        <w:numPr>
          <w:ilvl w:val="1"/>
          <w:numId w:val="39"/>
        </w:numPr>
        <w:ind w:left="709" w:hanging="709"/>
        <w:rPr>
          <w:bCs/>
          <w:lang w:val="en-GB"/>
        </w:rPr>
      </w:pPr>
      <w:r w:rsidRPr="00AE5093">
        <w:rPr>
          <w:bCs/>
          <w:lang w:val="en-GB"/>
        </w:rPr>
        <w:t xml:space="preserve">The PBAC noted that there was no comparative outcome data available </w:t>
      </w:r>
      <w:r w:rsidR="00AE5093" w:rsidRPr="00AE5093">
        <w:rPr>
          <w:bCs/>
          <w:lang w:val="en-GB"/>
        </w:rPr>
        <w:t>for aQIV versus QIV</w:t>
      </w:r>
      <w:r w:rsidR="00C47452">
        <w:rPr>
          <w:bCs/>
          <w:lang w:val="en-GB"/>
        </w:rPr>
        <w:t xml:space="preserve">, </w:t>
      </w:r>
      <w:r w:rsidR="00C47452" w:rsidRPr="00DA725C">
        <w:t>however</w:t>
      </w:r>
      <w:r w:rsidR="00111ADD" w:rsidRPr="00AE5093">
        <w:rPr>
          <w:bCs/>
          <w:lang w:val="en-GB"/>
        </w:rPr>
        <w:t xml:space="preserve"> considered</w:t>
      </w:r>
      <w:r w:rsidR="00985A11" w:rsidRPr="00AE5093">
        <w:rPr>
          <w:bCs/>
          <w:lang w:val="en-GB"/>
        </w:rPr>
        <w:t>,</w:t>
      </w:r>
      <w:r w:rsidR="00111ADD" w:rsidRPr="00AE5093">
        <w:rPr>
          <w:bCs/>
          <w:lang w:val="en-GB"/>
        </w:rPr>
        <w:t xml:space="preserve"> </w:t>
      </w:r>
      <w:r w:rsidR="00985A11" w:rsidRPr="00AE5093">
        <w:rPr>
          <w:bCs/>
          <w:lang w:val="en-GB"/>
        </w:rPr>
        <w:t>by extension,</w:t>
      </w:r>
      <w:r w:rsidR="00CE6F55">
        <w:rPr>
          <w:bCs/>
          <w:lang w:val="en-GB"/>
        </w:rPr>
        <w:t xml:space="preserve"> that the relative benefit of aQIV over QIV was likely to be </w:t>
      </w:r>
      <w:r w:rsidR="00D96AC4">
        <w:rPr>
          <w:bCs/>
          <w:lang w:val="en-GB"/>
        </w:rPr>
        <w:t xml:space="preserve">similar </w:t>
      </w:r>
      <w:r w:rsidR="00CE6F55">
        <w:rPr>
          <w:bCs/>
          <w:lang w:val="en-GB"/>
        </w:rPr>
        <w:t>to that for</w:t>
      </w:r>
      <w:r w:rsidR="00985A11" w:rsidRPr="00AE5093">
        <w:rPr>
          <w:bCs/>
          <w:lang w:val="en-GB"/>
        </w:rPr>
        <w:t xml:space="preserve"> </w:t>
      </w:r>
      <w:r w:rsidR="00111ADD" w:rsidRPr="00AE5093">
        <w:rPr>
          <w:bCs/>
          <w:lang w:val="en-GB"/>
        </w:rPr>
        <w:t xml:space="preserve">aTIV </w:t>
      </w:r>
      <w:r w:rsidR="00CE6F55">
        <w:rPr>
          <w:bCs/>
          <w:lang w:val="en-GB"/>
        </w:rPr>
        <w:t>over</w:t>
      </w:r>
      <w:r w:rsidR="00111ADD" w:rsidRPr="00AE5093">
        <w:rPr>
          <w:bCs/>
          <w:lang w:val="en-GB"/>
        </w:rPr>
        <w:t xml:space="preserve"> TIV</w:t>
      </w:r>
      <w:r w:rsidR="0014404F">
        <w:rPr>
          <w:bCs/>
          <w:lang w:val="en-GB"/>
        </w:rPr>
        <w:t>.</w:t>
      </w:r>
      <w:r w:rsidR="00CE6F55">
        <w:rPr>
          <w:bCs/>
          <w:lang w:val="en-GB"/>
        </w:rPr>
        <w:t xml:space="preserve"> Further, for the comparison of aQIV versus QIV (as opposed to aTIV vs QIV) </w:t>
      </w:r>
      <w:r w:rsidR="00111ADD" w:rsidRPr="00AE5093">
        <w:rPr>
          <w:bCs/>
          <w:lang w:val="en-GB"/>
        </w:rPr>
        <w:t xml:space="preserve">the uncertainty </w:t>
      </w:r>
      <w:r w:rsidR="00CE6F55">
        <w:rPr>
          <w:bCs/>
          <w:lang w:val="en-GB"/>
        </w:rPr>
        <w:t>of</w:t>
      </w:r>
      <w:r w:rsidR="00111ADD" w:rsidRPr="00AE5093">
        <w:rPr>
          <w:bCs/>
          <w:lang w:val="en-GB"/>
        </w:rPr>
        <w:t xml:space="preserve"> the </w:t>
      </w:r>
      <w:r w:rsidR="0014404F">
        <w:rPr>
          <w:bCs/>
          <w:lang w:val="en-GB"/>
        </w:rPr>
        <w:t xml:space="preserve">impact of the </w:t>
      </w:r>
      <w:r w:rsidR="00111ADD" w:rsidRPr="00AE5093">
        <w:rPr>
          <w:bCs/>
          <w:lang w:val="en-GB"/>
        </w:rPr>
        <w:t>missing B strain is removed.</w:t>
      </w:r>
      <w:r w:rsidR="008D396C" w:rsidRPr="00AE5093">
        <w:rPr>
          <w:bCs/>
          <w:lang w:val="en-GB"/>
        </w:rPr>
        <w:t xml:space="preserve"> </w:t>
      </w:r>
    </w:p>
    <w:p w:rsidR="00111ADD" w:rsidRPr="00D05A95" w:rsidRDefault="00111ADD" w:rsidP="00F37302">
      <w:pPr>
        <w:pStyle w:val="ListParagraph"/>
        <w:keepNext/>
        <w:widowControl/>
        <w:numPr>
          <w:ilvl w:val="1"/>
          <w:numId w:val="39"/>
        </w:numPr>
        <w:ind w:left="709" w:hanging="709"/>
        <w:rPr>
          <w:bCs/>
          <w:lang w:val="en-GB"/>
        </w:rPr>
      </w:pPr>
      <w:r w:rsidRPr="008E7C71">
        <w:t>The</w:t>
      </w:r>
      <w:r w:rsidRPr="00D05A95">
        <w:rPr>
          <w:bCs/>
          <w:lang w:val="en-GB"/>
        </w:rPr>
        <w:t xml:space="preserve"> PBAC considered its views on the revised modelling (</w:t>
      </w:r>
      <w:r w:rsidRPr="00AA5337">
        <w:rPr>
          <w:bCs/>
          <w:lang w:val="en-GB"/>
        </w:rPr>
        <w:t xml:space="preserve">paragraph </w:t>
      </w:r>
      <w:r w:rsidR="00A77703" w:rsidRPr="00AA5337">
        <w:rPr>
          <w:bCs/>
          <w:lang w:val="en-GB"/>
        </w:rPr>
        <w:t>7.</w:t>
      </w:r>
      <w:r w:rsidR="0080735E" w:rsidRPr="00AA5337">
        <w:rPr>
          <w:bCs/>
          <w:lang w:val="en-GB"/>
        </w:rPr>
        <w:t>9</w:t>
      </w:r>
      <w:r w:rsidR="00A77703" w:rsidRPr="00AA5337">
        <w:rPr>
          <w:bCs/>
          <w:lang w:val="en-GB"/>
        </w:rPr>
        <w:t>)</w:t>
      </w:r>
      <w:r w:rsidRPr="00AA5337">
        <w:rPr>
          <w:bCs/>
          <w:lang w:val="en-GB"/>
        </w:rPr>
        <w:t xml:space="preserve"> would</w:t>
      </w:r>
      <w:r w:rsidR="00552618">
        <w:rPr>
          <w:bCs/>
          <w:lang w:val="en-GB"/>
        </w:rPr>
        <w:t xml:space="preserve"> apply to the </w:t>
      </w:r>
      <w:r w:rsidR="00552618" w:rsidRPr="00DA725C">
        <w:t>incremental</w:t>
      </w:r>
      <w:r w:rsidR="00552618">
        <w:rPr>
          <w:bCs/>
          <w:lang w:val="en-GB"/>
        </w:rPr>
        <w:t xml:space="preserve"> cost effectiveness of aQIV over QIV and the resulting</w:t>
      </w:r>
      <w:r w:rsidRPr="00D05A95">
        <w:rPr>
          <w:bCs/>
          <w:lang w:val="en-GB"/>
        </w:rPr>
        <w:t xml:space="preserve"> ICER</w:t>
      </w:r>
      <w:r w:rsidR="00552618">
        <w:rPr>
          <w:bCs/>
          <w:lang w:val="en-GB"/>
        </w:rPr>
        <w:t xml:space="preserve"> of </w:t>
      </w:r>
      <w:r w:rsidR="00FB7625">
        <w:rPr>
          <w:bCs/>
          <w:lang w:val="en-GB"/>
        </w:rPr>
        <w:t>l</w:t>
      </w:r>
      <w:r w:rsidR="00A86058">
        <w:rPr>
          <w:bCs/>
          <w:lang w:val="en-GB"/>
        </w:rPr>
        <w:t>ess than $15,000</w:t>
      </w:r>
      <w:r w:rsidR="00552618">
        <w:rPr>
          <w:bCs/>
          <w:lang w:val="en-GB"/>
        </w:rPr>
        <w:t xml:space="preserve"> per QALY</w:t>
      </w:r>
      <w:r w:rsidRPr="00D05A95">
        <w:rPr>
          <w:bCs/>
          <w:lang w:val="en-GB"/>
        </w:rPr>
        <w:t xml:space="preserve"> </w:t>
      </w:r>
      <w:r w:rsidR="00CE6F55">
        <w:rPr>
          <w:bCs/>
          <w:lang w:val="en-GB"/>
        </w:rPr>
        <w:t>is</w:t>
      </w:r>
      <w:r w:rsidRPr="00D05A95">
        <w:rPr>
          <w:bCs/>
          <w:lang w:val="en-GB"/>
        </w:rPr>
        <w:t xml:space="preserve"> reasonable.</w:t>
      </w:r>
    </w:p>
    <w:p w:rsidR="00F327FF" w:rsidRPr="00BE66A0" w:rsidRDefault="00111ADD" w:rsidP="00F37302">
      <w:pPr>
        <w:pStyle w:val="ListParagraph"/>
        <w:widowControl/>
        <w:numPr>
          <w:ilvl w:val="1"/>
          <w:numId w:val="39"/>
        </w:numPr>
        <w:spacing w:after="240"/>
      </w:pPr>
      <w:r w:rsidRPr="008E7C71">
        <w:t>The</w:t>
      </w:r>
      <w:r w:rsidRPr="00D05A95">
        <w:rPr>
          <w:bCs/>
          <w:lang w:val="en-GB"/>
        </w:rPr>
        <w:t xml:space="preserve"> PBAC</w:t>
      </w:r>
      <w:r w:rsidRPr="00DA725C">
        <w:t xml:space="preserve"> noted that the financial impact</w:t>
      </w:r>
      <w:r w:rsidR="00282DFE" w:rsidRPr="00DA725C">
        <w:t xml:space="preserve"> to the NIP</w:t>
      </w:r>
      <w:r w:rsidRPr="00DA725C">
        <w:t xml:space="preserve"> of the listing was high </w:t>
      </w:r>
      <w:r w:rsidR="00175A3A" w:rsidRPr="00DA725C">
        <w:t>at an estimated</w:t>
      </w:r>
      <w:r w:rsidR="00123C12">
        <w:rPr>
          <w:bCs/>
          <w:lang w:val="en-GB"/>
        </w:rPr>
        <w:t xml:space="preserve"> </w:t>
      </w:r>
      <w:r w:rsidR="004E31F2">
        <w:t xml:space="preserve">more than </w:t>
      </w:r>
      <w:r w:rsidR="00FB7625">
        <w:t>$100</w:t>
      </w:r>
      <w:r w:rsidR="00282DFE" w:rsidRPr="00912D28">
        <w:t xml:space="preserve"> million over </w:t>
      </w:r>
      <w:r w:rsidR="00282DFE">
        <w:t>six</w:t>
      </w:r>
      <w:r w:rsidR="00282DFE" w:rsidRPr="00912D28">
        <w:t xml:space="preserve"> years.</w:t>
      </w:r>
    </w:p>
    <w:p w:rsidR="00111ADD" w:rsidRPr="00111ADD" w:rsidRDefault="001627E4" w:rsidP="00BE66A0">
      <w:pPr>
        <w:spacing w:after="120"/>
        <w:rPr>
          <w:rFonts w:asciiTheme="minorHAnsi" w:eastAsiaTheme="minorHAnsi" w:hAnsiTheme="minorHAnsi" w:cs="Times New Roman"/>
          <w:b/>
          <w:bCs/>
          <w:lang w:val="en-GB"/>
        </w:rPr>
      </w:pPr>
      <w:r>
        <w:rPr>
          <w:rFonts w:asciiTheme="minorHAnsi" w:eastAsiaTheme="minorHAnsi" w:hAnsiTheme="minorHAnsi" w:cs="Times New Roman"/>
          <w:b/>
          <w:bCs/>
          <w:lang w:val="en-GB"/>
        </w:rPr>
        <w:t>Outcome:</w:t>
      </w:r>
    </w:p>
    <w:p w:rsidR="009D601E" w:rsidRDefault="00111ADD">
      <w:pPr>
        <w:rPr>
          <w:rFonts w:asciiTheme="minorHAnsi" w:hAnsiTheme="minorHAnsi"/>
          <w:bCs/>
          <w:lang w:val="en-GB"/>
        </w:rPr>
      </w:pPr>
      <w:r w:rsidRPr="002D5716">
        <w:rPr>
          <w:rFonts w:asciiTheme="minorHAnsi" w:hAnsiTheme="minorHAnsi"/>
          <w:bCs/>
          <w:lang w:val="en-GB"/>
        </w:rPr>
        <w:t>Deferred</w:t>
      </w:r>
    </w:p>
    <w:p w:rsidR="009D601E" w:rsidRDefault="009D601E">
      <w:pPr>
        <w:rPr>
          <w:rFonts w:asciiTheme="minorHAnsi" w:hAnsiTheme="minorHAnsi"/>
          <w:bCs/>
          <w:lang w:val="en-GB"/>
        </w:rPr>
      </w:pPr>
      <w:r>
        <w:rPr>
          <w:rFonts w:asciiTheme="minorHAnsi" w:hAnsiTheme="minorHAnsi"/>
          <w:bCs/>
          <w:lang w:val="en-GB"/>
        </w:rPr>
        <w:br w:type="page"/>
      </w:r>
    </w:p>
    <w:p w:rsidR="00AB3754" w:rsidRPr="00AB3754" w:rsidRDefault="00AB3754" w:rsidP="001627E4">
      <w:pPr>
        <w:pStyle w:val="2-SectionHeading"/>
        <w:rPr>
          <w:rFonts w:eastAsiaTheme="majorEastAsia"/>
        </w:rPr>
      </w:pPr>
      <w:r w:rsidRPr="00AB3754">
        <w:rPr>
          <w:rFonts w:eastAsiaTheme="majorEastAsia"/>
        </w:rPr>
        <w:lastRenderedPageBreak/>
        <w:t>Context for Decision</w:t>
      </w:r>
    </w:p>
    <w:p w:rsidR="00AB3754" w:rsidRPr="001627E4" w:rsidRDefault="00AB3754" w:rsidP="001627E4">
      <w:pPr>
        <w:spacing w:before="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1627E4">
        <w:rPr>
          <w:rFonts w:asciiTheme="minorHAnsi" w:hAnsiTheme="minorHAnsi"/>
        </w:rPr>
        <w:t>nt review of the PBAC decision.</w:t>
      </w:r>
    </w:p>
    <w:p w:rsidR="00AB3754" w:rsidRPr="00AB3754" w:rsidRDefault="00AB3754" w:rsidP="001627E4">
      <w:pPr>
        <w:pStyle w:val="2-SectionHeading"/>
        <w:rPr>
          <w:rFonts w:eastAsiaTheme="majorEastAsia"/>
        </w:rPr>
      </w:pPr>
      <w:r w:rsidRPr="00AB3754">
        <w:rPr>
          <w:rFonts w:eastAsiaTheme="majorEastAsia"/>
        </w:rPr>
        <w:t>Sponsor’s Comment</w:t>
      </w:r>
    </w:p>
    <w:p w:rsidR="00AB3754" w:rsidRPr="001627E4" w:rsidRDefault="001627E4" w:rsidP="001627E4">
      <w:pPr>
        <w:spacing w:before="120" w:after="120"/>
        <w:ind w:left="425" w:firstLine="284"/>
        <w:rPr>
          <w:rFonts w:asciiTheme="minorHAnsi" w:hAnsiTheme="minorHAnsi"/>
          <w:bCs/>
        </w:rPr>
      </w:pPr>
      <w:r>
        <w:rPr>
          <w:rFonts w:asciiTheme="minorHAnsi" w:hAnsiTheme="minorHAnsi"/>
          <w:bCs/>
        </w:rPr>
        <w:t>The sponsor had no comment.</w:t>
      </w:r>
    </w:p>
    <w:sectPr w:rsidR="00AB3754" w:rsidRPr="001627E4" w:rsidSect="00F116BF">
      <w:headerReference w:type="default" r:id="rId17"/>
      <w:footerReference w:type="default" r:id="rId18"/>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8449B" w16cid:durableId="20FAAE7B"/>
  <w16cid:commentId w16cid:paraId="4430317B" w16cid:durableId="20FAAE82"/>
  <w16cid:commentId w16cid:paraId="487C187B" w16cid:durableId="20FAAE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7B" w:rsidRDefault="008E537B" w:rsidP="00124A51">
      <w:r>
        <w:separator/>
      </w:r>
    </w:p>
    <w:p w:rsidR="008E537B" w:rsidRDefault="008E537B"/>
  </w:endnote>
  <w:endnote w:type="continuationSeparator" w:id="0">
    <w:p w:rsidR="008E537B" w:rsidRDefault="008E537B" w:rsidP="00124A51">
      <w:r>
        <w:continuationSeparator/>
      </w:r>
    </w:p>
    <w:p w:rsidR="008E537B" w:rsidRDefault="008E5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1E" w:rsidRDefault="009D601E">
    <w:pPr>
      <w:pStyle w:val="Footer"/>
      <w:jc w:val="center"/>
    </w:pPr>
  </w:p>
  <w:p w:rsidR="009D601E" w:rsidRDefault="00B502E6" w:rsidP="009D601E">
    <w:pPr>
      <w:pStyle w:val="PageFooter"/>
    </w:pPr>
    <w:sdt>
      <w:sdtPr>
        <w:id w:val="1583718561"/>
        <w:docPartObj>
          <w:docPartGallery w:val="Page Numbers (Bottom of Page)"/>
          <w:docPartUnique/>
        </w:docPartObj>
      </w:sdtPr>
      <w:sdtEndPr>
        <w:rPr>
          <w:noProof/>
        </w:rPr>
      </w:sdtEndPr>
      <w:sdtContent>
        <w:r w:rsidR="009D601E">
          <w:fldChar w:fldCharType="begin"/>
        </w:r>
        <w:r w:rsidR="009D601E">
          <w:instrText xml:space="preserve"> PAGE   \* MERGEFORMAT </w:instrText>
        </w:r>
        <w:r w:rsidR="009D601E">
          <w:fldChar w:fldCharType="separate"/>
        </w:r>
        <w:r>
          <w:rPr>
            <w:noProof/>
          </w:rPr>
          <w:t>30</w:t>
        </w:r>
        <w:r w:rsidR="009D601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7B" w:rsidRDefault="008E537B" w:rsidP="00124A51">
      <w:r>
        <w:separator/>
      </w:r>
    </w:p>
    <w:p w:rsidR="008E537B" w:rsidRDefault="008E537B"/>
  </w:footnote>
  <w:footnote w:type="continuationSeparator" w:id="0">
    <w:p w:rsidR="008E537B" w:rsidRDefault="008E537B" w:rsidP="00124A51">
      <w:r>
        <w:continuationSeparator/>
      </w:r>
    </w:p>
    <w:p w:rsidR="008E537B" w:rsidRDefault="008E537B"/>
  </w:footnote>
  <w:footnote w:id="1">
    <w:p w:rsidR="008E537B" w:rsidRPr="00DD4558" w:rsidRDefault="008E537B">
      <w:pPr>
        <w:pStyle w:val="FootnoteText"/>
      </w:pPr>
      <w:r w:rsidRPr="00DD4558">
        <w:rPr>
          <w:rStyle w:val="FootnoteReference"/>
        </w:rPr>
        <w:footnoteRef/>
      </w:r>
      <w:r w:rsidRPr="00DD4558">
        <w:t xml:space="preserve"> Department of Health</w:t>
      </w:r>
      <w:r>
        <w:t xml:space="preserve"> (March 2019)</w:t>
      </w:r>
      <w:r w:rsidRPr="00DD4558">
        <w:t xml:space="preserve">, 2019 influenza vaccines – Statement from the Chief Medical Officer, </w:t>
      </w:r>
      <w:hyperlink r:id="rId1" w:history="1">
        <w:r w:rsidRPr="00DD4558">
          <w:rPr>
            <w:rStyle w:val="Hyperlink"/>
          </w:rPr>
          <w:t>https://beta.health.gov.au/news/2019-influenza-vaccines</w:t>
        </w:r>
      </w:hyperlink>
    </w:p>
  </w:footnote>
  <w:footnote w:id="2">
    <w:p w:rsidR="008E537B" w:rsidRPr="00B97A2E" w:rsidRDefault="008E537B" w:rsidP="007C0C7D">
      <w:pPr>
        <w:pStyle w:val="FootnoteText"/>
      </w:pPr>
      <w:r w:rsidRPr="00B97A2E">
        <w:rPr>
          <w:rStyle w:val="FootnoteReference"/>
        </w:rPr>
        <w:footnoteRef/>
      </w:r>
      <w:r w:rsidRPr="00B97A2E">
        <w:t xml:space="preserve"> Success criteria was met if the lower limit of the two-sided 95% CI for the percentage of subjects achieving SCR for HI antibody met or exceeded ≥ 30% AND the lower limit of the two-sided 95% CI for the percentage of subjects achieving an HI antibody titre ≥ 1:40 was ≥60%. </w:t>
      </w:r>
    </w:p>
  </w:footnote>
  <w:footnote w:id="3">
    <w:p w:rsidR="008E537B" w:rsidRDefault="008E537B">
      <w:pPr>
        <w:pStyle w:val="FootnoteText"/>
      </w:pPr>
      <w:r>
        <w:rPr>
          <w:rStyle w:val="FootnoteReference"/>
        </w:rPr>
        <w:footnoteRef/>
      </w:r>
      <w:r>
        <w:t xml:space="preserve"> </w:t>
      </w:r>
      <w:r w:rsidRPr="00F65FFF">
        <w:rPr>
          <w:rFonts w:ascii="Arial Narrow" w:hAnsi="Arial Narrow" w:cstheme="minorHAnsi"/>
          <w:sz w:val="18"/>
          <w:szCs w:val="18"/>
        </w:rPr>
        <w:t>Mauskopf J, Cates S, Griffin A, et al. Cost effectiveness of Zanamivir for the treatment of influenza in a high risk population in Australia. 2000;17(6):611-620.</w:t>
      </w:r>
    </w:p>
  </w:footnote>
  <w:footnote w:id="4">
    <w:p w:rsidR="008E537B" w:rsidRDefault="008E537B">
      <w:pPr>
        <w:pStyle w:val="FootnoteText"/>
      </w:pPr>
      <w:r>
        <w:rPr>
          <w:rStyle w:val="FootnoteReference"/>
        </w:rPr>
        <w:footnoteRef/>
      </w:r>
      <w:r>
        <w:t xml:space="preserve"> </w:t>
      </w:r>
      <w:r w:rsidRPr="002C27BC">
        <w:t>Public Summary Document</w:t>
      </w:r>
      <w:r>
        <w:t xml:space="preserve"> –</w:t>
      </w:r>
      <w:r w:rsidRPr="002C27BC">
        <w:t xml:space="preserve"> </w:t>
      </w:r>
      <w:r w:rsidRPr="000203A9">
        <w:t xml:space="preserve">Inactivated influenza vaccine (surface antigen), adjuvanted </w:t>
      </w:r>
      <w:r w:rsidRPr="002C27BC">
        <w:t>(</w:t>
      </w:r>
      <w:r>
        <w:t>Fluad</w:t>
      </w:r>
      <w:r w:rsidRPr="002C27BC">
        <w:t>®</w:t>
      </w:r>
      <w:r>
        <w:t>), March 2018 PBAC meeting</w:t>
      </w:r>
    </w:p>
  </w:footnote>
  <w:footnote w:id="5">
    <w:p w:rsidR="008E537B" w:rsidRDefault="008E537B">
      <w:pPr>
        <w:pStyle w:val="FootnoteText"/>
      </w:pPr>
      <w:r>
        <w:rPr>
          <w:rStyle w:val="FootnoteReference"/>
        </w:rPr>
        <w:footnoteRef/>
      </w:r>
      <w:r>
        <w:t xml:space="preserve"> </w:t>
      </w:r>
      <w:r w:rsidRPr="002C27BC">
        <w:t>Public Summary Document</w:t>
      </w:r>
      <w:r>
        <w:t xml:space="preserve"> –</w:t>
      </w:r>
      <w:r w:rsidRPr="002C27BC">
        <w:t xml:space="preserve"> </w:t>
      </w:r>
      <w:r w:rsidRPr="000203A9">
        <w:t>Inactivated influenza vaccine (surface antigen), adjuvanted</w:t>
      </w:r>
      <w:r w:rsidRPr="002C27BC">
        <w:t xml:space="preserve"> (</w:t>
      </w:r>
      <w:r>
        <w:t>Fluad</w:t>
      </w:r>
      <w:r w:rsidRPr="002C27BC">
        <w:t>®</w:t>
      </w:r>
      <w:r>
        <w:t>), March 2018 PBAC meeting, p8</w:t>
      </w:r>
    </w:p>
  </w:footnote>
  <w:footnote w:id="6">
    <w:p w:rsidR="008E537B" w:rsidRDefault="008E537B" w:rsidP="00895256">
      <w:pPr>
        <w:pStyle w:val="FootnoteText"/>
      </w:pPr>
      <w:r>
        <w:rPr>
          <w:rStyle w:val="FootnoteReference"/>
        </w:rPr>
        <w:footnoteRef/>
      </w:r>
      <w:r>
        <w:t xml:space="preserve"> </w:t>
      </w:r>
      <w:r w:rsidRPr="002C27BC">
        <w:t>Public Summary Document</w:t>
      </w:r>
      <w:r>
        <w:t xml:space="preserve"> – </w:t>
      </w:r>
      <w:r w:rsidRPr="007F512E">
        <w:t xml:space="preserve">Influenza Vaccine (quadrivalent) </w:t>
      </w:r>
      <w:r w:rsidRPr="002C27BC">
        <w:t>(</w:t>
      </w:r>
      <w:r>
        <w:t>Fluarix Tetra</w:t>
      </w:r>
      <w:r w:rsidRPr="002C27BC">
        <w:t>®</w:t>
      </w:r>
      <w:r>
        <w:t>), March 2015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7B" w:rsidRPr="0034133F" w:rsidRDefault="008E537B" w:rsidP="00247508">
    <w:pPr>
      <w:pStyle w:val="Header"/>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2019</w:t>
    </w:r>
    <w:r w:rsidRPr="00056684">
      <w:rPr>
        <w:rFonts w:asciiTheme="minorHAnsi" w:hAnsiTheme="minorHAnsi"/>
        <w:i/>
        <w:color w:val="808080"/>
      </w:rPr>
      <w:t xml:space="preserve"> PBAC Meeting</w:t>
    </w:r>
  </w:p>
  <w:p w:rsidR="008E537B" w:rsidRPr="008C7ECB" w:rsidRDefault="008E537B" w:rsidP="000F3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461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14B05"/>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03101"/>
    <w:multiLevelType w:val="hybridMultilevel"/>
    <w:tmpl w:val="C088D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919AE"/>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608E6"/>
    <w:multiLevelType w:val="multilevel"/>
    <w:tmpl w:val="415A87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B1F16"/>
    <w:multiLevelType w:val="hybridMultilevel"/>
    <w:tmpl w:val="112E8976"/>
    <w:lvl w:ilvl="0" w:tplc="FD5AF2FA">
      <w:numFmt w:val="bullet"/>
      <w:lvlText w:val="-"/>
      <w:lvlJc w:val="left"/>
      <w:pPr>
        <w:ind w:left="1467" w:hanging="360"/>
      </w:pPr>
      <w:rPr>
        <w:rFonts w:ascii="Calibri" w:eastAsia="Times New Roman" w:hAnsi="Calibri" w:cs="Calibri" w:hint="default"/>
      </w:rPr>
    </w:lvl>
    <w:lvl w:ilvl="1" w:tplc="0C090003" w:tentative="1">
      <w:start w:val="1"/>
      <w:numFmt w:val="bullet"/>
      <w:lvlText w:val="o"/>
      <w:lvlJc w:val="left"/>
      <w:pPr>
        <w:ind w:left="2187" w:hanging="360"/>
      </w:pPr>
      <w:rPr>
        <w:rFonts w:ascii="Courier New" w:hAnsi="Courier New" w:cs="Courier New" w:hint="default"/>
      </w:rPr>
    </w:lvl>
    <w:lvl w:ilvl="2" w:tplc="0C090005" w:tentative="1">
      <w:start w:val="1"/>
      <w:numFmt w:val="bullet"/>
      <w:lvlText w:val=""/>
      <w:lvlJc w:val="left"/>
      <w:pPr>
        <w:ind w:left="2907" w:hanging="360"/>
      </w:pPr>
      <w:rPr>
        <w:rFonts w:ascii="Wingdings" w:hAnsi="Wingdings" w:hint="default"/>
      </w:rPr>
    </w:lvl>
    <w:lvl w:ilvl="3" w:tplc="0C090001" w:tentative="1">
      <w:start w:val="1"/>
      <w:numFmt w:val="bullet"/>
      <w:lvlText w:val=""/>
      <w:lvlJc w:val="left"/>
      <w:pPr>
        <w:ind w:left="3627" w:hanging="360"/>
      </w:pPr>
      <w:rPr>
        <w:rFonts w:ascii="Symbol" w:hAnsi="Symbol" w:hint="default"/>
      </w:rPr>
    </w:lvl>
    <w:lvl w:ilvl="4" w:tplc="0C090003" w:tentative="1">
      <w:start w:val="1"/>
      <w:numFmt w:val="bullet"/>
      <w:lvlText w:val="o"/>
      <w:lvlJc w:val="left"/>
      <w:pPr>
        <w:ind w:left="4347" w:hanging="360"/>
      </w:pPr>
      <w:rPr>
        <w:rFonts w:ascii="Courier New" w:hAnsi="Courier New" w:cs="Courier New" w:hint="default"/>
      </w:rPr>
    </w:lvl>
    <w:lvl w:ilvl="5" w:tplc="0C090005" w:tentative="1">
      <w:start w:val="1"/>
      <w:numFmt w:val="bullet"/>
      <w:lvlText w:val=""/>
      <w:lvlJc w:val="left"/>
      <w:pPr>
        <w:ind w:left="5067" w:hanging="360"/>
      </w:pPr>
      <w:rPr>
        <w:rFonts w:ascii="Wingdings" w:hAnsi="Wingdings" w:hint="default"/>
      </w:rPr>
    </w:lvl>
    <w:lvl w:ilvl="6" w:tplc="0C090001" w:tentative="1">
      <w:start w:val="1"/>
      <w:numFmt w:val="bullet"/>
      <w:lvlText w:val=""/>
      <w:lvlJc w:val="left"/>
      <w:pPr>
        <w:ind w:left="5787" w:hanging="360"/>
      </w:pPr>
      <w:rPr>
        <w:rFonts w:ascii="Symbol" w:hAnsi="Symbol" w:hint="default"/>
      </w:rPr>
    </w:lvl>
    <w:lvl w:ilvl="7" w:tplc="0C090003" w:tentative="1">
      <w:start w:val="1"/>
      <w:numFmt w:val="bullet"/>
      <w:lvlText w:val="o"/>
      <w:lvlJc w:val="left"/>
      <w:pPr>
        <w:ind w:left="6507" w:hanging="360"/>
      </w:pPr>
      <w:rPr>
        <w:rFonts w:ascii="Courier New" w:hAnsi="Courier New" w:cs="Courier New" w:hint="default"/>
      </w:rPr>
    </w:lvl>
    <w:lvl w:ilvl="8" w:tplc="0C090005" w:tentative="1">
      <w:start w:val="1"/>
      <w:numFmt w:val="bullet"/>
      <w:lvlText w:val=""/>
      <w:lvlJc w:val="left"/>
      <w:pPr>
        <w:ind w:left="7227" w:hanging="360"/>
      </w:pPr>
      <w:rPr>
        <w:rFonts w:ascii="Wingdings" w:hAnsi="Wingdings" w:hint="default"/>
      </w:rPr>
    </w:lvl>
  </w:abstractNum>
  <w:abstractNum w:abstractNumId="9" w15:restartNumberingAfterBreak="0">
    <w:nsid w:val="209C2B22"/>
    <w:multiLevelType w:val="multilevel"/>
    <w:tmpl w:val="C80057D2"/>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50187"/>
    <w:multiLevelType w:val="hybridMultilevel"/>
    <w:tmpl w:val="85745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AD78F1"/>
    <w:multiLevelType w:val="multilevel"/>
    <w:tmpl w:val="87EE2002"/>
    <w:lvl w:ilvl="0">
      <w:start w:val="1"/>
      <w:numFmt w:val="decimal"/>
      <w:lvlText w:val="%1"/>
      <w:lvlJc w:val="left"/>
      <w:pPr>
        <w:ind w:left="720" w:hanging="720"/>
      </w:pPr>
      <w:rPr>
        <w:rFonts w:hint="default"/>
        <w:b/>
      </w:rPr>
    </w:lvl>
    <w:lvl w:ilvl="1">
      <w:start w:val="1"/>
      <w:numFmt w:val="bullet"/>
      <w:lvlText w:val=""/>
      <w:lvlJc w:val="left"/>
      <w:pPr>
        <w:ind w:left="1571"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A0C1B"/>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CC64E2"/>
    <w:multiLevelType w:val="hybridMultilevel"/>
    <w:tmpl w:val="51CC8684"/>
    <w:lvl w:ilvl="0" w:tplc="D826B16C">
      <w:start w:val="1"/>
      <w:numFmt w:val="bullet"/>
      <w:pStyle w:val="Table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C8558C"/>
    <w:multiLevelType w:val="hybridMultilevel"/>
    <w:tmpl w:val="67C2E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42297"/>
    <w:multiLevelType w:val="hybridMultilevel"/>
    <w:tmpl w:val="5B74F7DA"/>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863B7"/>
    <w:multiLevelType w:val="hybridMultilevel"/>
    <w:tmpl w:val="42A2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C701A"/>
    <w:multiLevelType w:val="hybridMultilevel"/>
    <w:tmpl w:val="BF04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F11DC8"/>
    <w:multiLevelType w:val="multilevel"/>
    <w:tmpl w:val="8BEEC94C"/>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0D52E1"/>
    <w:multiLevelType w:val="hybridMultilevel"/>
    <w:tmpl w:val="65A4BB08"/>
    <w:lvl w:ilvl="0" w:tplc="940286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8A0F2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B348F2"/>
    <w:multiLevelType w:val="singleLevel"/>
    <w:tmpl w:val="E10076E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29" w15:restartNumberingAfterBreak="0">
    <w:nsid w:val="596416D2"/>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FC4F24"/>
    <w:multiLevelType w:val="multilevel"/>
    <w:tmpl w:val="5AFABE8C"/>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E907F5"/>
    <w:multiLevelType w:val="multilevel"/>
    <w:tmpl w:val="C80057D2"/>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C03FCD"/>
    <w:multiLevelType w:val="hybridMultilevel"/>
    <w:tmpl w:val="101C7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4D033C"/>
    <w:multiLevelType w:val="multilevel"/>
    <w:tmpl w:val="FFB8C56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34418"/>
    <w:multiLevelType w:val="hybridMultilevel"/>
    <w:tmpl w:val="2B8CF7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9"/>
  </w:num>
  <w:num w:numId="3">
    <w:abstractNumId w:val="32"/>
  </w:num>
  <w:num w:numId="4">
    <w:abstractNumId w:val="5"/>
  </w:num>
  <w:num w:numId="5">
    <w:abstractNumId w:val="18"/>
  </w:num>
  <w:num w:numId="6">
    <w:abstractNumId w:val="28"/>
  </w:num>
  <w:num w:numId="7">
    <w:abstractNumId w:val="22"/>
  </w:num>
  <w:num w:numId="8">
    <w:abstractNumId w:val="0"/>
  </w:num>
  <w:num w:numId="9">
    <w:abstractNumId w:val="4"/>
  </w:num>
  <w:num w:numId="10">
    <w:abstractNumId w:val="14"/>
  </w:num>
  <w:num w:numId="11">
    <w:abstractNumId w:val="25"/>
  </w:num>
  <w:num w:numId="12">
    <w:abstractNumId w:val="30"/>
  </w:num>
  <w:num w:numId="13">
    <w:abstractNumId w:val="7"/>
  </w:num>
  <w:num w:numId="14">
    <w:abstractNumId w:val="21"/>
  </w:num>
  <w:num w:numId="15">
    <w:abstractNumId w:val="8"/>
  </w:num>
  <w:num w:numId="16">
    <w:abstractNumId w:val="12"/>
  </w:num>
  <w:num w:numId="17">
    <w:abstractNumId w:val="33"/>
  </w:num>
  <w:num w:numId="18">
    <w:abstractNumId w:val="26"/>
  </w:num>
  <w:num w:numId="19">
    <w:abstractNumId w:val="27"/>
  </w:num>
  <w:num w:numId="20">
    <w:abstractNumId w:val="2"/>
  </w:num>
  <w:num w:numId="21">
    <w:abstractNumId w:val="1"/>
  </w:num>
  <w:num w:numId="22">
    <w:abstractNumId w:val="11"/>
  </w:num>
  <w:num w:numId="23">
    <w:abstractNumId w:val="13"/>
  </w:num>
  <w:num w:numId="24">
    <w:abstractNumId w:val="10"/>
  </w:num>
  <w:num w:numId="25">
    <w:abstractNumId w:val="24"/>
  </w:num>
  <w:num w:numId="26">
    <w:abstractNumId w:val="17"/>
  </w:num>
  <w:num w:numId="27">
    <w:abstractNumId w:val="31"/>
  </w:num>
  <w:num w:numId="28">
    <w:abstractNumId w:val="9"/>
  </w:num>
  <w:num w:numId="29">
    <w:abstractNumId w:val="23"/>
  </w:num>
  <w:num w:numId="30">
    <w:abstractNumId w:val="15"/>
  </w:num>
  <w:num w:numId="31">
    <w:abstractNumId w:val="6"/>
  </w:num>
  <w:num w:numId="32">
    <w:abstractNumId w:val="34"/>
  </w:num>
  <w:num w:numId="33">
    <w:abstractNumId w:val="3"/>
  </w:num>
  <w:num w:numId="34">
    <w:abstractNumId w:val="29"/>
  </w:num>
  <w:num w:numId="35">
    <w:abstractNumId w:val="33"/>
  </w:num>
  <w:num w:numId="36">
    <w:abstractNumId w:val="33"/>
  </w:num>
  <w:num w:numId="37">
    <w:abstractNumId w:val="16"/>
  </w:num>
  <w:num w:numId="38">
    <w:abstractNumId w:val="33"/>
  </w:num>
  <w:num w:numId="3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74"/>
    <w:rsid w:val="00000790"/>
    <w:rsid w:val="000008A7"/>
    <w:rsid w:val="00000A3B"/>
    <w:rsid w:val="0000110B"/>
    <w:rsid w:val="00002689"/>
    <w:rsid w:val="00003499"/>
    <w:rsid w:val="000039B7"/>
    <w:rsid w:val="000040EE"/>
    <w:rsid w:val="00004E57"/>
    <w:rsid w:val="00011B2D"/>
    <w:rsid w:val="00011C1D"/>
    <w:rsid w:val="000123E8"/>
    <w:rsid w:val="0001283A"/>
    <w:rsid w:val="00012A82"/>
    <w:rsid w:val="00013247"/>
    <w:rsid w:val="000156B2"/>
    <w:rsid w:val="00015886"/>
    <w:rsid w:val="000162EF"/>
    <w:rsid w:val="000203A9"/>
    <w:rsid w:val="0002225F"/>
    <w:rsid w:val="00022373"/>
    <w:rsid w:val="00023763"/>
    <w:rsid w:val="00026F04"/>
    <w:rsid w:val="00031111"/>
    <w:rsid w:val="00033863"/>
    <w:rsid w:val="00035DC0"/>
    <w:rsid w:val="00036829"/>
    <w:rsid w:val="00037403"/>
    <w:rsid w:val="00037541"/>
    <w:rsid w:val="00040895"/>
    <w:rsid w:val="000424CF"/>
    <w:rsid w:val="0004265F"/>
    <w:rsid w:val="000426C6"/>
    <w:rsid w:val="000429E7"/>
    <w:rsid w:val="00043B7D"/>
    <w:rsid w:val="00043C37"/>
    <w:rsid w:val="00045017"/>
    <w:rsid w:val="000459EF"/>
    <w:rsid w:val="00045A2B"/>
    <w:rsid w:val="0004698F"/>
    <w:rsid w:val="00051507"/>
    <w:rsid w:val="00052F5C"/>
    <w:rsid w:val="0005339C"/>
    <w:rsid w:val="000539D0"/>
    <w:rsid w:val="00054621"/>
    <w:rsid w:val="000546D7"/>
    <w:rsid w:val="00054A52"/>
    <w:rsid w:val="00055569"/>
    <w:rsid w:val="00055806"/>
    <w:rsid w:val="0005738F"/>
    <w:rsid w:val="00060F23"/>
    <w:rsid w:val="00061E86"/>
    <w:rsid w:val="00062BA6"/>
    <w:rsid w:val="00062BCD"/>
    <w:rsid w:val="00064B44"/>
    <w:rsid w:val="00065E1F"/>
    <w:rsid w:val="00066360"/>
    <w:rsid w:val="000678BC"/>
    <w:rsid w:val="00071248"/>
    <w:rsid w:val="000720B9"/>
    <w:rsid w:val="000737F7"/>
    <w:rsid w:val="000747F5"/>
    <w:rsid w:val="0007672F"/>
    <w:rsid w:val="000771FA"/>
    <w:rsid w:val="000774F0"/>
    <w:rsid w:val="00077826"/>
    <w:rsid w:val="00080909"/>
    <w:rsid w:val="00080B1E"/>
    <w:rsid w:val="000812A1"/>
    <w:rsid w:val="000812CA"/>
    <w:rsid w:val="0008258D"/>
    <w:rsid w:val="0008334D"/>
    <w:rsid w:val="00083E99"/>
    <w:rsid w:val="000856C5"/>
    <w:rsid w:val="000902B6"/>
    <w:rsid w:val="00090C7E"/>
    <w:rsid w:val="00091F45"/>
    <w:rsid w:val="00092600"/>
    <w:rsid w:val="0009262B"/>
    <w:rsid w:val="00093310"/>
    <w:rsid w:val="00094195"/>
    <w:rsid w:val="0009445C"/>
    <w:rsid w:val="00095FE5"/>
    <w:rsid w:val="00096284"/>
    <w:rsid w:val="0009656B"/>
    <w:rsid w:val="00097539"/>
    <w:rsid w:val="000A14BC"/>
    <w:rsid w:val="000A16E2"/>
    <w:rsid w:val="000A3B06"/>
    <w:rsid w:val="000A7D08"/>
    <w:rsid w:val="000B0653"/>
    <w:rsid w:val="000B0670"/>
    <w:rsid w:val="000B08F9"/>
    <w:rsid w:val="000B0E75"/>
    <w:rsid w:val="000B2EA8"/>
    <w:rsid w:val="000B6CAC"/>
    <w:rsid w:val="000B7612"/>
    <w:rsid w:val="000C0396"/>
    <w:rsid w:val="000C2DB5"/>
    <w:rsid w:val="000C3B4C"/>
    <w:rsid w:val="000C3DF9"/>
    <w:rsid w:val="000C6713"/>
    <w:rsid w:val="000C6FB7"/>
    <w:rsid w:val="000D1BFC"/>
    <w:rsid w:val="000D2702"/>
    <w:rsid w:val="000D281A"/>
    <w:rsid w:val="000D326A"/>
    <w:rsid w:val="000D3878"/>
    <w:rsid w:val="000D48DE"/>
    <w:rsid w:val="000D51FB"/>
    <w:rsid w:val="000D5BCD"/>
    <w:rsid w:val="000D671D"/>
    <w:rsid w:val="000D74A2"/>
    <w:rsid w:val="000E135D"/>
    <w:rsid w:val="000E1698"/>
    <w:rsid w:val="000E2007"/>
    <w:rsid w:val="000E20E9"/>
    <w:rsid w:val="000E560D"/>
    <w:rsid w:val="000E69B6"/>
    <w:rsid w:val="000E73A0"/>
    <w:rsid w:val="000F00BA"/>
    <w:rsid w:val="000F0B09"/>
    <w:rsid w:val="000F283B"/>
    <w:rsid w:val="000F316A"/>
    <w:rsid w:val="000F38F8"/>
    <w:rsid w:val="000F3BB3"/>
    <w:rsid w:val="000F3C74"/>
    <w:rsid w:val="000F4BB8"/>
    <w:rsid w:val="000F5E12"/>
    <w:rsid w:val="000F7127"/>
    <w:rsid w:val="000F7489"/>
    <w:rsid w:val="00100F8A"/>
    <w:rsid w:val="00101046"/>
    <w:rsid w:val="001024C9"/>
    <w:rsid w:val="00105A63"/>
    <w:rsid w:val="00105AE2"/>
    <w:rsid w:val="00105BA6"/>
    <w:rsid w:val="00106B80"/>
    <w:rsid w:val="0011032E"/>
    <w:rsid w:val="00110632"/>
    <w:rsid w:val="00111ADD"/>
    <w:rsid w:val="0011348B"/>
    <w:rsid w:val="0011489D"/>
    <w:rsid w:val="00115982"/>
    <w:rsid w:val="001159F5"/>
    <w:rsid w:val="00116C53"/>
    <w:rsid w:val="00121799"/>
    <w:rsid w:val="001222FC"/>
    <w:rsid w:val="00122327"/>
    <w:rsid w:val="001224C0"/>
    <w:rsid w:val="0012270E"/>
    <w:rsid w:val="00123115"/>
    <w:rsid w:val="001238F6"/>
    <w:rsid w:val="00123C12"/>
    <w:rsid w:val="00124A51"/>
    <w:rsid w:val="0012504A"/>
    <w:rsid w:val="00125285"/>
    <w:rsid w:val="00125896"/>
    <w:rsid w:val="00126621"/>
    <w:rsid w:val="00126BB6"/>
    <w:rsid w:val="001301E9"/>
    <w:rsid w:val="001304B2"/>
    <w:rsid w:val="001307B2"/>
    <w:rsid w:val="00131D82"/>
    <w:rsid w:val="001336C5"/>
    <w:rsid w:val="00133D36"/>
    <w:rsid w:val="00136825"/>
    <w:rsid w:val="00136D0E"/>
    <w:rsid w:val="00136E79"/>
    <w:rsid w:val="00137645"/>
    <w:rsid w:val="0014015A"/>
    <w:rsid w:val="00140D1C"/>
    <w:rsid w:val="00140E99"/>
    <w:rsid w:val="00141EFB"/>
    <w:rsid w:val="00143B73"/>
    <w:rsid w:val="0014404F"/>
    <w:rsid w:val="001442A7"/>
    <w:rsid w:val="00145540"/>
    <w:rsid w:val="001456B0"/>
    <w:rsid w:val="00145D26"/>
    <w:rsid w:val="0014773F"/>
    <w:rsid w:val="0015070A"/>
    <w:rsid w:val="00155205"/>
    <w:rsid w:val="00156B20"/>
    <w:rsid w:val="00157130"/>
    <w:rsid w:val="0015738D"/>
    <w:rsid w:val="001576B1"/>
    <w:rsid w:val="00160087"/>
    <w:rsid w:val="00160A4C"/>
    <w:rsid w:val="0016133E"/>
    <w:rsid w:val="00161B33"/>
    <w:rsid w:val="001627E4"/>
    <w:rsid w:val="00162913"/>
    <w:rsid w:val="00163EFF"/>
    <w:rsid w:val="00164B2D"/>
    <w:rsid w:val="00165582"/>
    <w:rsid w:val="001661FB"/>
    <w:rsid w:val="0017042A"/>
    <w:rsid w:val="0017056A"/>
    <w:rsid w:val="001729E8"/>
    <w:rsid w:val="00173565"/>
    <w:rsid w:val="00173B07"/>
    <w:rsid w:val="0017540E"/>
    <w:rsid w:val="00175A3A"/>
    <w:rsid w:val="00176DA2"/>
    <w:rsid w:val="00181D9C"/>
    <w:rsid w:val="001874C0"/>
    <w:rsid w:val="0018752F"/>
    <w:rsid w:val="00187561"/>
    <w:rsid w:val="0019019B"/>
    <w:rsid w:val="00190819"/>
    <w:rsid w:val="001913B7"/>
    <w:rsid w:val="0019165B"/>
    <w:rsid w:val="00193B77"/>
    <w:rsid w:val="00195222"/>
    <w:rsid w:val="00195325"/>
    <w:rsid w:val="00196FC8"/>
    <w:rsid w:val="001975D8"/>
    <w:rsid w:val="001A0110"/>
    <w:rsid w:val="001A227C"/>
    <w:rsid w:val="001A2F70"/>
    <w:rsid w:val="001A43FA"/>
    <w:rsid w:val="001A59FB"/>
    <w:rsid w:val="001A6354"/>
    <w:rsid w:val="001A65FF"/>
    <w:rsid w:val="001A7AE8"/>
    <w:rsid w:val="001A7C6B"/>
    <w:rsid w:val="001B204E"/>
    <w:rsid w:val="001B23E4"/>
    <w:rsid w:val="001B3157"/>
    <w:rsid w:val="001B3443"/>
    <w:rsid w:val="001B43F2"/>
    <w:rsid w:val="001B4D20"/>
    <w:rsid w:val="001B50FC"/>
    <w:rsid w:val="001B72DC"/>
    <w:rsid w:val="001C2A02"/>
    <w:rsid w:val="001C2A9B"/>
    <w:rsid w:val="001C3404"/>
    <w:rsid w:val="001C4299"/>
    <w:rsid w:val="001C4E56"/>
    <w:rsid w:val="001C5376"/>
    <w:rsid w:val="001C5F94"/>
    <w:rsid w:val="001C6E66"/>
    <w:rsid w:val="001C75E5"/>
    <w:rsid w:val="001D0DD8"/>
    <w:rsid w:val="001D2B1A"/>
    <w:rsid w:val="001D49B0"/>
    <w:rsid w:val="001D5BA6"/>
    <w:rsid w:val="001D60F6"/>
    <w:rsid w:val="001D66A0"/>
    <w:rsid w:val="001E01A8"/>
    <w:rsid w:val="001E238E"/>
    <w:rsid w:val="001E2483"/>
    <w:rsid w:val="001E2B1E"/>
    <w:rsid w:val="001E2E99"/>
    <w:rsid w:val="001E30D4"/>
    <w:rsid w:val="001E482F"/>
    <w:rsid w:val="001E52EB"/>
    <w:rsid w:val="001E61D2"/>
    <w:rsid w:val="001E740C"/>
    <w:rsid w:val="001E7655"/>
    <w:rsid w:val="001E7C4C"/>
    <w:rsid w:val="001E7D60"/>
    <w:rsid w:val="001F1235"/>
    <w:rsid w:val="001F1BF7"/>
    <w:rsid w:val="001F1C53"/>
    <w:rsid w:val="001F1CB3"/>
    <w:rsid w:val="001F2C8A"/>
    <w:rsid w:val="001F3580"/>
    <w:rsid w:val="001F38B5"/>
    <w:rsid w:val="001F3FC5"/>
    <w:rsid w:val="001F5A44"/>
    <w:rsid w:val="001F7361"/>
    <w:rsid w:val="001F7761"/>
    <w:rsid w:val="002011B0"/>
    <w:rsid w:val="00202961"/>
    <w:rsid w:val="00203181"/>
    <w:rsid w:val="00203783"/>
    <w:rsid w:val="0020385F"/>
    <w:rsid w:val="002045D6"/>
    <w:rsid w:val="00206D36"/>
    <w:rsid w:val="00207021"/>
    <w:rsid w:val="0020723F"/>
    <w:rsid w:val="0020732F"/>
    <w:rsid w:val="00207D00"/>
    <w:rsid w:val="002105C1"/>
    <w:rsid w:val="00210C7E"/>
    <w:rsid w:val="00210D11"/>
    <w:rsid w:val="00212848"/>
    <w:rsid w:val="00212899"/>
    <w:rsid w:val="002135ED"/>
    <w:rsid w:val="002155AE"/>
    <w:rsid w:val="0021563D"/>
    <w:rsid w:val="0022126B"/>
    <w:rsid w:val="0022292E"/>
    <w:rsid w:val="00223B49"/>
    <w:rsid w:val="00224528"/>
    <w:rsid w:val="00224DD4"/>
    <w:rsid w:val="002267F2"/>
    <w:rsid w:val="00226971"/>
    <w:rsid w:val="00227A65"/>
    <w:rsid w:val="002305DB"/>
    <w:rsid w:val="00230855"/>
    <w:rsid w:val="002309CC"/>
    <w:rsid w:val="0023209F"/>
    <w:rsid w:val="002325D1"/>
    <w:rsid w:val="0023472A"/>
    <w:rsid w:val="00235765"/>
    <w:rsid w:val="0023629D"/>
    <w:rsid w:val="00237255"/>
    <w:rsid w:val="00237D3A"/>
    <w:rsid w:val="0024192B"/>
    <w:rsid w:val="00241BB3"/>
    <w:rsid w:val="002424AF"/>
    <w:rsid w:val="002439DC"/>
    <w:rsid w:val="0024433F"/>
    <w:rsid w:val="00244DC8"/>
    <w:rsid w:val="002458BA"/>
    <w:rsid w:val="00245923"/>
    <w:rsid w:val="0024636C"/>
    <w:rsid w:val="00247508"/>
    <w:rsid w:val="00247925"/>
    <w:rsid w:val="00250232"/>
    <w:rsid w:val="0025159D"/>
    <w:rsid w:val="00251918"/>
    <w:rsid w:val="00251D7F"/>
    <w:rsid w:val="00253616"/>
    <w:rsid w:val="0025475D"/>
    <w:rsid w:val="00254DCF"/>
    <w:rsid w:val="0025534B"/>
    <w:rsid w:val="00255BB7"/>
    <w:rsid w:val="00257541"/>
    <w:rsid w:val="00262A1A"/>
    <w:rsid w:val="00262A87"/>
    <w:rsid w:val="0026309F"/>
    <w:rsid w:val="00264D26"/>
    <w:rsid w:val="002650EA"/>
    <w:rsid w:val="0026514F"/>
    <w:rsid w:val="00266172"/>
    <w:rsid w:val="002661FC"/>
    <w:rsid w:val="00266A56"/>
    <w:rsid w:val="00266DD5"/>
    <w:rsid w:val="00267642"/>
    <w:rsid w:val="00267AEA"/>
    <w:rsid w:val="002700E6"/>
    <w:rsid w:val="002705AB"/>
    <w:rsid w:val="00271362"/>
    <w:rsid w:val="0027294B"/>
    <w:rsid w:val="002739BB"/>
    <w:rsid w:val="0027438D"/>
    <w:rsid w:val="00275C5A"/>
    <w:rsid w:val="00276BBD"/>
    <w:rsid w:val="00281014"/>
    <w:rsid w:val="00282DFE"/>
    <w:rsid w:val="00282E30"/>
    <w:rsid w:val="00283481"/>
    <w:rsid w:val="00283AAA"/>
    <w:rsid w:val="00285E24"/>
    <w:rsid w:val="00285FE2"/>
    <w:rsid w:val="002901FC"/>
    <w:rsid w:val="00290F07"/>
    <w:rsid w:val="00292A75"/>
    <w:rsid w:val="002939E7"/>
    <w:rsid w:val="00293E5F"/>
    <w:rsid w:val="00294F21"/>
    <w:rsid w:val="00295A6D"/>
    <w:rsid w:val="00296CE4"/>
    <w:rsid w:val="0029768D"/>
    <w:rsid w:val="002977ED"/>
    <w:rsid w:val="002A04F8"/>
    <w:rsid w:val="002A124E"/>
    <w:rsid w:val="002A14AB"/>
    <w:rsid w:val="002A23D7"/>
    <w:rsid w:val="002A2F50"/>
    <w:rsid w:val="002A5D94"/>
    <w:rsid w:val="002B09A4"/>
    <w:rsid w:val="002B1C1F"/>
    <w:rsid w:val="002B1C8E"/>
    <w:rsid w:val="002B2C0C"/>
    <w:rsid w:val="002B3EF7"/>
    <w:rsid w:val="002B432F"/>
    <w:rsid w:val="002B4C4E"/>
    <w:rsid w:val="002B62B3"/>
    <w:rsid w:val="002B64BD"/>
    <w:rsid w:val="002B6754"/>
    <w:rsid w:val="002B6CCE"/>
    <w:rsid w:val="002B7828"/>
    <w:rsid w:val="002C0D3F"/>
    <w:rsid w:val="002C2510"/>
    <w:rsid w:val="002C2775"/>
    <w:rsid w:val="002C27C1"/>
    <w:rsid w:val="002C310E"/>
    <w:rsid w:val="002C5099"/>
    <w:rsid w:val="002C5889"/>
    <w:rsid w:val="002C612F"/>
    <w:rsid w:val="002C6278"/>
    <w:rsid w:val="002C702C"/>
    <w:rsid w:val="002C71CE"/>
    <w:rsid w:val="002D2864"/>
    <w:rsid w:val="002D2DF1"/>
    <w:rsid w:val="002D48BF"/>
    <w:rsid w:val="002D4D86"/>
    <w:rsid w:val="002D577C"/>
    <w:rsid w:val="002D6BAE"/>
    <w:rsid w:val="002E15B9"/>
    <w:rsid w:val="002E15E4"/>
    <w:rsid w:val="002E1C74"/>
    <w:rsid w:val="002E2158"/>
    <w:rsid w:val="002E6333"/>
    <w:rsid w:val="002E72FE"/>
    <w:rsid w:val="002E7722"/>
    <w:rsid w:val="002E7E6E"/>
    <w:rsid w:val="002F07BA"/>
    <w:rsid w:val="002F0DA9"/>
    <w:rsid w:val="002F1AE2"/>
    <w:rsid w:val="002F3D19"/>
    <w:rsid w:val="002F45DA"/>
    <w:rsid w:val="002F498E"/>
    <w:rsid w:val="002F5E6F"/>
    <w:rsid w:val="002F643C"/>
    <w:rsid w:val="002F71C0"/>
    <w:rsid w:val="00301017"/>
    <w:rsid w:val="0030155F"/>
    <w:rsid w:val="0030587B"/>
    <w:rsid w:val="00306D98"/>
    <w:rsid w:val="0030786C"/>
    <w:rsid w:val="00307CDD"/>
    <w:rsid w:val="0031031A"/>
    <w:rsid w:val="00310981"/>
    <w:rsid w:val="00315498"/>
    <w:rsid w:val="00315590"/>
    <w:rsid w:val="00320D0A"/>
    <w:rsid w:val="00322107"/>
    <w:rsid w:val="00322846"/>
    <w:rsid w:val="0032372C"/>
    <w:rsid w:val="00324DD2"/>
    <w:rsid w:val="00325C0F"/>
    <w:rsid w:val="0032608F"/>
    <w:rsid w:val="00326DA7"/>
    <w:rsid w:val="003270E4"/>
    <w:rsid w:val="003301C8"/>
    <w:rsid w:val="00330F5C"/>
    <w:rsid w:val="00331817"/>
    <w:rsid w:val="00335701"/>
    <w:rsid w:val="003366AB"/>
    <w:rsid w:val="003366C9"/>
    <w:rsid w:val="00336AF5"/>
    <w:rsid w:val="00336E54"/>
    <w:rsid w:val="003371B0"/>
    <w:rsid w:val="00340DF1"/>
    <w:rsid w:val="00340F97"/>
    <w:rsid w:val="0034133F"/>
    <w:rsid w:val="003419BA"/>
    <w:rsid w:val="00343971"/>
    <w:rsid w:val="00345BD2"/>
    <w:rsid w:val="00346F7D"/>
    <w:rsid w:val="0034711A"/>
    <w:rsid w:val="00350DE6"/>
    <w:rsid w:val="003517F9"/>
    <w:rsid w:val="0035211A"/>
    <w:rsid w:val="00352135"/>
    <w:rsid w:val="00354006"/>
    <w:rsid w:val="0035620E"/>
    <w:rsid w:val="00357E99"/>
    <w:rsid w:val="003606A3"/>
    <w:rsid w:val="00360B54"/>
    <w:rsid w:val="003618CE"/>
    <w:rsid w:val="003624C4"/>
    <w:rsid w:val="003645DE"/>
    <w:rsid w:val="00364E5E"/>
    <w:rsid w:val="003654AC"/>
    <w:rsid w:val="003706E9"/>
    <w:rsid w:val="003710CF"/>
    <w:rsid w:val="003712E8"/>
    <w:rsid w:val="0037358A"/>
    <w:rsid w:val="003750F6"/>
    <w:rsid w:val="00375FC1"/>
    <w:rsid w:val="003760FC"/>
    <w:rsid w:val="00377F67"/>
    <w:rsid w:val="003821BE"/>
    <w:rsid w:val="0038365C"/>
    <w:rsid w:val="0038369B"/>
    <w:rsid w:val="00383B78"/>
    <w:rsid w:val="003848F1"/>
    <w:rsid w:val="00385A9D"/>
    <w:rsid w:val="003902B1"/>
    <w:rsid w:val="00395370"/>
    <w:rsid w:val="00395C01"/>
    <w:rsid w:val="003966EF"/>
    <w:rsid w:val="00396728"/>
    <w:rsid w:val="00396896"/>
    <w:rsid w:val="00396FD0"/>
    <w:rsid w:val="003A1311"/>
    <w:rsid w:val="003A1A7A"/>
    <w:rsid w:val="003A1D15"/>
    <w:rsid w:val="003A1E5B"/>
    <w:rsid w:val="003A2392"/>
    <w:rsid w:val="003A2831"/>
    <w:rsid w:val="003A3ED1"/>
    <w:rsid w:val="003A5792"/>
    <w:rsid w:val="003A7811"/>
    <w:rsid w:val="003A792D"/>
    <w:rsid w:val="003B0C30"/>
    <w:rsid w:val="003B1896"/>
    <w:rsid w:val="003B4061"/>
    <w:rsid w:val="003B5B61"/>
    <w:rsid w:val="003C10F7"/>
    <w:rsid w:val="003C14FB"/>
    <w:rsid w:val="003C1654"/>
    <w:rsid w:val="003C2547"/>
    <w:rsid w:val="003C4AC7"/>
    <w:rsid w:val="003C5081"/>
    <w:rsid w:val="003C5468"/>
    <w:rsid w:val="003C6AF7"/>
    <w:rsid w:val="003C7D19"/>
    <w:rsid w:val="003D1828"/>
    <w:rsid w:val="003D1DE4"/>
    <w:rsid w:val="003D2422"/>
    <w:rsid w:val="003D39A1"/>
    <w:rsid w:val="003D3FBF"/>
    <w:rsid w:val="003D4055"/>
    <w:rsid w:val="003D47DF"/>
    <w:rsid w:val="003D489E"/>
    <w:rsid w:val="003D4A30"/>
    <w:rsid w:val="003D7471"/>
    <w:rsid w:val="003D7962"/>
    <w:rsid w:val="003D79BB"/>
    <w:rsid w:val="003D7C98"/>
    <w:rsid w:val="003E0543"/>
    <w:rsid w:val="003E331C"/>
    <w:rsid w:val="003E4DED"/>
    <w:rsid w:val="003E53EE"/>
    <w:rsid w:val="003F1F4A"/>
    <w:rsid w:val="003F1F7E"/>
    <w:rsid w:val="003F385A"/>
    <w:rsid w:val="003F3E22"/>
    <w:rsid w:val="003F4156"/>
    <w:rsid w:val="003F4351"/>
    <w:rsid w:val="003F4723"/>
    <w:rsid w:val="003F7F33"/>
    <w:rsid w:val="00400B29"/>
    <w:rsid w:val="0040187A"/>
    <w:rsid w:val="00403309"/>
    <w:rsid w:val="0040500E"/>
    <w:rsid w:val="0040504B"/>
    <w:rsid w:val="004063A0"/>
    <w:rsid w:val="0040748F"/>
    <w:rsid w:val="00407EEF"/>
    <w:rsid w:val="00410708"/>
    <w:rsid w:val="00410EC7"/>
    <w:rsid w:val="00411655"/>
    <w:rsid w:val="00411B39"/>
    <w:rsid w:val="00412CB6"/>
    <w:rsid w:val="00412DC9"/>
    <w:rsid w:val="004132A2"/>
    <w:rsid w:val="00413423"/>
    <w:rsid w:val="00413A1E"/>
    <w:rsid w:val="00413ED6"/>
    <w:rsid w:val="0041402A"/>
    <w:rsid w:val="00414476"/>
    <w:rsid w:val="00414C2E"/>
    <w:rsid w:val="004151CF"/>
    <w:rsid w:val="00416364"/>
    <w:rsid w:val="004167BB"/>
    <w:rsid w:val="00420AA6"/>
    <w:rsid w:val="00420B9F"/>
    <w:rsid w:val="004210DA"/>
    <w:rsid w:val="00422260"/>
    <w:rsid w:val="00422769"/>
    <w:rsid w:val="0042334B"/>
    <w:rsid w:val="0042413F"/>
    <w:rsid w:val="00424301"/>
    <w:rsid w:val="0042513F"/>
    <w:rsid w:val="00425168"/>
    <w:rsid w:val="00426437"/>
    <w:rsid w:val="0042787E"/>
    <w:rsid w:val="00431745"/>
    <w:rsid w:val="004319F8"/>
    <w:rsid w:val="00431E55"/>
    <w:rsid w:val="0043210C"/>
    <w:rsid w:val="004321F6"/>
    <w:rsid w:val="00433044"/>
    <w:rsid w:val="0043380B"/>
    <w:rsid w:val="004350C2"/>
    <w:rsid w:val="0043704F"/>
    <w:rsid w:val="004372E3"/>
    <w:rsid w:val="004375B9"/>
    <w:rsid w:val="004425DC"/>
    <w:rsid w:val="004428D0"/>
    <w:rsid w:val="004443A7"/>
    <w:rsid w:val="0044442C"/>
    <w:rsid w:val="00445941"/>
    <w:rsid w:val="004464EB"/>
    <w:rsid w:val="004465B3"/>
    <w:rsid w:val="00447297"/>
    <w:rsid w:val="0044740E"/>
    <w:rsid w:val="00447D26"/>
    <w:rsid w:val="0045348F"/>
    <w:rsid w:val="004536B4"/>
    <w:rsid w:val="00453836"/>
    <w:rsid w:val="004558C2"/>
    <w:rsid w:val="00455D45"/>
    <w:rsid w:val="00462262"/>
    <w:rsid w:val="004637BE"/>
    <w:rsid w:val="00464595"/>
    <w:rsid w:val="0047176E"/>
    <w:rsid w:val="00472A79"/>
    <w:rsid w:val="00473F19"/>
    <w:rsid w:val="00475081"/>
    <w:rsid w:val="00475E22"/>
    <w:rsid w:val="00480309"/>
    <w:rsid w:val="0048088E"/>
    <w:rsid w:val="00481BEA"/>
    <w:rsid w:val="00482720"/>
    <w:rsid w:val="004835E7"/>
    <w:rsid w:val="004839E7"/>
    <w:rsid w:val="00483E00"/>
    <w:rsid w:val="004867E2"/>
    <w:rsid w:val="00486839"/>
    <w:rsid w:val="00486DB2"/>
    <w:rsid w:val="00491B3A"/>
    <w:rsid w:val="00491E49"/>
    <w:rsid w:val="00492CFD"/>
    <w:rsid w:val="00494DD5"/>
    <w:rsid w:val="004950E7"/>
    <w:rsid w:val="004962D2"/>
    <w:rsid w:val="00496761"/>
    <w:rsid w:val="004A02B1"/>
    <w:rsid w:val="004A0DA1"/>
    <w:rsid w:val="004A223C"/>
    <w:rsid w:val="004A37A8"/>
    <w:rsid w:val="004A3817"/>
    <w:rsid w:val="004A52E9"/>
    <w:rsid w:val="004A6597"/>
    <w:rsid w:val="004A7848"/>
    <w:rsid w:val="004B0DDF"/>
    <w:rsid w:val="004B1CB4"/>
    <w:rsid w:val="004B2BA6"/>
    <w:rsid w:val="004B2F13"/>
    <w:rsid w:val="004B2F18"/>
    <w:rsid w:val="004B3DDB"/>
    <w:rsid w:val="004B44FD"/>
    <w:rsid w:val="004B4AA7"/>
    <w:rsid w:val="004B5CFC"/>
    <w:rsid w:val="004B72B7"/>
    <w:rsid w:val="004B7627"/>
    <w:rsid w:val="004B774D"/>
    <w:rsid w:val="004C2FFE"/>
    <w:rsid w:val="004C3EC2"/>
    <w:rsid w:val="004C44AE"/>
    <w:rsid w:val="004C495E"/>
    <w:rsid w:val="004C4AED"/>
    <w:rsid w:val="004C5907"/>
    <w:rsid w:val="004C7CA8"/>
    <w:rsid w:val="004D02C3"/>
    <w:rsid w:val="004D1454"/>
    <w:rsid w:val="004D2A8B"/>
    <w:rsid w:val="004D2C2D"/>
    <w:rsid w:val="004D3627"/>
    <w:rsid w:val="004D3A0D"/>
    <w:rsid w:val="004D3B01"/>
    <w:rsid w:val="004D4E59"/>
    <w:rsid w:val="004D5E1F"/>
    <w:rsid w:val="004D674C"/>
    <w:rsid w:val="004D6B3A"/>
    <w:rsid w:val="004D7227"/>
    <w:rsid w:val="004D7A13"/>
    <w:rsid w:val="004D7D01"/>
    <w:rsid w:val="004D7EA0"/>
    <w:rsid w:val="004E0E7F"/>
    <w:rsid w:val="004E0EB8"/>
    <w:rsid w:val="004E2ADC"/>
    <w:rsid w:val="004E31F2"/>
    <w:rsid w:val="004E43B2"/>
    <w:rsid w:val="004E53BE"/>
    <w:rsid w:val="004E75E8"/>
    <w:rsid w:val="004F09E3"/>
    <w:rsid w:val="004F1D02"/>
    <w:rsid w:val="004F2679"/>
    <w:rsid w:val="004F2EEA"/>
    <w:rsid w:val="004F2F21"/>
    <w:rsid w:val="004F3334"/>
    <w:rsid w:val="004F3DBF"/>
    <w:rsid w:val="004F60E7"/>
    <w:rsid w:val="004F6913"/>
    <w:rsid w:val="004F6BF7"/>
    <w:rsid w:val="004F7865"/>
    <w:rsid w:val="004F7C8B"/>
    <w:rsid w:val="00500A18"/>
    <w:rsid w:val="0050219B"/>
    <w:rsid w:val="00503108"/>
    <w:rsid w:val="00503352"/>
    <w:rsid w:val="00503F17"/>
    <w:rsid w:val="005044E9"/>
    <w:rsid w:val="0050540B"/>
    <w:rsid w:val="00506928"/>
    <w:rsid w:val="00507882"/>
    <w:rsid w:val="00514A0D"/>
    <w:rsid w:val="00514EC6"/>
    <w:rsid w:val="005152B5"/>
    <w:rsid w:val="005154C2"/>
    <w:rsid w:val="00515FE2"/>
    <w:rsid w:val="0051782E"/>
    <w:rsid w:val="00517C76"/>
    <w:rsid w:val="00521319"/>
    <w:rsid w:val="00521BC6"/>
    <w:rsid w:val="0052220A"/>
    <w:rsid w:val="00522BC8"/>
    <w:rsid w:val="00523C28"/>
    <w:rsid w:val="005251FC"/>
    <w:rsid w:val="00525C36"/>
    <w:rsid w:val="00525D25"/>
    <w:rsid w:val="00527406"/>
    <w:rsid w:val="0052743C"/>
    <w:rsid w:val="005279DE"/>
    <w:rsid w:val="00527B4C"/>
    <w:rsid w:val="0053013C"/>
    <w:rsid w:val="005346AC"/>
    <w:rsid w:val="005348FD"/>
    <w:rsid w:val="00535B49"/>
    <w:rsid w:val="00536F42"/>
    <w:rsid w:val="00537182"/>
    <w:rsid w:val="00537BFD"/>
    <w:rsid w:val="00542743"/>
    <w:rsid w:val="00542C2D"/>
    <w:rsid w:val="0054326F"/>
    <w:rsid w:val="00544A8D"/>
    <w:rsid w:val="00545C7B"/>
    <w:rsid w:val="00551326"/>
    <w:rsid w:val="00551985"/>
    <w:rsid w:val="00552618"/>
    <w:rsid w:val="00552BD3"/>
    <w:rsid w:val="0055473F"/>
    <w:rsid w:val="00555109"/>
    <w:rsid w:val="00557179"/>
    <w:rsid w:val="00560936"/>
    <w:rsid w:val="00566282"/>
    <w:rsid w:val="0056643D"/>
    <w:rsid w:val="0056696F"/>
    <w:rsid w:val="00566EE9"/>
    <w:rsid w:val="00567095"/>
    <w:rsid w:val="00570387"/>
    <w:rsid w:val="00570FA7"/>
    <w:rsid w:val="00572269"/>
    <w:rsid w:val="0057244A"/>
    <w:rsid w:val="00573768"/>
    <w:rsid w:val="00575796"/>
    <w:rsid w:val="00575976"/>
    <w:rsid w:val="00575D8D"/>
    <w:rsid w:val="00576232"/>
    <w:rsid w:val="00576972"/>
    <w:rsid w:val="00577B5F"/>
    <w:rsid w:val="00582502"/>
    <w:rsid w:val="00583699"/>
    <w:rsid w:val="005839DD"/>
    <w:rsid w:val="005841FD"/>
    <w:rsid w:val="005850A1"/>
    <w:rsid w:val="00585CDD"/>
    <w:rsid w:val="00587058"/>
    <w:rsid w:val="00587969"/>
    <w:rsid w:val="00591957"/>
    <w:rsid w:val="00594DCD"/>
    <w:rsid w:val="005959BA"/>
    <w:rsid w:val="005966F9"/>
    <w:rsid w:val="005967E3"/>
    <w:rsid w:val="00597075"/>
    <w:rsid w:val="005976B3"/>
    <w:rsid w:val="005979BB"/>
    <w:rsid w:val="00597BD6"/>
    <w:rsid w:val="00597BF9"/>
    <w:rsid w:val="005A1AD0"/>
    <w:rsid w:val="005A373D"/>
    <w:rsid w:val="005A42D1"/>
    <w:rsid w:val="005A67DE"/>
    <w:rsid w:val="005A6B13"/>
    <w:rsid w:val="005A7091"/>
    <w:rsid w:val="005A76AE"/>
    <w:rsid w:val="005B0FCD"/>
    <w:rsid w:val="005B1496"/>
    <w:rsid w:val="005B4720"/>
    <w:rsid w:val="005B5857"/>
    <w:rsid w:val="005C1B74"/>
    <w:rsid w:val="005C1B83"/>
    <w:rsid w:val="005C23BD"/>
    <w:rsid w:val="005C2D55"/>
    <w:rsid w:val="005C30C5"/>
    <w:rsid w:val="005C346B"/>
    <w:rsid w:val="005C348B"/>
    <w:rsid w:val="005C4E78"/>
    <w:rsid w:val="005C5208"/>
    <w:rsid w:val="005C6678"/>
    <w:rsid w:val="005C710C"/>
    <w:rsid w:val="005C713D"/>
    <w:rsid w:val="005D044D"/>
    <w:rsid w:val="005D0ABD"/>
    <w:rsid w:val="005D18AD"/>
    <w:rsid w:val="005D26B4"/>
    <w:rsid w:val="005D3B19"/>
    <w:rsid w:val="005D7C08"/>
    <w:rsid w:val="005E3B62"/>
    <w:rsid w:val="005E46AC"/>
    <w:rsid w:val="005E46BD"/>
    <w:rsid w:val="005E572D"/>
    <w:rsid w:val="005E6343"/>
    <w:rsid w:val="005E6CBC"/>
    <w:rsid w:val="005E73C0"/>
    <w:rsid w:val="005F2706"/>
    <w:rsid w:val="005F2EFA"/>
    <w:rsid w:val="005F4F5A"/>
    <w:rsid w:val="005F6A8F"/>
    <w:rsid w:val="005F749E"/>
    <w:rsid w:val="006011FE"/>
    <w:rsid w:val="00602E46"/>
    <w:rsid w:val="00603DB9"/>
    <w:rsid w:val="006043E7"/>
    <w:rsid w:val="00607669"/>
    <w:rsid w:val="00607AFD"/>
    <w:rsid w:val="00611181"/>
    <w:rsid w:val="00611DCA"/>
    <w:rsid w:val="00612F97"/>
    <w:rsid w:val="0061345D"/>
    <w:rsid w:val="006139C0"/>
    <w:rsid w:val="00616274"/>
    <w:rsid w:val="00616802"/>
    <w:rsid w:val="00617208"/>
    <w:rsid w:val="00617E12"/>
    <w:rsid w:val="00621477"/>
    <w:rsid w:val="00623577"/>
    <w:rsid w:val="00623E67"/>
    <w:rsid w:val="0062589F"/>
    <w:rsid w:val="006261A2"/>
    <w:rsid w:val="0063158F"/>
    <w:rsid w:val="006315D1"/>
    <w:rsid w:val="00631D6B"/>
    <w:rsid w:val="00633086"/>
    <w:rsid w:val="00633089"/>
    <w:rsid w:val="006330A1"/>
    <w:rsid w:val="0063479F"/>
    <w:rsid w:val="006353F0"/>
    <w:rsid w:val="00635E6D"/>
    <w:rsid w:val="006364A1"/>
    <w:rsid w:val="00636DBC"/>
    <w:rsid w:val="00637BFD"/>
    <w:rsid w:val="00637C5C"/>
    <w:rsid w:val="00637F87"/>
    <w:rsid w:val="00641C4E"/>
    <w:rsid w:val="00643FFC"/>
    <w:rsid w:val="00644C96"/>
    <w:rsid w:val="00646A78"/>
    <w:rsid w:val="006471CC"/>
    <w:rsid w:val="006473CC"/>
    <w:rsid w:val="00647681"/>
    <w:rsid w:val="0065079F"/>
    <w:rsid w:val="006532F3"/>
    <w:rsid w:val="0065379F"/>
    <w:rsid w:val="0065553E"/>
    <w:rsid w:val="00661C6B"/>
    <w:rsid w:val="006625B6"/>
    <w:rsid w:val="00665230"/>
    <w:rsid w:val="00667282"/>
    <w:rsid w:val="0067180E"/>
    <w:rsid w:val="00673D2A"/>
    <w:rsid w:val="00674E42"/>
    <w:rsid w:val="0067566E"/>
    <w:rsid w:val="00676615"/>
    <w:rsid w:val="00682112"/>
    <w:rsid w:val="0068395C"/>
    <w:rsid w:val="00685838"/>
    <w:rsid w:val="00686957"/>
    <w:rsid w:val="00686CC3"/>
    <w:rsid w:val="006872BA"/>
    <w:rsid w:val="00691648"/>
    <w:rsid w:val="006917D7"/>
    <w:rsid w:val="0069272D"/>
    <w:rsid w:val="00694ED5"/>
    <w:rsid w:val="00694F44"/>
    <w:rsid w:val="0069553C"/>
    <w:rsid w:val="00696B18"/>
    <w:rsid w:val="006A058F"/>
    <w:rsid w:val="006A0D45"/>
    <w:rsid w:val="006A2031"/>
    <w:rsid w:val="006A2EDA"/>
    <w:rsid w:val="006A46D8"/>
    <w:rsid w:val="006A4DEB"/>
    <w:rsid w:val="006A61C1"/>
    <w:rsid w:val="006A7E5F"/>
    <w:rsid w:val="006B0C68"/>
    <w:rsid w:val="006B0CA0"/>
    <w:rsid w:val="006B0F24"/>
    <w:rsid w:val="006B2514"/>
    <w:rsid w:val="006B261B"/>
    <w:rsid w:val="006B2C90"/>
    <w:rsid w:val="006B4022"/>
    <w:rsid w:val="006B4E3F"/>
    <w:rsid w:val="006B53AD"/>
    <w:rsid w:val="006B58CF"/>
    <w:rsid w:val="006B5923"/>
    <w:rsid w:val="006B59EC"/>
    <w:rsid w:val="006B6719"/>
    <w:rsid w:val="006B6DD0"/>
    <w:rsid w:val="006C2244"/>
    <w:rsid w:val="006C2A8E"/>
    <w:rsid w:val="006C4454"/>
    <w:rsid w:val="006C6D9D"/>
    <w:rsid w:val="006D2E31"/>
    <w:rsid w:val="006D3C7D"/>
    <w:rsid w:val="006D41DB"/>
    <w:rsid w:val="006D5D5F"/>
    <w:rsid w:val="006D61B9"/>
    <w:rsid w:val="006E221F"/>
    <w:rsid w:val="006E3712"/>
    <w:rsid w:val="006E46CF"/>
    <w:rsid w:val="006E6A87"/>
    <w:rsid w:val="006E713E"/>
    <w:rsid w:val="006E7218"/>
    <w:rsid w:val="006E790B"/>
    <w:rsid w:val="006E7980"/>
    <w:rsid w:val="006E79DC"/>
    <w:rsid w:val="006F2472"/>
    <w:rsid w:val="006F2641"/>
    <w:rsid w:val="006F306C"/>
    <w:rsid w:val="006F4F91"/>
    <w:rsid w:val="006F5396"/>
    <w:rsid w:val="006F63A5"/>
    <w:rsid w:val="006F7A5F"/>
    <w:rsid w:val="007004E3"/>
    <w:rsid w:val="007013E2"/>
    <w:rsid w:val="0070142B"/>
    <w:rsid w:val="0070265F"/>
    <w:rsid w:val="0070276E"/>
    <w:rsid w:val="00702F8F"/>
    <w:rsid w:val="00703D00"/>
    <w:rsid w:val="00711A36"/>
    <w:rsid w:val="007138EC"/>
    <w:rsid w:val="00714F7E"/>
    <w:rsid w:val="0071529C"/>
    <w:rsid w:val="00715E20"/>
    <w:rsid w:val="007172AD"/>
    <w:rsid w:val="007227F6"/>
    <w:rsid w:val="00722B1B"/>
    <w:rsid w:val="0072416F"/>
    <w:rsid w:val="00725768"/>
    <w:rsid w:val="00727C94"/>
    <w:rsid w:val="00730624"/>
    <w:rsid w:val="00730CF6"/>
    <w:rsid w:val="007311F5"/>
    <w:rsid w:val="00731CF9"/>
    <w:rsid w:val="00731EAE"/>
    <w:rsid w:val="00731FBE"/>
    <w:rsid w:val="00734177"/>
    <w:rsid w:val="00734C30"/>
    <w:rsid w:val="00735033"/>
    <w:rsid w:val="00735328"/>
    <w:rsid w:val="0073685B"/>
    <w:rsid w:val="00736B66"/>
    <w:rsid w:val="0074108D"/>
    <w:rsid w:val="00742980"/>
    <w:rsid w:val="00743DA9"/>
    <w:rsid w:val="00744A76"/>
    <w:rsid w:val="00744D6B"/>
    <w:rsid w:val="00745A6E"/>
    <w:rsid w:val="007466D9"/>
    <w:rsid w:val="0074757F"/>
    <w:rsid w:val="00747CC0"/>
    <w:rsid w:val="00747FA8"/>
    <w:rsid w:val="00752142"/>
    <w:rsid w:val="007523F9"/>
    <w:rsid w:val="00756DF2"/>
    <w:rsid w:val="007571DA"/>
    <w:rsid w:val="007573E8"/>
    <w:rsid w:val="00760C4E"/>
    <w:rsid w:val="00765B1A"/>
    <w:rsid w:val="0076700C"/>
    <w:rsid w:val="0077120C"/>
    <w:rsid w:val="00774523"/>
    <w:rsid w:val="00777DD3"/>
    <w:rsid w:val="00783D3A"/>
    <w:rsid w:val="007843F2"/>
    <w:rsid w:val="00785877"/>
    <w:rsid w:val="007866C2"/>
    <w:rsid w:val="0078776C"/>
    <w:rsid w:val="00794E61"/>
    <w:rsid w:val="00794ED6"/>
    <w:rsid w:val="00794F34"/>
    <w:rsid w:val="007961C9"/>
    <w:rsid w:val="00797A88"/>
    <w:rsid w:val="007A0A12"/>
    <w:rsid w:val="007A132D"/>
    <w:rsid w:val="007A14FB"/>
    <w:rsid w:val="007A3D4C"/>
    <w:rsid w:val="007A7A17"/>
    <w:rsid w:val="007B0D68"/>
    <w:rsid w:val="007B251D"/>
    <w:rsid w:val="007B4F58"/>
    <w:rsid w:val="007B528D"/>
    <w:rsid w:val="007B77D1"/>
    <w:rsid w:val="007C0443"/>
    <w:rsid w:val="007C0C7D"/>
    <w:rsid w:val="007C1CD9"/>
    <w:rsid w:val="007C361D"/>
    <w:rsid w:val="007C37C4"/>
    <w:rsid w:val="007C4B84"/>
    <w:rsid w:val="007C6263"/>
    <w:rsid w:val="007D004F"/>
    <w:rsid w:val="007D0B38"/>
    <w:rsid w:val="007D0F45"/>
    <w:rsid w:val="007D3621"/>
    <w:rsid w:val="007D478F"/>
    <w:rsid w:val="007D5440"/>
    <w:rsid w:val="007D78A8"/>
    <w:rsid w:val="007D7BD0"/>
    <w:rsid w:val="007E5971"/>
    <w:rsid w:val="007E78BA"/>
    <w:rsid w:val="007E78EB"/>
    <w:rsid w:val="007F0140"/>
    <w:rsid w:val="007F0F60"/>
    <w:rsid w:val="007F1017"/>
    <w:rsid w:val="007F2533"/>
    <w:rsid w:val="007F4A3F"/>
    <w:rsid w:val="007F4A61"/>
    <w:rsid w:val="007F512E"/>
    <w:rsid w:val="007F61C2"/>
    <w:rsid w:val="007F7005"/>
    <w:rsid w:val="008019AF"/>
    <w:rsid w:val="00805142"/>
    <w:rsid w:val="0080735E"/>
    <w:rsid w:val="0080767B"/>
    <w:rsid w:val="00807A8B"/>
    <w:rsid w:val="00811383"/>
    <w:rsid w:val="00812047"/>
    <w:rsid w:val="00812149"/>
    <w:rsid w:val="00812CAC"/>
    <w:rsid w:val="00814E96"/>
    <w:rsid w:val="008155D1"/>
    <w:rsid w:val="00815655"/>
    <w:rsid w:val="008166EF"/>
    <w:rsid w:val="00816FBB"/>
    <w:rsid w:val="0081722D"/>
    <w:rsid w:val="00822A8D"/>
    <w:rsid w:val="00824352"/>
    <w:rsid w:val="00825751"/>
    <w:rsid w:val="008264EB"/>
    <w:rsid w:val="00833184"/>
    <w:rsid w:val="0083336E"/>
    <w:rsid w:val="00833B05"/>
    <w:rsid w:val="008358CC"/>
    <w:rsid w:val="008362B4"/>
    <w:rsid w:val="008377AE"/>
    <w:rsid w:val="00840717"/>
    <w:rsid w:val="00840CA2"/>
    <w:rsid w:val="008429A3"/>
    <w:rsid w:val="0084374F"/>
    <w:rsid w:val="00845362"/>
    <w:rsid w:val="00847611"/>
    <w:rsid w:val="00847DF5"/>
    <w:rsid w:val="00852DFA"/>
    <w:rsid w:val="0085309D"/>
    <w:rsid w:val="008543C2"/>
    <w:rsid w:val="008545DB"/>
    <w:rsid w:val="00856897"/>
    <w:rsid w:val="00856E9A"/>
    <w:rsid w:val="00857517"/>
    <w:rsid w:val="008579AB"/>
    <w:rsid w:val="0086075D"/>
    <w:rsid w:val="0086159A"/>
    <w:rsid w:val="0086170E"/>
    <w:rsid w:val="00862502"/>
    <w:rsid w:val="008635D4"/>
    <w:rsid w:val="00863EB2"/>
    <w:rsid w:val="008660D4"/>
    <w:rsid w:val="00871067"/>
    <w:rsid w:val="0087198B"/>
    <w:rsid w:val="00871FA9"/>
    <w:rsid w:val="008728E9"/>
    <w:rsid w:val="008732A5"/>
    <w:rsid w:val="0087332B"/>
    <w:rsid w:val="0087429C"/>
    <w:rsid w:val="00882874"/>
    <w:rsid w:val="0088315B"/>
    <w:rsid w:val="00883787"/>
    <w:rsid w:val="00883D21"/>
    <w:rsid w:val="0088603C"/>
    <w:rsid w:val="00886906"/>
    <w:rsid w:val="00886CD2"/>
    <w:rsid w:val="00891F96"/>
    <w:rsid w:val="00892A36"/>
    <w:rsid w:val="00893239"/>
    <w:rsid w:val="00893F84"/>
    <w:rsid w:val="00894489"/>
    <w:rsid w:val="00894F3A"/>
    <w:rsid w:val="00895256"/>
    <w:rsid w:val="0089528E"/>
    <w:rsid w:val="008963A5"/>
    <w:rsid w:val="008975AC"/>
    <w:rsid w:val="008A0BCC"/>
    <w:rsid w:val="008A3363"/>
    <w:rsid w:val="008A3371"/>
    <w:rsid w:val="008A3AA7"/>
    <w:rsid w:val="008A3C3E"/>
    <w:rsid w:val="008A73E4"/>
    <w:rsid w:val="008A79DE"/>
    <w:rsid w:val="008B0E00"/>
    <w:rsid w:val="008B1757"/>
    <w:rsid w:val="008B5FF6"/>
    <w:rsid w:val="008B70C4"/>
    <w:rsid w:val="008B70CD"/>
    <w:rsid w:val="008B7D7E"/>
    <w:rsid w:val="008C239F"/>
    <w:rsid w:val="008C7ECB"/>
    <w:rsid w:val="008D0CC0"/>
    <w:rsid w:val="008D1EF4"/>
    <w:rsid w:val="008D396C"/>
    <w:rsid w:val="008D4755"/>
    <w:rsid w:val="008D4B26"/>
    <w:rsid w:val="008D4C3D"/>
    <w:rsid w:val="008D5445"/>
    <w:rsid w:val="008E0D3C"/>
    <w:rsid w:val="008E0D42"/>
    <w:rsid w:val="008E1B9E"/>
    <w:rsid w:val="008E1E6D"/>
    <w:rsid w:val="008E297E"/>
    <w:rsid w:val="008E537B"/>
    <w:rsid w:val="008E55AB"/>
    <w:rsid w:val="008E5723"/>
    <w:rsid w:val="008E667C"/>
    <w:rsid w:val="008E7BE4"/>
    <w:rsid w:val="008E7C71"/>
    <w:rsid w:val="008F0608"/>
    <w:rsid w:val="008F120A"/>
    <w:rsid w:val="008F27E0"/>
    <w:rsid w:val="008F3959"/>
    <w:rsid w:val="008F48EB"/>
    <w:rsid w:val="008F4F0B"/>
    <w:rsid w:val="008F636E"/>
    <w:rsid w:val="008F7912"/>
    <w:rsid w:val="008F7D8D"/>
    <w:rsid w:val="00900F76"/>
    <w:rsid w:val="009045C5"/>
    <w:rsid w:val="009046C4"/>
    <w:rsid w:val="00904BF3"/>
    <w:rsid w:val="009062A5"/>
    <w:rsid w:val="00907C6D"/>
    <w:rsid w:val="00907EFA"/>
    <w:rsid w:val="00911272"/>
    <w:rsid w:val="009135D6"/>
    <w:rsid w:val="00913D1C"/>
    <w:rsid w:val="00914C77"/>
    <w:rsid w:val="0092001F"/>
    <w:rsid w:val="00920374"/>
    <w:rsid w:val="0092057B"/>
    <w:rsid w:val="009213A5"/>
    <w:rsid w:val="009221C0"/>
    <w:rsid w:val="0092369B"/>
    <w:rsid w:val="00925C2B"/>
    <w:rsid w:val="00926DAD"/>
    <w:rsid w:val="00927B4D"/>
    <w:rsid w:val="00927C23"/>
    <w:rsid w:val="0093284F"/>
    <w:rsid w:val="009331DA"/>
    <w:rsid w:val="00937077"/>
    <w:rsid w:val="009374B6"/>
    <w:rsid w:val="00937A08"/>
    <w:rsid w:val="00940DE7"/>
    <w:rsid w:val="00940FCB"/>
    <w:rsid w:val="00941FFE"/>
    <w:rsid w:val="009423C4"/>
    <w:rsid w:val="009433B1"/>
    <w:rsid w:val="00943593"/>
    <w:rsid w:val="00944141"/>
    <w:rsid w:val="009443B2"/>
    <w:rsid w:val="0094534C"/>
    <w:rsid w:val="009510A2"/>
    <w:rsid w:val="00952510"/>
    <w:rsid w:val="00953257"/>
    <w:rsid w:val="00953347"/>
    <w:rsid w:val="009549D5"/>
    <w:rsid w:val="00956FBB"/>
    <w:rsid w:val="00962CB9"/>
    <w:rsid w:val="00964312"/>
    <w:rsid w:val="00965B8A"/>
    <w:rsid w:val="00967BC3"/>
    <w:rsid w:val="00970650"/>
    <w:rsid w:val="009710F7"/>
    <w:rsid w:val="009717AC"/>
    <w:rsid w:val="00972A9A"/>
    <w:rsid w:val="00973B35"/>
    <w:rsid w:val="0097746C"/>
    <w:rsid w:val="00980EA2"/>
    <w:rsid w:val="00983836"/>
    <w:rsid w:val="00983E57"/>
    <w:rsid w:val="00984B5B"/>
    <w:rsid w:val="0098508A"/>
    <w:rsid w:val="00985A11"/>
    <w:rsid w:val="0098675D"/>
    <w:rsid w:val="00986A5C"/>
    <w:rsid w:val="009877F5"/>
    <w:rsid w:val="009879AB"/>
    <w:rsid w:val="00990427"/>
    <w:rsid w:val="00992E06"/>
    <w:rsid w:val="00993869"/>
    <w:rsid w:val="009958B2"/>
    <w:rsid w:val="00996B1A"/>
    <w:rsid w:val="0099746A"/>
    <w:rsid w:val="00997670"/>
    <w:rsid w:val="009A0407"/>
    <w:rsid w:val="009A06DA"/>
    <w:rsid w:val="009A15FC"/>
    <w:rsid w:val="009A49BF"/>
    <w:rsid w:val="009A5F85"/>
    <w:rsid w:val="009A7F10"/>
    <w:rsid w:val="009B1C78"/>
    <w:rsid w:val="009B2578"/>
    <w:rsid w:val="009B2C03"/>
    <w:rsid w:val="009B3853"/>
    <w:rsid w:val="009B3E26"/>
    <w:rsid w:val="009B4E02"/>
    <w:rsid w:val="009C08CA"/>
    <w:rsid w:val="009C0E20"/>
    <w:rsid w:val="009C15A2"/>
    <w:rsid w:val="009C284C"/>
    <w:rsid w:val="009C36A6"/>
    <w:rsid w:val="009C58FB"/>
    <w:rsid w:val="009C6CEA"/>
    <w:rsid w:val="009C7B85"/>
    <w:rsid w:val="009C7F2B"/>
    <w:rsid w:val="009D40EC"/>
    <w:rsid w:val="009D5B91"/>
    <w:rsid w:val="009D5CC2"/>
    <w:rsid w:val="009D601E"/>
    <w:rsid w:val="009D61B1"/>
    <w:rsid w:val="009D61D5"/>
    <w:rsid w:val="009D6309"/>
    <w:rsid w:val="009D6415"/>
    <w:rsid w:val="009D66E1"/>
    <w:rsid w:val="009D792E"/>
    <w:rsid w:val="009E0DFE"/>
    <w:rsid w:val="009E1040"/>
    <w:rsid w:val="009E159E"/>
    <w:rsid w:val="009E40DF"/>
    <w:rsid w:val="009E4C07"/>
    <w:rsid w:val="009E6682"/>
    <w:rsid w:val="009E6B8A"/>
    <w:rsid w:val="009F0AB6"/>
    <w:rsid w:val="009F122D"/>
    <w:rsid w:val="009F381C"/>
    <w:rsid w:val="009F3C70"/>
    <w:rsid w:val="009F54E7"/>
    <w:rsid w:val="009F59D3"/>
    <w:rsid w:val="009F5ADB"/>
    <w:rsid w:val="009F6A7F"/>
    <w:rsid w:val="009F6AE4"/>
    <w:rsid w:val="009F7FFE"/>
    <w:rsid w:val="00A00426"/>
    <w:rsid w:val="00A00A0B"/>
    <w:rsid w:val="00A01184"/>
    <w:rsid w:val="00A034B3"/>
    <w:rsid w:val="00A03786"/>
    <w:rsid w:val="00A03D43"/>
    <w:rsid w:val="00A04380"/>
    <w:rsid w:val="00A047D7"/>
    <w:rsid w:val="00A05FF2"/>
    <w:rsid w:val="00A06CB6"/>
    <w:rsid w:val="00A11CD0"/>
    <w:rsid w:val="00A13948"/>
    <w:rsid w:val="00A13A1B"/>
    <w:rsid w:val="00A13FAD"/>
    <w:rsid w:val="00A1555B"/>
    <w:rsid w:val="00A155C5"/>
    <w:rsid w:val="00A16AD8"/>
    <w:rsid w:val="00A17D90"/>
    <w:rsid w:val="00A205CB"/>
    <w:rsid w:val="00A21CF3"/>
    <w:rsid w:val="00A22646"/>
    <w:rsid w:val="00A2340C"/>
    <w:rsid w:val="00A2590D"/>
    <w:rsid w:val="00A27AEC"/>
    <w:rsid w:val="00A318E9"/>
    <w:rsid w:val="00A32004"/>
    <w:rsid w:val="00A320DB"/>
    <w:rsid w:val="00A35D16"/>
    <w:rsid w:val="00A368AF"/>
    <w:rsid w:val="00A36EF8"/>
    <w:rsid w:val="00A37BCD"/>
    <w:rsid w:val="00A43C59"/>
    <w:rsid w:val="00A5057D"/>
    <w:rsid w:val="00A50ECD"/>
    <w:rsid w:val="00A518F3"/>
    <w:rsid w:val="00A51F31"/>
    <w:rsid w:val="00A52729"/>
    <w:rsid w:val="00A53675"/>
    <w:rsid w:val="00A53E9C"/>
    <w:rsid w:val="00A56186"/>
    <w:rsid w:val="00A564D7"/>
    <w:rsid w:val="00A56B6A"/>
    <w:rsid w:val="00A578DC"/>
    <w:rsid w:val="00A57D15"/>
    <w:rsid w:val="00A6185A"/>
    <w:rsid w:val="00A624DD"/>
    <w:rsid w:val="00A64AAA"/>
    <w:rsid w:val="00A652C1"/>
    <w:rsid w:val="00A6725B"/>
    <w:rsid w:val="00A675A2"/>
    <w:rsid w:val="00A70605"/>
    <w:rsid w:val="00A72D24"/>
    <w:rsid w:val="00A72D8C"/>
    <w:rsid w:val="00A73134"/>
    <w:rsid w:val="00A76ECD"/>
    <w:rsid w:val="00A77703"/>
    <w:rsid w:val="00A777B2"/>
    <w:rsid w:val="00A80199"/>
    <w:rsid w:val="00A80F60"/>
    <w:rsid w:val="00A81241"/>
    <w:rsid w:val="00A82A4A"/>
    <w:rsid w:val="00A86058"/>
    <w:rsid w:val="00A86E8B"/>
    <w:rsid w:val="00A87164"/>
    <w:rsid w:val="00A87DB2"/>
    <w:rsid w:val="00A91654"/>
    <w:rsid w:val="00A918AB"/>
    <w:rsid w:val="00A920F9"/>
    <w:rsid w:val="00A93072"/>
    <w:rsid w:val="00A93953"/>
    <w:rsid w:val="00A959D8"/>
    <w:rsid w:val="00A97555"/>
    <w:rsid w:val="00A9762F"/>
    <w:rsid w:val="00A97D9D"/>
    <w:rsid w:val="00A97FCC"/>
    <w:rsid w:val="00AA0415"/>
    <w:rsid w:val="00AA0B53"/>
    <w:rsid w:val="00AA0CAC"/>
    <w:rsid w:val="00AA113D"/>
    <w:rsid w:val="00AA2EE6"/>
    <w:rsid w:val="00AA383D"/>
    <w:rsid w:val="00AA4006"/>
    <w:rsid w:val="00AA5337"/>
    <w:rsid w:val="00AA6C7D"/>
    <w:rsid w:val="00AA73EE"/>
    <w:rsid w:val="00AA780F"/>
    <w:rsid w:val="00AA7FD6"/>
    <w:rsid w:val="00AB01D8"/>
    <w:rsid w:val="00AB042A"/>
    <w:rsid w:val="00AB2D34"/>
    <w:rsid w:val="00AB3430"/>
    <w:rsid w:val="00AB3754"/>
    <w:rsid w:val="00AB4AD1"/>
    <w:rsid w:val="00AB76EB"/>
    <w:rsid w:val="00AB7CFA"/>
    <w:rsid w:val="00AC5B48"/>
    <w:rsid w:val="00AC6475"/>
    <w:rsid w:val="00AC7488"/>
    <w:rsid w:val="00AD1614"/>
    <w:rsid w:val="00AD2103"/>
    <w:rsid w:val="00AD392A"/>
    <w:rsid w:val="00AD3C3C"/>
    <w:rsid w:val="00AD59C3"/>
    <w:rsid w:val="00AD6502"/>
    <w:rsid w:val="00AD6A2B"/>
    <w:rsid w:val="00AE1EB7"/>
    <w:rsid w:val="00AE5093"/>
    <w:rsid w:val="00AF05B9"/>
    <w:rsid w:val="00AF1315"/>
    <w:rsid w:val="00AF19BF"/>
    <w:rsid w:val="00AF2DC3"/>
    <w:rsid w:val="00AF33B2"/>
    <w:rsid w:val="00AF3562"/>
    <w:rsid w:val="00AF4149"/>
    <w:rsid w:val="00AF7067"/>
    <w:rsid w:val="00AF72E0"/>
    <w:rsid w:val="00B00599"/>
    <w:rsid w:val="00B008E5"/>
    <w:rsid w:val="00B01598"/>
    <w:rsid w:val="00B01D1C"/>
    <w:rsid w:val="00B025F2"/>
    <w:rsid w:val="00B033E5"/>
    <w:rsid w:val="00B03A63"/>
    <w:rsid w:val="00B05395"/>
    <w:rsid w:val="00B056F8"/>
    <w:rsid w:val="00B06043"/>
    <w:rsid w:val="00B06ED4"/>
    <w:rsid w:val="00B07A7B"/>
    <w:rsid w:val="00B14101"/>
    <w:rsid w:val="00B17FBD"/>
    <w:rsid w:val="00B201A4"/>
    <w:rsid w:val="00B213A6"/>
    <w:rsid w:val="00B2290C"/>
    <w:rsid w:val="00B24DF6"/>
    <w:rsid w:val="00B262C4"/>
    <w:rsid w:val="00B27EBE"/>
    <w:rsid w:val="00B27FD9"/>
    <w:rsid w:val="00B3261C"/>
    <w:rsid w:val="00B33FF5"/>
    <w:rsid w:val="00B34588"/>
    <w:rsid w:val="00B34FE2"/>
    <w:rsid w:val="00B3541C"/>
    <w:rsid w:val="00B357D8"/>
    <w:rsid w:val="00B36152"/>
    <w:rsid w:val="00B36673"/>
    <w:rsid w:val="00B37BFC"/>
    <w:rsid w:val="00B37C71"/>
    <w:rsid w:val="00B40358"/>
    <w:rsid w:val="00B4037E"/>
    <w:rsid w:val="00B40889"/>
    <w:rsid w:val="00B41614"/>
    <w:rsid w:val="00B41684"/>
    <w:rsid w:val="00B42851"/>
    <w:rsid w:val="00B42923"/>
    <w:rsid w:val="00B42F80"/>
    <w:rsid w:val="00B435CB"/>
    <w:rsid w:val="00B502E6"/>
    <w:rsid w:val="00B50DB8"/>
    <w:rsid w:val="00B523BD"/>
    <w:rsid w:val="00B53654"/>
    <w:rsid w:val="00B53905"/>
    <w:rsid w:val="00B54B0D"/>
    <w:rsid w:val="00B54B5B"/>
    <w:rsid w:val="00B54B9D"/>
    <w:rsid w:val="00B5562E"/>
    <w:rsid w:val="00B562DE"/>
    <w:rsid w:val="00B56F45"/>
    <w:rsid w:val="00B57000"/>
    <w:rsid w:val="00B5782B"/>
    <w:rsid w:val="00B60939"/>
    <w:rsid w:val="00B60AFD"/>
    <w:rsid w:val="00B61440"/>
    <w:rsid w:val="00B626DA"/>
    <w:rsid w:val="00B62715"/>
    <w:rsid w:val="00B663F5"/>
    <w:rsid w:val="00B6688E"/>
    <w:rsid w:val="00B748DA"/>
    <w:rsid w:val="00B8035E"/>
    <w:rsid w:val="00B818A4"/>
    <w:rsid w:val="00B8225A"/>
    <w:rsid w:val="00B8298E"/>
    <w:rsid w:val="00B84117"/>
    <w:rsid w:val="00B845B8"/>
    <w:rsid w:val="00B84BFD"/>
    <w:rsid w:val="00B85AA2"/>
    <w:rsid w:val="00B8649C"/>
    <w:rsid w:val="00B87C60"/>
    <w:rsid w:val="00B87F0A"/>
    <w:rsid w:val="00B914DA"/>
    <w:rsid w:val="00B91E80"/>
    <w:rsid w:val="00B92D0B"/>
    <w:rsid w:val="00B934F4"/>
    <w:rsid w:val="00B948E5"/>
    <w:rsid w:val="00B94945"/>
    <w:rsid w:val="00B96085"/>
    <w:rsid w:val="00B9634D"/>
    <w:rsid w:val="00B97A2E"/>
    <w:rsid w:val="00BA031E"/>
    <w:rsid w:val="00BA1677"/>
    <w:rsid w:val="00BA1E41"/>
    <w:rsid w:val="00BA1FDE"/>
    <w:rsid w:val="00BA322D"/>
    <w:rsid w:val="00BA34C6"/>
    <w:rsid w:val="00BA3560"/>
    <w:rsid w:val="00BA3A33"/>
    <w:rsid w:val="00BA7A60"/>
    <w:rsid w:val="00BA7D3A"/>
    <w:rsid w:val="00BB0BDD"/>
    <w:rsid w:val="00BB1377"/>
    <w:rsid w:val="00BB2A73"/>
    <w:rsid w:val="00BB2BFB"/>
    <w:rsid w:val="00BB390B"/>
    <w:rsid w:val="00BB4ACC"/>
    <w:rsid w:val="00BB703E"/>
    <w:rsid w:val="00BB7405"/>
    <w:rsid w:val="00BC14E7"/>
    <w:rsid w:val="00BC2F88"/>
    <w:rsid w:val="00BC3631"/>
    <w:rsid w:val="00BC3FC3"/>
    <w:rsid w:val="00BC4410"/>
    <w:rsid w:val="00BC4E47"/>
    <w:rsid w:val="00BC5F9C"/>
    <w:rsid w:val="00BC62C3"/>
    <w:rsid w:val="00BC71B7"/>
    <w:rsid w:val="00BD0A80"/>
    <w:rsid w:val="00BD3E53"/>
    <w:rsid w:val="00BD5314"/>
    <w:rsid w:val="00BD68A3"/>
    <w:rsid w:val="00BD6938"/>
    <w:rsid w:val="00BD6CF3"/>
    <w:rsid w:val="00BE2180"/>
    <w:rsid w:val="00BE21F2"/>
    <w:rsid w:val="00BE3A6F"/>
    <w:rsid w:val="00BE4275"/>
    <w:rsid w:val="00BE66A0"/>
    <w:rsid w:val="00BE6AB5"/>
    <w:rsid w:val="00BE7339"/>
    <w:rsid w:val="00BF039E"/>
    <w:rsid w:val="00BF0E39"/>
    <w:rsid w:val="00BF0F95"/>
    <w:rsid w:val="00BF2433"/>
    <w:rsid w:val="00BF4A0F"/>
    <w:rsid w:val="00BF61C9"/>
    <w:rsid w:val="00BF6C94"/>
    <w:rsid w:val="00BF6FD2"/>
    <w:rsid w:val="00C003DE"/>
    <w:rsid w:val="00C00424"/>
    <w:rsid w:val="00C04DE3"/>
    <w:rsid w:val="00C04DEF"/>
    <w:rsid w:val="00C06517"/>
    <w:rsid w:val="00C1118E"/>
    <w:rsid w:val="00C124C9"/>
    <w:rsid w:val="00C12C14"/>
    <w:rsid w:val="00C1435D"/>
    <w:rsid w:val="00C1460C"/>
    <w:rsid w:val="00C1649B"/>
    <w:rsid w:val="00C16CC2"/>
    <w:rsid w:val="00C200AA"/>
    <w:rsid w:val="00C2193A"/>
    <w:rsid w:val="00C237ED"/>
    <w:rsid w:val="00C24632"/>
    <w:rsid w:val="00C25418"/>
    <w:rsid w:val="00C25D9C"/>
    <w:rsid w:val="00C2778B"/>
    <w:rsid w:val="00C300E5"/>
    <w:rsid w:val="00C31649"/>
    <w:rsid w:val="00C3260B"/>
    <w:rsid w:val="00C3370F"/>
    <w:rsid w:val="00C3408B"/>
    <w:rsid w:val="00C36989"/>
    <w:rsid w:val="00C36D0B"/>
    <w:rsid w:val="00C40385"/>
    <w:rsid w:val="00C40D08"/>
    <w:rsid w:val="00C42279"/>
    <w:rsid w:val="00C452B5"/>
    <w:rsid w:val="00C45774"/>
    <w:rsid w:val="00C47452"/>
    <w:rsid w:val="00C475AA"/>
    <w:rsid w:val="00C602B4"/>
    <w:rsid w:val="00C61C78"/>
    <w:rsid w:val="00C62908"/>
    <w:rsid w:val="00C635CB"/>
    <w:rsid w:val="00C65576"/>
    <w:rsid w:val="00C66165"/>
    <w:rsid w:val="00C66485"/>
    <w:rsid w:val="00C67B81"/>
    <w:rsid w:val="00C7151A"/>
    <w:rsid w:val="00C71F60"/>
    <w:rsid w:val="00C72241"/>
    <w:rsid w:val="00C72435"/>
    <w:rsid w:val="00C733F6"/>
    <w:rsid w:val="00C74C74"/>
    <w:rsid w:val="00C750C8"/>
    <w:rsid w:val="00C7560F"/>
    <w:rsid w:val="00C76ABC"/>
    <w:rsid w:val="00C80A0E"/>
    <w:rsid w:val="00C81550"/>
    <w:rsid w:val="00C8213F"/>
    <w:rsid w:val="00C861B0"/>
    <w:rsid w:val="00C8667A"/>
    <w:rsid w:val="00C8797A"/>
    <w:rsid w:val="00C900B8"/>
    <w:rsid w:val="00C90C71"/>
    <w:rsid w:val="00C918D8"/>
    <w:rsid w:val="00C92905"/>
    <w:rsid w:val="00C92FEF"/>
    <w:rsid w:val="00C931CF"/>
    <w:rsid w:val="00C938CF"/>
    <w:rsid w:val="00C95B8D"/>
    <w:rsid w:val="00C9624D"/>
    <w:rsid w:val="00C969DA"/>
    <w:rsid w:val="00C9776E"/>
    <w:rsid w:val="00CA2C77"/>
    <w:rsid w:val="00CA444F"/>
    <w:rsid w:val="00CA4FA4"/>
    <w:rsid w:val="00CA5245"/>
    <w:rsid w:val="00CA71F4"/>
    <w:rsid w:val="00CA7B09"/>
    <w:rsid w:val="00CB2EEC"/>
    <w:rsid w:val="00CB2F2A"/>
    <w:rsid w:val="00CB42F0"/>
    <w:rsid w:val="00CB5B1A"/>
    <w:rsid w:val="00CB5FCB"/>
    <w:rsid w:val="00CB6972"/>
    <w:rsid w:val="00CB6B22"/>
    <w:rsid w:val="00CB71C9"/>
    <w:rsid w:val="00CB7212"/>
    <w:rsid w:val="00CB7891"/>
    <w:rsid w:val="00CB7F5F"/>
    <w:rsid w:val="00CC1B39"/>
    <w:rsid w:val="00CC3D02"/>
    <w:rsid w:val="00CC617E"/>
    <w:rsid w:val="00CC7C58"/>
    <w:rsid w:val="00CD143F"/>
    <w:rsid w:val="00CD40E1"/>
    <w:rsid w:val="00CD4984"/>
    <w:rsid w:val="00CD4A5E"/>
    <w:rsid w:val="00CD6A52"/>
    <w:rsid w:val="00CD6ADC"/>
    <w:rsid w:val="00CD739D"/>
    <w:rsid w:val="00CE0D83"/>
    <w:rsid w:val="00CE0F16"/>
    <w:rsid w:val="00CE1780"/>
    <w:rsid w:val="00CE34AC"/>
    <w:rsid w:val="00CE5488"/>
    <w:rsid w:val="00CE6274"/>
    <w:rsid w:val="00CE6619"/>
    <w:rsid w:val="00CE6F55"/>
    <w:rsid w:val="00CE722C"/>
    <w:rsid w:val="00CF0DDC"/>
    <w:rsid w:val="00CF0FB5"/>
    <w:rsid w:val="00CF2B8D"/>
    <w:rsid w:val="00CF456B"/>
    <w:rsid w:val="00CF4E67"/>
    <w:rsid w:val="00CF5A22"/>
    <w:rsid w:val="00CF5B9C"/>
    <w:rsid w:val="00CF5C13"/>
    <w:rsid w:val="00CF6F76"/>
    <w:rsid w:val="00CF77EE"/>
    <w:rsid w:val="00D0262E"/>
    <w:rsid w:val="00D04002"/>
    <w:rsid w:val="00D05C16"/>
    <w:rsid w:val="00D06A71"/>
    <w:rsid w:val="00D10D2C"/>
    <w:rsid w:val="00D10DE2"/>
    <w:rsid w:val="00D10E0C"/>
    <w:rsid w:val="00D110BD"/>
    <w:rsid w:val="00D11E2F"/>
    <w:rsid w:val="00D125CA"/>
    <w:rsid w:val="00D13169"/>
    <w:rsid w:val="00D134C3"/>
    <w:rsid w:val="00D13675"/>
    <w:rsid w:val="00D141E1"/>
    <w:rsid w:val="00D145DB"/>
    <w:rsid w:val="00D170FB"/>
    <w:rsid w:val="00D17D6C"/>
    <w:rsid w:val="00D20E33"/>
    <w:rsid w:val="00D21F90"/>
    <w:rsid w:val="00D24145"/>
    <w:rsid w:val="00D2754D"/>
    <w:rsid w:val="00D27B27"/>
    <w:rsid w:val="00D30CD9"/>
    <w:rsid w:val="00D30EAD"/>
    <w:rsid w:val="00D3372E"/>
    <w:rsid w:val="00D33BE9"/>
    <w:rsid w:val="00D34A8A"/>
    <w:rsid w:val="00D357FF"/>
    <w:rsid w:val="00D358D6"/>
    <w:rsid w:val="00D360BB"/>
    <w:rsid w:val="00D3696B"/>
    <w:rsid w:val="00D417B1"/>
    <w:rsid w:val="00D424C7"/>
    <w:rsid w:val="00D43B2A"/>
    <w:rsid w:val="00D4417B"/>
    <w:rsid w:val="00D44CD7"/>
    <w:rsid w:val="00D4615D"/>
    <w:rsid w:val="00D47575"/>
    <w:rsid w:val="00D53B4B"/>
    <w:rsid w:val="00D56898"/>
    <w:rsid w:val="00D57C5C"/>
    <w:rsid w:val="00D631EF"/>
    <w:rsid w:val="00D642B0"/>
    <w:rsid w:val="00D70F16"/>
    <w:rsid w:val="00D72E71"/>
    <w:rsid w:val="00D72F46"/>
    <w:rsid w:val="00D76A44"/>
    <w:rsid w:val="00D77FF1"/>
    <w:rsid w:val="00D80CEA"/>
    <w:rsid w:val="00D815EF"/>
    <w:rsid w:val="00D82D78"/>
    <w:rsid w:val="00D86025"/>
    <w:rsid w:val="00D91923"/>
    <w:rsid w:val="00D92483"/>
    <w:rsid w:val="00D93568"/>
    <w:rsid w:val="00D93753"/>
    <w:rsid w:val="00D939C3"/>
    <w:rsid w:val="00D942BE"/>
    <w:rsid w:val="00D94565"/>
    <w:rsid w:val="00D95732"/>
    <w:rsid w:val="00D96AC4"/>
    <w:rsid w:val="00DA0420"/>
    <w:rsid w:val="00DA1DB2"/>
    <w:rsid w:val="00DA3167"/>
    <w:rsid w:val="00DA469D"/>
    <w:rsid w:val="00DA4DC3"/>
    <w:rsid w:val="00DA6BF2"/>
    <w:rsid w:val="00DA725C"/>
    <w:rsid w:val="00DA77A5"/>
    <w:rsid w:val="00DA78FC"/>
    <w:rsid w:val="00DA7E69"/>
    <w:rsid w:val="00DB2DB1"/>
    <w:rsid w:val="00DB33AE"/>
    <w:rsid w:val="00DB484F"/>
    <w:rsid w:val="00DB70E9"/>
    <w:rsid w:val="00DB7F67"/>
    <w:rsid w:val="00DC04F6"/>
    <w:rsid w:val="00DC0B51"/>
    <w:rsid w:val="00DC3206"/>
    <w:rsid w:val="00DC37BA"/>
    <w:rsid w:val="00DC3C57"/>
    <w:rsid w:val="00DC4E29"/>
    <w:rsid w:val="00DC5501"/>
    <w:rsid w:val="00DD0B3F"/>
    <w:rsid w:val="00DD273C"/>
    <w:rsid w:val="00DD3F28"/>
    <w:rsid w:val="00DD3F41"/>
    <w:rsid w:val="00DD4537"/>
    <w:rsid w:val="00DD4558"/>
    <w:rsid w:val="00DD4A2E"/>
    <w:rsid w:val="00DD4E15"/>
    <w:rsid w:val="00DD6EE9"/>
    <w:rsid w:val="00DD7E2D"/>
    <w:rsid w:val="00DE2B61"/>
    <w:rsid w:val="00DE2DD6"/>
    <w:rsid w:val="00DE3138"/>
    <w:rsid w:val="00DE37F8"/>
    <w:rsid w:val="00DE4FCB"/>
    <w:rsid w:val="00DE6024"/>
    <w:rsid w:val="00DE7832"/>
    <w:rsid w:val="00DE7D04"/>
    <w:rsid w:val="00DF0618"/>
    <w:rsid w:val="00DF18FC"/>
    <w:rsid w:val="00DF2898"/>
    <w:rsid w:val="00DF3C8E"/>
    <w:rsid w:val="00DF5D2B"/>
    <w:rsid w:val="00DF6208"/>
    <w:rsid w:val="00DF76BC"/>
    <w:rsid w:val="00E00E8E"/>
    <w:rsid w:val="00E01106"/>
    <w:rsid w:val="00E0253F"/>
    <w:rsid w:val="00E04175"/>
    <w:rsid w:val="00E04F8D"/>
    <w:rsid w:val="00E051B8"/>
    <w:rsid w:val="00E05630"/>
    <w:rsid w:val="00E06DBB"/>
    <w:rsid w:val="00E10149"/>
    <w:rsid w:val="00E1284B"/>
    <w:rsid w:val="00E131FC"/>
    <w:rsid w:val="00E13FCA"/>
    <w:rsid w:val="00E14008"/>
    <w:rsid w:val="00E147C5"/>
    <w:rsid w:val="00E16372"/>
    <w:rsid w:val="00E17416"/>
    <w:rsid w:val="00E20B2D"/>
    <w:rsid w:val="00E20E4D"/>
    <w:rsid w:val="00E20ED6"/>
    <w:rsid w:val="00E21358"/>
    <w:rsid w:val="00E2249B"/>
    <w:rsid w:val="00E2261C"/>
    <w:rsid w:val="00E22A0D"/>
    <w:rsid w:val="00E24027"/>
    <w:rsid w:val="00E25D9D"/>
    <w:rsid w:val="00E2771E"/>
    <w:rsid w:val="00E32975"/>
    <w:rsid w:val="00E32A78"/>
    <w:rsid w:val="00E348DC"/>
    <w:rsid w:val="00E34948"/>
    <w:rsid w:val="00E350ED"/>
    <w:rsid w:val="00E36E75"/>
    <w:rsid w:val="00E37569"/>
    <w:rsid w:val="00E3794A"/>
    <w:rsid w:val="00E4079D"/>
    <w:rsid w:val="00E41E30"/>
    <w:rsid w:val="00E4281C"/>
    <w:rsid w:val="00E43D70"/>
    <w:rsid w:val="00E441BE"/>
    <w:rsid w:val="00E44E7E"/>
    <w:rsid w:val="00E4503F"/>
    <w:rsid w:val="00E466F3"/>
    <w:rsid w:val="00E47B2C"/>
    <w:rsid w:val="00E5098D"/>
    <w:rsid w:val="00E51560"/>
    <w:rsid w:val="00E51ABF"/>
    <w:rsid w:val="00E54347"/>
    <w:rsid w:val="00E55424"/>
    <w:rsid w:val="00E55BB5"/>
    <w:rsid w:val="00E579DF"/>
    <w:rsid w:val="00E610E4"/>
    <w:rsid w:val="00E612B0"/>
    <w:rsid w:val="00E653F5"/>
    <w:rsid w:val="00E65E79"/>
    <w:rsid w:val="00E66291"/>
    <w:rsid w:val="00E668E6"/>
    <w:rsid w:val="00E66BA2"/>
    <w:rsid w:val="00E67416"/>
    <w:rsid w:val="00E67F76"/>
    <w:rsid w:val="00E718B6"/>
    <w:rsid w:val="00E723BA"/>
    <w:rsid w:val="00E73581"/>
    <w:rsid w:val="00E739FD"/>
    <w:rsid w:val="00E74A47"/>
    <w:rsid w:val="00E80845"/>
    <w:rsid w:val="00E81F72"/>
    <w:rsid w:val="00E82A74"/>
    <w:rsid w:val="00E833F7"/>
    <w:rsid w:val="00E83BDF"/>
    <w:rsid w:val="00E83F73"/>
    <w:rsid w:val="00E84421"/>
    <w:rsid w:val="00E85ABB"/>
    <w:rsid w:val="00E87A1D"/>
    <w:rsid w:val="00E91382"/>
    <w:rsid w:val="00E926A5"/>
    <w:rsid w:val="00E974A5"/>
    <w:rsid w:val="00EA02F8"/>
    <w:rsid w:val="00EA17C3"/>
    <w:rsid w:val="00EA1846"/>
    <w:rsid w:val="00EA2CAA"/>
    <w:rsid w:val="00EA3864"/>
    <w:rsid w:val="00EA544F"/>
    <w:rsid w:val="00EA71E4"/>
    <w:rsid w:val="00EB15B6"/>
    <w:rsid w:val="00EB1CA3"/>
    <w:rsid w:val="00EB21FD"/>
    <w:rsid w:val="00EB4916"/>
    <w:rsid w:val="00EB5D30"/>
    <w:rsid w:val="00EB6207"/>
    <w:rsid w:val="00EC00C9"/>
    <w:rsid w:val="00EC17B3"/>
    <w:rsid w:val="00EC2291"/>
    <w:rsid w:val="00EC25A7"/>
    <w:rsid w:val="00EC2649"/>
    <w:rsid w:val="00EC2739"/>
    <w:rsid w:val="00EC2D0D"/>
    <w:rsid w:val="00EC36FC"/>
    <w:rsid w:val="00ED061E"/>
    <w:rsid w:val="00ED0FAB"/>
    <w:rsid w:val="00ED57EA"/>
    <w:rsid w:val="00EE07D3"/>
    <w:rsid w:val="00EE0B8F"/>
    <w:rsid w:val="00EE16CA"/>
    <w:rsid w:val="00EE22AF"/>
    <w:rsid w:val="00EF0171"/>
    <w:rsid w:val="00EF177C"/>
    <w:rsid w:val="00EF1B25"/>
    <w:rsid w:val="00EF4495"/>
    <w:rsid w:val="00EF4747"/>
    <w:rsid w:val="00EF4BF8"/>
    <w:rsid w:val="00EF4F7C"/>
    <w:rsid w:val="00EF5437"/>
    <w:rsid w:val="00F02253"/>
    <w:rsid w:val="00F031EB"/>
    <w:rsid w:val="00F03C2E"/>
    <w:rsid w:val="00F043D5"/>
    <w:rsid w:val="00F04A66"/>
    <w:rsid w:val="00F0505E"/>
    <w:rsid w:val="00F0516C"/>
    <w:rsid w:val="00F067A2"/>
    <w:rsid w:val="00F06B6D"/>
    <w:rsid w:val="00F10F85"/>
    <w:rsid w:val="00F116BF"/>
    <w:rsid w:val="00F1263A"/>
    <w:rsid w:val="00F12A09"/>
    <w:rsid w:val="00F12BC0"/>
    <w:rsid w:val="00F12F24"/>
    <w:rsid w:val="00F13930"/>
    <w:rsid w:val="00F20AA2"/>
    <w:rsid w:val="00F22EE9"/>
    <w:rsid w:val="00F24837"/>
    <w:rsid w:val="00F2541C"/>
    <w:rsid w:val="00F2575F"/>
    <w:rsid w:val="00F25C4C"/>
    <w:rsid w:val="00F2603D"/>
    <w:rsid w:val="00F263EE"/>
    <w:rsid w:val="00F27565"/>
    <w:rsid w:val="00F310D4"/>
    <w:rsid w:val="00F314D5"/>
    <w:rsid w:val="00F31D5A"/>
    <w:rsid w:val="00F32115"/>
    <w:rsid w:val="00F327FF"/>
    <w:rsid w:val="00F33DE9"/>
    <w:rsid w:val="00F33F44"/>
    <w:rsid w:val="00F355EB"/>
    <w:rsid w:val="00F35D7C"/>
    <w:rsid w:val="00F3619A"/>
    <w:rsid w:val="00F37302"/>
    <w:rsid w:val="00F40AAA"/>
    <w:rsid w:val="00F40BA7"/>
    <w:rsid w:val="00F41B86"/>
    <w:rsid w:val="00F43787"/>
    <w:rsid w:val="00F43BA8"/>
    <w:rsid w:val="00F46CB6"/>
    <w:rsid w:val="00F47DE8"/>
    <w:rsid w:val="00F516F7"/>
    <w:rsid w:val="00F536E1"/>
    <w:rsid w:val="00F542C1"/>
    <w:rsid w:val="00F549DD"/>
    <w:rsid w:val="00F54AF4"/>
    <w:rsid w:val="00F55A57"/>
    <w:rsid w:val="00F55E2B"/>
    <w:rsid w:val="00F55E73"/>
    <w:rsid w:val="00F55E87"/>
    <w:rsid w:val="00F55EDA"/>
    <w:rsid w:val="00F577A6"/>
    <w:rsid w:val="00F60092"/>
    <w:rsid w:val="00F60274"/>
    <w:rsid w:val="00F609A5"/>
    <w:rsid w:val="00F65F4B"/>
    <w:rsid w:val="00F70C9D"/>
    <w:rsid w:val="00F74CD9"/>
    <w:rsid w:val="00F75D3C"/>
    <w:rsid w:val="00F75E74"/>
    <w:rsid w:val="00F77A2C"/>
    <w:rsid w:val="00F80A7B"/>
    <w:rsid w:val="00F80E5D"/>
    <w:rsid w:val="00F83291"/>
    <w:rsid w:val="00F83EB4"/>
    <w:rsid w:val="00F846B0"/>
    <w:rsid w:val="00F851CE"/>
    <w:rsid w:val="00F866AD"/>
    <w:rsid w:val="00F90E6A"/>
    <w:rsid w:val="00F91219"/>
    <w:rsid w:val="00F946F8"/>
    <w:rsid w:val="00F94F90"/>
    <w:rsid w:val="00F95A10"/>
    <w:rsid w:val="00F973E4"/>
    <w:rsid w:val="00F97A78"/>
    <w:rsid w:val="00FA02AC"/>
    <w:rsid w:val="00FA0B20"/>
    <w:rsid w:val="00FA1426"/>
    <w:rsid w:val="00FA155A"/>
    <w:rsid w:val="00FA24E7"/>
    <w:rsid w:val="00FA25BB"/>
    <w:rsid w:val="00FA3745"/>
    <w:rsid w:val="00FA3FF2"/>
    <w:rsid w:val="00FA5087"/>
    <w:rsid w:val="00FA6709"/>
    <w:rsid w:val="00FB14E4"/>
    <w:rsid w:val="00FB2039"/>
    <w:rsid w:val="00FB2FCB"/>
    <w:rsid w:val="00FB7625"/>
    <w:rsid w:val="00FB7E27"/>
    <w:rsid w:val="00FC0788"/>
    <w:rsid w:val="00FC1074"/>
    <w:rsid w:val="00FC1884"/>
    <w:rsid w:val="00FC2713"/>
    <w:rsid w:val="00FC371D"/>
    <w:rsid w:val="00FC5F0B"/>
    <w:rsid w:val="00FC64A6"/>
    <w:rsid w:val="00FC7413"/>
    <w:rsid w:val="00FC7477"/>
    <w:rsid w:val="00FD0C8E"/>
    <w:rsid w:val="00FD0CE1"/>
    <w:rsid w:val="00FD1330"/>
    <w:rsid w:val="00FD2100"/>
    <w:rsid w:val="00FD254E"/>
    <w:rsid w:val="00FD436C"/>
    <w:rsid w:val="00FD446D"/>
    <w:rsid w:val="00FD6394"/>
    <w:rsid w:val="00FD72E2"/>
    <w:rsid w:val="00FE0E6C"/>
    <w:rsid w:val="00FE16BA"/>
    <w:rsid w:val="00FE3FBA"/>
    <w:rsid w:val="00FE44F5"/>
    <w:rsid w:val="00FE5CB3"/>
    <w:rsid w:val="00FE5E8C"/>
    <w:rsid w:val="00FE70C3"/>
    <w:rsid w:val="00FE7193"/>
    <w:rsid w:val="00FF031E"/>
    <w:rsid w:val="00FF0476"/>
    <w:rsid w:val="00FF081F"/>
    <w:rsid w:val="00FF0C69"/>
    <w:rsid w:val="00FF1383"/>
    <w:rsid w:val="00FF27E1"/>
    <w:rsid w:val="00FF3DCF"/>
    <w:rsid w:val="00FF4008"/>
    <w:rsid w:val="00FF492C"/>
    <w:rsid w:val="00FF4A21"/>
    <w:rsid w:val="00FF511E"/>
    <w:rsid w:val="00FF5AA3"/>
    <w:rsid w:val="00FF5AD8"/>
    <w:rsid w:val="00FF6F3B"/>
    <w:rsid w:val="00FF793E"/>
    <w:rsid w:val="103997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DC2945F-A1C9-443D-A43A-B53E855C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7B"/>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FF6F3B"/>
    <w:pPr>
      <w:keepNext/>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F6F3B"/>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7E78EB"/>
    <w:pPr>
      <w:ind w:firstLine="720"/>
      <w:outlineLvl w:val="0"/>
    </w:pPr>
    <w:rPr>
      <w:b/>
      <w:sz w:val="36"/>
      <w:szCs w:val="36"/>
    </w:rPr>
  </w:style>
  <w:style w:type="character" w:customStyle="1" w:styleId="TitleChar">
    <w:name w:val="Title Char"/>
    <w:basedOn w:val="DefaultParagraphFont"/>
    <w:link w:val="Title"/>
    <w:rsid w:val="007E78EB"/>
    <w:rPr>
      <w:rFonts w:ascii="Calibri" w:hAnsi="Calibri" w:cs="Arial"/>
      <w:b/>
      <w:snapToGrid w:val="0"/>
      <w:sz w:val="36"/>
      <w:szCs w:val="36"/>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Numbered para,List Paragraph1,Footnote,Bullet point,List Paragraph11,Recommendation,ES Paragraph,PBAC ES Paragraph,PBAC normal points,Bullet List"/>
    <w:link w:val="ListParagraphChar"/>
    <w:uiPriority w:val="72"/>
    <w:qFormat/>
    <w:rsid w:val="008E537B"/>
    <w:pPr>
      <w:widowControl w:val="0"/>
      <w:spacing w:before="120" w:after="120"/>
      <w:ind w:left="1440" w:hanging="360"/>
      <w:jc w:val="both"/>
    </w:pPr>
    <w:rPr>
      <w:rFonts w:asciiTheme="minorHAnsi" w:hAnsiTheme="minorHAnsi" w:cs="Arial"/>
      <w:snapToGrid w:val="0"/>
      <w:sz w:val="24"/>
      <w:szCs w:val="24"/>
    </w:rPr>
  </w:style>
  <w:style w:type="character" w:customStyle="1" w:styleId="ListParagraphChar">
    <w:name w:val="List Paragraph Char"/>
    <w:aliases w:val="BulletPoints Char,Numbered para Char,List Paragraph1 Char,Footnote Char,Bullet point Char,List Paragraph11 Char,Recommendation Char,ES Paragraph Char,PBAC ES Paragraph Char,PBAC normal points Char,Bullet List Char"/>
    <w:basedOn w:val="DefaultParagraphFont"/>
    <w:link w:val="ListParagraph"/>
    <w:uiPriority w:val="72"/>
    <w:qFormat/>
    <w:locked/>
    <w:rsid w:val="008E537B"/>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8E537B"/>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8E537B"/>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rsid w:val="00A518F3"/>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link w:val="BulletpointsChar"/>
    <w:rsid w:val="002C5099"/>
    <w:pPr>
      <w:numPr>
        <w:numId w:val="1"/>
      </w:numPr>
      <w:spacing w:after="0"/>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Char1"/>
    <w:basedOn w:val="Normal"/>
    <w:link w:val="FootnoteTextChar"/>
    <w:unhideWhenUsed/>
    <w:rsid w:val="003C5468"/>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3C5468"/>
    <w:rPr>
      <w:rFonts w:ascii="Calibri" w:hAnsi="Calibri" w:cs="Arial"/>
      <w:snapToGrid w:val="0"/>
      <w:lang w:eastAsia="en-US"/>
    </w:rPr>
  </w:style>
  <w:style w:type="character" w:styleId="FootnoteReference">
    <w:name w:val="footnote reference"/>
    <w:basedOn w:val="DefaultParagraphFont"/>
    <w:unhideWhenUsed/>
    <w:rsid w:val="003C5468"/>
    <w:rPr>
      <w:vertAlign w:val="superscript"/>
    </w:rPr>
  </w:style>
  <w:style w:type="paragraph" w:customStyle="1" w:styleId="TableTextleftalign">
    <w:name w:val="Table Text left align"/>
    <w:basedOn w:val="Normal"/>
    <w:link w:val="TableTextleftalignChar"/>
    <w:rsid w:val="002267F2"/>
    <w:rPr>
      <w:rFonts w:eastAsia="Batang" w:cs="Times New Roman"/>
      <w:snapToGrid w:val="0"/>
      <w:sz w:val="18"/>
      <w:szCs w:val="18"/>
      <w:lang w:val="en-US"/>
    </w:rPr>
  </w:style>
  <w:style w:type="character" w:customStyle="1" w:styleId="TableTextleftalignChar">
    <w:name w:val="Table Text left align Char"/>
    <w:basedOn w:val="DefaultParagraphFont"/>
    <w:link w:val="TableTextleftalign"/>
    <w:rsid w:val="002267F2"/>
    <w:rPr>
      <w:rFonts w:ascii="Calibri" w:eastAsia="Batang" w:hAnsi="Calibri"/>
      <w:sz w:val="18"/>
      <w:szCs w:val="18"/>
      <w:lang w:val="en-US" w:eastAsia="en-US"/>
    </w:rPr>
  </w:style>
  <w:style w:type="paragraph" w:customStyle="1" w:styleId="TableFootnotetext">
    <w:name w:val="Table Footnote text"/>
    <w:basedOn w:val="Normal"/>
    <w:rsid w:val="002267F2"/>
    <w:rPr>
      <w:rFonts w:cs="Times New Roman"/>
      <w:snapToGrid w:val="0"/>
      <w:sz w:val="16"/>
      <w:szCs w:val="20"/>
    </w:rPr>
  </w:style>
  <w:style w:type="paragraph" w:customStyle="1" w:styleId="TableTitlecentred">
    <w:name w:val="Table Title centred"/>
    <w:basedOn w:val="Normal"/>
    <w:rsid w:val="002267F2"/>
    <w:pPr>
      <w:jc w:val="center"/>
    </w:pPr>
    <w:rPr>
      <w:rFonts w:eastAsia="Batang" w:cs="Times New Roman"/>
      <w:b/>
      <w:snapToGrid w:val="0"/>
      <w:sz w:val="18"/>
      <w:szCs w:val="20"/>
      <w:lang w:val="en-US"/>
    </w:rPr>
  </w:style>
  <w:style w:type="paragraph" w:customStyle="1" w:styleId="TableTextbullet">
    <w:name w:val="Table Text bullet"/>
    <w:basedOn w:val="Normal"/>
    <w:link w:val="TableTextbulletChar"/>
    <w:rsid w:val="002267F2"/>
    <w:pPr>
      <w:numPr>
        <w:numId w:val="5"/>
      </w:numPr>
      <w:ind w:left="306" w:hanging="283"/>
    </w:pPr>
    <w:rPr>
      <w:rFonts w:eastAsiaTheme="majorEastAsia" w:cstheme="majorBidi"/>
      <w:snapToGrid w:val="0"/>
      <w:sz w:val="18"/>
      <w:szCs w:val="20"/>
      <w:lang w:val="en-US" w:bidi="en-US"/>
    </w:rPr>
  </w:style>
  <w:style w:type="character" w:customStyle="1" w:styleId="TableTextbulletChar">
    <w:name w:val="Table Text bullet Char"/>
    <w:basedOn w:val="DefaultParagraphFont"/>
    <w:link w:val="TableTextbullet"/>
    <w:rsid w:val="002267F2"/>
    <w:rPr>
      <w:rFonts w:ascii="Calibri" w:eastAsiaTheme="majorEastAsia" w:hAnsi="Calibri" w:cstheme="majorBidi"/>
      <w:sz w:val="18"/>
      <w:lang w:val="en-US" w:bidi="en-US"/>
    </w:rPr>
  </w:style>
  <w:style w:type="paragraph" w:customStyle="1" w:styleId="TableFootnoteindent">
    <w:name w:val="Table Footnote indent"/>
    <w:basedOn w:val="Normal"/>
    <w:next w:val="Normal"/>
    <w:link w:val="TableFootnoteindentChar"/>
    <w:rsid w:val="002267F2"/>
    <w:pPr>
      <w:tabs>
        <w:tab w:val="left" w:pos="284"/>
      </w:tabs>
      <w:ind w:left="284" w:hanging="284"/>
    </w:pPr>
    <w:rPr>
      <w:rFonts w:cs="Times New Roman"/>
      <w:snapToGrid w:val="0"/>
      <w:sz w:val="16"/>
    </w:rPr>
  </w:style>
  <w:style w:type="character" w:customStyle="1" w:styleId="TableFootnoteindentChar">
    <w:name w:val="Table Footnote indent Char"/>
    <w:basedOn w:val="DefaultParagraphFont"/>
    <w:link w:val="TableFootnoteindent"/>
    <w:rsid w:val="002267F2"/>
    <w:rPr>
      <w:rFonts w:ascii="Calibri" w:hAnsi="Calibri"/>
      <w:sz w:val="16"/>
      <w:szCs w:val="22"/>
      <w:lang w:eastAsia="en-US"/>
    </w:rPr>
  </w:style>
  <w:style w:type="paragraph" w:customStyle="1" w:styleId="TableSource">
    <w:name w:val="Table Source"/>
    <w:basedOn w:val="Normal"/>
    <w:next w:val="Normal"/>
    <w:link w:val="TableSourceChar"/>
    <w:rsid w:val="002267F2"/>
    <w:pPr>
      <w:tabs>
        <w:tab w:val="left" w:pos="567"/>
      </w:tabs>
      <w:ind w:left="567" w:hanging="567"/>
    </w:pPr>
    <w:rPr>
      <w:rFonts w:cs="Times New Roman"/>
      <w:i/>
      <w:iCs/>
      <w:snapToGrid w:val="0"/>
      <w:sz w:val="16"/>
    </w:rPr>
  </w:style>
  <w:style w:type="character" w:customStyle="1" w:styleId="TableSourceChar">
    <w:name w:val="Table Source Char"/>
    <w:basedOn w:val="DefaultParagraphFont"/>
    <w:link w:val="TableSource"/>
    <w:rsid w:val="002267F2"/>
    <w:rPr>
      <w:rFonts w:ascii="Calibri" w:hAnsi="Calibri"/>
      <w:i/>
      <w:iCs/>
      <w:sz w:val="16"/>
      <w:szCs w:val="22"/>
      <w:lang w:eastAsia="en-US"/>
    </w:rPr>
  </w:style>
  <w:style w:type="paragraph" w:customStyle="1" w:styleId="TableTextcentred">
    <w:name w:val="Table Text centred"/>
    <w:basedOn w:val="Normal"/>
    <w:link w:val="TableTextcentredChar"/>
    <w:rsid w:val="002267F2"/>
    <w:pPr>
      <w:jc w:val="center"/>
    </w:pPr>
    <w:rPr>
      <w:rFonts w:cs="Times New Roman"/>
      <w:snapToGrid w:val="0"/>
      <w:sz w:val="18"/>
      <w:szCs w:val="18"/>
    </w:rPr>
  </w:style>
  <w:style w:type="character" w:customStyle="1" w:styleId="TableTextcentredChar">
    <w:name w:val="Table Text centred Char"/>
    <w:basedOn w:val="DefaultParagraphFont"/>
    <w:link w:val="TableTextcentred"/>
    <w:rsid w:val="002267F2"/>
    <w:rPr>
      <w:rFonts w:ascii="Calibri" w:hAnsi="Calibri"/>
      <w:sz w:val="18"/>
      <w:szCs w:val="18"/>
      <w:lang w:eastAsia="en-US"/>
    </w:rPr>
  </w:style>
  <w:style w:type="table" w:customStyle="1" w:styleId="Summarybox1">
    <w:name w:val="Summary box1"/>
    <w:basedOn w:val="TableNormal"/>
    <w:next w:val="TableGrid"/>
    <w:uiPriority w:val="39"/>
    <w:rsid w:val="00226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Table"/>
    <w:basedOn w:val="Normal"/>
    <w:next w:val="Normal"/>
    <w:link w:val="CaptionTableChar"/>
    <w:autoRedefine/>
    <w:rsid w:val="004B4AA7"/>
    <w:pPr>
      <w:keepNext/>
    </w:pPr>
    <w:rPr>
      <w:rFonts w:ascii="Arial Narrow" w:hAnsi="Arial Narrow" w:cs="Times New Roman"/>
      <w:b/>
      <w:snapToGrid w:val="0"/>
      <w:sz w:val="20"/>
    </w:rPr>
  </w:style>
  <w:style w:type="character" w:customStyle="1" w:styleId="CaptionTableChar">
    <w:name w:val="Caption Table Char"/>
    <w:basedOn w:val="DefaultParagraphFont"/>
    <w:link w:val="CaptionTable"/>
    <w:rsid w:val="004B4AA7"/>
    <w:rPr>
      <w:rFonts w:ascii="Arial Narrow" w:hAnsi="Arial Narrow"/>
      <w:b/>
      <w:szCs w:val="22"/>
    </w:rPr>
  </w:style>
  <w:style w:type="paragraph" w:customStyle="1" w:styleId="TableTextLeft">
    <w:name w:val="Table Text + Left"/>
    <w:rsid w:val="002267F2"/>
    <w:pPr>
      <w:spacing w:before="20" w:after="20"/>
    </w:pPr>
    <w:rPr>
      <w:lang w:val="en-US" w:eastAsia="fr-FR"/>
    </w:rPr>
  </w:style>
  <w:style w:type="paragraph" w:customStyle="1" w:styleId="bulletlevel1">
    <w:name w:val="bullet level 1"/>
    <w:basedOn w:val="Normal"/>
    <w:link w:val="bulletlevel1Char"/>
    <w:rsid w:val="00190819"/>
    <w:pPr>
      <w:numPr>
        <w:numId w:val="6"/>
      </w:numPr>
      <w:tabs>
        <w:tab w:val="clear" w:pos="567"/>
        <w:tab w:val="num" w:pos="426"/>
      </w:tabs>
      <w:ind w:left="426" w:hanging="426"/>
    </w:pPr>
    <w:rPr>
      <w:rFonts w:asciiTheme="minorHAnsi" w:eastAsiaTheme="minorHAnsi" w:hAnsiTheme="minorHAnsi" w:cstheme="minorHAnsi"/>
      <w:snapToGrid w:val="0"/>
      <w:sz w:val="22"/>
    </w:rPr>
  </w:style>
  <w:style w:type="character" w:customStyle="1" w:styleId="bulletlevel1Char">
    <w:name w:val="bullet level 1 Char"/>
    <w:basedOn w:val="DefaultParagraphFont"/>
    <w:link w:val="bulletlevel1"/>
    <w:rsid w:val="00190819"/>
    <w:rPr>
      <w:rFonts w:asciiTheme="minorHAnsi" w:eastAsiaTheme="minorHAnsi" w:hAnsiTheme="minorHAnsi" w:cstheme="minorHAnsi"/>
      <w:sz w:val="22"/>
      <w:szCs w:val="22"/>
      <w:lang w:eastAsia="en-US"/>
    </w:rPr>
  </w:style>
  <w:style w:type="character" w:styleId="Emphasis">
    <w:name w:val="Emphasis"/>
    <w:uiPriority w:val="20"/>
    <w:rsid w:val="00190819"/>
    <w:rPr>
      <w:b/>
      <w:bCs/>
      <w:i/>
      <w:iCs/>
      <w:spacing w:val="10"/>
    </w:rPr>
  </w:style>
  <w:style w:type="paragraph" w:customStyle="1" w:styleId="TableText0">
    <w:name w:val="Table Text"/>
    <w:link w:val="TableTextChar0"/>
    <w:qFormat/>
    <w:rsid w:val="008E537B"/>
    <w:rPr>
      <w:rFonts w:ascii="Arial Narrow" w:eastAsiaTheme="majorEastAsia" w:hAnsi="Arial Narrow" w:cstheme="majorBidi"/>
      <w:bCs/>
      <w:sz w:val="24"/>
      <w:szCs w:val="24"/>
    </w:rPr>
  </w:style>
  <w:style w:type="character" w:customStyle="1" w:styleId="TableTextChar0">
    <w:name w:val="Table Text Char"/>
    <w:basedOn w:val="DefaultParagraphFont"/>
    <w:link w:val="TableText0"/>
    <w:locked/>
    <w:rsid w:val="008E537B"/>
    <w:rPr>
      <w:rFonts w:ascii="Arial Narrow" w:eastAsiaTheme="majorEastAsia" w:hAnsi="Arial Narrow" w:cstheme="majorBidi"/>
      <w:bCs/>
      <w:sz w:val="24"/>
      <w:szCs w:val="24"/>
    </w:rPr>
  </w:style>
  <w:style w:type="table" w:customStyle="1" w:styleId="Summarybox2">
    <w:name w:val="Summary box2"/>
    <w:basedOn w:val="TableNormal"/>
    <w:next w:val="TableGrid"/>
    <w:uiPriority w:val="59"/>
    <w:rsid w:val="0019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19081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lack" w:hAnsi="Arial Black"/>
        <w:b/>
        <w:sz w:val="20"/>
      </w:rPr>
      <w:tblPr/>
      <w:tcPr>
        <w:shd w:val="clear" w:color="auto" w:fill="BFBFBF" w:themeFill="background1" w:themeFillShade="BF"/>
      </w:tcPr>
    </w:tblStylePr>
  </w:style>
  <w:style w:type="paragraph" w:styleId="DocumentMap">
    <w:name w:val="Document Map"/>
    <w:basedOn w:val="Normal"/>
    <w:link w:val="DocumentMapChar"/>
    <w:semiHidden/>
    <w:rsid w:val="00190819"/>
    <w:pPr>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semiHidden/>
    <w:rsid w:val="00190819"/>
    <w:rPr>
      <w:rFonts w:ascii="Tahoma" w:hAnsi="Tahoma" w:cs="Tahoma"/>
      <w:shd w:val="clear" w:color="auto" w:fill="000080"/>
      <w:lang w:eastAsia="en-US"/>
    </w:rPr>
  </w:style>
  <w:style w:type="paragraph" w:customStyle="1" w:styleId="TitleCoverPage">
    <w:name w:val="Title Cover Page"/>
    <w:basedOn w:val="Normal"/>
    <w:rsid w:val="00190819"/>
    <w:pPr>
      <w:jc w:val="center"/>
    </w:pPr>
    <w:rPr>
      <w:rFonts w:cs="Times New Roman"/>
      <w:b/>
      <w:snapToGrid w:val="0"/>
      <w:sz w:val="40"/>
      <w:szCs w:val="20"/>
    </w:rPr>
  </w:style>
  <w:style w:type="paragraph" w:customStyle="1" w:styleId="TableLeft">
    <w:name w:val="Table Left"/>
    <w:basedOn w:val="Normal"/>
    <w:link w:val="TableLeftChar"/>
    <w:uiPriority w:val="99"/>
    <w:rsid w:val="00190819"/>
    <w:rPr>
      <w:rFonts w:eastAsiaTheme="majorEastAsia" w:cstheme="majorBidi"/>
      <w:snapToGrid w:val="0"/>
      <w:sz w:val="18"/>
      <w:lang w:bidi="en-US"/>
    </w:rPr>
  </w:style>
  <w:style w:type="character" w:customStyle="1" w:styleId="TableLeftChar">
    <w:name w:val="Table Left Char"/>
    <w:basedOn w:val="DefaultParagraphFont"/>
    <w:link w:val="TableLeft"/>
    <w:uiPriority w:val="99"/>
    <w:locked/>
    <w:rsid w:val="00190819"/>
    <w:rPr>
      <w:rFonts w:ascii="Calibri" w:eastAsiaTheme="majorEastAsia" w:hAnsi="Calibri" w:cstheme="majorBidi"/>
      <w:sz w:val="18"/>
      <w:szCs w:val="22"/>
      <w:lang w:eastAsia="en-US" w:bidi="en-US"/>
    </w:rPr>
  </w:style>
  <w:style w:type="character" w:customStyle="1" w:styleId="SmallItalics">
    <w:name w:val="Small Italics"/>
    <w:basedOn w:val="DefaultParagraphFont"/>
    <w:uiPriority w:val="4"/>
    <w:rsid w:val="00190819"/>
    <w:rPr>
      <w:rFonts w:ascii="Calibri" w:hAnsi="Calibri"/>
      <w:i/>
      <w:sz w:val="20"/>
    </w:rPr>
  </w:style>
  <w:style w:type="table" w:customStyle="1" w:styleId="TableGrid1">
    <w:name w:val="Table Grid1"/>
    <w:basedOn w:val="TableNormal"/>
    <w:next w:val="TableGrid"/>
    <w:uiPriority w:val="59"/>
    <w:rsid w:val="0019081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FootnoteChar">
    <w:name w:val="Caption Footnote Char"/>
    <w:basedOn w:val="DefaultParagraphFont"/>
    <w:link w:val="CaptionFootnote"/>
    <w:rsid w:val="00190819"/>
    <w:rPr>
      <w:rFonts w:ascii="Calibri" w:hAnsi="Calibri"/>
      <w:kern w:val="28"/>
      <w:sz w:val="16"/>
      <w:szCs w:val="24"/>
      <w:lang w:eastAsia="en-GB"/>
    </w:rPr>
  </w:style>
  <w:style w:type="paragraph" w:customStyle="1" w:styleId="CaptionFootnote">
    <w:name w:val="Caption Footnote"/>
    <w:basedOn w:val="Normal"/>
    <w:link w:val="CaptionFootnoteChar"/>
    <w:rsid w:val="00190819"/>
    <w:rPr>
      <w:rFonts w:cs="Times New Roman"/>
      <w:snapToGrid w:val="0"/>
      <w:kern w:val="28"/>
      <w:sz w:val="16"/>
      <w:lang w:eastAsia="en-GB"/>
    </w:rPr>
  </w:style>
  <w:style w:type="paragraph" w:styleId="ListBullet">
    <w:name w:val="List Bullet"/>
    <w:basedOn w:val="Normal"/>
    <w:uiPriority w:val="99"/>
    <w:unhideWhenUsed/>
    <w:rsid w:val="00190819"/>
    <w:pPr>
      <w:numPr>
        <w:numId w:val="8"/>
      </w:numPr>
      <w:spacing w:after="200" w:line="276" w:lineRule="auto"/>
      <w:contextualSpacing/>
    </w:pPr>
    <w:rPr>
      <w:rFonts w:eastAsia="Calibri" w:cs="Times New Roman"/>
      <w:snapToGrid w:val="0"/>
      <w:sz w:val="22"/>
    </w:rPr>
  </w:style>
  <w:style w:type="paragraph" w:styleId="Bibliography">
    <w:name w:val="Bibliography"/>
    <w:basedOn w:val="Normal"/>
    <w:next w:val="Normal"/>
    <w:uiPriority w:val="37"/>
    <w:semiHidden/>
    <w:unhideWhenUsed/>
    <w:rsid w:val="00190819"/>
  </w:style>
  <w:style w:type="character" w:styleId="PlaceholderText">
    <w:name w:val="Placeholder Text"/>
    <w:basedOn w:val="DefaultParagraphFont"/>
    <w:uiPriority w:val="99"/>
    <w:semiHidden/>
    <w:rsid w:val="00190819"/>
    <w:rPr>
      <w:color w:val="808080"/>
    </w:rPr>
  </w:style>
  <w:style w:type="character" w:customStyle="1" w:styleId="Small">
    <w:name w:val="Small"/>
    <w:basedOn w:val="DefaultParagraphFont"/>
    <w:uiPriority w:val="4"/>
    <w:rsid w:val="00190819"/>
    <w:rPr>
      <w:rFonts w:ascii="Calibri" w:hAnsi="Calibri"/>
      <w:sz w:val="20"/>
    </w:rPr>
  </w:style>
  <w:style w:type="character" w:customStyle="1" w:styleId="SmallBold">
    <w:name w:val="Small Bold"/>
    <w:basedOn w:val="Small"/>
    <w:uiPriority w:val="4"/>
    <w:rsid w:val="00190819"/>
    <w:rPr>
      <w:rFonts w:ascii="Calibri" w:hAnsi="Calibri"/>
      <w:b/>
      <w:sz w:val="20"/>
      <w:lang w:val="en-AU"/>
    </w:rPr>
  </w:style>
  <w:style w:type="paragraph" w:customStyle="1" w:styleId="Bullet">
    <w:name w:val="Bullet"/>
    <w:basedOn w:val="Normal"/>
    <w:rsid w:val="00190819"/>
    <w:pPr>
      <w:numPr>
        <w:numId w:val="9"/>
      </w:numPr>
      <w:spacing w:after="120"/>
      <w:ind w:left="357" w:hanging="357"/>
    </w:pPr>
    <w:rPr>
      <w:rFonts w:asciiTheme="minorHAnsi" w:eastAsiaTheme="minorHAnsi" w:hAnsiTheme="minorHAnsi" w:cstheme="minorBidi"/>
      <w:snapToGrid w:val="0"/>
      <w:sz w:val="22"/>
    </w:rPr>
  </w:style>
  <w:style w:type="character" w:customStyle="1" w:styleId="Heading1Char">
    <w:name w:val="Heading 1 Char"/>
    <w:basedOn w:val="DefaultParagraphFont"/>
    <w:link w:val="Heading1"/>
    <w:uiPriority w:val="1"/>
    <w:rsid w:val="00D92483"/>
    <w:rPr>
      <w:rFonts w:ascii="Calibri" w:hAnsi="Calibri" w:cs="Arial"/>
      <w:b/>
      <w:caps/>
      <w:snapToGrid w:val="0"/>
      <w:sz w:val="32"/>
      <w:szCs w:val="22"/>
      <w:lang w:eastAsia="en-US"/>
    </w:rPr>
  </w:style>
  <w:style w:type="paragraph" w:customStyle="1" w:styleId="CaptionFigure">
    <w:name w:val="Caption Figure"/>
    <w:basedOn w:val="Normal"/>
    <w:rsid w:val="003821BE"/>
    <w:pPr>
      <w:keepNext/>
      <w:spacing w:after="60"/>
      <w:ind w:left="1134" w:hanging="1134"/>
    </w:pPr>
    <w:rPr>
      <w:rFonts w:eastAsiaTheme="minorHAnsi" w:cs="Calibri"/>
      <w:b/>
      <w:bCs/>
      <w:snapToGrid w:val="0"/>
      <w:sz w:val="20"/>
      <w:szCs w:val="20"/>
    </w:rPr>
  </w:style>
  <w:style w:type="paragraph" w:customStyle="1" w:styleId="Tabletitlecentred0">
    <w:name w:val="Table title centred"/>
    <w:basedOn w:val="Normal"/>
    <w:rsid w:val="00A6185A"/>
    <w:pPr>
      <w:jc w:val="center"/>
    </w:pPr>
    <w:rPr>
      <w:rFonts w:cs="Times New Roman"/>
      <w:b/>
      <w:snapToGrid w:val="0"/>
      <w:sz w:val="18"/>
      <w:szCs w:val="20"/>
    </w:rPr>
  </w:style>
  <w:style w:type="character" w:customStyle="1" w:styleId="BulletpointsChar">
    <w:name w:val="Bullet points Char"/>
    <w:basedOn w:val="DefaultParagraphFont"/>
    <w:link w:val="Bulletpoints"/>
    <w:rsid w:val="00EC2739"/>
    <w:rPr>
      <w:rFonts w:ascii="Calibri" w:hAnsi="Calibri" w:cs="Arial"/>
      <w:snapToGrid w:val="0"/>
      <w:sz w:val="24"/>
      <w:szCs w:val="24"/>
      <w:lang w:eastAsia="en-US"/>
    </w:rPr>
  </w:style>
  <w:style w:type="character" w:customStyle="1" w:styleId="normaltextrun1">
    <w:name w:val="normaltextrun1"/>
    <w:basedOn w:val="DefaultParagraphFont"/>
    <w:rsid w:val="009A49BF"/>
  </w:style>
  <w:style w:type="paragraph" w:customStyle="1" w:styleId="GeneralHeading">
    <w:name w:val="General Heading"/>
    <w:qFormat/>
    <w:rsid w:val="008E537B"/>
    <w:pPr>
      <w:ind w:left="720" w:hanging="720"/>
      <w:outlineLvl w:val="0"/>
    </w:pPr>
    <w:rPr>
      <w:rFonts w:ascii="Calibri" w:hAnsi="Calibri" w:cs="Arial"/>
      <w:b/>
      <w:snapToGrid w:val="0"/>
      <w:sz w:val="28"/>
      <w:szCs w:val="22"/>
    </w:rPr>
  </w:style>
  <w:style w:type="paragraph" w:customStyle="1" w:styleId="In-tableHeading">
    <w:name w:val="In-table Heading"/>
    <w:qFormat/>
    <w:rsid w:val="008E537B"/>
    <w:rPr>
      <w:rFonts w:ascii="Arial Narrow" w:eastAsiaTheme="majorEastAsia" w:hAnsi="Arial Narrow"/>
      <w:b/>
      <w:sz w:val="22"/>
      <w:szCs w:val="24"/>
      <w:lang w:val="en-US"/>
    </w:rPr>
  </w:style>
  <w:style w:type="paragraph" w:customStyle="1" w:styleId="2-SectionHeading">
    <w:name w:val="2-Section Heading"/>
    <w:qFormat/>
    <w:rsid w:val="008E537B"/>
    <w:pPr>
      <w:numPr>
        <w:numId w:val="3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8E537B"/>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8E537B"/>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E713E"/>
    <w:pPr>
      <w:spacing w:after="60"/>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E713E"/>
    <w:rPr>
      <w:rFonts w:ascii="Arial Narrow" w:eastAsiaTheme="majorEastAsia" w:hAnsi="Arial Narrow" w:cstheme="majorBidi"/>
      <w:b/>
      <w:bCs/>
      <w:szCs w:val="24"/>
    </w:rPr>
  </w:style>
  <w:style w:type="paragraph" w:customStyle="1" w:styleId="3-BodyText">
    <w:name w:val="3-Body Text"/>
    <w:basedOn w:val="ListParagraph"/>
    <w:link w:val="3-BodyTextChar"/>
    <w:qFormat/>
    <w:rsid w:val="00F37302"/>
    <w:pPr>
      <w:keepNext/>
      <w:widowControl/>
      <w:numPr>
        <w:ilvl w:val="1"/>
        <w:numId w:val="39"/>
      </w:numPr>
    </w:pPr>
  </w:style>
  <w:style w:type="character" w:customStyle="1" w:styleId="3-BodyTextChar">
    <w:name w:val="3-Body Text Char"/>
    <w:basedOn w:val="ListParagraphChar"/>
    <w:link w:val="3-BodyText"/>
    <w:rsid w:val="00F37302"/>
    <w:rPr>
      <w:rFonts w:asciiTheme="minorHAnsi" w:hAnsiTheme="minorHAnsi" w:cs="Arial"/>
      <w:snapToGrid w:val="0"/>
      <w:sz w:val="24"/>
      <w:szCs w:val="24"/>
    </w:rPr>
  </w:style>
  <w:style w:type="paragraph" w:customStyle="1" w:styleId="PageFooter">
    <w:name w:val="Page Footer"/>
    <w:basedOn w:val="Normal"/>
    <w:link w:val="PageFooterChar"/>
    <w:qFormat/>
    <w:rsid w:val="008E537B"/>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8E537B"/>
    <w:rPr>
      <w:rFonts w:ascii="Calibri" w:hAnsi="Calibri" w:cs="Arial"/>
      <w:b/>
      <w:sz w:val="24"/>
      <w:szCs w:val="24"/>
    </w:rPr>
  </w:style>
  <w:style w:type="paragraph" w:customStyle="1" w:styleId="TableFigureFooter">
    <w:name w:val="Table/Figure Footer"/>
    <w:basedOn w:val="Normal"/>
    <w:link w:val="TableFigureFooterChar"/>
    <w:qFormat/>
    <w:rsid w:val="008E537B"/>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8E537B"/>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8E537B"/>
    <w:pPr>
      <w:spacing w:before="240" w:after="24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8E537B"/>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1627E4"/>
    <w:pPr>
      <w:keepNext/>
      <w:keepLines/>
      <w:spacing w:before="160" w:after="120"/>
    </w:pPr>
    <w:rPr>
      <w:rFonts w:asciiTheme="minorHAnsi" w:eastAsiaTheme="majorEastAsia" w:hAnsiTheme="minorHAnsi" w:cstheme="majorBidi"/>
      <w:color w:val="000000" w:themeColor="text1"/>
    </w:rPr>
  </w:style>
  <w:style w:type="character" w:customStyle="1" w:styleId="5-SubsectionSubheadingChar">
    <w:name w:val="5-Subsection Subheading Char"/>
    <w:basedOn w:val="DefaultParagraphFont"/>
    <w:link w:val="5-SubsectionSubheading"/>
    <w:rsid w:val="001627E4"/>
    <w:rPr>
      <w:rFonts w:asciiTheme="minorHAnsi" w:eastAsiaTheme="majorEastAsia" w:hAnsiTheme="minorHAnsi" w:cstheme="majorBidi"/>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5877">
      <w:bodyDiv w:val="1"/>
      <w:marLeft w:val="0"/>
      <w:marRight w:val="0"/>
      <w:marTop w:val="0"/>
      <w:marBottom w:val="0"/>
      <w:divBdr>
        <w:top w:val="none" w:sz="0" w:space="0" w:color="auto"/>
        <w:left w:val="none" w:sz="0" w:space="0" w:color="auto"/>
        <w:bottom w:val="none" w:sz="0" w:space="0" w:color="auto"/>
        <w:right w:val="none" w:sz="0" w:space="0" w:color="auto"/>
      </w:divBdr>
      <w:divsChild>
        <w:div w:id="38168797">
          <w:marLeft w:val="360"/>
          <w:marRight w:val="0"/>
          <w:marTop w:val="200"/>
          <w:marBottom w:val="0"/>
          <w:divBdr>
            <w:top w:val="none" w:sz="0" w:space="0" w:color="auto"/>
            <w:left w:val="none" w:sz="0" w:space="0" w:color="auto"/>
            <w:bottom w:val="none" w:sz="0" w:space="0" w:color="auto"/>
            <w:right w:val="none" w:sz="0" w:space="0" w:color="auto"/>
          </w:divBdr>
        </w:div>
      </w:divsChild>
    </w:div>
    <w:div w:id="225605199">
      <w:bodyDiv w:val="1"/>
      <w:marLeft w:val="0"/>
      <w:marRight w:val="0"/>
      <w:marTop w:val="0"/>
      <w:marBottom w:val="0"/>
      <w:divBdr>
        <w:top w:val="none" w:sz="0" w:space="0" w:color="auto"/>
        <w:left w:val="none" w:sz="0" w:space="0" w:color="auto"/>
        <w:bottom w:val="none" w:sz="0" w:space="0" w:color="auto"/>
        <w:right w:val="none" w:sz="0" w:space="0" w:color="auto"/>
      </w:divBdr>
    </w:div>
    <w:div w:id="256864713">
      <w:bodyDiv w:val="1"/>
      <w:marLeft w:val="0"/>
      <w:marRight w:val="0"/>
      <w:marTop w:val="0"/>
      <w:marBottom w:val="0"/>
      <w:divBdr>
        <w:top w:val="none" w:sz="0" w:space="0" w:color="auto"/>
        <w:left w:val="none" w:sz="0" w:space="0" w:color="auto"/>
        <w:bottom w:val="none" w:sz="0" w:space="0" w:color="auto"/>
        <w:right w:val="none" w:sz="0" w:space="0" w:color="auto"/>
      </w:divBdr>
    </w:div>
    <w:div w:id="308678416">
      <w:bodyDiv w:val="1"/>
      <w:marLeft w:val="0"/>
      <w:marRight w:val="0"/>
      <w:marTop w:val="0"/>
      <w:marBottom w:val="0"/>
      <w:divBdr>
        <w:top w:val="none" w:sz="0" w:space="0" w:color="auto"/>
        <w:left w:val="none" w:sz="0" w:space="0" w:color="auto"/>
        <w:bottom w:val="none" w:sz="0" w:space="0" w:color="auto"/>
        <w:right w:val="none" w:sz="0" w:space="0" w:color="auto"/>
      </w:divBdr>
    </w:div>
    <w:div w:id="728957810">
      <w:bodyDiv w:val="1"/>
      <w:marLeft w:val="0"/>
      <w:marRight w:val="0"/>
      <w:marTop w:val="0"/>
      <w:marBottom w:val="0"/>
      <w:divBdr>
        <w:top w:val="none" w:sz="0" w:space="0" w:color="auto"/>
        <w:left w:val="none" w:sz="0" w:space="0" w:color="auto"/>
        <w:bottom w:val="none" w:sz="0" w:space="0" w:color="auto"/>
        <w:right w:val="none" w:sz="0" w:space="0" w:color="auto"/>
      </w:divBdr>
    </w:div>
    <w:div w:id="861164396">
      <w:bodyDiv w:val="1"/>
      <w:marLeft w:val="0"/>
      <w:marRight w:val="0"/>
      <w:marTop w:val="0"/>
      <w:marBottom w:val="0"/>
      <w:divBdr>
        <w:top w:val="none" w:sz="0" w:space="0" w:color="auto"/>
        <w:left w:val="none" w:sz="0" w:space="0" w:color="auto"/>
        <w:bottom w:val="none" w:sz="0" w:space="0" w:color="auto"/>
        <w:right w:val="none" w:sz="0" w:space="0" w:color="auto"/>
      </w:divBdr>
    </w:div>
    <w:div w:id="976839552">
      <w:bodyDiv w:val="1"/>
      <w:marLeft w:val="0"/>
      <w:marRight w:val="0"/>
      <w:marTop w:val="0"/>
      <w:marBottom w:val="0"/>
      <w:divBdr>
        <w:top w:val="none" w:sz="0" w:space="0" w:color="auto"/>
        <w:left w:val="none" w:sz="0" w:space="0" w:color="auto"/>
        <w:bottom w:val="none" w:sz="0" w:space="0" w:color="auto"/>
        <w:right w:val="none" w:sz="0" w:space="0" w:color="auto"/>
      </w:divBdr>
    </w:div>
    <w:div w:id="1185635593">
      <w:bodyDiv w:val="1"/>
      <w:marLeft w:val="0"/>
      <w:marRight w:val="0"/>
      <w:marTop w:val="0"/>
      <w:marBottom w:val="0"/>
      <w:divBdr>
        <w:top w:val="none" w:sz="0" w:space="0" w:color="auto"/>
        <w:left w:val="none" w:sz="0" w:space="0" w:color="auto"/>
        <w:bottom w:val="none" w:sz="0" w:space="0" w:color="auto"/>
        <w:right w:val="none" w:sz="0" w:space="0" w:color="auto"/>
      </w:divBdr>
    </w:div>
    <w:div w:id="1345060878">
      <w:bodyDiv w:val="1"/>
      <w:marLeft w:val="0"/>
      <w:marRight w:val="0"/>
      <w:marTop w:val="0"/>
      <w:marBottom w:val="0"/>
      <w:divBdr>
        <w:top w:val="none" w:sz="0" w:space="0" w:color="auto"/>
        <w:left w:val="none" w:sz="0" w:space="0" w:color="auto"/>
        <w:bottom w:val="none" w:sz="0" w:space="0" w:color="auto"/>
        <w:right w:val="none" w:sz="0" w:space="0" w:color="auto"/>
      </w:divBdr>
    </w:div>
    <w:div w:id="1757242146">
      <w:bodyDiv w:val="1"/>
      <w:marLeft w:val="0"/>
      <w:marRight w:val="0"/>
      <w:marTop w:val="0"/>
      <w:marBottom w:val="0"/>
      <w:divBdr>
        <w:top w:val="none" w:sz="0" w:space="0" w:color="auto"/>
        <w:left w:val="none" w:sz="0" w:space="0" w:color="auto"/>
        <w:bottom w:val="none" w:sz="0" w:space="0" w:color="auto"/>
        <w:right w:val="none" w:sz="0" w:space="0" w:color="auto"/>
      </w:divBdr>
    </w:div>
    <w:div w:id="18057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db28525b-17c0-4bca-9691-d98a1adb7d1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ternet/main/publishing.nsf/Content/cda-surveil-ozflu-flucurr.htm/$File/flu-03-2019.pd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internet/main/publishing.nsf/Content/cda-surveil-ozflu-flucurr.htm/$File/flu-03-2019.pdf" TargetMode="Externa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s://beta.health.gov.au/news/2019-influenza-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E5C8-0280-4A58-80E3-B4D8EA11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10603</Words>
  <Characters>63436</Characters>
  <Application>Microsoft Office Word</Application>
  <DocSecurity>0</DocSecurity>
  <Lines>528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2019-10-18T03:59:00Z</dcterms:created>
  <dcterms:modified xsi:type="dcterms:W3CDTF">2019-10-25T01:25:00Z</dcterms:modified>
</cp:coreProperties>
</file>