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7D1" w:rsidRDefault="00EE027C">
      <w:pPr>
        <w:pStyle w:val="1MainTitle"/>
      </w:pPr>
      <w:bookmarkStart w:id="0" w:name="_GoBack"/>
      <w:bookmarkEnd w:id="0"/>
      <w:r>
        <w:t>5.20</w:t>
      </w:r>
      <w:r>
        <w:tab/>
        <w:t>LISDEXAMFETAMINE</w:t>
      </w:r>
      <w:r>
        <w:br/>
        <w:t xml:space="preserve">Capsule containing lisdexamfetamine dimesilate, 20 mg, 40 mg and 60 mg, </w:t>
      </w:r>
      <w:r>
        <w:br/>
        <w:t>Vyvanse</w:t>
      </w:r>
      <w:r>
        <w:rPr>
          <w:vertAlign w:val="superscript"/>
        </w:rPr>
        <w:t>®</w:t>
      </w:r>
      <w:r>
        <w:t>, Shire Australia Pty Ltd</w:t>
      </w:r>
    </w:p>
    <w:p w:rsidR="00C457D1" w:rsidRDefault="00EE027C">
      <w:pPr>
        <w:pStyle w:val="1MainTitle"/>
        <w:tabs>
          <w:tab w:val="left" w:pos="720"/>
          <w:tab w:val="left" w:pos="2567"/>
        </w:tabs>
        <w:outlineLvl w:val="9"/>
        <w:rPr>
          <w:b w:val="0"/>
          <w:i/>
          <w:sz w:val="24"/>
        </w:rPr>
      </w:pPr>
      <w:r>
        <w:rPr>
          <w:b w:val="0"/>
          <w:i/>
          <w:sz w:val="24"/>
        </w:rPr>
        <w:tab/>
      </w:r>
      <w:r>
        <w:rPr>
          <w:b w:val="0"/>
          <w:i/>
          <w:sz w:val="24"/>
        </w:rPr>
        <w:tab/>
      </w:r>
    </w:p>
    <w:p w:rsidR="00C457D1" w:rsidRDefault="00EE027C">
      <w:pPr>
        <w:pStyle w:val="2Sections"/>
      </w:pPr>
      <w:r>
        <w:t xml:space="preserve">Purpose of Application </w:t>
      </w:r>
    </w:p>
    <w:p w:rsidR="00C457D1" w:rsidRDefault="00EE027C">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minor submission requested Authority Required listings for three new strengths of lisdexamfetamine (LDX) for the treatment of attention deficit hyperactivity disorder (ADHD). </w:t>
      </w:r>
    </w:p>
    <w:p w:rsidR="00C457D1" w:rsidRDefault="00EE027C">
      <w:pPr>
        <w:pStyle w:val="3Bodytext"/>
      </w:pPr>
      <w:r>
        <w:t>There are three strengths of LDX currently available on the PBS; 30 mg, 50 mg and 70 mg capsules (PBS item numbers: 10474G, 10486X and 10492F).</w:t>
      </w:r>
    </w:p>
    <w:p w:rsidR="00C457D1" w:rsidRDefault="00EE027C">
      <w:pPr>
        <w:pStyle w:val="2Sections"/>
      </w:pPr>
      <w:r>
        <w:t>Requested listing</w:t>
      </w:r>
    </w:p>
    <w:p w:rsidR="00C457D1" w:rsidRDefault="00EE027C">
      <w:pPr>
        <w:pStyle w:val="3Bodytext"/>
      </w:pPr>
      <w:r>
        <w:t xml:space="preserve">The submission requested listing of 20 mg, 40 mg and 60 mg strength capsules of LDX. The proposed new listings are consistent with the PBS-listings for the three existing strengths of LDX (30 mg, 50 mg and 70 mg capsules).  </w:t>
      </w:r>
    </w:p>
    <w:p w:rsidR="00C457D1" w:rsidRDefault="00EE027C">
      <w:pPr>
        <w:pStyle w:val="3Bodytext"/>
      </w:pPr>
      <w:r>
        <w:t xml:space="preserve">Suggestions and additions proposed by the Secretariat to the requested listing are added in italics and suggested deletions are crossed out with strikethrough. </w:t>
      </w:r>
    </w:p>
    <w:p w:rsidR="00C457D1" w:rsidRDefault="00C457D1">
      <w:pPr>
        <w:spacing w:after="120"/>
        <w:rPr>
          <w:rFonts w:asciiTheme="minorHAnsi" w:eastAsiaTheme="minorHAnsi" w:hAnsiTheme="minorHAnsi" w:cstheme="minorBidi"/>
          <w:i/>
          <w:szCs w:val="22"/>
        </w:rPr>
      </w:pPr>
    </w:p>
    <w:tbl>
      <w:tblPr>
        <w:tblW w:w="9214" w:type="dxa"/>
        <w:tblInd w:w="108" w:type="dxa"/>
        <w:tblLayout w:type="fixed"/>
        <w:tblLook w:val="0000" w:firstRow="0" w:lastRow="0" w:firstColumn="0" w:lastColumn="0" w:noHBand="0" w:noVBand="0"/>
      </w:tblPr>
      <w:tblGrid>
        <w:gridCol w:w="2835"/>
        <w:gridCol w:w="426"/>
        <w:gridCol w:w="567"/>
        <w:gridCol w:w="850"/>
        <w:gridCol w:w="1701"/>
        <w:gridCol w:w="1559"/>
        <w:gridCol w:w="1276"/>
      </w:tblGrid>
      <w:tr w:rsidR="00C457D1">
        <w:trPr>
          <w:cantSplit/>
          <w:trHeight w:val="471"/>
        </w:trPr>
        <w:tc>
          <w:tcPr>
            <w:tcW w:w="3261" w:type="dxa"/>
            <w:gridSpan w:val="2"/>
            <w:tcBorders>
              <w:bottom w:val="single" w:sz="4" w:space="0" w:color="auto"/>
            </w:tcBorders>
          </w:tcPr>
          <w:p w:rsidR="00C457D1" w:rsidRDefault="00EE027C">
            <w:pPr>
              <w:keepNext/>
              <w:ind w:left="-108"/>
              <w:jc w:val="both"/>
              <w:rPr>
                <w:rFonts w:ascii="Arial Narrow" w:hAnsi="Arial Narrow" w:cs="Arial"/>
                <w:sz w:val="20"/>
                <w:szCs w:val="20"/>
              </w:rPr>
            </w:pPr>
            <w:r>
              <w:rPr>
                <w:rFonts w:ascii="Arial Narrow" w:hAnsi="Arial Narrow" w:cs="Arial"/>
                <w:sz w:val="20"/>
                <w:szCs w:val="20"/>
              </w:rPr>
              <w:t>Name, Restriction,</w:t>
            </w:r>
          </w:p>
          <w:p w:rsidR="00C457D1" w:rsidRDefault="00EE027C">
            <w:pPr>
              <w:keepNext/>
              <w:ind w:left="-108"/>
              <w:jc w:val="both"/>
              <w:rPr>
                <w:rFonts w:ascii="Arial Narrow" w:hAnsi="Arial Narrow" w:cs="Arial"/>
                <w:sz w:val="20"/>
                <w:szCs w:val="20"/>
              </w:rPr>
            </w:pPr>
            <w:r>
              <w:rPr>
                <w:rFonts w:ascii="Arial Narrow" w:hAnsi="Arial Narrow" w:cs="Arial"/>
                <w:sz w:val="20"/>
                <w:szCs w:val="20"/>
              </w:rPr>
              <w:t>Manner of administration and form</w:t>
            </w:r>
          </w:p>
        </w:tc>
        <w:tc>
          <w:tcPr>
            <w:tcW w:w="567" w:type="dxa"/>
            <w:tcBorders>
              <w:bottom w:val="single" w:sz="4" w:space="0" w:color="auto"/>
            </w:tcBorders>
          </w:tcPr>
          <w:p w:rsidR="00C457D1" w:rsidRDefault="00EE027C">
            <w:pPr>
              <w:keepNext/>
              <w:ind w:left="-108"/>
              <w:jc w:val="both"/>
              <w:rPr>
                <w:rFonts w:ascii="Arial Narrow" w:hAnsi="Arial Narrow" w:cs="Arial"/>
                <w:sz w:val="20"/>
                <w:szCs w:val="20"/>
              </w:rPr>
            </w:pPr>
            <w:r>
              <w:rPr>
                <w:rFonts w:ascii="Arial Narrow" w:hAnsi="Arial Narrow" w:cs="Arial"/>
                <w:sz w:val="20"/>
                <w:szCs w:val="20"/>
              </w:rPr>
              <w:t>Max.</w:t>
            </w:r>
          </w:p>
          <w:p w:rsidR="00C457D1" w:rsidRDefault="00EE027C">
            <w:pPr>
              <w:keepNext/>
              <w:ind w:left="-108"/>
              <w:jc w:val="both"/>
              <w:rPr>
                <w:rFonts w:ascii="Arial Narrow" w:hAnsi="Arial Narrow" w:cs="Arial"/>
                <w:sz w:val="20"/>
                <w:szCs w:val="20"/>
              </w:rPr>
            </w:pPr>
            <w:r>
              <w:rPr>
                <w:rFonts w:ascii="Arial Narrow" w:hAnsi="Arial Narrow" w:cs="Arial"/>
                <w:sz w:val="20"/>
                <w:szCs w:val="20"/>
              </w:rPr>
              <w:t>Qty packs</w:t>
            </w:r>
          </w:p>
        </w:tc>
        <w:tc>
          <w:tcPr>
            <w:tcW w:w="850" w:type="dxa"/>
            <w:tcBorders>
              <w:bottom w:val="single" w:sz="4" w:space="0" w:color="auto"/>
            </w:tcBorders>
          </w:tcPr>
          <w:p w:rsidR="00C457D1" w:rsidRDefault="00EE027C">
            <w:pPr>
              <w:keepNext/>
              <w:ind w:left="-108"/>
              <w:jc w:val="both"/>
              <w:rPr>
                <w:rFonts w:ascii="Arial Narrow" w:hAnsi="Arial Narrow" w:cs="Arial"/>
                <w:sz w:val="20"/>
                <w:szCs w:val="20"/>
              </w:rPr>
            </w:pPr>
            <w:r>
              <w:rPr>
                <w:rFonts w:ascii="Arial Narrow" w:hAnsi="Arial Narrow" w:cs="Arial"/>
                <w:sz w:val="20"/>
                <w:szCs w:val="20"/>
              </w:rPr>
              <w:t>№.of</w:t>
            </w:r>
          </w:p>
          <w:p w:rsidR="00C457D1" w:rsidRDefault="00EE027C">
            <w:pPr>
              <w:keepNext/>
              <w:ind w:left="-108"/>
              <w:jc w:val="both"/>
              <w:rPr>
                <w:rFonts w:ascii="Arial Narrow" w:hAnsi="Arial Narrow" w:cs="Arial"/>
                <w:sz w:val="20"/>
                <w:szCs w:val="20"/>
              </w:rPr>
            </w:pPr>
            <w:r>
              <w:rPr>
                <w:rFonts w:ascii="Arial Narrow" w:hAnsi="Arial Narrow" w:cs="Arial"/>
                <w:sz w:val="20"/>
                <w:szCs w:val="20"/>
              </w:rPr>
              <w:t>Rpts</w:t>
            </w:r>
          </w:p>
        </w:tc>
        <w:tc>
          <w:tcPr>
            <w:tcW w:w="1701" w:type="dxa"/>
            <w:tcBorders>
              <w:bottom w:val="single" w:sz="4" w:space="0" w:color="auto"/>
            </w:tcBorders>
          </w:tcPr>
          <w:p w:rsidR="00C457D1" w:rsidRDefault="00EE027C">
            <w:pPr>
              <w:keepNext/>
              <w:ind w:left="-108"/>
              <w:jc w:val="both"/>
              <w:rPr>
                <w:rFonts w:ascii="Arial Narrow" w:hAnsi="Arial Narrow" w:cs="Arial"/>
                <w:sz w:val="20"/>
                <w:szCs w:val="20"/>
              </w:rPr>
            </w:pPr>
            <w:r>
              <w:rPr>
                <w:rFonts w:ascii="Arial Narrow" w:hAnsi="Arial Narrow" w:cs="Arial"/>
                <w:sz w:val="20"/>
                <w:szCs w:val="20"/>
              </w:rPr>
              <w:t>Dispensed Price for Max. Qty</w:t>
            </w:r>
          </w:p>
          <w:p w:rsidR="00C457D1" w:rsidRDefault="00EE027C">
            <w:pPr>
              <w:keepNext/>
              <w:ind w:left="-108"/>
              <w:jc w:val="both"/>
              <w:rPr>
                <w:rFonts w:ascii="Arial Narrow" w:hAnsi="Arial Narrow" w:cs="Arial"/>
                <w:sz w:val="20"/>
                <w:szCs w:val="20"/>
              </w:rPr>
            </w:pPr>
            <w:r>
              <w:rPr>
                <w:rFonts w:ascii="Arial Narrow" w:hAnsi="Arial Narrow" w:cs="Arial"/>
                <w:sz w:val="20"/>
                <w:szCs w:val="20"/>
              </w:rPr>
              <w:t>Published</w:t>
            </w:r>
          </w:p>
          <w:p w:rsidR="00C457D1" w:rsidRDefault="00EE027C">
            <w:pPr>
              <w:keepNext/>
              <w:ind w:left="-108"/>
              <w:jc w:val="both"/>
              <w:rPr>
                <w:rFonts w:ascii="Arial Narrow" w:hAnsi="Arial Narrow" w:cs="Arial"/>
                <w:sz w:val="20"/>
                <w:szCs w:val="20"/>
              </w:rPr>
            </w:pPr>
            <w:r>
              <w:rPr>
                <w:rFonts w:ascii="Arial Narrow" w:hAnsi="Arial Narrow" w:cs="Arial"/>
                <w:sz w:val="20"/>
                <w:szCs w:val="20"/>
              </w:rPr>
              <w:t>(Effective)</w:t>
            </w:r>
          </w:p>
        </w:tc>
        <w:tc>
          <w:tcPr>
            <w:tcW w:w="2835" w:type="dxa"/>
            <w:gridSpan w:val="2"/>
            <w:tcBorders>
              <w:bottom w:val="single" w:sz="4" w:space="0" w:color="auto"/>
            </w:tcBorders>
          </w:tcPr>
          <w:p w:rsidR="00C457D1" w:rsidRDefault="00EE027C">
            <w:pPr>
              <w:keepNext/>
              <w:jc w:val="both"/>
              <w:rPr>
                <w:rFonts w:ascii="Arial Narrow" w:hAnsi="Arial Narrow" w:cs="Arial"/>
                <w:sz w:val="20"/>
                <w:szCs w:val="20"/>
                <w:lang w:val="fr-FR"/>
              </w:rPr>
            </w:pPr>
            <w:r>
              <w:rPr>
                <w:rFonts w:ascii="Arial Narrow" w:hAnsi="Arial Narrow" w:cs="Arial"/>
                <w:sz w:val="20"/>
                <w:szCs w:val="20"/>
              </w:rPr>
              <w:t>Proprietary Name and Manufacturer</w:t>
            </w:r>
          </w:p>
        </w:tc>
      </w:tr>
      <w:tr w:rsidR="00C457D1">
        <w:trPr>
          <w:cantSplit/>
          <w:trHeight w:val="577"/>
        </w:trPr>
        <w:tc>
          <w:tcPr>
            <w:tcW w:w="3261" w:type="dxa"/>
            <w:gridSpan w:val="2"/>
          </w:tcPr>
          <w:p w:rsidR="00C457D1" w:rsidRDefault="00EE027C">
            <w:pPr>
              <w:keepNext/>
              <w:ind w:left="-108"/>
              <w:jc w:val="both"/>
              <w:rPr>
                <w:rFonts w:ascii="Arial Narrow" w:hAnsi="Arial Narrow" w:cs="Arial"/>
                <w:sz w:val="20"/>
                <w:szCs w:val="20"/>
              </w:rPr>
            </w:pPr>
            <w:r>
              <w:rPr>
                <w:rFonts w:ascii="Arial Narrow" w:hAnsi="Arial Narrow" w:cs="Arial"/>
                <w:smallCaps/>
                <w:sz w:val="20"/>
                <w:szCs w:val="20"/>
              </w:rPr>
              <w:t>lisdexamfetamine</w:t>
            </w:r>
          </w:p>
          <w:p w:rsidR="00C457D1" w:rsidRDefault="00EE027C">
            <w:pPr>
              <w:keepNext/>
              <w:ind w:left="-108"/>
              <w:jc w:val="both"/>
              <w:rPr>
                <w:rFonts w:ascii="Arial Narrow" w:hAnsi="Arial Narrow" w:cs="Arial"/>
                <w:sz w:val="20"/>
                <w:szCs w:val="20"/>
              </w:rPr>
            </w:pPr>
            <w:r>
              <w:rPr>
                <w:rFonts w:ascii="Arial Narrow" w:hAnsi="Arial Narrow" w:cs="Arial"/>
                <w:sz w:val="20"/>
                <w:szCs w:val="20"/>
              </w:rPr>
              <w:t>lisdexamfetamine dimesilate 20 mg capsule, 30</w:t>
            </w:r>
          </w:p>
          <w:p w:rsidR="00C457D1" w:rsidRDefault="00EE027C">
            <w:pPr>
              <w:keepNext/>
              <w:ind w:left="-108"/>
              <w:jc w:val="both"/>
              <w:rPr>
                <w:rFonts w:ascii="Arial Narrow" w:hAnsi="Arial Narrow" w:cs="Arial"/>
                <w:sz w:val="20"/>
                <w:szCs w:val="20"/>
              </w:rPr>
            </w:pPr>
            <w:r>
              <w:rPr>
                <w:rFonts w:ascii="Arial Narrow" w:hAnsi="Arial Narrow" w:cs="Arial"/>
                <w:sz w:val="20"/>
                <w:szCs w:val="20"/>
              </w:rPr>
              <w:t>lisdexamfetamine dimesilate 40 mg capsule, 30</w:t>
            </w:r>
          </w:p>
          <w:p w:rsidR="00C457D1" w:rsidRDefault="00EE027C">
            <w:pPr>
              <w:keepNext/>
              <w:ind w:left="-108"/>
              <w:jc w:val="both"/>
              <w:rPr>
                <w:rFonts w:ascii="Arial Narrow" w:hAnsi="Arial Narrow" w:cs="Arial"/>
                <w:sz w:val="20"/>
                <w:szCs w:val="20"/>
              </w:rPr>
            </w:pPr>
            <w:r>
              <w:rPr>
                <w:rFonts w:ascii="Arial Narrow" w:hAnsi="Arial Narrow" w:cs="Arial"/>
                <w:sz w:val="20"/>
                <w:szCs w:val="20"/>
              </w:rPr>
              <w:t>lisdexamfetamine dimesilate 60 mg capsule, 30</w:t>
            </w:r>
          </w:p>
        </w:tc>
        <w:tc>
          <w:tcPr>
            <w:tcW w:w="567" w:type="dxa"/>
          </w:tcPr>
          <w:p w:rsidR="00C457D1" w:rsidRDefault="00C457D1">
            <w:pPr>
              <w:keepNext/>
              <w:ind w:left="-108"/>
              <w:jc w:val="both"/>
              <w:rPr>
                <w:rFonts w:ascii="Arial Narrow" w:hAnsi="Arial Narrow" w:cs="Arial"/>
                <w:sz w:val="20"/>
                <w:szCs w:val="20"/>
              </w:rPr>
            </w:pPr>
          </w:p>
          <w:p w:rsidR="00C457D1" w:rsidRDefault="00EE027C">
            <w:pPr>
              <w:keepNext/>
              <w:ind w:left="-108"/>
              <w:jc w:val="both"/>
              <w:rPr>
                <w:rFonts w:ascii="Arial Narrow" w:hAnsi="Arial Narrow" w:cs="Arial"/>
                <w:sz w:val="20"/>
                <w:szCs w:val="20"/>
              </w:rPr>
            </w:pPr>
            <w:r>
              <w:rPr>
                <w:rFonts w:ascii="Arial Narrow" w:hAnsi="Arial Narrow" w:cs="Arial"/>
                <w:sz w:val="20"/>
                <w:szCs w:val="20"/>
              </w:rPr>
              <w:t>1</w:t>
            </w:r>
          </w:p>
        </w:tc>
        <w:tc>
          <w:tcPr>
            <w:tcW w:w="850" w:type="dxa"/>
          </w:tcPr>
          <w:p w:rsidR="00C457D1" w:rsidRDefault="00C457D1">
            <w:pPr>
              <w:keepNext/>
              <w:ind w:left="-108"/>
              <w:jc w:val="both"/>
              <w:rPr>
                <w:rFonts w:ascii="Arial Narrow" w:hAnsi="Arial Narrow" w:cs="Arial"/>
                <w:sz w:val="20"/>
                <w:szCs w:val="20"/>
              </w:rPr>
            </w:pPr>
          </w:p>
          <w:p w:rsidR="00C457D1" w:rsidRDefault="00EE027C">
            <w:pPr>
              <w:keepNext/>
              <w:ind w:left="-108"/>
              <w:jc w:val="both"/>
              <w:rPr>
                <w:rFonts w:ascii="Arial Narrow" w:hAnsi="Arial Narrow" w:cs="Arial"/>
                <w:sz w:val="20"/>
                <w:szCs w:val="20"/>
              </w:rPr>
            </w:pPr>
            <w:r>
              <w:rPr>
                <w:rFonts w:ascii="Arial Narrow" w:hAnsi="Arial Narrow" w:cs="Arial"/>
                <w:sz w:val="20"/>
                <w:szCs w:val="20"/>
              </w:rPr>
              <w:t>5</w:t>
            </w:r>
          </w:p>
        </w:tc>
        <w:tc>
          <w:tcPr>
            <w:tcW w:w="1701" w:type="dxa"/>
          </w:tcPr>
          <w:p w:rsidR="00C457D1" w:rsidRDefault="00C457D1">
            <w:pPr>
              <w:keepNext/>
              <w:ind w:left="-108"/>
              <w:jc w:val="both"/>
              <w:rPr>
                <w:rFonts w:ascii="Arial Narrow" w:hAnsi="Arial Narrow" w:cs="Arial"/>
                <w:sz w:val="20"/>
                <w:szCs w:val="20"/>
              </w:rPr>
            </w:pPr>
          </w:p>
          <w:p w:rsidR="00C457D1" w:rsidRDefault="00EE027C">
            <w:pPr>
              <w:keepNext/>
              <w:ind w:left="-108"/>
              <w:jc w:val="both"/>
              <w:rPr>
                <w:rFonts w:ascii="Arial Narrow" w:hAnsi="Arial Narrow" w:cs="Arial"/>
                <w:sz w:val="20"/>
                <w:szCs w:val="20"/>
              </w:rPr>
            </w:pPr>
            <w:r>
              <w:rPr>
                <w:rFonts w:ascii="Arial Narrow" w:hAnsi="Arial Narrow" w:cs="Arial"/>
                <w:sz w:val="20"/>
                <w:szCs w:val="20"/>
              </w:rPr>
              <w:t>$</w:t>
            </w:r>
            <w:r w:rsidR="001B384F">
              <w:rPr>
                <w:rFonts w:ascii="Arial Narrow" w:hAnsi="Arial Narrow" w:cs="Arial"/>
                <w:noProof/>
                <w:color w:val="000000"/>
                <w:sz w:val="20"/>
                <w:szCs w:val="20"/>
                <w:highlight w:val="black"/>
              </w:rPr>
              <w:t>'''''''''''''''''</w:t>
            </w:r>
          </w:p>
          <w:p w:rsidR="00C457D1" w:rsidRDefault="00EE027C">
            <w:pPr>
              <w:keepNext/>
              <w:ind w:left="-108"/>
              <w:jc w:val="both"/>
              <w:rPr>
                <w:rFonts w:ascii="Arial Narrow" w:hAnsi="Arial Narrow" w:cs="Arial"/>
                <w:sz w:val="20"/>
                <w:szCs w:val="20"/>
              </w:rPr>
            </w:pPr>
            <w:r>
              <w:rPr>
                <w:rFonts w:ascii="Arial Narrow" w:hAnsi="Arial Narrow" w:cs="Arial"/>
                <w:sz w:val="20"/>
                <w:szCs w:val="20"/>
              </w:rPr>
              <w:t>($</w:t>
            </w:r>
            <w:r w:rsidR="001B384F">
              <w:rPr>
                <w:rFonts w:ascii="Arial Narrow" w:hAnsi="Arial Narrow" w:cs="Arial"/>
                <w:noProof/>
                <w:color w:val="000000"/>
                <w:sz w:val="20"/>
                <w:szCs w:val="20"/>
                <w:highlight w:val="black"/>
              </w:rPr>
              <w:t>'''''''''''''</w:t>
            </w:r>
            <w:r>
              <w:rPr>
                <w:rFonts w:ascii="Arial Narrow" w:hAnsi="Arial Narrow" w:cs="Arial"/>
                <w:sz w:val="20"/>
                <w:szCs w:val="20"/>
              </w:rPr>
              <w:t>)</w:t>
            </w:r>
          </w:p>
        </w:tc>
        <w:tc>
          <w:tcPr>
            <w:tcW w:w="1559" w:type="dxa"/>
          </w:tcPr>
          <w:p w:rsidR="00C457D1" w:rsidRDefault="00EE027C">
            <w:pPr>
              <w:keepNext/>
              <w:jc w:val="both"/>
              <w:rPr>
                <w:rFonts w:ascii="Arial Narrow" w:hAnsi="Arial Narrow" w:cs="Arial"/>
                <w:sz w:val="20"/>
                <w:szCs w:val="20"/>
              </w:rPr>
            </w:pPr>
            <w:r>
              <w:rPr>
                <w:rFonts w:ascii="Arial Narrow" w:hAnsi="Arial Narrow" w:cs="Arial"/>
                <w:sz w:val="20"/>
                <w:szCs w:val="20"/>
              </w:rPr>
              <w:t>Vyvanse</w:t>
            </w:r>
          </w:p>
        </w:tc>
        <w:tc>
          <w:tcPr>
            <w:tcW w:w="1276" w:type="dxa"/>
          </w:tcPr>
          <w:p w:rsidR="00C457D1" w:rsidRDefault="00EE027C">
            <w:pPr>
              <w:keepNext/>
              <w:jc w:val="both"/>
              <w:rPr>
                <w:rFonts w:ascii="Arial Narrow" w:hAnsi="Arial Narrow" w:cs="Arial"/>
                <w:sz w:val="20"/>
                <w:szCs w:val="20"/>
              </w:rPr>
            </w:pPr>
            <w:r>
              <w:rPr>
                <w:rFonts w:ascii="Arial Narrow" w:hAnsi="Arial Narrow" w:cs="Arial"/>
                <w:sz w:val="20"/>
                <w:szCs w:val="20"/>
              </w:rPr>
              <w:t>Shire Australia Pty Ltd</w:t>
            </w:r>
          </w:p>
        </w:tc>
      </w:tr>
      <w:tr w:rsidR="00C457D1">
        <w:trPr>
          <w:cantSplit/>
          <w:trHeight w:val="360"/>
        </w:trPr>
        <w:tc>
          <w:tcPr>
            <w:tcW w:w="9214" w:type="dxa"/>
            <w:gridSpan w:val="7"/>
            <w:tcBorders>
              <w:bottom w:val="single" w:sz="4" w:space="0" w:color="auto"/>
            </w:tcBorders>
          </w:tcPr>
          <w:p w:rsidR="00C457D1" w:rsidRDefault="00C457D1">
            <w:pPr>
              <w:jc w:val="both"/>
              <w:rPr>
                <w:rFonts w:ascii="Arial Narrow" w:hAnsi="Arial Narrow" w:cs="Arial"/>
                <w:sz w:val="20"/>
                <w:szCs w:val="20"/>
              </w:rPr>
            </w:pPr>
          </w:p>
        </w:tc>
      </w:tr>
      <w:tr w:rsidR="00C457D1">
        <w:trPr>
          <w:cantSplit/>
          <w:trHeight w:val="360"/>
        </w:trPr>
        <w:tc>
          <w:tcPr>
            <w:tcW w:w="2835" w:type="dxa"/>
            <w:tcBorders>
              <w:top w:val="single" w:sz="4" w:space="0" w:color="auto"/>
              <w:left w:val="single" w:sz="4" w:space="0" w:color="auto"/>
              <w:bottom w:val="single" w:sz="4" w:space="0" w:color="auto"/>
              <w:right w:val="single" w:sz="4" w:space="0" w:color="auto"/>
            </w:tcBorders>
          </w:tcPr>
          <w:p w:rsidR="00C457D1" w:rsidRDefault="00EE027C">
            <w:pPr>
              <w:jc w:val="both"/>
              <w:rPr>
                <w:rFonts w:ascii="Arial Narrow" w:hAnsi="Arial Narrow" w:cs="Arial"/>
                <w:b/>
                <w:sz w:val="20"/>
                <w:szCs w:val="20"/>
              </w:rPr>
            </w:pPr>
            <w:r>
              <w:rPr>
                <w:rFonts w:ascii="Arial Narrow" w:hAnsi="Arial Narrow" w:cs="Arial"/>
                <w:b/>
                <w:sz w:val="20"/>
                <w:szCs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C457D1" w:rsidRDefault="00EE027C">
            <w:pPr>
              <w:rPr>
                <w:rFonts w:ascii="Arial Narrow" w:hAnsi="Arial Narrow" w:cs="Arial"/>
                <w:sz w:val="20"/>
                <w:szCs w:val="20"/>
              </w:rPr>
            </w:pPr>
            <w:r>
              <w:rPr>
                <w:rFonts w:ascii="Arial Narrow" w:hAnsi="Arial Narrow" w:cs="Arial"/>
                <w:sz w:val="20"/>
                <w:szCs w:val="20"/>
              </w:rPr>
              <w:t>GENERAL – General Schedule (Code GE)</w:t>
            </w:r>
          </w:p>
          <w:p w:rsidR="00C457D1" w:rsidRDefault="00C457D1">
            <w:pPr>
              <w:rPr>
                <w:rFonts w:ascii="Arial Narrow" w:hAnsi="Arial Narrow" w:cs="Arial"/>
                <w:sz w:val="20"/>
                <w:szCs w:val="20"/>
              </w:rPr>
            </w:pPr>
          </w:p>
        </w:tc>
      </w:tr>
      <w:tr w:rsidR="00C457D1">
        <w:trPr>
          <w:cantSplit/>
          <w:trHeight w:val="360"/>
        </w:trPr>
        <w:tc>
          <w:tcPr>
            <w:tcW w:w="2835" w:type="dxa"/>
            <w:tcBorders>
              <w:top w:val="single" w:sz="4" w:space="0" w:color="auto"/>
              <w:left w:val="single" w:sz="4" w:space="0" w:color="auto"/>
              <w:bottom w:val="single" w:sz="4" w:space="0" w:color="auto"/>
              <w:right w:val="single" w:sz="4" w:space="0" w:color="auto"/>
            </w:tcBorders>
          </w:tcPr>
          <w:p w:rsidR="00C457D1" w:rsidRDefault="00EE027C">
            <w:pPr>
              <w:jc w:val="both"/>
              <w:rPr>
                <w:rFonts w:ascii="Arial Narrow" w:hAnsi="Arial Narrow" w:cs="Arial"/>
                <w:b/>
                <w:sz w:val="20"/>
                <w:szCs w:val="20"/>
              </w:rPr>
            </w:pPr>
            <w:r>
              <w:rPr>
                <w:rFonts w:ascii="Arial Narrow" w:hAnsi="Arial Narrow" w:cs="Arial"/>
                <w:b/>
                <w:sz w:val="20"/>
                <w:szCs w:val="20"/>
              </w:rPr>
              <w:t>Prescriber type:</w:t>
            </w:r>
          </w:p>
          <w:p w:rsidR="00C457D1" w:rsidRDefault="00C457D1">
            <w:pPr>
              <w:jc w:val="both"/>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C457D1" w:rsidRDefault="00EE027C">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1B384F">
              <w:rPr>
                <w:rFonts w:ascii="Arial Narrow" w:hAnsi="Arial Narrow" w:cs="Arial"/>
                <w:sz w:val="20"/>
                <w:szCs w:val="20"/>
              </w:rPr>
            </w:r>
            <w:r w:rsidR="001B384F">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1B384F">
              <w:rPr>
                <w:rFonts w:ascii="Arial Narrow" w:hAnsi="Arial Narrow" w:cs="Arial"/>
                <w:sz w:val="20"/>
                <w:szCs w:val="20"/>
              </w:rPr>
            </w:r>
            <w:r w:rsidR="001B384F">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w:instrText>
            </w:r>
            <w:bookmarkStart w:id="1" w:name="Check3"/>
            <w:r>
              <w:rPr>
                <w:rFonts w:ascii="Arial Narrow" w:hAnsi="Arial Narrow" w:cs="Arial"/>
                <w:sz w:val="20"/>
                <w:szCs w:val="20"/>
              </w:rPr>
              <w:instrText xml:space="preserve">FORMCHECKBOX </w:instrText>
            </w:r>
            <w:r w:rsidR="001B384F">
              <w:rPr>
                <w:rFonts w:ascii="Arial Narrow" w:hAnsi="Arial Narrow" w:cs="Arial"/>
                <w:sz w:val="20"/>
                <w:szCs w:val="20"/>
              </w:rPr>
            </w:r>
            <w:r w:rsidR="001B384F">
              <w:rPr>
                <w:rFonts w:ascii="Arial Narrow" w:hAnsi="Arial Narrow" w:cs="Arial"/>
                <w:sz w:val="20"/>
                <w:szCs w:val="20"/>
              </w:rPr>
              <w:fldChar w:fldCharType="separate"/>
            </w:r>
            <w:r>
              <w:rPr>
                <w:rFonts w:ascii="Arial Narrow" w:hAnsi="Arial Narrow" w:cs="Arial"/>
                <w:sz w:val="20"/>
                <w:szCs w:val="20"/>
              </w:rPr>
              <w:fldChar w:fldCharType="end"/>
            </w:r>
            <w:bookmarkEnd w:id="1"/>
            <w:r>
              <w:rPr>
                <w:rFonts w:ascii="Arial Narrow" w:hAnsi="Arial Narrow" w:cs="Arial"/>
                <w:sz w:val="20"/>
                <w:szCs w:val="20"/>
              </w:rPr>
              <w:t xml:space="preserve">Nurse practitioners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1B384F">
              <w:rPr>
                <w:rFonts w:ascii="Arial Narrow" w:hAnsi="Arial Narrow" w:cs="Arial"/>
                <w:sz w:val="20"/>
                <w:szCs w:val="20"/>
              </w:rPr>
            </w:r>
            <w:r w:rsidR="001B384F">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p w:rsidR="00C457D1" w:rsidRDefault="00EE027C">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1B384F">
              <w:rPr>
                <w:rFonts w:ascii="Arial Narrow" w:hAnsi="Arial Narrow" w:cs="Arial"/>
                <w:sz w:val="20"/>
                <w:szCs w:val="20"/>
              </w:rPr>
            </w:r>
            <w:r w:rsidR="001B384F">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Midwives</w:t>
            </w:r>
          </w:p>
        </w:tc>
      </w:tr>
      <w:tr w:rsidR="00C457D1">
        <w:trPr>
          <w:cantSplit/>
          <w:trHeight w:val="360"/>
        </w:trPr>
        <w:tc>
          <w:tcPr>
            <w:tcW w:w="2835" w:type="dxa"/>
            <w:tcBorders>
              <w:top w:val="single" w:sz="4" w:space="0" w:color="auto"/>
              <w:left w:val="single" w:sz="4" w:space="0" w:color="auto"/>
              <w:bottom w:val="single" w:sz="4" w:space="0" w:color="auto"/>
              <w:right w:val="single" w:sz="4" w:space="0" w:color="auto"/>
            </w:tcBorders>
          </w:tcPr>
          <w:p w:rsidR="00C457D1" w:rsidRDefault="00EE027C">
            <w:pPr>
              <w:jc w:val="both"/>
              <w:rPr>
                <w:rFonts w:ascii="Arial Narrow" w:hAnsi="Arial Narrow" w:cs="Arial"/>
                <w:b/>
                <w:sz w:val="20"/>
                <w:szCs w:val="20"/>
              </w:rPr>
            </w:pPr>
            <w:r>
              <w:rPr>
                <w:rFonts w:ascii="Arial Narrow" w:hAnsi="Arial Narrow" w:cs="Arial"/>
                <w:b/>
                <w:sz w:val="20"/>
                <w:szCs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C457D1" w:rsidRDefault="00EE027C">
            <w:pPr>
              <w:rPr>
                <w:rFonts w:ascii="Arial Narrow" w:hAnsi="Arial Narrow" w:cs="Arial"/>
                <w:sz w:val="20"/>
                <w:szCs w:val="20"/>
              </w:rPr>
            </w:pPr>
            <w:r>
              <w:rPr>
                <w:rFonts w:ascii="Arial Narrow" w:hAnsi="Arial Narrow" w:cs="Arial"/>
                <w:sz w:val="20"/>
                <w:szCs w:val="20"/>
              </w:rPr>
              <w:t>Attention deficit hyperactivity disorder</w:t>
            </w:r>
          </w:p>
        </w:tc>
      </w:tr>
      <w:tr w:rsidR="00C457D1">
        <w:trPr>
          <w:cantSplit/>
          <w:trHeight w:val="360"/>
        </w:trPr>
        <w:tc>
          <w:tcPr>
            <w:tcW w:w="2835" w:type="dxa"/>
            <w:tcBorders>
              <w:top w:val="single" w:sz="4" w:space="0" w:color="auto"/>
              <w:left w:val="single" w:sz="4" w:space="0" w:color="auto"/>
              <w:bottom w:val="single" w:sz="4" w:space="0" w:color="auto"/>
              <w:right w:val="single" w:sz="4" w:space="0" w:color="auto"/>
            </w:tcBorders>
          </w:tcPr>
          <w:p w:rsidR="00C457D1" w:rsidRDefault="00EE027C">
            <w:pPr>
              <w:jc w:val="both"/>
              <w:rPr>
                <w:rFonts w:ascii="Arial Narrow" w:hAnsi="Arial Narrow" w:cs="Arial"/>
                <w:b/>
                <w:sz w:val="20"/>
                <w:szCs w:val="20"/>
              </w:rPr>
            </w:pPr>
            <w:r>
              <w:rPr>
                <w:rFonts w:ascii="Arial Narrow" w:hAnsi="Arial Narrow" w:cs="Arial"/>
                <w:b/>
                <w:sz w:val="20"/>
                <w:szCs w:val="20"/>
              </w:rPr>
              <w:lastRenderedPageBreak/>
              <w:t>Restriction Level / Method:</w:t>
            </w:r>
          </w:p>
          <w:p w:rsidR="00C457D1" w:rsidRDefault="00C457D1">
            <w:pPr>
              <w:rPr>
                <w:rFonts w:ascii="Arial Narrow" w:hAnsi="Arial Narrow" w:cs="Arial"/>
                <w:i/>
                <w:sz w:val="20"/>
                <w:szCs w:val="20"/>
              </w:rPr>
            </w:pPr>
          </w:p>
          <w:p w:rsidR="00C457D1" w:rsidRDefault="00C457D1">
            <w:pPr>
              <w:rPr>
                <w:rFonts w:ascii="Arial Narrow" w:hAnsi="Arial Narrow" w:cs="Arial"/>
                <w:i/>
                <w:sz w:val="20"/>
                <w:szCs w:val="20"/>
              </w:rPr>
            </w:pPr>
          </w:p>
          <w:p w:rsidR="00C457D1" w:rsidRDefault="00C457D1">
            <w:pPr>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C457D1" w:rsidRDefault="00EE027C">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1B384F">
              <w:rPr>
                <w:rFonts w:ascii="Arial Narrow" w:hAnsi="Arial Narrow" w:cs="Arial"/>
                <w:sz w:val="20"/>
                <w:szCs w:val="20"/>
              </w:rPr>
            </w:r>
            <w:r w:rsidR="001B384F">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Restricted benefit</w:t>
            </w:r>
          </w:p>
          <w:p w:rsidR="00C457D1" w:rsidRDefault="00EE027C">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1B384F">
              <w:rPr>
                <w:rFonts w:ascii="Arial Narrow" w:hAnsi="Arial Narrow" w:cs="Arial"/>
                <w:sz w:val="20"/>
                <w:szCs w:val="20"/>
              </w:rPr>
            </w:r>
            <w:r w:rsidR="001B384F">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Authority Required – In Writing</w:t>
            </w:r>
          </w:p>
          <w:p w:rsidR="00C457D1" w:rsidRDefault="00EE027C">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1B384F">
              <w:rPr>
                <w:rFonts w:ascii="Arial Narrow" w:hAnsi="Arial Narrow" w:cs="Arial"/>
                <w:sz w:val="20"/>
                <w:szCs w:val="20"/>
              </w:rPr>
            </w:r>
            <w:r w:rsidR="001B384F">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Authority Required – Telephone/Electronic/Emergency</w:t>
            </w:r>
          </w:p>
          <w:p w:rsidR="00C457D1" w:rsidRDefault="00EE027C">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1B384F">
              <w:rPr>
                <w:rFonts w:ascii="Arial Narrow" w:hAnsi="Arial Narrow" w:cs="Arial"/>
                <w:sz w:val="20"/>
                <w:szCs w:val="20"/>
              </w:rPr>
            </w:r>
            <w:r w:rsidR="001B384F">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Streamlined</w:t>
            </w:r>
          </w:p>
        </w:tc>
      </w:tr>
      <w:tr w:rsidR="00C457D1">
        <w:trPr>
          <w:cantSplit/>
          <w:trHeight w:val="309"/>
        </w:trPr>
        <w:tc>
          <w:tcPr>
            <w:tcW w:w="2835" w:type="dxa"/>
            <w:tcBorders>
              <w:top w:val="single" w:sz="4" w:space="0" w:color="auto"/>
              <w:left w:val="single" w:sz="4" w:space="0" w:color="auto"/>
              <w:bottom w:val="single" w:sz="4" w:space="0" w:color="auto"/>
              <w:right w:val="single" w:sz="4" w:space="0" w:color="auto"/>
            </w:tcBorders>
          </w:tcPr>
          <w:p w:rsidR="00C457D1" w:rsidRDefault="00EE027C">
            <w:pPr>
              <w:jc w:val="both"/>
              <w:rPr>
                <w:rFonts w:ascii="Arial Narrow" w:hAnsi="Arial Narrow" w:cs="Arial"/>
                <w:b/>
                <w:sz w:val="20"/>
                <w:szCs w:val="20"/>
              </w:rPr>
            </w:pPr>
            <w:r>
              <w:rPr>
                <w:rFonts w:ascii="Arial Narrow" w:hAnsi="Arial Narrow" w:cs="Arial"/>
                <w:b/>
                <w:sz w:val="20"/>
                <w:szCs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C457D1" w:rsidRDefault="00EE027C">
            <w:pPr>
              <w:rPr>
                <w:rFonts w:ascii="Arial Narrow" w:hAnsi="Arial Narrow" w:cs="Arial"/>
                <w:sz w:val="20"/>
                <w:szCs w:val="20"/>
              </w:rPr>
            </w:pPr>
            <w:r>
              <w:rPr>
                <w:rFonts w:ascii="Arial Narrow" w:hAnsi="Arial Narrow" w:cs="Arial"/>
                <w:sz w:val="20"/>
                <w:szCs w:val="20"/>
                <w:shd w:val="clear" w:color="auto" w:fill="FFFFFF"/>
              </w:rPr>
              <w:t>Patient must require continuous coverage over 12 hours.</w:t>
            </w:r>
          </w:p>
        </w:tc>
      </w:tr>
      <w:tr w:rsidR="00C457D1">
        <w:trPr>
          <w:cantSplit/>
          <w:trHeight w:val="489"/>
        </w:trPr>
        <w:tc>
          <w:tcPr>
            <w:tcW w:w="2835" w:type="dxa"/>
            <w:tcBorders>
              <w:top w:val="single" w:sz="4" w:space="0" w:color="auto"/>
              <w:left w:val="single" w:sz="4" w:space="0" w:color="auto"/>
              <w:bottom w:val="single" w:sz="4" w:space="0" w:color="auto"/>
              <w:right w:val="single" w:sz="4" w:space="0" w:color="auto"/>
            </w:tcBorders>
          </w:tcPr>
          <w:p w:rsidR="00C457D1" w:rsidRDefault="00EE027C">
            <w:pPr>
              <w:jc w:val="both"/>
              <w:rPr>
                <w:rFonts w:ascii="Arial Narrow" w:hAnsi="Arial Narrow" w:cs="Arial"/>
                <w:b/>
                <w:sz w:val="20"/>
                <w:szCs w:val="20"/>
              </w:rPr>
            </w:pPr>
            <w:r>
              <w:rPr>
                <w:rFonts w:ascii="Arial Narrow" w:hAnsi="Arial Narrow" w:cs="Arial"/>
                <w:b/>
                <w:sz w:val="20"/>
                <w:szCs w:val="20"/>
              </w:rPr>
              <w:t>Population criteria:</w:t>
            </w:r>
          </w:p>
          <w:p w:rsidR="00C457D1" w:rsidRDefault="00C457D1">
            <w:pPr>
              <w:jc w:val="both"/>
              <w:rPr>
                <w:rFonts w:ascii="Arial Narrow" w:hAnsi="Arial Narrow" w:cs="Arial"/>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C457D1" w:rsidRDefault="00EE027C">
            <w:pPr>
              <w:rPr>
                <w:rFonts w:ascii="Arial Narrow" w:hAnsi="Arial Narrow" w:cs="Arial"/>
                <w:sz w:val="20"/>
                <w:szCs w:val="20"/>
                <w:shd w:val="clear" w:color="auto" w:fill="FFFFFF"/>
              </w:rPr>
            </w:pPr>
            <w:r>
              <w:rPr>
                <w:rFonts w:ascii="Arial Narrow" w:hAnsi="Arial Narrow" w:cs="Arial"/>
                <w:sz w:val="20"/>
                <w:szCs w:val="20"/>
                <w:shd w:val="clear" w:color="auto" w:fill="FFFFFF"/>
              </w:rPr>
              <w:t>Patient must be or have been diagnosed between the ages of 6 and 18 years inclusive.</w:t>
            </w:r>
          </w:p>
        </w:tc>
      </w:tr>
      <w:tr w:rsidR="00C457D1">
        <w:trPr>
          <w:cantSplit/>
          <w:trHeight w:val="360"/>
        </w:trPr>
        <w:tc>
          <w:tcPr>
            <w:tcW w:w="2835" w:type="dxa"/>
            <w:tcBorders>
              <w:top w:val="single" w:sz="4" w:space="0" w:color="auto"/>
              <w:left w:val="single" w:sz="4" w:space="0" w:color="auto"/>
              <w:bottom w:val="single" w:sz="4" w:space="0" w:color="auto"/>
              <w:right w:val="single" w:sz="4" w:space="0" w:color="auto"/>
            </w:tcBorders>
          </w:tcPr>
          <w:p w:rsidR="00C457D1" w:rsidRDefault="00EE027C">
            <w:pPr>
              <w:jc w:val="both"/>
              <w:rPr>
                <w:rFonts w:ascii="Arial Narrow" w:hAnsi="Arial Narrow" w:cs="Arial"/>
                <w:b/>
                <w:sz w:val="20"/>
                <w:szCs w:val="20"/>
              </w:rPr>
            </w:pPr>
            <w:r>
              <w:rPr>
                <w:rFonts w:ascii="Arial Narrow" w:hAnsi="Arial Narrow" w:cs="Arial"/>
                <w:b/>
                <w:sz w:val="20"/>
                <w:szCs w:val="20"/>
              </w:rPr>
              <w:t>Administrative Advice:</w:t>
            </w:r>
          </w:p>
          <w:p w:rsidR="00C457D1" w:rsidRDefault="00C457D1">
            <w:pPr>
              <w:jc w:val="both"/>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C457D1" w:rsidRDefault="00EE027C">
            <w:pPr>
              <w:rPr>
                <w:rFonts w:ascii="Arial Narrow" w:hAnsi="Arial Narrow" w:cs="Arial"/>
                <w:sz w:val="20"/>
                <w:szCs w:val="20"/>
                <w:shd w:val="clear" w:color="auto" w:fill="FFFFFF"/>
              </w:rPr>
            </w:pPr>
            <w:r>
              <w:rPr>
                <w:rFonts w:ascii="Arial Narrow" w:hAnsi="Arial Narrow" w:cs="Arial"/>
                <w:sz w:val="20"/>
                <w:szCs w:val="20"/>
                <w:shd w:val="clear" w:color="auto" w:fill="FFFFFF"/>
              </w:rPr>
              <w:t>Note:</w:t>
            </w:r>
          </w:p>
          <w:p w:rsidR="00C457D1" w:rsidRDefault="00EE027C">
            <w:pPr>
              <w:rPr>
                <w:rFonts w:ascii="Arial Narrow" w:hAnsi="Arial Narrow" w:cs="Arial"/>
                <w:sz w:val="20"/>
                <w:szCs w:val="20"/>
                <w:shd w:val="clear" w:color="auto" w:fill="FFFFFF"/>
              </w:rPr>
            </w:pPr>
            <w:r>
              <w:rPr>
                <w:rFonts w:ascii="Arial Narrow" w:hAnsi="Arial Narrow" w:cs="Arial"/>
                <w:sz w:val="20"/>
                <w:szCs w:val="20"/>
                <w:shd w:val="clear" w:color="auto" w:fill="FFFFFF"/>
              </w:rPr>
              <w:t>Special Pricing Arrangements apply.</w:t>
            </w:r>
          </w:p>
          <w:p w:rsidR="00C457D1" w:rsidRDefault="00C457D1">
            <w:pPr>
              <w:rPr>
                <w:rFonts w:ascii="Arial Narrow" w:hAnsi="Arial Narrow" w:cs="Arial"/>
                <w:sz w:val="20"/>
                <w:szCs w:val="20"/>
                <w:shd w:val="clear" w:color="auto" w:fill="FFFFFF"/>
              </w:rPr>
            </w:pPr>
          </w:p>
          <w:p w:rsidR="00C457D1" w:rsidRDefault="00EE027C">
            <w:pPr>
              <w:rPr>
                <w:rFonts w:ascii="Arial Narrow" w:hAnsi="Arial Narrow" w:cs="Arial"/>
                <w:sz w:val="20"/>
                <w:szCs w:val="20"/>
                <w:shd w:val="clear" w:color="auto" w:fill="FFFFFF"/>
              </w:rPr>
            </w:pPr>
            <w:r>
              <w:rPr>
                <w:rFonts w:ascii="Arial Narrow" w:hAnsi="Arial Narrow" w:cs="Arial"/>
                <w:sz w:val="20"/>
                <w:szCs w:val="20"/>
                <w:shd w:val="clear" w:color="auto" w:fill="FFFFFF"/>
              </w:rPr>
              <w:t>Note:</w:t>
            </w:r>
          </w:p>
          <w:p w:rsidR="00C457D1" w:rsidRDefault="00EE027C">
            <w:pPr>
              <w:rPr>
                <w:rFonts w:ascii="Arial Narrow" w:hAnsi="Arial Narrow" w:cs="Arial"/>
                <w:sz w:val="20"/>
                <w:szCs w:val="20"/>
                <w:shd w:val="clear" w:color="auto" w:fill="FFFFFF"/>
              </w:rPr>
            </w:pPr>
            <w:r>
              <w:rPr>
                <w:rFonts w:ascii="Arial Narrow" w:hAnsi="Arial Narrow" w:cs="Arial"/>
                <w:sz w:val="20"/>
                <w:szCs w:val="20"/>
                <w:shd w:val="clear" w:color="auto" w:fill="FFFFFF"/>
              </w:rPr>
              <w:t>Care must be taken to comply with the provisions of State/Territory law when prescribing this drug.</w:t>
            </w:r>
          </w:p>
          <w:p w:rsidR="00C457D1" w:rsidRDefault="00C457D1">
            <w:pPr>
              <w:rPr>
                <w:rFonts w:ascii="Arial Narrow" w:hAnsi="Arial Narrow" w:cs="Arial"/>
                <w:sz w:val="20"/>
                <w:szCs w:val="20"/>
                <w:shd w:val="clear" w:color="auto" w:fill="FFFFFF"/>
              </w:rPr>
            </w:pPr>
          </w:p>
          <w:p w:rsidR="00C457D1" w:rsidRDefault="00EE027C">
            <w:pPr>
              <w:rPr>
                <w:rFonts w:ascii="Arial Narrow" w:hAnsi="Arial Narrow" w:cs="Arial"/>
                <w:strike/>
                <w:sz w:val="20"/>
                <w:szCs w:val="20"/>
                <w:shd w:val="clear" w:color="auto" w:fill="FFFFFF"/>
              </w:rPr>
            </w:pPr>
            <w:r>
              <w:rPr>
                <w:rFonts w:ascii="Arial Narrow" w:hAnsi="Arial Narrow" w:cs="Arial"/>
                <w:strike/>
                <w:sz w:val="20"/>
                <w:szCs w:val="20"/>
                <w:shd w:val="clear" w:color="auto" w:fill="FFFFFF"/>
              </w:rPr>
              <w:t>Note:</w:t>
            </w:r>
          </w:p>
          <w:p w:rsidR="00C457D1" w:rsidRDefault="00EE027C">
            <w:pPr>
              <w:rPr>
                <w:rFonts w:ascii="Arial Narrow" w:hAnsi="Arial Narrow" w:cs="Arial"/>
                <w:strike/>
                <w:sz w:val="20"/>
                <w:szCs w:val="20"/>
                <w:shd w:val="clear" w:color="auto" w:fill="FFFFFF"/>
              </w:rPr>
            </w:pPr>
            <w:r>
              <w:rPr>
                <w:rFonts w:ascii="Arial Narrow" w:hAnsi="Arial Narrow" w:cs="Arial"/>
                <w:strike/>
                <w:sz w:val="20"/>
                <w:szCs w:val="20"/>
                <w:shd w:val="clear" w:color="auto" w:fill="FFFFFF"/>
              </w:rPr>
              <w:t>No increase in the maximum quantity or number of units may be authorised.</w:t>
            </w:r>
          </w:p>
          <w:p w:rsidR="00C457D1" w:rsidRDefault="00C457D1">
            <w:pPr>
              <w:rPr>
                <w:rFonts w:ascii="Arial Narrow" w:hAnsi="Arial Narrow" w:cs="Arial"/>
                <w:strike/>
                <w:sz w:val="20"/>
                <w:szCs w:val="20"/>
                <w:shd w:val="clear" w:color="auto" w:fill="FFFFFF"/>
              </w:rPr>
            </w:pPr>
          </w:p>
          <w:p w:rsidR="00C457D1" w:rsidRDefault="00EE027C">
            <w:pPr>
              <w:rPr>
                <w:rFonts w:ascii="Arial Narrow" w:hAnsi="Arial Narrow" w:cs="Arial"/>
                <w:strike/>
                <w:sz w:val="20"/>
                <w:szCs w:val="20"/>
                <w:shd w:val="clear" w:color="auto" w:fill="FFFFFF"/>
              </w:rPr>
            </w:pPr>
            <w:r>
              <w:rPr>
                <w:rFonts w:ascii="Arial Narrow" w:hAnsi="Arial Narrow" w:cs="Arial"/>
                <w:strike/>
                <w:sz w:val="20"/>
                <w:szCs w:val="20"/>
                <w:shd w:val="clear" w:color="auto" w:fill="FFFFFF"/>
              </w:rPr>
              <w:t>Note:</w:t>
            </w:r>
          </w:p>
          <w:p w:rsidR="00C457D1" w:rsidRDefault="00EE027C">
            <w:pPr>
              <w:rPr>
                <w:rFonts w:ascii="Arial Narrow" w:hAnsi="Arial Narrow" w:cs="Arial"/>
                <w:strike/>
                <w:sz w:val="20"/>
                <w:szCs w:val="20"/>
                <w:shd w:val="clear" w:color="auto" w:fill="FFFFFF"/>
              </w:rPr>
            </w:pPr>
            <w:r>
              <w:rPr>
                <w:rFonts w:ascii="Arial Narrow" w:hAnsi="Arial Narrow" w:cs="Arial"/>
                <w:strike/>
                <w:sz w:val="20"/>
                <w:szCs w:val="20"/>
                <w:shd w:val="clear" w:color="auto" w:fill="FFFFFF"/>
              </w:rPr>
              <w:t>No increase in the maximum number of repeats may be authorised.</w:t>
            </w:r>
          </w:p>
          <w:p w:rsidR="00C457D1" w:rsidRDefault="00EE027C">
            <w:pPr>
              <w:rPr>
                <w:rFonts w:ascii="Arial Narrow" w:hAnsi="Arial Narrow" w:cs="Arial"/>
                <w:i/>
                <w:strike/>
                <w:sz w:val="20"/>
                <w:szCs w:val="20"/>
                <w:shd w:val="clear" w:color="auto" w:fill="FFFFFF"/>
              </w:rPr>
            </w:pPr>
            <w:r>
              <w:rPr>
                <w:rFonts w:ascii="Arial Narrow" w:hAnsi="Arial Narrow" w:cs="Arial"/>
                <w:i/>
                <w:sz w:val="20"/>
                <w:szCs w:val="20"/>
                <w:shd w:val="clear" w:color="auto" w:fill="FFFFFF"/>
              </w:rPr>
              <w:t>Note</w:t>
            </w:r>
            <w:r>
              <w:rPr>
                <w:rFonts w:ascii="Arial Narrow" w:hAnsi="Arial Narrow" w:cs="Arial"/>
                <w:i/>
                <w:strike/>
                <w:sz w:val="20"/>
                <w:szCs w:val="20"/>
                <w:shd w:val="clear" w:color="auto" w:fill="FFFFFF"/>
              </w:rPr>
              <w:t>:</w:t>
            </w:r>
          </w:p>
          <w:p w:rsidR="00C457D1" w:rsidRDefault="00EE027C">
            <w:pPr>
              <w:rPr>
                <w:rFonts w:ascii="Arial Narrow" w:hAnsi="Arial Narrow" w:cs="Arial"/>
                <w:i/>
                <w:sz w:val="20"/>
                <w:szCs w:val="20"/>
                <w:shd w:val="clear" w:color="auto" w:fill="FFFFFF"/>
              </w:rPr>
            </w:pPr>
            <w:r>
              <w:rPr>
                <w:rFonts w:ascii="Arial Narrow" w:hAnsi="Arial Narrow" w:cs="Arial"/>
                <w:i/>
                <w:sz w:val="20"/>
                <w:szCs w:val="20"/>
                <w:shd w:val="clear" w:color="auto" w:fill="FFFFFF"/>
              </w:rPr>
              <w:t>The treatment must not exceed a maximum daily dose of 70 mg.</w:t>
            </w:r>
          </w:p>
          <w:p w:rsidR="00C457D1" w:rsidRDefault="00C457D1">
            <w:pPr>
              <w:rPr>
                <w:rFonts w:ascii="Arial Narrow" w:hAnsi="Arial Narrow" w:cs="Arial"/>
                <w:i/>
                <w:strike/>
                <w:sz w:val="20"/>
                <w:szCs w:val="20"/>
                <w:shd w:val="clear" w:color="auto" w:fill="FFFFFF"/>
              </w:rPr>
            </w:pPr>
          </w:p>
          <w:p w:rsidR="00C457D1" w:rsidRDefault="00EE027C">
            <w:pPr>
              <w:rPr>
                <w:rFonts w:ascii="Arial Narrow" w:hAnsi="Arial Narrow" w:cs="Arial"/>
                <w:sz w:val="20"/>
                <w:szCs w:val="20"/>
                <w:shd w:val="clear" w:color="auto" w:fill="FFFFFF"/>
              </w:rPr>
            </w:pPr>
            <w:r>
              <w:rPr>
                <w:rFonts w:ascii="Arial Narrow" w:hAnsi="Arial Narrow" w:cs="Arial"/>
                <w:sz w:val="20"/>
                <w:szCs w:val="20"/>
                <w:shd w:val="clear" w:color="auto" w:fill="FFFFFF"/>
              </w:rPr>
              <w:t>Note:</w:t>
            </w:r>
          </w:p>
          <w:p w:rsidR="00C457D1" w:rsidRDefault="00EE027C">
            <w:pPr>
              <w:rPr>
                <w:rFonts w:ascii="Arial Narrow" w:hAnsi="Arial Narrow" w:cs="Arial"/>
                <w:sz w:val="20"/>
                <w:szCs w:val="20"/>
                <w:shd w:val="clear" w:color="auto" w:fill="FFFFFF"/>
              </w:rPr>
            </w:pPr>
            <w:r>
              <w:rPr>
                <w:rFonts w:ascii="Arial Narrow" w:hAnsi="Arial Narrow" w:cs="Arial"/>
                <w:sz w:val="20"/>
                <w:szCs w:val="20"/>
                <w:shd w:val="clear" w:color="auto" w:fill="FFFFFF"/>
              </w:rPr>
              <w:t>Continuing Therapy Only:</w:t>
            </w:r>
          </w:p>
          <w:p w:rsidR="00C457D1" w:rsidRDefault="00EE027C">
            <w:pPr>
              <w:rPr>
                <w:rFonts w:ascii="Arial Narrow" w:hAnsi="Arial Narrow" w:cs="Arial"/>
                <w:sz w:val="20"/>
                <w:szCs w:val="20"/>
                <w:shd w:val="clear" w:color="auto" w:fill="FFFFFF"/>
              </w:rPr>
            </w:pPr>
            <w:r>
              <w:rPr>
                <w:rFonts w:ascii="Arial Narrow" w:hAnsi="Arial Narrow" w:cs="Arial"/>
                <w:sz w:val="20"/>
                <w:szCs w:val="20"/>
                <w:shd w:val="clear" w:color="auto" w:fill="FFFFFF"/>
              </w:rPr>
              <w:t>For prescribing by nurse practitioners as continuing therapy only, where the treatment of, and prescribing of medicine for, a patient has been initiated by a medical practitioner. Further information can be found in the Explanatory Notes for Nurse Practitioners.</w:t>
            </w:r>
          </w:p>
          <w:p w:rsidR="00C457D1" w:rsidRDefault="00C457D1">
            <w:pPr>
              <w:rPr>
                <w:rFonts w:ascii="Arial Narrow" w:hAnsi="Arial Narrow" w:cs="Arial"/>
                <w:sz w:val="20"/>
                <w:szCs w:val="20"/>
                <w:shd w:val="clear" w:color="auto" w:fill="FFFFFF"/>
              </w:rPr>
            </w:pPr>
          </w:p>
        </w:tc>
      </w:tr>
    </w:tbl>
    <w:p w:rsidR="00C457D1" w:rsidRDefault="00EE027C">
      <w:pPr>
        <w:pStyle w:val="ListParagraph"/>
        <w:widowControl/>
        <w:numPr>
          <w:ilvl w:val="1"/>
          <w:numId w:val="5"/>
        </w:numPr>
        <w:spacing w:after="120"/>
        <w:contextualSpacing w:val="0"/>
        <w:rPr>
          <w:rFonts w:asciiTheme="minorHAnsi" w:hAnsiTheme="minorHAnsi"/>
          <w:sz w:val="24"/>
          <w:szCs w:val="24"/>
        </w:rPr>
      </w:pPr>
      <w:r>
        <w:rPr>
          <w:rFonts w:asciiTheme="minorHAnsi" w:hAnsiTheme="minorHAnsi"/>
          <w:sz w:val="24"/>
          <w:szCs w:val="24"/>
        </w:rPr>
        <w:t>The Pre-PB</w:t>
      </w:r>
      <w:r w:rsidR="00FB697B">
        <w:rPr>
          <w:rFonts w:asciiTheme="minorHAnsi" w:hAnsiTheme="minorHAnsi"/>
          <w:sz w:val="24"/>
          <w:szCs w:val="24"/>
        </w:rPr>
        <w:t xml:space="preserve">AC Response </w:t>
      </w:r>
      <w:r>
        <w:rPr>
          <w:rFonts w:asciiTheme="minorHAnsi" w:hAnsiTheme="minorHAnsi"/>
          <w:sz w:val="24"/>
          <w:szCs w:val="24"/>
        </w:rPr>
        <w:t xml:space="preserve">accepted the proposed change to the administrative note to specify that the maximum daily dose should not exceed 70 mg. This is aligned with the TGA-approved product information. </w:t>
      </w:r>
    </w:p>
    <w:p w:rsidR="00C457D1" w:rsidRDefault="00EE027C">
      <w:pPr>
        <w:ind w:left="709"/>
        <w:rPr>
          <w:rFonts w:asciiTheme="minorHAnsi" w:hAnsiTheme="minorHAnsi"/>
          <w:i/>
        </w:rPr>
      </w:pPr>
      <w:r>
        <w:rPr>
          <w:rFonts w:asciiTheme="minorHAnsi" w:hAnsiTheme="minorHAnsi"/>
          <w:i/>
        </w:rPr>
        <w:t>For more detail on PBAC’s view, see section 5 PBAC outcome.</w:t>
      </w:r>
    </w:p>
    <w:p w:rsidR="00C457D1" w:rsidRDefault="00C457D1">
      <w:pPr>
        <w:ind w:left="709"/>
        <w:rPr>
          <w:rFonts w:asciiTheme="minorHAnsi" w:hAnsiTheme="minorHAnsi"/>
        </w:rPr>
      </w:pPr>
    </w:p>
    <w:p w:rsidR="00C457D1" w:rsidRDefault="00EE027C">
      <w:pPr>
        <w:pStyle w:val="2Sections"/>
        <w:spacing w:before="0"/>
      </w:pPr>
      <w:r>
        <w:t>Background</w:t>
      </w:r>
    </w:p>
    <w:p w:rsidR="00C457D1" w:rsidRDefault="00EE027C">
      <w:pPr>
        <w:pStyle w:val="3Bodytext"/>
      </w:pPr>
      <w:r>
        <w:t xml:space="preserve">LDX (30, 50 and 70mg strengths) was TGA registered on 22 July 2013 for the treatment of Attention Deficit Hyperactivity Disorder (ADHD). </w:t>
      </w:r>
    </w:p>
    <w:p w:rsidR="00C457D1" w:rsidRDefault="00EE027C">
      <w:pPr>
        <w:pStyle w:val="3Bodytext"/>
      </w:pPr>
      <w:r>
        <w:t xml:space="preserve">At its July 2014 meeting, the PBAC recommended the listing of LDX (30, 50 and 70mg strengths) on a cost-minimisation basis with long-acting methylphenidate (MPH-OROS) for use in both children and adolescents. The PBAC accepted that a modest clinical need existed for alternative treatments for ADHD in children and adolescents as the patient response to one treatment over another appears to be highly individualised. </w:t>
      </w:r>
    </w:p>
    <w:p w:rsidR="00C457D1" w:rsidRDefault="00EE027C">
      <w:pPr>
        <w:pStyle w:val="3Bodytext"/>
      </w:pPr>
      <w:r>
        <w:t xml:space="preserve">In 2017, the TGA registered 20 mg, 40 mg and 60 mg strengths of LDX. The extended TGA approval was based on data from a phase III open-label, dose optimisation study (SPD489-310) which assessed the efficacy and tolerability of six dose strengths of LDX when children aged 6-12 years diagnosed with ADHD were dosed to optimal effect. </w:t>
      </w:r>
    </w:p>
    <w:p w:rsidR="00C457D1" w:rsidRDefault="00EE027C">
      <w:pPr>
        <w:pStyle w:val="3Bodytext"/>
      </w:pPr>
      <w:r>
        <w:t xml:space="preserve">The submission stated that the additional strengths aimed to provide greater dosing flexibility to achieve optimal efficacy and tolerability for patients. </w:t>
      </w:r>
      <w:r>
        <w:rPr>
          <w:szCs w:val="24"/>
        </w:rPr>
        <w:t>Based on the approved TGA product information, LDX should be administered orally at the lowest possible dosage and should then be slowly adjusted to the lowest effective dose for each individual.</w:t>
      </w:r>
    </w:p>
    <w:p w:rsidR="00C457D1" w:rsidRDefault="00EE027C">
      <w:pPr>
        <w:ind w:left="709"/>
        <w:rPr>
          <w:rFonts w:asciiTheme="minorHAnsi" w:hAnsiTheme="minorHAnsi"/>
          <w:i/>
        </w:rPr>
      </w:pPr>
      <w:r>
        <w:rPr>
          <w:rFonts w:asciiTheme="minorHAnsi" w:hAnsiTheme="minorHAnsi"/>
          <w:i/>
        </w:rPr>
        <w:t>For more detail on PBAC’s view, see section 5 PBAC outcome.</w:t>
      </w:r>
    </w:p>
    <w:p w:rsidR="00C457D1" w:rsidRDefault="00C457D1">
      <w:pPr>
        <w:pStyle w:val="3Bodytext"/>
        <w:numPr>
          <w:ilvl w:val="0"/>
          <w:numId w:val="0"/>
        </w:numPr>
        <w:spacing w:after="0"/>
        <w:ind w:left="720"/>
      </w:pPr>
    </w:p>
    <w:p w:rsidR="00C457D1" w:rsidRDefault="00EE027C">
      <w:pPr>
        <w:pStyle w:val="Heading1"/>
        <w:keepNext/>
        <w:keepLines/>
        <w:widowControl/>
        <w:numPr>
          <w:ilvl w:val="0"/>
          <w:numId w:val="14"/>
        </w:numPr>
        <w:spacing w:after="120"/>
        <w:ind w:left="709" w:hanging="709"/>
        <w:contextualSpacing w:val="0"/>
        <w:jc w:val="left"/>
        <w:rPr>
          <w:rFonts w:asciiTheme="minorHAnsi" w:hAnsiTheme="minorHAnsi"/>
          <w:sz w:val="32"/>
          <w:szCs w:val="32"/>
        </w:rPr>
      </w:pPr>
      <w:r>
        <w:rPr>
          <w:rFonts w:asciiTheme="minorHAnsi" w:hAnsiTheme="minorHAnsi"/>
          <w:sz w:val="32"/>
          <w:szCs w:val="32"/>
        </w:rPr>
        <w:t>Consideration of the evidence</w:t>
      </w:r>
    </w:p>
    <w:p w:rsidR="00C457D1" w:rsidRPr="00C575C2" w:rsidRDefault="00EE027C" w:rsidP="00C575C2">
      <w:pPr>
        <w:pStyle w:val="Heading2"/>
        <w:keepLines/>
        <w:spacing w:before="240" w:after="120"/>
        <w:rPr>
          <w:rFonts w:asciiTheme="minorHAnsi" w:eastAsiaTheme="majorEastAsia" w:hAnsiTheme="minorHAnsi" w:cstheme="majorBidi"/>
          <w:sz w:val="28"/>
          <w:szCs w:val="28"/>
          <w:lang w:eastAsia="en-US"/>
        </w:rPr>
      </w:pPr>
      <w:r w:rsidRPr="00C575C2">
        <w:rPr>
          <w:rFonts w:asciiTheme="minorHAnsi" w:eastAsiaTheme="majorEastAsia" w:hAnsiTheme="minorHAnsi" w:cstheme="majorBidi"/>
          <w:sz w:val="28"/>
          <w:szCs w:val="28"/>
          <w:lang w:eastAsia="en-US"/>
        </w:rPr>
        <w:t>Sponsor hearing</w:t>
      </w:r>
    </w:p>
    <w:p w:rsidR="00C457D1" w:rsidRDefault="00EE027C">
      <w:pPr>
        <w:widowControl w:val="0"/>
        <w:numPr>
          <w:ilvl w:val="1"/>
          <w:numId w:val="5"/>
        </w:numPr>
        <w:spacing w:after="120"/>
        <w:jc w:val="both"/>
        <w:rPr>
          <w:rFonts w:asciiTheme="minorHAnsi" w:hAnsiTheme="minorHAnsi" w:cs="Arial"/>
          <w:bCs/>
          <w:snapToGrid w:val="0"/>
        </w:rPr>
      </w:pPr>
      <w:r>
        <w:rPr>
          <w:rFonts w:asciiTheme="minorHAnsi" w:hAnsiTheme="minorHAnsi" w:cs="Arial"/>
          <w:bCs/>
          <w:snapToGrid w:val="0"/>
        </w:rPr>
        <w:t>There was no hearing for this item as it was a minor submission.</w:t>
      </w:r>
    </w:p>
    <w:p w:rsidR="00C457D1" w:rsidRPr="00C575C2" w:rsidRDefault="00EE027C" w:rsidP="00C575C2">
      <w:pPr>
        <w:pStyle w:val="Heading2"/>
        <w:keepLines/>
        <w:spacing w:before="240" w:after="120"/>
        <w:rPr>
          <w:rFonts w:asciiTheme="minorHAnsi" w:eastAsiaTheme="majorEastAsia" w:hAnsiTheme="minorHAnsi" w:cstheme="majorBidi"/>
          <w:sz w:val="28"/>
          <w:szCs w:val="28"/>
          <w:lang w:eastAsia="en-US"/>
        </w:rPr>
      </w:pPr>
      <w:r w:rsidRPr="00C575C2">
        <w:rPr>
          <w:rFonts w:asciiTheme="minorHAnsi" w:eastAsiaTheme="majorEastAsia" w:hAnsiTheme="minorHAnsi" w:cstheme="majorBidi"/>
          <w:sz w:val="28"/>
          <w:szCs w:val="28"/>
          <w:lang w:eastAsia="en-US"/>
        </w:rPr>
        <w:t>Consumer comments</w:t>
      </w:r>
    </w:p>
    <w:p w:rsidR="00C457D1" w:rsidRDefault="00EE027C">
      <w:pPr>
        <w:widowControl w:val="0"/>
        <w:numPr>
          <w:ilvl w:val="1"/>
          <w:numId w:val="5"/>
        </w:numPr>
        <w:spacing w:after="120"/>
        <w:jc w:val="both"/>
        <w:rPr>
          <w:rFonts w:asciiTheme="minorHAnsi" w:hAnsiTheme="minorHAnsi" w:cs="Arial"/>
          <w:bCs/>
          <w:snapToGrid w:val="0"/>
        </w:rPr>
      </w:pPr>
      <w:r>
        <w:rPr>
          <w:rFonts w:asciiTheme="minorHAnsi" w:hAnsiTheme="minorHAnsi" w:cs="Arial"/>
          <w:bCs/>
          <w:snapToGrid w:val="0"/>
        </w:rPr>
        <w:t xml:space="preserve">The PBAC noted and welcomed the input from individuals (116), health care professionals (5) and organisations (1) via the Consumer Comments facility on the PBS website. The comments described a range of benefits of treatment with lower strengths of LDX including increasing flexibility in drug titration; promoting treatment adherence and improving ADHD management for patients.  </w:t>
      </w:r>
    </w:p>
    <w:p w:rsidR="00C457D1" w:rsidRDefault="00EE027C">
      <w:pPr>
        <w:widowControl w:val="0"/>
        <w:numPr>
          <w:ilvl w:val="1"/>
          <w:numId w:val="5"/>
        </w:numPr>
        <w:spacing w:after="120"/>
        <w:jc w:val="both"/>
        <w:rPr>
          <w:rFonts w:asciiTheme="minorHAnsi" w:hAnsiTheme="minorHAnsi" w:cs="Arial"/>
          <w:bCs/>
          <w:snapToGrid w:val="0"/>
        </w:rPr>
      </w:pPr>
      <w:r>
        <w:rPr>
          <w:rFonts w:asciiTheme="minorHAnsi" w:hAnsiTheme="minorHAnsi" w:cs="Arial"/>
          <w:bCs/>
          <w:snapToGrid w:val="0"/>
        </w:rPr>
        <w:t xml:space="preserve">The PBAC noted the advice received from Attention Deficit Hyperactivity Disorder (ADHD) Australia highlighting that many adults with ADHD were not afforded the benefit of diagnosis in their early life (childhood and adolescence). Under the current PBS reimbursement criteria, these patients are unable to access long-acting medications to treat their core symptoms. The organisation was of the opinion that the current “age of diagnosis” criterion for allowing access to long acting medications should be removed as people from lower socioeconomic groups have poorer access to accurate diagnosis in childhood. The PBAC considered that this was outside of the scope of the submission’s request, and that a minor submission including financial impacts would be required for the PBAC to review the age of diagnosis in the restriction. </w:t>
      </w:r>
    </w:p>
    <w:p w:rsidR="00C457D1" w:rsidRPr="00C575C2" w:rsidRDefault="00EE027C" w:rsidP="00C575C2">
      <w:pPr>
        <w:pStyle w:val="Heading2"/>
        <w:keepLines/>
        <w:spacing w:before="240" w:after="120"/>
        <w:rPr>
          <w:rFonts w:asciiTheme="minorHAnsi" w:eastAsiaTheme="majorEastAsia" w:hAnsiTheme="minorHAnsi" w:cstheme="majorBidi"/>
          <w:sz w:val="28"/>
          <w:szCs w:val="28"/>
          <w:lang w:eastAsia="en-US"/>
        </w:rPr>
      </w:pPr>
      <w:r w:rsidRPr="00C575C2">
        <w:rPr>
          <w:rFonts w:asciiTheme="minorHAnsi" w:eastAsiaTheme="majorEastAsia" w:hAnsiTheme="minorHAnsi" w:cstheme="majorBidi"/>
          <w:sz w:val="28"/>
          <w:szCs w:val="28"/>
          <w:lang w:eastAsia="en-US"/>
        </w:rPr>
        <w:t xml:space="preserve">Clinical trials </w:t>
      </w:r>
    </w:p>
    <w:p w:rsidR="00C457D1" w:rsidRDefault="00EE027C">
      <w:pPr>
        <w:pStyle w:val="3Bodytext"/>
        <w:rPr>
          <w:szCs w:val="24"/>
        </w:rPr>
      </w:pPr>
      <w:r>
        <w:rPr>
          <w:lang w:val="en-GB"/>
        </w:rPr>
        <w:t>The submission presented data from three clinical trials of LDX (SPD489-310; SPD489-325 and SPD489-405) conducted in child and/or adolescent ADHD populations where dose optimisation was included at the start of treatment.</w:t>
      </w:r>
    </w:p>
    <w:p w:rsidR="00C457D1" w:rsidRDefault="00EE027C">
      <w:pPr>
        <w:pStyle w:val="3Bodytext"/>
        <w:rPr>
          <w:szCs w:val="24"/>
        </w:rPr>
      </w:pPr>
      <w:r>
        <w:rPr>
          <w:szCs w:val="24"/>
        </w:rPr>
        <w:t xml:space="preserve">SPD489-310, the single arm study considered by the TGA, is considered the pivotal evidence in this submission, as it is the only trial where all available doses (20mg-70mg in 10mg increments) were used. </w:t>
      </w:r>
    </w:p>
    <w:p w:rsidR="00C457D1" w:rsidRDefault="00EE027C">
      <w:pPr>
        <w:pStyle w:val="3Bodytext"/>
        <w:rPr>
          <w:szCs w:val="24"/>
        </w:rPr>
      </w:pPr>
      <w:r>
        <w:rPr>
          <w:szCs w:val="24"/>
        </w:rPr>
        <w:t xml:space="preserve">SPD489-325 and SPD489-405 were placebo-controlled trials where only the 30mg, 50mg and 70mg doses of LDX were used for dose optimisation, reflecting current Australian clinical practice. Both studies were evaluated by the TGA and included in the product information. Study SPD489-325 was considered by the PBAC at its July 2013 meeting. </w:t>
      </w:r>
    </w:p>
    <w:p w:rsidR="00C457D1" w:rsidRDefault="00EE027C">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Economic analysis</w:t>
      </w:r>
    </w:p>
    <w:p w:rsidR="00C457D1" w:rsidRDefault="00EE027C">
      <w:pPr>
        <w:pStyle w:val="3Bodytext"/>
      </w:pPr>
      <w:r>
        <w:t xml:space="preserve">The minor submission proposed that the flat pricing structure for the 30 mg, 50 mg and 70 mg strengths of VYVANSE currently available on the PBS be extended to include the additional 20 mg, 40 mg and 60 mg strengths. </w:t>
      </w:r>
    </w:p>
    <w:p w:rsidR="00C457D1" w:rsidRDefault="00EE027C">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Estimated PBS usage &amp; financial implications</w:t>
      </w:r>
    </w:p>
    <w:p w:rsidR="00C457D1" w:rsidRDefault="00EE027C">
      <w:pPr>
        <w:pStyle w:val="3Bodytext"/>
      </w:pPr>
      <w:r>
        <w:t>The minor submission estimated there to be no financial implications to the PBS as all strengths would be priced the same. Similarly, the submission expected no changes in PBS utilisation as the submission expected the new doses of LDX to substitute for current doses of LDX. The Sponsor stated that this claim was supported by international market data for LDX, which consistently showed no change in market growth following the introduction of the new doses.</w:t>
      </w:r>
    </w:p>
    <w:p w:rsidR="00C457D1" w:rsidRDefault="00EE027C">
      <w:pPr>
        <w:pStyle w:val="3Bodytext"/>
      </w:pPr>
      <w:r>
        <w:t xml:space="preserve">The current Deed of Agreement for LDX encompasses a Special Pricing Arrangement rebate and a subsidisation cap arrangement. </w:t>
      </w:r>
    </w:p>
    <w:p w:rsidR="00C457D1" w:rsidRDefault="00C457D1">
      <w:pPr>
        <w:rPr>
          <w:rFonts w:asciiTheme="minorHAnsi" w:hAnsiTheme="minorHAnsi"/>
          <w:sz w:val="22"/>
          <w:szCs w:val="22"/>
        </w:rPr>
      </w:pPr>
    </w:p>
    <w:p w:rsidR="00C457D1" w:rsidRPr="00C575C2" w:rsidRDefault="00EE027C" w:rsidP="00C575C2">
      <w:pPr>
        <w:ind w:left="709"/>
        <w:rPr>
          <w:rFonts w:asciiTheme="minorHAnsi" w:hAnsiTheme="minorHAnsi"/>
          <w:i/>
        </w:rPr>
      </w:pPr>
      <w:r>
        <w:rPr>
          <w:rFonts w:asciiTheme="minorHAnsi" w:hAnsiTheme="minorHAnsi"/>
          <w:i/>
        </w:rPr>
        <w:t>For more detail on PBAC’s view, see section 5 PBAC outcome.</w:t>
      </w:r>
    </w:p>
    <w:p w:rsidR="00C457D1" w:rsidRDefault="00EE027C">
      <w:pPr>
        <w:pStyle w:val="Heading1"/>
        <w:keepNext/>
        <w:keepLines/>
        <w:widowControl/>
        <w:numPr>
          <w:ilvl w:val="0"/>
          <w:numId w:val="14"/>
        </w:numPr>
        <w:spacing w:before="240" w:after="120"/>
        <w:ind w:left="709" w:hanging="709"/>
        <w:contextualSpacing w:val="0"/>
        <w:jc w:val="left"/>
        <w:rPr>
          <w:rFonts w:asciiTheme="minorHAnsi" w:hAnsiTheme="minorHAnsi"/>
          <w:bCs/>
          <w:sz w:val="32"/>
        </w:rPr>
      </w:pPr>
      <w:r>
        <w:rPr>
          <w:rFonts w:asciiTheme="minorHAnsi" w:hAnsiTheme="minorHAnsi"/>
          <w:sz w:val="32"/>
          <w:szCs w:val="32"/>
        </w:rPr>
        <w:t>PBAC</w:t>
      </w:r>
      <w:r>
        <w:rPr>
          <w:rFonts w:asciiTheme="minorHAnsi" w:hAnsiTheme="minorHAnsi"/>
          <w:bCs/>
          <w:sz w:val="32"/>
        </w:rPr>
        <w:t xml:space="preserve"> Outcome</w:t>
      </w:r>
    </w:p>
    <w:p w:rsidR="00C457D1" w:rsidRDefault="00EE027C">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The PBAC recommended the Authority Required listing of 20 mg, 40 mg and 60 mg strength capsules of lisdexamfetamine (LDX) for the treatment of attention deficit hyperactivity disorder (ADHD). The PBAC considered that the new strengths of LDX will provide greater dosing flexibility to achieve optimal efficacy and tolerability for patients.</w:t>
      </w:r>
      <w:r>
        <w:t xml:space="preserve"> </w:t>
      </w:r>
    </w:p>
    <w:p w:rsidR="00C457D1" w:rsidRDefault="00EE027C">
      <w:pPr>
        <w:pStyle w:val="ListParagraph"/>
        <w:widowControl/>
        <w:numPr>
          <w:ilvl w:val="1"/>
          <w:numId w:val="5"/>
        </w:numPr>
        <w:spacing w:after="120"/>
        <w:contextualSpacing w:val="0"/>
        <w:rPr>
          <w:rFonts w:asciiTheme="minorHAnsi" w:hAnsiTheme="minorHAnsi"/>
          <w:sz w:val="24"/>
          <w:szCs w:val="24"/>
        </w:rPr>
      </w:pPr>
      <w:r>
        <w:rPr>
          <w:rFonts w:asciiTheme="minorHAnsi" w:hAnsiTheme="minorHAnsi"/>
          <w:sz w:val="24"/>
          <w:szCs w:val="24"/>
        </w:rPr>
        <w:t>The PBAC noted that LDX 20 mg may be used in addition to other strengths to up-titrate patients to an appropriate dose. Therefore the Committee considered that it would be appropriate for the PBS restriction to include a note specifying a maximum daily dose of 70mg per day, rather than specifying that increased quantities cannot be authorised. This administrative advice should flow-on to all the existing strengths of LDX on the PBS.</w:t>
      </w:r>
    </w:p>
    <w:p w:rsidR="00C457D1" w:rsidRDefault="00EE027C">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noted that there is a Deed of Agreement for LDX which encompasses a Special Pricing Arrangement rebate and a subsidisation cap arrangement, and advised that the cap should not be increased with the introduction of the three new strengths. The PBAC noted that there would be no financial implication to the PBS/RPBS from the proposed listing. </w:t>
      </w:r>
    </w:p>
    <w:p w:rsidR="00C457D1" w:rsidRDefault="00EE027C">
      <w:pPr>
        <w:pStyle w:val="ListParagraph"/>
        <w:widowControl/>
        <w:numPr>
          <w:ilvl w:val="1"/>
          <w:numId w:val="5"/>
        </w:numPr>
        <w:spacing w:after="120"/>
        <w:contextualSpacing w:val="0"/>
        <w:rPr>
          <w:rFonts w:asciiTheme="minorHAnsi" w:hAnsiTheme="minorHAnsi" w:cstheme="minorHAnsi"/>
          <w:sz w:val="24"/>
          <w:szCs w:val="24"/>
        </w:rPr>
      </w:pPr>
      <w:r>
        <w:rPr>
          <w:rFonts w:asciiTheme="minorHAnsi" w:hAnsiTheme="minorHAnsi"/>
          <w:sz w:val="24"/>
          <w:szCs w:val="24"/>
        </w:rPr>
        <w:t xml:space="preserve">The PBAC previously recommended that LDX is suitable for inclusion in the PBS medicines for prescribing by nurse practitioners as continuing therapy. </w:t>
      </w:r>
    </w:p>
    <w:p w:rsidR="00C457D1" w:rsidRDefault="00EE027C">
      <w:pPr>
        <w:pStyle w:val="ListParagraph"/>
        <w:keepNext/>
        <w:keepLines/>
        <w:widowControl/>
        <w:numPr>
          <w:ilvl w:val="1"/>
          <w:numId w:val="5"/>
        </w:numPr>
        <w:spacing w:after="120"/>
        <w:contextualSpacing w:val="0"/>
        <w:rPr>
          <w:rFonts w:asciiTheme="minorHAnsi" w:hAnsiTheme="minorHAnsi"/>
          <w:sz w:val="24"/>
          <w:szCs w:val="24"/>
        </w:rPr>
      </w:pPr>
      <w:r>
        <w:rPr>
          <w:rFonts w:asciiTheme="minorHAnsi" w:hAnsiTheme="minorHAnsi"/>
          <w:sz w:val="24"/>
          <w:szCs w:val="24"/>
        </w:rPr>
        <w:t>The PBAC previously considered that it is not appropriate to apply the Early Supply Rule to LDX.</w:t>
      </w:r>
    </w:p>
    <w:p w:rsidR="00C457D1" w:rsidRDefault="00EE027C">
      <w:pPr>
        <w:pStyle w:val="ListParagraph"/>
        <w:widowControl/>
        <w:numPr>
          <w:ilvl w:val="1"/>
          <w:numId w:val="5"/>
        </w:numPr>
        <w:spacing w:after="120"/>
        <w:contextualSpacing w:val="0"/>
        <w:rPr>
          <w:rFonts w:asciiTheme="minorHAnsi" w:hAnsiTheme="minorHAnsi"/>
          <w:sz w:val="24"/>
          <w:szCs w:val="24"/>
        </w:rPr>
      </w:pPr>
      <w:r>
        <w:rPr>
          <w:rFonts w:asciiTheme="minorHAnsi" w:hAnsiTheme="minorHAnsi"/>
          <w:sz w:val="24"/>
          <w:szCs w:val="24"/>
        </w:rPr>
        <w:t xml:space="preserve">The PBAC previously considered, under Section 101(3BA) of the </w:t>
      </w:r>
      <w:r>
        <w:rPr>
          <w:rFonts w:asciiTheme="minorHAnsi" w:hAnsiTheme="minorHAnsi"/>
          <w:i/>
          <w:sz w:val="24"/>
          <w:szCs w:val="24"/>
        </w:rPr>
        <w:t>National Health Act, 1953</w:t>
      </w:r>
      <w:r>
        <w:rPr>
          <w:rFonts w:asciiTheme="minorHAnsi" w:hAnsiTheme="minorHAnsi"/>
          <w:sz w:val="24"/>
          <w:szCs w:val="24"/>
        </w:rPr>
        <w:t xml:space="preserve">, that LDX should not be treated as interchangeable with any other drugs. </w:t>
      </w:r>
    </w:p>
    <w:p w:rsidR="00C457D1" w:rsidRDefault="00EE027C">
      <w:pPr>
        <w:pStyle w:val="ListParagraph"/>
        <w:widowControl/>
        <w:numPr>
          <w:ilvl w:val="1"/>
          <w:numId w:val="5"/>
        </w:numPr>
        <w:spacing w:after="120"/>
        <w:contextualSpacing w:val="0"/>
        <w:rPr>
          <w:rFonts w:asciiTheme="minorHAnsi" w:hAnsiTheme="minorHAnsi"/>
          <w:sz w:val="24"/>
          <w:szCs w:val="24"/>
        </w:rPr>
      </w:pPr>
      <w:r>
        <w:rPr>
          <w:rFonts w:asciiTheme="minorHAnsi" w:hAnsiTheme="minorHAnsi"/>
          <w:sz w:val="24"/>
          <w:szCs w:val="24"/>
        </w:rPr>
        <w:t xml:space="preserve">The PBAC noted that its recommendation was for new forms of an already listed drug and advised that because the recommended listing was not expected to alter the efficacy or toxicity of the treatment, or address a high and urgent unmet clinical need, the criteria prescribed by the </w:t>
      </w:r>
      <w:r>
        <w:rPr>
          <w:rFonts w:asciiTheme="minorHAnsi" w:hAnsiTheme="minorHAnsi"/>
          <w:i/>
          <w:sz w:val="24"/>
          <w:szCs w:val="24"/>
        </w:rPr>
        <w:t xml:space="preserve">National Health (Pharmaceuticals and Vaccines – Cost Recovery) Regulations 2009 </w:t>
      </w:r>
      <w:r>
        <w:rPr>
          <w:rFonts w:asciiTheme="minorHAnsi" w:hAnsiTheme="minorHAnsi"/>
          <w:sz w:val="24"/>
          <w:szCs w:val="24"/>
        </w:rPr>
        <w:t xml:space="preserve">for Pricing Pathway A were not met. </w:t>
      </w:r>
    </w:p>
    <w:p w:rsidR="00C457D1" w:rsidRDefault="00EE027C">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noted that this submission is not eligible for an Independent Review, as it received a positive recommendation. </w:t>
      </w:r>
    </w:p>
    <w:p w:rsidR="00C457D1" w:rsidRDefault="00EE027C">
      <w:pPr>
        <w:spacing w:before="240"/>
        <w:jc w:val="both"/>
        <w:rPr>
          <w:rFonts w:asciiTheme="minorHAnsi" w:hAnsiTheme="minorHAnsi" w:cs="Arial"/>
          <w:b/>
          <w:bCs/>
          <w:snapToGrid w:val="0"/>
          <w:lang w:val="en-GB"/>
        </w:rPr>
      </w:pPr>
      <w:r>
        <w:rPr>
          <w:rFonts w:asciiTheme="minorHAnsi" w:hAnsiTheme="minorHAnsi" w:cs="Arial"/>
          <w:b/>
          <w:bCs/>
          <w:snapToGrid w:val="0"/>
          <w:lang w:val="en-GB"/>
        </w:rPr>
        <w:t>Outcome:</w:t>
      </w:r>
    </w:p>
    <w:p w:rsidR="00C457D1" w:rsidRDefault="00EE027C">
      <w:pPr>
        <w:jc w:val="both"/>
        <w:rPr>
          <w:rFonts w:asciiTheme="minorHAnsi" w:hAnsiTheme="minorHAnsi" w:cs="Arial"/>
          <w:bCs/>
          <w:snapToGrid w:val="0"/>
          <w:lang w:val="en-GB"/>
        </w:rPr>
      </w:pPr>
      <w:r>
        <w:rPr>
          <w:rFonts w:asciiTheme="minorHAnsi" w:hAnsiTheme="minorHAnsi" w:cs="Arial"/>
          <w:bCs/>
          <w:snapToGrid w:val="0"/>
          <w:lang w:val="en-GB"/>
        </w:rPr>
        <w:t xml:space="preserve">Recommended </w:t>
      </w:r>
    </w:p>
    <w:p w:rsidR="00C457D1" w:rsidRDefault="00C457D1">
      <w:pPr>
        <w:widowControl w:val="0"/>
        <w:jc w:val="both"/>
        <w:rPr>
          <w:rFonts w:asciiTheme="minorHAnsi" w:hAnsiTheme="minorHAnsi" w:cs="Arial"/>
          <w:bCs/>
          <w:snapToGrid w:val="0"/>
        </w:rPr>
      </w:pPr>
    </w:p>
    <w:p w:rsidR="00C457D1" w:rsidRDefault="00EE027C">
      <w:pPr>
        <w:widowControl w:val="0"/>
        <w:numPr>
          <w:ilvl w:val="0"/>
          <w:numId w:val="5"/>
        </w:numPr>
        <w:spacing w:before="240" w:after="120"/>
        <w:jc w:val="both"/>
        <w:outlineLvl w:val="0"/>
        <w:rPr>
          <w:rFonts w:asciiTheme="minorHAnsi" w:hAnsiTheme="minorHAnsi" w:cs="Arial"/>
          <w:b/>
          <w:bCs/>
          <w:i/>
          <w:snapToGrid w:val="0"/>
          <w:sz w:val="32"/>
          <w:lang w:val="en-GB"/>
        </w:rPr>
      </w:pPr>
      <w:r>
        <w:rPr>
          <w:rFonts w:asciiTheme="minorHAnsi" w:hAnsiTheme="minorHAnsi" w:cs="Arial"/>
          <w:b/>
          <w:bCs/>
          <w:snapToGrid w:val="0"/>
          <w:sz w:val="32"/>
          <w:lang w:val="en-GB"/>
        </w:rPr>
        <w:t>Recommended listing</w:t>
      </w:r>
    </w:p>
    <w:p w:rsidR="00C457D1" w:rsidRDefault="00EE027C">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Add new item:</w:t>
      </w:r>
    </w:p>
    <w:tbl>
      <w:tblPr>
        <w:tblW w:w="9248" w:type="dxa"/>
        <w:tblInd w:w="108" w:type="dxa"/>
        <w:tblLayout w:type="fixed"/>
        <w:tblLook w:val="0000" w:firstRow="0" w:lastRow="0" w:firstColumn="0" w:lastColumn="0" w:noHBand="0" w:noVBand="0"/>
      </w:tblPr>
      <w:tblGrid>
        <w:gridCol w:w="2835"/>
        <w:gridCol w:w="426"/>
        <w:gridCol w:w="567"/>
        <w:gridCol w:w="850"/>
        <w:gridCol w:w="1559"/>
        <w:gridCol w:w="2977"/>
        <w:gridCol w:w="34"/>
      </w:tblGrid>
      <w:tr w:rsidR="00C457D1">
        <w:trPr>
          <w:cantSplit/>
          <w:trHeight w:val="471"/>
        </w:trPr>
        <w:tc>
          <w:tcPr>
            <w:tcW w:w="3261" w:type="dxa"/>
            <w:gridSpan w:val="2"/>
            <w:tcBorders>
              <w:bottom w:val="single" w:sz="4" w:space="0" w:color="auto"/>
            </w:tcBorders>
          </w:tcPr>
          <w:p w:rsidR="00C457D1" w:rsidRDefault="00EE027C">
            <w:pPr>
              <w:keepNext/>
              <w:ind w:left="-108"/>
              <w:jc w:val="both"/>
              <w:rPr>
                <w:rFonts w:ascii="Arial Narrow" w:hAnsi="Arial Narrow" w:cs="Arial"/>
                <w:sz w:val="20"/>
                <w:szCs w:val="20"/>
              </w:rPr>
            </w:pPr>
            <w:r>
              <w:rPr>
                <w:rFonts w:ascii="Arial Narrow" w:hAnsi="Arial Narrow" w:cs="Arial"/>
                <w:sz w:val="20"/>
                <w:szCs w:val="20"/>
              </w:rPr>
              <w:t>Name, Restriction,</w:t>
            </w:r>
          </w:p>
          <w:p w:rsidR="00C457D1" w:rsidRDefault="00EE027C">
            <w:pPr>
              <w:keepNext/>
              <w:ind w:left="-108"/>
              <w:jc w:val="both"/>
              <w:rPr>
                <w:rFonts w:ascii="Arial Narrow" w:hAnsi="Arial Narrow" w:cs="Arial"/>
                <w:sz w:val="20"/>
                <w:szCs w:val="20"/>
              </w:rPr>
            </w:pPr>
            <w:r>
              <w:rPr>
                <w:rFonts w:ascii="Arial Narrow" w:hAnsi="Arial Narrow" w:cs="Arial"/>
                <w:sz w:val="20"/>
                <w:szCs w:val="20"/>
              </w:rPr>
              <w:t>Manner of administration and form</w:t>
            </w:r>
          </w:p>
        </w:tc>
        <w:tc>
          <w:tcPr>
            <w:tcW w:w="567" w:type="dxa"/>
            <w:tcBorders>
              <w:bottom w:val="single" w:sz="4" w:space="0" w:color="auto"/>
            </w:tcBorders>
          </w:tcPr>
          <w:p w:rsidR="00C457D1" w:rsidRDefault="00EE027C">
            <w:pPr>
              <w:keepNext/>
              <w:ind w:left="-108"/>
              <w:jc w:val="both"/>
              <w:rPr>
                <w:rFonts w:ascii="Arial Narrow" w:hAnsi="Arial Narrow" w:cs="Arial"/>
                <w:sz w:val="20"/>
                <w:szCs w:val="20"/>
              </w:rPr>
            </w:pPr>
            <w:r>
              <w:rPr>
                <w:rFonts w:ascii="Arial Narrow" w:hAnsi="Arial Narrow" w:cs="Arial"/>
                <w:sz w:val="20"/>
                <w:szCs w:val="20"/>
              </w:rPr>
              <w:t>Max.</w:t>
            </w:r>
          </w:p>
          <w:p w:rsidR="00C457D1" w:rsidRDefault="00EE027C">
            <w:pPr>
              <w:keepNext/>
              <w:ind w:left="-108"/>
              <w:jc w:val="both"/>
              <w:rPr>
                <w:rFonts w:ascii="Arial Narrow" w:hAnsi="Arial Narrow" w:cs="Arial"/>
                <w:sz w:val="20"/>
                <w:szCs w:val="20"/>
              </w:rPr>
            </w:pPr>
            <w:r>
              <w:rPr>
                <w:rFonts w:ascii="Arial Narrow" w:hAnsi="Arial Narrow" w:cs="Arial"/>
                <w:sz w:val="20"/>
                <w:szCs w:val="20"/>
              </w:rPr>
              <w:t>Qty packs</w:t>
            </w:r>
          </w:p>
        </w:tc>
        <w:tc>
          <w:tcPr>
            <w:tcW w:w="850" w:type="dxa"/>
            <w:tcBorders>
              <w:bottom w:val="single" w:sz="4" w:space="0" w:color="auto"/>
            </w:tcBorders>
          </w:tcPr>
          <w:p w:rsidR="00C457D1" w:rsidRDefault="00EE027C">
            <w:pPr>
              <w:keepNext/>
              <w:ind w:left="-108"/>
              <w:jc w:val="both"/>
              <w:rPr>
                <w:rFonts w:ascii="Arial Narrow" w:hAnsi="Arial Narrow" w:cs="Arial"/>
                <w:sz w:val="20"/>
                <w:szCs w:val="20"/>
              </w:rPr>
            </w:pPr>
            <w:r>
              <w:rPr>
                <w:rFonts w:ascii="Arial Narrow" w:hAnsi="Arial Narrow" w:cs="Arial"/>
                <w:sz w:val="20"/>
                <w:szCs w:val="20"/>
              </w:rPr>
              <w:t>№.of</w:t>
            </w:r>
          </w:p>
          <w:p w:rsidR="00C457D1" w:rsidRDefault="00EE027C">
            <w:pPr>
              <w:keepNext/>
              <w:ind w:left="-108"/>
              <w:jc w:val="both"/>
              <w:rPr>
                <w:rFonts w:ascii="Arial Narrow" w:hAnsi="Arial Narrow" w:cs="Arial"/>
                <w:sz w:val="20"/>
                <w:szCs w:val="20"/>
              </w:rPr>
            </w:pPr>
            <w:r>
              <w:rPr>
                <w:rFonts w:ascii="Arial Narrow" w:hAnsi="Arial Narrow" w:cs="Arial"/>
                <w:sz w:val="20"/>
                <w:szCs w:val="20"/>
              </w:rPr>
              <w:t>Rpts</w:t>
            </w:r>
          </w:p>
        </w:tc>
        <w:tc>
          <w:tcPr>
            <w:tcW w:w="4570" w:type="dxa"/>
            <w:gridSpan w:val="3"/>
            <w:tcBorders>
              <w:bottom w:val="single" w:sz="4" w:space="0" w:color="auto"/>
            </w:tcBorders>
          </w:tcPr>
          <w:p w:rsidR="00C457D1" w:rsidRDefault="00EE027C">
            <w:pPr>
              <w:keepNext/>
              <w:jc w:val="both"/>
              <w:rPr>
                <w:rFonts w:ascii="Arial Narrow" w:hAnsi="Arial Narrow" w:cs="Arial"/>
                <w:sz w:val="20"/>
                <w:szCs w:val="20"/>
                <w:lang w:val="fr-FR"/>
              </w:rPr>
            </w:pPr>
            <w:r>
              <w:rPr>
                <w:rFonts w:ascii="Arial Narrow" w:hAnsi="Arial Narrow" w:cs="Arial"/>
                <w:sz w:val="20"/>
                <w:szCs w:val="20"/>
              </w:rPr>
              <w:t>Proprietary Name and Manufacturer</w:t>
            </w:r>
          </w:p>
        </w:tc>
      </w:tr>
      <w:tr w:rsidR="00C457D1">
        <w:trPr>
          <w:cantSplit/>
          <w:trHeight w:val="577"/>
        </w:trPr>
        <w:tc>
          <w:tcPr>
            <w:tcW w:w="3261" w:type="dxa"/>
            <w:gridSpan w:val="2"/>
          </w:tcPr>
          <w:p w:rsidR="00C457D1" w:rsidRDefault="00EE027C">
            <w:pPr>
              <w:keepNext/>
              <w:ind w:left="-108"/>
              <w:jc w:val="both"/>
              <w:rPr>
                <w:rFonts w:ascii="Arial Narrow" w:hAnsi="Arial Narrow" w:cs="Arial"/>
                <w:sz w:val="20"/>
                <w:szCs w:val="20"/>
              </w:rPr>
            </w:pPr>
            <w:r>
              <w:rPr>
                <w:rFonts w:ascii="Arial Narrow" w:hAnsi="Arial Narrow" w:cs="Arial"/>
                <w:smallCaps/>
                <w:sz w:val="20"/>
                <w:szCs w:val="20"/>
              </w:rPr>
              <w:t>lisdexamfetamine</w:t>
            </w:r>
          </w:p>
          <w:p w:rsidR="00C457D1" w:rsidRDefault="00EE027C">
            <w:pPr>
              <w:keepNext/>
              <w:ind w:left="-108"/>
              <w:jc w:val="both"/>
              <w:rPr>
                <w:rFonts w:ascii="Arial Narrow" w:hAnsi="Arial Narrow" w:cs="Arial"/>
                <w:sz w:val="20"/>
                <w:szCs w:val="20"/>
              </w:rPr>
            </w:pPr>
            <w:r>
              <w:rPr>
                <w:rFonts w:ascii="Arial Narrow" w:hAnsi="Arial Narrow" w:cs="Arial"/>
                <w:sz w:val="20"/>
                <w:szCs w:val="20"/>
              </w:rPr>
              <w:t>lisdexamfetamine dimesilate 20 mg capsule, 30</w:t>
            </w:r>
          </w:p>
          <w:p w:rsidR="00C457D1" w:rsidRDefault="00EE027C">
            <w:pPr>
              <w:keepNext/>
              <w:ind w:left="-108"/>
              <w:jc w:val="both"/>
              <w:rPr>
                <w:rFonts w:ascii="Arial Narrow" w:hAnsi="Arial Narrow" w:cs="Arial"/>
                <w:sz w:val="20"/>
                <w:szCs w:val="20"/>
              </w:rPr>
            </w:pPr>
            <w:r>
              <w:rPr>
                <w:rFonts w:ascii="Arial Narrow" w:hAnsi="Arial Narrow" w:cs="Arial"/>
                <w:sz w:val="20"/>
                <w:szCs w:val="20"/>
              </w:rPr>
              <w:t>lisdexamfetamine dimesilate 40 mg capsule, 30</w:t>
            </w:r>
          </w:p>
          <w:p w:rsidR="00C457D1" w:rsidRDefault="00EE027C">
            <w:pPr>
              <w:keepNext/>
              <w:ind w:left="-108"/>
              <w:jc w:val="both"/>
              <w:rPr>
                <w:rFonts w:ascii="Arial Narrow" w:hAnsi="Arial Narrow" w:cs="Arial"/>
                <w:sz w:val="20"/>
                <w:szCs w:val="20"/>
              </w:rPr>
            </w:pPr>
            <w:r>
              <w:rPr>
                <w:rFonts w:ascii="Arial Narrow" w:hAnsi="Arial Narrow" w:cs="Arial"/>
                <w:sz w:val="20"/>
                <w:szCs w:val="20"/>
              </w:rPr>
              <w:t>lisdexamfetamine dimesilate 60 mg capsule, 30</w:t>
            </w:r>
          </w:p>
        </w:tc>
        <w:tc>
          <w:tcPr>
            <w:tcW w:w="567" w:type="dxa"/>
          </w:tcPr>
          <w:p w:rsidR="00C457D1" w:rsidRDefault="00C457D1">
            <w:pPr>
              <w:keepNext/>
              <w:ind w:left="-108"/>
              <w:jc w:val="both"/>
              <w:rPr>
                <w:rFonts w:ascii="Arial Narrow" w:hAnsi="Arial Narrow" w:cs="Arial"/>
                <w:sz w:val="20"/>
                <w:szCs w:val="20"/>
              </w:rPr>
            </w:pPr>
          </w:p>
          <w:p w:rsidR="00C457D1" w:rsidRDefault="00EE027C">
            <w:pPr>
              <w:keepNext/>
              <w:ind w:left="-108"/>
              <w:jc w:val="both"/>
              <w:rPr>
                <w:rFonts w:ascii="Arial Narrow" w:hAnsi="Arial Narrow" w:cs="Arial"/>
                <w:sz w:val="20"/>
                <w:szCs w:val="20"/>
              </w:rPr>
            </w:pPr>
            <w:r>
              <w:rPr>
                <w:rFonts w:ascii="Arial Narrow" w:hAnsi="Arial Narrow" w:cs="Arial"/>
                <w:sz w:val="20"/>
                <w:szCs w:val="20"/>
              </w:rPr>
              <w:t>1</w:t>
            </w:r>
          </w:p>
        </w:tc>
        <w:tc>
          <w:tcPr>
            <w:tcW w:w="850" w:type="dxa"/>
          </w:tcPr>
          <w:p w:rsidR="00C457D1" w:rsidRDefault="00C457D1">
            <w:pPr>
              <w:keepNext/>
              <w:ind w:left="-108"/>
              <w:jc w:val="both"/>
              <w:rPr>
                <w:rFonts w:ascii="Arial Narrow" w:hAnsi="Arial Narrow" w:cs="Arial"/>
                <w:sz w:val="20"/>
                <w:szCs w:val="20"/>
              </w:rPr>
            </w:pPr>
          </w:p>
          <w:p w:rsidR="00C457D1" w:rsidRDefault="00EE027C">
            <w:pPr>
              <w:keepNext/>
              <w:ind w:left="-108"/>
              <w:jc w:val="both"/>
              <w:rPr>
                <w:rFonts w:ascii="Arial Narrow" w:hAnsi="Arial Narrow" w:cs="Arial"/>
                <w:sz w:val="20"/>
                <w:szCs w:val="20"/>
              </w:rPr>
            </w:pPr>
            <w:r>
              <w:rPr>
                <w:rFonts w:ascii="Arial Narrow" w:hAnsi="Arial Narrow" w:cs="Arial"/>
                <w:sz w:val="20"/>
                <w:szCs w:val="20"/>
              </w:rPr>
              <w:t>5</w:t>
            </w:r>
          </w:p>
        </w:tc>
        <w:tc>
          <w:tcPr>
            <w:tcW w:w="1559" w:type="dxa"/>
          </w:tcPr>
          <w:p w:rsidR="00C457D1" w:rsidRDefault="00EE027C">
            <w:pPr>
              <w:keepNext/>
              <w:jc w:val="both"/>
              <w:rPr>
                <w:rFonts w:ascii="Arial Narrow" w:hAnsi="Arial Narrow" w:cs="Arial"/>
                <w:sz w:val="20"/>
                <w:szCs w:val="20"/>
              </w:rPr>
            </w:pPr>
            <w:r>
              <w:rPr>
                <w:rFonts w:ascii="Arial Narrow" w:hAnsi="Arial Narrow" w:cs="Arial"/>
                <w:sz w:val="20"/>
                <w:szCs w:val="20"/>
              </w:rPr>
              <w:t>Vyvanse</w:t>
            </w:r>
          </w:p>
        </w:tc>
        <w:tc>
          <w:tcPr>
            <w:tcW w:w="3011" w:type="dxa"/>
            <w:gridSpan w:val="2"/>
          </w:tcPr>
          <w:p w:rsidR="00C457D1" w:rsidRDefault="00EE027C">
            <w:pPr>
              <w:keepNext/>
              <w:jc w:val="both"/>
              <w:rPr>
                <w:rFonts w:ascii="Arial Narrow" w:hAnsi="Arial Narrow" w:cs="Arial"/>
                <w:sz w:val="20"/>
                <w:szCs w:val="20"/>
              </w:rPr>
            </w:pPr>
            <w:r>
              <w:rPr>
                <w:rFonts w:ascii="Arial Narrow" w:hAnsi="Arial Narrow" w:cs="Arial"/>
                <w:sz w:val="20"/>
                <w:szCs w:val="20"/>
              </w:rPr>
              <w:t>Shire Australia Pty Ltd</w:t>
            </w:r>
          </w:p>
        </w:tc>
      </w:tr>
      <w:tr w:rsidR="00C457D1">
        <w:trPr>
          <w:gridAfter w:val="1"/>
          <w:wAfter w:w="34" w:type="dxa"/>
          <w:cantSplit/>
          <w:trHeight w:val="360"/>
        </w:trPr>
        <w:tc>
          <w:tcPr>
            <w:tcW w:w="9214" w:type="dxa"/>
            <w:gridSpan w:val="6"/>
            <w:tcBorders>
              <w:bottom w:val="single" w:sz="4" w:space="0" w:color="auto"/>
            </w:tcBorders>
          </w:tcPr>
          <w:p w:rsidR="00C457D1" w:rsidRDefault="00C457D1">
            <w:pPr>
              <w:jc w:val="both"/>
              <w:rPr>
                <w:rFonts w:ascii="Arial Narrow" w:hAnsi="Arial Narrow" w:cs="Arial"/>
                <w:sz w:val="20"/>
                <w:szCs w:val="20"/>
              </w:rPr>
            </w:pPr>
          </w:p>
        </w:tc>
      </w:tr>
      <w:tr w:rsidR="00C457D1">
        <w:trPr>
          <w:gridAfter w:val="1"/>
          <w:wAfter w:w="34" w:type="dxa"/>
          <w:cantSplit/>
          <w:trHeight w:val="360"/>
        </w:trPr>
        <w:tc>
          <w:tcPr>
            <w:tcW w:w="2835" w:type="dxa"/>
            <w:tcBorders>
              <w:top w:val="single" w:sz="4" w:space="0" w:color="auto"/>
              <w:left w:val="single" w:sz="4" w:space="0" w:color="auto"/>
              <w:bottom w:val="single" w:sz="4" w:space="0" w:color="auto"/>
              <w:right w:val="single" w:sz="4" w:space="0" w:color="auto"/>
            </w:tcBorders>
          </w:tcPr>
          <w:p w:rsidR="00C457D1" w:rsidRDefault="00EE027C">
            <w:pPr>
              <w:jc w:val="both"/>
              <w:rPr>
                <w:rFonts w:ascii="Arial Narrow" w:hAnsi="Arial Narrow" w:cs="Arial"/>
                <w:b/>
                <w:sz w:val="20"/>
                <w:szCs w:val="20"/>
              </w:rPr>
            </w:pPr>
            <w:r>
              <w:rPr>
                <w:rFonts w:ascii="Arial Narrow" w:hAnsi="Arial Narrow" w:cs="Arial"/>
                <w:b/>
                <w:sz w:val="20"/>
                <w:szCs w:val="20"/>
              </w:rPr>
              <w:t>Category / Program:</w:t>
            </w:r>
          </w:p>
        </w:tc>
        <w:tc>
          <w:tcPr>
            <w:tcW w:w="6379" w:type="dxa"/>
            <w:gridSpan w:val="5"/>
            <w:tcBorders>
              <w:top w:val="single" w:sz="4" w:space="0" w:color="auto"/>
              <w:left w:val="single" w:sz="4" w:space="0" w:color="auto"/>
              <w:bottom w:val="single" w:sz="4" w:space="0" w:color="auto"/>
              <w:right w:val="single" w:sz="4" w:space="0" w:color="auto"/>
            </w:tcBorders>
          </w:tcPr>
          <w:p w:rsidR="00C457D1" w:rsidRDefault="00EE027C">
            <w:pPr>
              <w:rPr>
                <w:rFonts w:ascii="Arial Narrow" w:hAnsi="Arial Narrow" w:cs="Arial"/>
                <w:sz w:val="20"/>
                <w:szCs w:val="20"/>
              </w:rPr>
            </w:pPr>
            <w:r>
              <w:rPr>
                <w:rFonts w:ascii="Arial Narrow" w:hAnsi="Arial Narrow" w:cs="Arial"/>
                <w:sz w:val="20"/>
                <w:szCs w:val="20"/>
              </w:rPr>
              <w:t>GENERAL – General Schedule (Code GE)</w:t>
            </w:r>
          </w:p>
          <w:p w:rsidR="00C457D1" w:rsidRDefault="00C457D1">
            <w:pPr>
              <w:rPr>
                <w:rFonts w:ascii="Arial Narrow" w:hAnsi="Arial Narrow" w:cs="Arial"/>
                <w:sz w:val="20"/>
                <w:szCs w:val="20"/>
              </w:rPr>
            </w:pPr>
          </w:p>
        </w:tc>
      </w:tr>
      <w:tr w:rsidR="00C457D1">
        <w:trPr>
          <w:gridAfter w:val="1"/>
          <w:wAfter w:w="34" w:type="dxa"/>
          <w:cantSplit/>
          <w:trHeight w:val="360"/>
        </w:trPr>
        <w:tc>
          <w:tcPr>
            <w:tcW w:w="2835" w:type="dxa"/>
            <w:tcBorders>
              <w:top w:val="single" w:sz="4" w:space="0" w:color="auto"/>
              <w:left w:val="single" w:sz="4" w:space="0" w:color="auto"/>
              <w:bottom w:val="single" w:sz="4" w:space="0" w:color="auto"/>
              <w:right w:val="single" w:sz="4" w:space="0" w:color="auto"/>
            </w:tcBorders>
          </w:tcPr>
          <w:p w:rsidR="00C457D1" w:rsidRDefault="00EE027C">
            <w:pPr>
              <w:jc w:val="both"/>
              <w:rPr>
                <w:rFonts w:ascii="Arial Narrow" w:hAnsi="Arial Narrow" w:cs="Arial"/>
                <w:b/>
                <w:sz w:val="20"/>
                <w:szCs w:val="20"/>
              </w:rPr>
            </w:pPr>
            <w:r>
              <w:rPr>
                <w:rFonts w:ascii="Arial Narrow" w:hAnsi="Arial Narrow" w:cs="Arial"/>
                <w:b/>
                <w:sz w:val="20"/>
                <w:szCs w:val="20"/>
              </w:rPr>
              <w:t>Prescriber type:</w:t>
            </w:r>
          </w:p>
          <w:p w:rsidR="00C457D1" w:rsidRDefault="00C457D1">
            <w:pPr>
              <w:jc w:val="both"/>
              <w:rPr>
                <w:rFonts w:ascii="Arial Narrow" w:hAnsi="Arial Narrow" w:cs="Arial"/>
                <w:b/>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C457D1" w:rsidRDefault="00EE027C">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1B384F">
              <w:rPr>
                <w:rFonts w:ascii="Arial Narrow" w:hAnsi="Arial Narrow" w:cs="Arial"/>
                <w:sz w:val="20"/>
                <w:szCs w:val="20"/>
              </w:rPr>
            </w:r>
            <w:r w:rsidR="001B384F">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1B384F">
              <w:rPr>
                <w:rFonts w:ascii="Arial Narrow" w:hAnsi="Arial Narrow" w:cs="Arial"/>
                <w:sz w:val="20"/>
                <w:szCs w:val="20"/>
              </w:rPr>
            </w:r>
            <w:r w:rsidR="001B384F">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1B384F">
              <w:rPr>
                <w:rFonts w:ascii="Arial Narrow" w:hAnsi="Arial Narrow" w:cs="Arial"/>
                <w:sz w:val="20"/>
                <w:szCs w:val="20"/>
              </w:rPr>
            </w:r>
            <w:r w:rsidR="001B384F">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Nurse practitioners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1B384F">
              <w:rPr>
                <w:rFonts w:ascii="Arial Narrow" w:hAnsi="Arial Narrow" w:cs="Arial"/>
                <w:sz w:val="20"/>
                <w:szCs w:val="20"/>
              </w:rPr>
            </w:r>
            <w:r w:rsidR="001B384F">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p w:rsidR="00C457D1" w:rsidRDefault="00EE027C">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1B384F">
              <w:rPr>
                <w:rFonts w:ascii="Arial Narrow" w:hAnsi="Arial Narrow" w:cs="Arial"/>
                <w:sz w:val="20"/>
                <w:szCs w:val="20"/>
              </w:rPr>
            </w:r>
            <w:r w:rsidR="001B384F">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Midwives</w:t>
            </w:r>
          </w:p>
        </w:tc>
      </w:tr>
      <w:tr w:rsidR="00C457D1">
        <w:trPr>
          <w:gridAfter w:val="1"/>
          <w:wAfter w:w="34" w:type="dxa"/>
          <w:cantSplit/>
          <w:trHeight w:val="360"/>
        </w:trPr>
        <w:tc>
          <w:tcPr>
            <w:tcW w:w="2835" w:type="dxa"/>
            <w:tcBorders>
              <w:top w:val="single" w:sz="4" w:space="0" w:color="auto"/>
              <w:left w:val="single" w:sz="4" w:space="0" w:color="auto"/>
              <w:bottom w:val="single" w:sz="4" w:space="0" w:color="auto"/>
              <w:right w:val="single" w:sz="4" w:space="0" w:color="auto"/>
            </w:tcBorders>
          </w:tcPr>
          <w:p w:rsidR="00C457D1" w:rsidRDefault="00EE027C">
            <w:pPr>
              <w:jc w:val="both"/>
              <w:rPr>
                <w:rFonts w:ascii="Arial Narrow" w:hAnsi="Arial Narrow" w:cs="Arial"/>
                <w:b/>
                <w:sz w:val="20"/>
                <w:szCs w:val="20"/>
              </w:rPr>
            </w:pPr>
            <w:r>
              <w:rPr>
                <w:rFonts w:ascii="Arial Narrow" w:hAnsi="Arial Narrow" w:cs="Arial"/>
                <w:b/>
                <w:sz w:val="20"/>
                <w:szCs w:val="20"/>
              </w:rPr>
              <w:t>Condition:</w:t>
            </w:r>
          </w:p>
        </w:tc>
        <w:tc>
          <w:tcPr>
            <w:tcW w:w="6379" w:type="dxa"/>
            <w:gridSpan w:val="5"/>
            <w:tcBorders>
              <w:top w:val="single" w:sz="4" w:space="0" w:color="auto"/>
              <w:left w:val="single" w:sz="4" w:space="0" w:color="auto"/>
              <w:bottom w:val="single" w:sz="4" w:space="0" w:color="auto"/>
              <w:right w:val="single" w:sz="4" w:space="0" w:color="auto"/>
            </w:tcBorders>
          </w:tcPr>
          <w:p w:rsidR="00C457D1" w:rsidRDefault="00EE027C">
            <w:pPr>
              <w:rPr>
                <w:rFonts w:ascii="Arial Narrow" w:hAnsi="Arial Narrow" w:cs="Arial"/>
                <w:sz w:val="20"/>
                <w:szCs w:val="20"/>
              </w:rPr>
            </w:pPr>
            <w:r>
              <w:rPr>
                <w:rFonts w:ascii="Arial Narrow" w:hAnsi="Arial Narrow" w:cs="Arial"/>
                <w:sz w:val="20"/>
                <w:szCs w:val="20"/>
              </w:rPr>
              <w:t>Attention deficit hyperactivity disorder</w:t>
            </w:r>
          </w:p>
        </w:tc>
      </w:tr>
      <w:tr w:rsidR="00C457D1">
        <w:trPr>
          <w:gridAfter w:val="1"/>
          <w:wAfter w:w="34" w:type="dxa"/>
          <w:cantSplit/>
          <w:trHeight w:val="360"/>
        </w:trPr>
        <w:tc>
          <w:tcPr>
            <w:tcW w:w="2835" w:type="dxa"/>
            <w:tcBorders>
              <w:top w:val="single" w:sz="4" w:space="0" w:color="auto"/>
              <w:left w:val="single" w:sz="4" w:space="0" w:color="auto"/>
              <w:bottom w:val="single" w:sz="4" w:space="0" w:color="auto"/>
              <w:right w:val="single" w:sz="4" w:space="0" w:color="auto"/>
            </w:tcBorders>
          </w:tcPr>
          <w:p w:rsidR="00C457D1" w:rsidRDefault="00EE027C">
            <w:pPr>
              <w:jc w:val="both"/>
              <w:rPr>
                <w:rFonts w:ascii="Arial Narrow" w:hAnsi="Arial Narrow" w:cs="Arial"/>
                <w:b/>
                <w:sz w:val="20"/>
                <w:szCs w:val="20"/>
              </w:rPr>
            </w:pPr>
            <w:r>
              <w:rPr>
                <w:rFonts w:ascii="Arial Narrow" w:hAnsi="Arial Narrow" w:cs="Arial"/>
                <w:b/>
                <w:sz w:val="20"/>
                <w:szCs w:val="20"/>
              </w:rPr>
              <w:t>Restriction Level / Method:</w:t>
            </w:r>
          </w:p>
          <w:p w:rsidR="00C457D1" w:rsidRDefault="00C457D1">
            <w:pPr>
              <w:rPr>
                <w:rFonts w:ascii="Arial Narrow" w:hAnsi="Arial Narrow" w:cs="Arial"/>
                <w:i/>
                <w:sz w:val="20"/>
                <w:szCs w:val="20"/>
              </w:rPr>
            </w:pPr>
          </w:p>
          <w:p w:rsidR="00C457D1" w:rsidRDefault="00C457D1">
            <w:pPr>
              <w:rPr>
                <w:rFonts w:ascii="Arial Narrow" w:hAnsi="Arial Narrow" w:cs="Arial"/>
                <w:i/>
                <w:sz w:val="20"/>
                <w:szCs w:val="20"/>
              </w:rPr>
            </w:pPr>
          </w:p>
          <w:p w:rsidR="00C457D1" w:rsidRDefault="00C457D1">
            <w:pPr>
              <w:rPr>
                <w:rFonts w:ascii="Arial Narrow" w:hAnsi="Arial Narrow" w:cs="Arial"/>
                <w:i/>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C457D1" w:rsidRDefault="00EE027C">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1B384F">
              <w:rPr>
                <w:rFonts w:ascii="Arial Narrow" w:hAnsi="Arial Narrow" w:cs="Arial"/>
                <w:sz w:val="20"/>
                <w:szCs w:val="20"/>
              </w:rPr>
            </w:r>
            <w:r w:rsidR="001B384F">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Restricted benefit</w:t>
            </w:r>
          </w:p>
          <w:p w:rsidR="00C457D1" w:rsidRDefault="00EE027C">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1B384F">
              <w:rPr>
                <w:rFonts w:ascii="Arial Narrow" w:hAnsi="Arial Narrow" w:cs="Arial"/>
                <w:sz w:val="20"/>
                <w:szCs w:val="20"/>
              </w:rPr>
            </w:r>
            <w:r w:rsidR="001B384F">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Authority Required – In Writing</w:t>
            </w:r>
          </w:p>
          <w:p w:rsidR="00C457D1" w:rsidRDefault="00EE027C">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1B384F">
              <w:rPr>
                <w:rFonts w:ascii="Arial Narrow" w:hAnsi="Arial Narrow" w:cs="Arial"/>
                <w:sz w:val="20"/>
                <w:szCs w:val="20"/>
              </w:rPr>
            </w:r>
            <w:r w:rsidR="001B384F">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Authority Required – Telephone/Electronic/Emergency</w:t>
            </w:r>
          </w:p>
          <w:p w:rsidR="00C457D1" w:rsidRDefault="00EE027C">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1B384F">
              <w:rPr>
                <w:rFonts w:ascii="Arial Narrow" w:hAnsi="Arial Narrow" w:cs="Arial"/>
                <w:sz w:val="20"/>
                <w:szCs w:val="20"/>
              </w:rPr>
            </w:r>
            <w:r w:rsidR="001B384F">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Streamlined</w:t>
            </w:r>
          </w:p>
        </w:tc>
      </w:tr>
      <w:tr w:rsidR="00C457D1">
        <w:trPr>
          <w:gridAfter w:val="1"/>
          <w:wAfter w:w="34" w:type="dxa"/>
          <w:cantSplit/>
          <w:trHeight w:val="657"/>
        </w:trPr>
        <w:tc>
          <w:tcPr>
            <w:tcW w:w="2835" w:type="dxa"/>
            <w:tcBorders>
              <w:top w:val="single" w:sz="4" w:space="0" w:color="auto"/>
              <w:left w:val="single" w:sz="4" w:space="0" w:color="auto"/>
              <w:bottom w:val="single" w:sz="4" w:space="0" w:color="auto"/>
              <w:right w:val="single" w:sz="4" w:space="0" w:color="auto"/>
            </w:tcBorders>
          </w:tcPr>
          <w:p w:rsidR="00C457D1" w:rsidRDefault="00EE027C">
            <w:pPr>
              <w:jc w:val="both"/>
              <w:rPr>
                <w:rFonts w:ascii="Arial Narrow" w:hAnsi="Arial Narrow" w:cs="Arial"/>
                <w:b/>
                <w:sz w:val="20"/>
                <w:szCs w:val="20"/>
              </w:rPr>
            </w:pPr>
            <w:r>
              <w:rPr>
                <w:rFonts w:ascii="Arial Narrow" w:hAnsi="Arial Narrow" w:cs="Arial"/>
                <w:b/>
                <w:sz w:val="20"/>
                <w:szCs w:val="20"/>
              </w:rPr>
              <w:t>Clinical criteria:</w:t>
            </w:r>
          </w:p>
          <w:p w:rsidR="00C457D1" w:rsidRDefault="00C457D1">
            <w:pPr>
              <w:jc w:val="both"/>
              <w:rPr>
                <w:rFonts w:ascii="Arial Narrow" w:hAnsi="Arial Narrow" w:cs="Arial"/>
                <w:b/>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C457D1" w:rsidRDefault="00EE027C">
            <w:pPr>
              <w:rPr>
                <w:rFonts w:ascii="Arial Narrow" w:hAnsi="Arial Narrow" w:cs="Arial"/>
                <w:sz w:val="20"/>
                <w:szCs w:val="20"/>
              </w:rPr>
            </w:pPr>
            <w:r>
              <w:rPr>
                <w:rFonts w:ascii="Arial Narrow" w:hAnsi="Arial Narrow" w:cs="Arial"/>
                <w:sz w:val="20"/>
                <w:szCs w:val="20"/>
                <w:shd w:val="clear" w:color="auto" w:fill="FFFFFF"/>
              </w:rPr>
              <w:t>Patient must require continuous coverage over 12 hours.</w:t>
            </w:r>
          </w:p>
          <w:p w:rsidR="00C457D1" w:rsidRDefault="00C457D1">
            <w:pPr>
              <w:jc w:val="both"/>
              <w:rPr>
                <w:rFonts w:ascii="Arial Narrow" w:hAnsi="Arial Narrow" w:cs="Arial"/>
                <w:sz w:val="20"/>
                <w:szCs w:val="20"/>
              </w:rPr>
            </w:pPr>
          </w:p>
          <w:p w:rsidR="00C457D1" w:rsidRDefault="00C457D1">
            <w:pPr>
              <w:jc w:val="both"/>
              <w:rPr>
                <w:rFonts w:ascii="Arial Narrow" w:hAnsi="Arial Narrow" w:cs="Arial"/>
                <w:sz w:val="20"/>
                <w:szCs w:val="20"/>
              </w:rPr>
            </w:pPr>
          </w:p>
        </w:tc>
      </w:tr>
      <w:tr w:rsidR="00C457D1">
        <w:trPr>
          <w:gridAfter w:val="1"/>
          <w:wAfter w:w="34" w:type="dxa"/>
          <w:cantSplit/>
          <w:trHeight w:val="489"/>
        </w:trPr>
        <w:tc>
          <w:tcPr>
            <w:tcW w:w="2835" w:type="dxa"/>
            <w:tcBorders>
              <w:top w:val="single" w:sz="4" w:space="0" w:color="auto"/>
              <w:left w:val="single" w:sz="4" w:space="0" w:color="auto"/>
              <w:bottom w:val="single" w:sz="4" w:space="0" w:color="auto"/>
              <w:right w:val="single" w:sz="4" w:space="0" w:color="auto"/>
            </w:tcBorders>
          </w:tcPr>
          <w:p w:rsidR="00C457D1" w:rsidRDefault="00EE027C">
            <w:pPr>
              <w:jc w:val="both"/>
              <w:rPr>
                <w:rFonts w:ascii="Arial Narrow" w:hAnsi="Arial Narrow" w:cs="Arial"/>
                <w:b/>
                <w:sz w:val="20"/>
                <w:szCs w:val="20"/>
              </w:rPr>
            </w:pPr>
            <w:r>
              <w:rPr>
                <w:rFonts w:ascii="Arial Narrow" w:hAnsi="Arial Narrow" w:cs="Arial"/>
                <w:b/>
                <w:sz w:val="20"/>
                <w:szCs w:val="20"/>
              </w:rPr>
              <w:t>Population criteria:</w:t>
            </w:r>
          </w:p>
          <w:p w:rsidR="00C457D1" w:rsidRDefault="00C457D1">
            <w:pPr>
              <w:jc w:val="both"/>
              <w:rPr>
                <w:rFonts w:ascii="Arial Narrow" w:hAnsi="Arial Narrow" w:cs="Arial"/>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C457D1" w:rsidRDefault="00EE027C">
            <w:pPr>
              <w:rPr>
                <w:rFonts w:ascii="Arial Narrow" w:hAnsi="Arial Narrow" w:cs="Arial"/>
                <w:sz w:val="20"/>
                <w:szCs w:val="20"/>
                <w:shd w:val="clear" w:color="auto" w:fill="FFFFFF"/>
              </w:rPr>
            </w:pPr>
            <w:r>
              <w:rPr>
                <w:rFonts w:ascii="Arial Narrow" w:hAnsi="Arial Narrow" w:cs="Arial"/>
                <w:sz w:val="20"/>
                <w:szCs w:val="20"/>
                <w:shd w:val="clear" w:color="auto" w:fill="FFFFFF"/>
              </w:rPr>
              <w:t>Patient must be or have been diagnosed between the ages of 6 and 18 years inclusive.</w:t>
            </w:r>
          </w:p>
          <w:p w:rsidR="00C457D1" w:rsidRDefault="00C457D1">
            <w:pPr>
              <w:rPr>
                <w:rFonts w:ascii="Arial Narrow" w:hAnsi="Arial Narrow" w:cs="Arial"/>
                <w:sz w:val="20"/>
                <w:szCs w:val="20"/>
              </w:rPr>
            </w:pPr>
          </w:p>
          <w:p w:rsidR="00C457D1" w:rsidRDefault="00C457D1">
            <w:pPr>
              <w:jc w:val="both"/>
              <w:rPr>
                <w:rFonts w:ascii="Arial Narrow" w:hAnsi="Arial Narrow" w:cs="Arial"/>
                <w:sz w:val="20"/>
                <w:szCs w:val="20"/>
              </w:rPr>
            </w:pPr>
          </w:p>
        </w:tc>
      </w:tr>
      <w:tr w:rsidR="00C457D1">
        <w:trPr>
          <w:gridAfter w:val="1"/>
          <w:wAfter w:w="34" w:type="dxa"/>
          <w:cantSplit/>
          <w:trHeight w:val="360"/>
        </w:trPr>
        <w:tc>
          <w:tcPr>
            <w:tcW w:w="2835" w:type="dxa"/>
            <w:tcBorders>
              <w:top w:val="single" w:sz="4" w:space="0" w:color="auto"/>
              <w:left w:val="single" w:sz="4" w:space="0" w:color="auto"/>
              <w:bottom w:val="single" w:sz="4" w:space="0" w:color="auto"/>
              <w:right w:val="single" w:sz="4" w:space="0" w:color="auto"/>
            </w:tcBorders>
          </w:tcPr>
          <w:p w:rsidR="00C457D1" w:rsidRDefault="00EE027C">
            <w:pPr>
              <w:jc w:val="both"/>
              <w:rPr>
                <w:rFonts w:ascii="Arial Narrow" w:hAnsi="Arial Narrow" w:cs="Arial"/>
                <w:b/>
                <w:sz w:val="20"/>
                <w:szCs w:val="20"/>
              </w:rPr>
            </w:pPr>
            <w:r>
              <w:rPr>
                <w:rFonts w:ascii="Arial Narrow" w:hAnsi="Arial Narrow" w:cs="Arial"/>
                <w:b/>
                <w:sz w:val="20"/>
                <w:szCs w:val="20"/>
              </w:rPr>
              <w:t>Administrative Advice:</w:t>
            </w:r>
          </w:p>
          <w:p w:rsidR="00C457D1" w:rsidRDefault="00C457D1">
            <w:pPr>
              <w:jc w:val="both"/>
              <w:rPr>
                <w:rFonts w:ascii="Arial Narrow" w:hAnsi="Arial Narrow" w:cs="Arial"/>
                <w:i/>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C457D1" w:rsidRDefault="00EE027C">
            <w:pPr>
              <w:rPr>
                <w:rFonts w:ascii="Arial Narrow" w:hAnsi="Arial Narrow" w:cs="Arial"/>
                <w:sz w:val="20"/>
                <w:szCs w:val="20"/>
                <w:shd w:val="clear" w:color="auto" w:fill="FFFFFF"/>
              </w:rPr>
            </w:pPr>
            <w:r>
              <w:rPr>
                <w:rFonts w:ascii="Arial Narrow" w:hAnsi="Arial Narrow" w:cs="Arial"/>
                <w:sz w:val="20"/>
                <w:szCs w:val="20"/>
                <w:shd w:val="clear" w:color="auto" w:fill="FFFFFF"/>
              </w:rPr>
              <w:t>Note:</w:t>
            </w:r>
          </w:p>
          <w:p w:rsidR="00C457D1" w:rsidRDefault="00EE027C">
            <w:pPr>
              <w:rPr>
                <w:rFonts w:ascii="Arial Narrow" w:hAnsi="Arial Narrow" w:cs="Arial"/>
                <w:sz w:val="20"/>
                <w:szCs w:val="20"/>
                <w:shd w:val="clear" w:color="auto" w:fill="FFFFFF"/>
              </w:rPr>
            </w:pPr>
            <w:r>
              <w:rPr>
                <w:rFonts w:ascii="Arial Narrow" w:hAnsi="Arial Narrow" w:cs="Arial"/>
                <w:sz w:val="20"/>
                <w:szCs w:val="20"/>
                <w:shd w:val="clear" w:color="auto" w:fill="FFFFFF"/>
              </w:rPr>
              <w:t>Special Pricing Arrangements apply.</w:t>
            </w:r>
          </w:p>
          <w:p w:rsidR="00C457D1" w:rsidRDefault="00C457D1">
            <w:pPr>
              <w:rPr>
                <w:rFonts w:ascii="Arial Narrow" w:hAnsi="Arial Narrow" w:cs="Arial"/>
                <w:sz w:val="20"/>
                <w:szCs w:val="20"/>
                <w:shd w:val="clear" w:color="auto" w:fill="FFFFFF"/>
              </w:rPr>
            </w:pPr>
          </w:p>
          <w:p w:rsidR="00C457D1" w:rsidRDefault="00EE027C">
            <w:pPr>
              <w:rPr>
                <w:rFonts w:ascii="Arial Narrow" w:hAnsi="Arial Narrow" w:cs="Arial"/>
                <w:sz w:val="20"/>
                <w:szCs w:val="20"/>
                <w:shd w:val="clear" w:color="auto" w:fill="FFFFFF"/>
              </w:rPr>
            </w:pPr>
            <w:r>
              <w:rPr>
                <w:rFonts w:ascii="Arial Narrow" w:hAnsi="Arial Narrow" w:cs="Arial"/>
                <w:sz w:val="20"/>
                <w:szCs w:val="20"/>
                <w:shd w:val="clear" w:color="auto" w:fill="FFFFFF"/>
              </w:rPr>
              <w:t>Note:</w:t>
            </w:r>
          </w:p>
          <w:p w:rsidR="00C457D1" w:rsidRDefault="00EE027C">
            <w:pPr>
              <w:rPr>
                <w:rFonts w:ascii="Arial Narrow" w:hAnsi="Arial Narrow" w:cs="Arial"/>
                <w:sz w:val="20"/>
                <w:szCs w:val="20"/>
                <w:shd w:val="clear" w:color="auto" w:fill="FFFFFF"/>
              </w:rPr>
            </w:pPr>
            <w:r>
              <w:rPr>
                <w:rFonts w:ascii="Arial Narrow" w:hAnsi="Arial Narrow" w:cs="Arial"/>
                <w:sz w:val="20"/>
                <w:szCs w:val="20"/>
                <w:shd w:val="clear" w:color="auto" w:fill="FFFFFF"/>
              </w:rPr>
              <w:t>Care must be taken to comply with the provisions of State/Territory law when prescribing this drug.</w:t>
            </w:r>
          </w:p>
          <w:p w:rsidR="00C457D1" w:rsidRDefault="00C457D1">
            <w:pPr>
              <w:rPr>
                <w:rFonts w:ascii="Arial Narrow" w:hAnsi="Arial Narrow" w:cs="Arial"/>
                <w:sz w:val="20"/>
                <w:szCs w:val="20"/>
                <w:shd w:val="clear" w:color="auto" w:fill="FFFFFF"/>
              </w:rPr>
            </w:pPr>
          </w:p>
          <w:p w:rsidR="00C457D1" w:rsidRDefault="00C457D1">
            <w:pPr>
              <w:rPr>
                <w:rFonts w:ascii="Arial Narrow" w:hAnsi="Arial Narrow" w:cs="Arial"/>
                <w:sz w:val="20"/>
                <w:szCs w:val="20"/>
                <w:shd w:val="clear" w:color="auto" w:fill="FFFFFF"/>
              </w:rPr>
            </w:pPr>
          </w:p>
          <w:p w:rsidR="00C457D1" w:rsidRDefault="00EE027C">
            <w:pPr>
              <w:rPr>
                <w:rFonts w:ascii="Arial Narrow" w:hAnsi="Arial Narrow" w:cs="Arial"/>
                <w:strike/>
                <w:sz w:val="20"/>
                <w:szCs w:val="20"/>
                <w:shd w:val="clear" w:color="auto" w:fill="FFFFFF"/>
              </w:rPr>
            </w:pPr>
            <w:r>
              <w:rPr>
                <w:rFonts w:ascii="Arial Narrow" w:hAnsi="Arial Narrow" w:cs="Arial"/>
                <w:sz w:val="20"/>
                <w:szCs w:val="20"/>
                <w:shd w:val="clear" w:color="auto" w:fill="FFFFFF"/>
              </w:rPr>
              <w:t>Note</w:t>
            </w:r>
            <w:r>
              <w:rPr>
                <w:rFonts w:ascii="Arial Narrow" w:hAnsi="Arial Narrow" w:cs="Arial"/>
                <w:strike/>
                <w:sz w:val="20"/>
                <w:szCs w:val="20"/>
                <w:shd w:val="clear" w:color="auto" w:fill="FFFFFF"/>
              </w:rPr>
              <w:t>:</w:t>
            </w:r>
          </w:p>
          <w:p w:rsidR="00C457D1" w:rsidRDefault="00EE027C">
            <w:pPr>
              <w:rPr>
                <w:rFonts w:ascii="Arial Narrow" w:hAnsi="Arial Narrow" w:cs="Arial"/>
                <w:sz w:val="20"/>
                <w:szCs w:val="20"/>
                <w:shd w:val="clear" w:color="auto" w:fill="FFFFFF"/>
              </w:rPr>
            </w:pPr>
            <w:r>
              <w:rPr>
                <w:rFonts w:ascii="Arial Narrow" w:hAnsi="Arial Narrow" w:cs="Arial"/>
                <w:sz w:val="20"/>
                <w:szCs w:val="20"/>
                <w:shd w:val="clear" w:color="auto" w:fill="FFFFFF"/>
              </w:rPr>
              <w:t>The treatment must not exceed a maximum daily dose of 70 mg.</w:t>
            </w:r>
          </w:p>
          <w:p w:rsidR="00C457D1" w:rsidRDefault="00C457D1">
            <w:pPr>
              <w:rPr>
                <w:rFonts w:ascii="Arial Narrow" w:hAnsi="Arial Narrow" w:cs="Arial"/>
                <w:sz w:val="20"/>
                <w:szCs w:val="20"/>
                <w:shd w:val="clear" w:color="auto" w:fill="FFFFFF"/>
              </w:rPr>
            </w:pPr>
          </w:p>
          <w:p w:rsidR="00C457D1" w:rsidRDefault="00C457D1">
            <w:pPr>
              <w:rPr>
                <w:rFonts w:ascii="Arial Narrow" w:hAnsi="Arial Narrow" w:cs="Arial"/>
                <w:sz w:val="20"/>
                <w:szCs w:val="20"/>
                <w:shd w:val="clear" w:color="auto" w:fill="FFFFFF"/>
              </w:rPr>
            </w:pPr>
          </w:p>
          <w:p w:rsidR="00C457D1" w:rsidRDefault="00EE027C">
            <w:pPr>
              <w:rPr>
                <w:rFonts w:ascii="Arial Narrow" w:hAnsi="Arial Narrow" w:cs="Arial"/>
                <w:sz w:val="20"/>
                <w:szCs w:val="20"/>
                <w:shd w:val="clear" w:color="auto" w:fill="FFFFFF"/>
              </w:rPr>
            </w:pPr>
            <w:r>
              <w:rPr>
                <w:rFonts w:ascii="Arial Narrow" w:hAnsi="Arial Narrow" w:cs="Arial"/>
                <w:sz w:val="20"/>
                <w:szCs w:val="20"/>
                <w:shd w:val="clear" w:color="auto" w:fill="FFFFFF"/>
              </w:rPr>
              <w:t>Note:</w:t>
            </w:r>
          </w:p>
          <w:p w:rsidR="00C457D1" w:rsidRDefault="00EE027C">
            <w:pPr>
              <w:rPr>
                <w:rFonts w:ascii="Arial Narrow" w:hAnsi="Arial Narrow" w:cs="Arial"/>
                <w:sz w:val="20"/>
                <w:szCs w:val="20"/>
                <w:shd w:val="clear" w:color="auto" w:fill="FFFFFF"/>
              </w:rPr>
            </w:pPr>
            <w:r>
              <w:rPr>
                <w:rFonts w:ascii="Arial Narrow" w:hAnsi="Arial Narrow" w:cs="Arial"/>
                <w:sz w:val="20"/>
                <w:szCs w:val="20"/>
                <w:shd w:val="clear" w:color="auto" w:fill="FFFFFF"/>
              </w:rPr>
              <w:t>Continuing Therapy Only:</w:t>
            </w:r>
          </w:p>
          <w:p w:rsidR="00C457D1" w:rsidRDefault="00EE027C">
            <w:pPr>
              <w:rPr>
                <w:rFonts w:ascii="Arial Narrow" w:hAnsi="Arial Narrow" w:cs="Arial"/>
                <w:sz w:val="20"/>
                <w:szCs w:val="20"/>
                <w:shd w:val="clear" w:color="auto" w:fill="FFFFFF"/>
              </w:rPr>
            </w:pPr>
            <w:r>
              <w:rPr>
                <w:rFonts w:ascii="Arial Narrow" w:hAnsi="Arial Narrow" w:cs="Arial"/>
                <w:sz w:val="20"/>
                <w:szCs w:val="20"/>
                <w:shd w:val="clear" w:color="auto" w:fill="FFFFFF"/>
              </w:rPr>
              <w:t>For prescribing by nurse practitioners as continuing therapy only, where the treatment of, and prescribing of medicine for, a patient has been initiated by a medical practitioner. Further information can be found in the Explanatory Notes for Nurse Practitioners.</w:t>
            </w:r>
          </w:p>
          <w:p w:rsidR="00C457D1" w:rsidRDefault="00C457D1">
            <w:pPr>
              <w:rPr>
                <w:rFonts w:ascii="Arial Narrow" w:hAnsi="Arial Narrow" w:cs="Arial"/>
                <w:sz w:val="20"/>
                <w:szCs w:val="20"/>
                <w:shd w:val="clear" w:color="auto" w:fill="FFFFFF"/>
              </w:rPr>
            </w:pPr>
          </w:p>
        </w:tc>
      </w:tr>
    </w:tbl>
    <w:p w:rsidR="00C457D1" w:rsidRDefault="00C457D1">
      <w:pPr>
        <w:widowControl w:val="0"/>
        <w:spacing w:after="120"/>
        <w:ind w:left="720"/>
        <w:jc w:val="both"/>
        <w:rPr>
          <w:rFonts w:asciiTheme="minorHAnsi" w:hAnsiTheme="minorHAnsi" w:cs="Arial"/>
          <w:bCs/>
          <w:snapToGrid w:val="0"/>
          <w:lang w:val="en-GB"/>
        </w:rPr>
      </w:pPr>
    </w:p>
    <w:p w:rsidR="00C457D1" w:rsidRDefault="00EE027C">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Amend existing items 10474G, 10486X, and 10492F to include the administrative advice “the treatment must not exceed a maximum daily dose of 70mg” and to remove the administrative advice “No increase in the maximum quantity or number of units may be authorised” and “No increase in the maximum number of repeats may be authorised”.</w:t>
      </w:r>
    </w:p>
    <w:p w:rsidR="00C457D1" w:rsidRDefault="00EE027C">
      <w:pPr>
        <w:widowControl w:val="0"/>
        <w:numPr>
          <w:ilvl w:val="0"/>
          <w:numId w:val="5"/>
        </w:numPr>
        <w:spacing w:before="240" w:after="120"/>
        <w:jc w:val="both"/>
        <w:outlineLvl w:val="0"/>
        <w:rPr>
          <w:rFonts w:asciiTheme="minorHAnsi" w:hAnsiTheme="minorHAnsi" w:cs="Arial"/>
          <w:b/>
          <w:bCs/>
          <w:snapToGrid w:val="0"/>
          <w:sz w:val="32"/>
          <w:lang w:val="en-GB"/>
        </w:rPr>
      </w:pPr>
      <w:r>
        <w:rPr>
          <w:rFonts w:asciiTheme="minorHAnsi" w:hAnsiTheme="minorHAnsi" w:cs="Arial"/>
          <w:b/>
          <w:bCs/>
          <w:snapToGrid w:val="0"/>
          <w:sz w:val="32"/>
          <w:lang w:val="en-GB"/>
        </w:rPr>
        <w:t>Context for Decision</w:t>
      </w:r>
    </w:p>
    <w:p w:rsidR="00C457D1" w:rsidRDefault="00EE027C">
      <w:pPr>
        <w:jc w:val="both"/>
        <w:rPr>
          <w:rFonts w:asciiTheme="minorHAnsi" w:hAnsiTheme="minorHAnsi" w:cs="Arial"/>
        </w:rPr>
      </w:pPr>
      <w:r>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C457D1" w:rsidRDefault="00EE027C">
      <w:pPr>
        <w:widowControl w:val="0"/>
        <w:numPr>
          <w:ilvl w:val="0"/>
          <w:numId w:val="5"/>
        </w:numPr>
        <w:spacing w:before="240" w:after="120"/>
        <w:jc w:val="both"/>
        <w:outlineLvl w:val="0"/>
        <w:rPr>
          <w:rFonts w:asciiTheme="minorHAnsi" w:hAnsiTheme="minorHAnsi" w:cs="Arial"/>
          <w:b/>
          <w:bCs/>
          <w:snapToGrid w:val="0"/>
          <w:sz w:val="32"/>
          <w:lang w:val="en-GB"/>
        </w:rPr>
      </w:pPr>
      <w:r>
        <w:rPr>
          <w:rFonts w:asciiTheme="minorHAnsi" w:hAnsiTheme="minorHAnsi" w:cs="Arial"/>
          <w:b/>
          <w:bCs/>
          <w:snapToGrid w:val="0"/>
          <w:sz w:val="32"/>
          <w:lang w:val="en-GB"/>
        </w:rPr>
        <w:t>Sponsor’s Comment</w:t>
      </w:r>
    </w:p>
    <w:p w:rsidR="00C457D1" w:rsidRDefault="00EE027C" w:rsidP="0000317C">
      <w:pPr>
        <w:spacing w:after="120"/>
        <w:jc w:val="both"/>
        <w:rPr>
          <w:rFonts w:asciiTheme="minorHAnsi" w:hAnsiTheme="minorHAnsi" w:cs="Arial"/>
          <w:bCs/>
        </w:rPr>
      </w:pPr>
      <w:r>
        <w:rPr>
          <w:rFonts w:asciiTheme="minorHAnsi" w:hAnsiTheme="minorHAnsi" w:cs="Arial"/>
          <w:bCs/>
        </w:rPr>
        <w:t>The sponsor had no comment.</w:t>
      </w:r>
    </w:p>
    <w:sectPr w:rsidR="00C457D1">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84F" w:rsidRDefault="001B384F">
      <w:r>
        <w:separator/>
      </w:r>
    </w:p>
    <w:p w:rsidR="001B384F" w:rsidRDefault="001B384F"/>
  </w:endnote>
  <w:endnote w:type="continuationSeparator" w:id="0">
    <w:p w:rsidR="001B384F" w:rsidRDefault="001B384F">
      <w:r>
        <w:continuationSeparator/>
      </w:r>
    </w:p>
    <w:p w:rsidR="001B384F" w:rsidRDefault="001B38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ACFFCFA" w:usb2="00000016" w:usb3="00000000" w:csb0="00100001" w:csb1="00000000"/>
  </w:font>
  <w:font w:name="Arial Bold">
    <w:altName w:val="Arial"/>
    <w:panose1 w:val="020B07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457D1">
      <w:trPr>
        <w:trHeight w:val="151"/>
      </w:trPr>
      <w:tc>
        <w:tcPr>
          <w:tcW w:w="2250" w:type="pct"/>
          <w:tcBorders>
            <w:top w:val="nil"/>
            <w:left w:val="nil"/>
            <w:bottom w:val="single" w:sz="4" w:space="0" w:color="4F81BD"/>
            <w:right w:val="nil"/>
          </w:tcBorders>
        </w:tcPr>
        <w:p w:rsidR="00C457D1" w:rsidRDefault="00C457D1">
          <w:pPr>
            <w:pStyle w:val="Header"/>
            <w:spacing w:line="276" w:lineRule="auto"/>
            <w:rPr>
              <w:rFonts w:ascii="Calibri" w:eastAsia="MS Gothic" w:hAnsi="Calibri"/>
              <w:b/>
              <w:bCs/>
              <w:color w:val="4F81BD"/>
            </w:rPr>
          </w:pPr>
        </w:p>
      </w:tc>
      <w:tc>
        <w:tcPr>
          <w:tcW w:w="500" w:type="pct"/>
          <w:vMerge w:val="restart"/>
          <w:noWrap/>
          <w:vAlign w:val="center"/>
          <w:hideMark/>
        </w:tcPr>
        <w:p w:rsidR="00C457D1" w:rsidRDefault="00EE027C">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C457D1" w:rsidRDefault="00C457D1">
          <w:pPr>
            <w:pStyle w:val="Header"/>
            <w:spacing w:line="276" w:lineRule="auto"/>
            <w:rPr>
              <w:rFonts w:ascii="Calibri" w:eastAsia="MS Gothic" w:hAnsi="Calibri"/>
              <w:b/>
              <w:bCs/>
              <w:color w:val="4F81BD"/>
            </w:rPr>
          </w:pPr>
        </w:p>
      </w:tc>
    </w:tr>
    <w:tr w:rsidR="00C457D1">
      <w:trPr>
        <w:trHeight w:val="150"/>
      </w:trPr>
      <w:tc>
        <w:tcPr>
          <w:tcW w:w="2250" w:type="pct"/>
          <w:tcBorders>
            <w:top w:val="single" w:sz="4" w:space="0" w:color="4F81BD"/>
            <w:left w:val="nil"/>
            <w:bottom w:val="nil"/>
            <w:right w:val="nil"/>
          </w:tcBorders>
        </w:tcPr>
        <w:p w:rsidR="00C457D1" w:rsidRDefault="00C457D1">
          <w:pPr>
            <w:pStyle w:val="Header"/>
            <w:spacing w:line="276" w:lineRule="auto"/>
            <w:rPr>
              <w:rFonts w:ascii="Calibri" w:eastAsia="MS Gothic" w:hAnsi="Calibri"/>
              <w:b/>
              <w:bCs/>
              <w:color w:val="4F81BD"/>
            </w:rPr>
          </w:pPr>
        </w:p>
      </w:tc>
      <w:tc>
        <w:tcPr>
          <w:tcW w:w="0" w:type="auto"/>
          <w:vMerge/>
          <w:vAlign w:val="center"/>
          <w:hideMark/>
        </w:tcPr>
        <w:p w:rsidR="00C457D1" w:rsidRDefault="00C457D1">
          <w:pPr>
            <w:rPr>
              <w:rFonts w:ascii="Calibri" w:hAnsi="Calibri"/>
              <w:color w:val="365F91"/>
              <w:sz w:val="22"/>
              <w:szCs w:val="22"/>
            </w:rPr>
          </w:pPr>
        </w:p>
      </w:tc>
      <w:tc>
        <w:tcPr>
          <w:tcW w:w="2250" w:type="pct"/>
          <w:tcBorders>
            <w:top w:val="single" w:sz="4" w:space="0" w:color="4F81BD"/>
            <w:left w:val="nil"/>
            <w:bottom w:val="nil"/>
            <w:right w:val="nil"/>
          </w:tcBorders>
        </w:tcPr>
        <w:p w:rsidR="00C457D1" w:rsidRDefault="00C457D1">
          <w:pPr>
            <w:pStyle w:val="Header"/>
            <w:spacing w:line="276" w:lineRule="auto"/>
            <w:rPr>
              <w:rFonts w:ascii="Calibri" w:eastAsia="MS Gothic" w:hAnsi="Calibri"/>
              <w:b/>
              <w:bCs/>
              <w:color w:val="4F81BD"/>
            </w:rPr>
          </w:pPr>
        </w:p>
      </w:tc>
    </w:tr>
  </w:tbl>
  <w:p w:rsidR="00C457D1" w:rsidRDefault="00EE02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57D1" w:rsidRDefault="00C457D1">
    <w:pPr>
      <w:pStyle w:val="Footer"/>
    </w:pPr>
  </w:p>
  <w:p w:rsidR="00C457D1" w:rsidRDefault="00C457D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7D1" w:rsidRDefault="00C457D1">
    <w:pPr>
      <w:pStyle w:val="PBACFooter"/>
      <w:rPr>
        <w:rFonts w:asciiTheme="minorHAnsi" w:hAnsiTheme="minorHAnsi" w:cstheme="minorHAnsi"/>
        <w:sz w:val="24"/>
      </w:rPr>
    </w:pPr>
  </w:p>
  <w:p w:rsidR="00C457D1" w:rsidRDefault="00EE027C">
    <w:pPr>
      <w:pStyle w:val="Footer"/>
      <w:keepNext/>
      <w:ind w:left="360"/>
      <w:jc w:val="center"/>
      <w:rPr>
        <w:rFonts w:asciiTheme="minorHAnsi" w:hAnsiTheme="minorHAnsi" w:cs="Arial"/>
      </w:rPr>
    </w:pPr>
    <w:r>
      <w:rPr>
        <w:rFonts w:ascii="Calibri" w:hAnsi="Calibri" w:cs="Arial"/>
        <w:b/>
      </w:rPr>
      <w:fldChar w:fldCharType="begin"/>
    </w:r>
    <w:r>
      <w:rPr>
        <w:rFonts w:ascii="Calibri" w:hAnsi="Calibri" w:cs="Arial"/>
        <w:b/>
      </w:rPr>
      <w:instrText xml:space="preserve"> PAGE   \* MERGEFORMAT </w:instrText>
    </w:r>
    <w:r>
      <w:rPr>
        <w:rFonts w:ascii="Calibri" w:hAnsi="Calibri" w:cs="Arial"/>
        <w:b/>
      </w:rPr>
      <w:fldChar w:fldCharType="separate"/>
    </w:r>
    <w:r w:rsidR="001B384F">
      <w:rPr>
        <w:rFonts w:ascii="Calibri" w:hAnsi="Calibri" w:cs="Arial"/>
        <w:b/>
        <w:noProof/>
      </w:rPr>
      <w:t>1</w:t>
    </w:r>
    <w:r>
      <w:rPr>
        <w:rFonts w:ascii="Calibri" w:hAnsi="Calibri" w:cs="Arial"/>
        <w:b/>
        <w:noProof/>
      </w:rPr>
      <w:fldChar w:fldCharType="end"/>
    </w:r>
    <w:r>
      <w:rPr>
        <w:rFonts w:ascii="Calibri" w:hAnsi="Calibri" w:cs="Arial"/>
        <w:b/>
        <w:noProof/>
      </w:rPr>
      <w:t xml:space="preserve"> </w:t>
    </w:r>
  </w:p>
  <w:p w:rsidR="00C457D1" w:rsidRDefault="00C457D1">
    <w:pPr>
      <w:pStyle w:val="PBACFooter"/>
      <w:rPr>
        <w:rFonts w:asciiTheme="minorHAnsi" w:hAnsiTheme="minorHAnsi" w:cstheme="minorHAnsi"/>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C457D1">
      <w:trPr>
        <w:trHeight w:val="151"/>
      </w:trPr>
      <w:tc>
        <w:tcPr>
          <w:tcW w:w="2250" w:type="pct"/>
          <w:tcBorders>
            <w:top w:val="nil"/>
            <w:left w:val="nil"/>
            <w:bottom w:val="single" w:sz="4" w:space="0" w:color="4F81BD"/>
            <w:right w:val="nil"/>
          </w:tcBorders>
        </w:tcPr>
        <w:p w:rsidR="00C457D1" w:rsidRDefault="00C457D1">
          <w:pPr>
            <w:pStyle w:val="Header"/>
            <w:spacing w:line="276" w:lineRule="auto"/>
            <w:rPr>
              <w:rFonts w:ascii="Calibri" w:eastAsia="MS Gothic" w:hAnsi="Calibri"/>
              <w:b/>
              <w:bCs/>
              <w:color w:val="4F81BD"/>
            </w:rPr>
          </w:pPr>
        </w:p>
      </w:tc>
      <w:tc>
        <w:tcPr>
          <w:tcW w:w="500" w:type="pct"/>
          <w:vMerge w:val="restart"/>
          <w:noWrap/>
          <w:vAlign w:val="center"/>
          <w:hideMark/>
        </w:tcPr>
        <w:p w:rsidR="00C457D1" w:rsidRDefault="00EE027C">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C457D1" w:rsidRDefault="00C457D1">
          <w:pPr>
            <w:pStyle w:val="Header"/>
            <w:spacing w:line="276" w:lineRule="auto"/>
            <w:rPr>
              <w:rFonts w:ascii="Calibri" w:eastAsia="MS Gothic" w:hAnsi="Calibri"/>
              <w:b/>
              <w:bCs/>
              <w:color w:val="4F81BD"/>
            </w:rPr>
          </w:pPr>
        </w:p>
      </w:tc>
    </w:tr>
    <w:tr w:rsidR="00C457D1">
      <w:trPr>
        <w:trHeight w:val="150"/>
      </w:trPr>
      <w:tc>
        <w:tcPr>
          <w:tcW w:w="2250" w:type="pct"/>
          <w:tcBorders>
            <w:top w:val="single" w:sz="4" w:space="0" w:color="4F81BD"/>
            <w:left w:val="nil"/>
            <w:bottom w:val="nil"/>
            <w:right w:val="nil"/>
          </w:tcBorders>
        </w:tcPr>
        <w:p w:rsidR="00C457D1" w:rsidRDefault="00C457D1">
          <w:pPr>
            <w:pStyle w:val="Header"/>
            <w:spacing w:line="276" w:lineRule="auto"/>
            <w:rPr>
              <w:rFonts w:ascii="Calibri" w:eastAsia="MS Gothic" w:hAnsi="Calibri"/>
              <w:b/>
              <w:bCs/>
              <w:color w:val="4F81BD"/>
            </w:rPr>
          </w:pPr>
        </w:p>
      </w:tc>
      <w:tc>
        <w:tcPr>
          <w:tcW w:w="0" w:type="auto"/>
          <w:vMerge/>
          <w:vAlign w:val="center"/>
          <w:hideMark/>
        </w:tcPr>
        <w:p w:rsidR="00C457D1" w:rsidRDefault="00C457D1">
          <w:pPr>
            <w:rPr>
              <w:rFonts w:ascii="Calibri" w:hAnsi="Calibri"/>
              <w:color w:val="365F91"/>
              <w:sz w:val="22"/>
              <w:szCs w:val="22"/>
            </w:rPr>
          </w:pPr>
        </w:p>
      </w:tc>
      <w:tc>
        <w:tcPr>
          <w:tcW w:w="2250" w:type="pct"/>
          <w:tcBorders>
            <w:top w:val="single" w:sz="4" w:space="0" w:color="4F81BD"/>
            <w:left w:val="nil"/>
            <w:bottom w:val="nil"/>
            <w:right w:val="nil"/>
          </w:tcBorders>
        </w:tcPr>
        <w:p w:rsidR="00C457D1" w:rsidRDefault="00C457D1">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457D1">
      <w:trPr>
        <w:trHeight w:val="151"/>
      </w:trPr>
      <w:tc>
        <w:tcPr>
          <w:tcW w:w="2250" w:type="pct"/>
          <w:tcBorders>
            <w:top w:val="nil"/>
            <w:left w:val="nil"/>
            <w:bottom w:val="single" w:sz="4" w:space="0" w:color="4F81BD"/>
            <w:right w:val="nil"/>
          </w:tcBorders>
        </w:tcPr>
        <w:p w:rsidR="00C457D1" w:rsidRDefault="00C457D1">
          <w:pPr>
            <w:pStyle w:val="Header"/>
            <w:spacing w:line="276" w:lineRule="auto"/>
            <w:rPr>
              <w:rFonts w:ascii="Calibri" w:eastAsia="MS Gothic" w:hAnsi="Calibri"/>
              <w:b/>
              <w:bCs/>
              <w:color w:val="4F81BD"/>
            </w:rPr>
          </w:pPr>
        </w:p>
      </w:tc>
      <w:tc>
        <w:tcPr>
          <w:tcW w:w="500" w:type="pct"/>
          <w:vMerge w:val="restart"/>
          <w:noWrap/>
          <w:vAlign w:val="center"/>
          <w:hideMark/>
        </w:tcPr>
        <w:p w:rsidR="00C457D1" w:rsidRDefault="00EE027C">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C457D1" w:rsidRDefault="00C457D1">
          <w:pPr>
            <w:pStyle w:val="Header"/>
            <w:spacing w:line="276" w:lineRule="auto"/>
            <w:rPr>
              <w:rFonts w:ascii="Calibri" w:eastAsia="MS Gothic" w:hAnsi="Calibri"/>
              <w:b/>
              <w:bCs/>
              <w:color w:val="4F81BD"/>
            </w:rPr>
          </w:pPr>
        </w:p>
      </w:tc>
    </w:tr>
    <w:tr w:rsidR="00C457D1">
      <w:trPr>
        <w:trHeight w:val="150"/>
      </w:trPr>
      <w:tc>
        <w:tcPr>
          <w:tcW w:w="2250" w:type="pct"/>
          <w:tcBorders>
            <w:top w:val="single" w:sz="4" w:space="0" w:color="4F81BD"/>
            <w:left w:val="nil"/>
            <w:bottom w:val="nil"/>
            <w:right w:val="nil"/>
          </w:tcBorders>
        </w:tcPr>
        <w:p w:rsidR="00C457D1" w:rsidRDefault="00C457D1">
          <w:pPr>
            <w:pStyle w:val="Header"/>
            <w:spacing w:line="276" w:lineRule="auto"/>
            <w:rPr>
              <w:rFonts w:ascii="Calibri" w:eastAsia="MS Gothic" w:hAnsi="Calibri"/>
              <w:b/>
              <w:bCs/>
              <w:color w:val="4F81BD"/>
            </w:rPr>
          </w:pPr>
        </w:p>
      </w:tc>
      <w:tc>
        <w:tcPr>
          <w:tcW w:w="0" w:type="auto"/>
          <w:vMerge/>
          <w:vAlign w:val="center"/>
          <w:hideMark/>
        </w:tcPr>
        <w:p w:rsidR="00C457D1" w:rsidRDefault="00C457D1">
          <w:pPr>
            <w:rPr>
              <w:rFonts w:ascii="Calibri" w:hAnsi="Calibri"/>
              <w:color w:val="365F91"/>
              <w:sz w:val="22"/>
              <w:szCs w:val="22"/>
            </w:rPr>
          </w:pPr>
        </w:p>
      </w:tc>
      <w:tc>
        <w:tcPr>
          <w:tcW w:w="2250" w:type="pct"/>
          <w:tcBorders>
            <w:top w:val="single" w:sz="4" w:space="0" w:color="4F81BD"/>
            <w:left w:val="nil"/>
            <w:bottom w:val="nil"/>
            <w:right w:val="nil"/>
          </w:tcBorders>
        </w:tcPr>
        <w:p w:rsidR="00C457D1" w:rsidRDefault="00C457D1">
          <w:pPr>
            <w:pStyle w:val="Header"/>
            <w:spacing w:line="276" w:lineRule="auto"/>
            <w:rPr>
              <w:rFonts w:ascii="Calibri" w:eastAsia="MS Gothic" w:hAnsi="Calibri"/>
              <w:b/>
              <w:bCs/>
              <w:color w:val="4F81BD"/>
            </w:rPr>
          </w:pPr>
        </w:p>
      </w:tc>
    </w:tr>
  </w:tbl>
  <w:p w:rsidR="00C457D1" w:rsidRDefault="00EE027C">
    <w:pPr>
      <w:pStyle w:val="Footer"/>
      <w:jc w:val="center"/>
      <w:rPr>
        <w:b/>
        <w:i/>
        <w:sz w:val="20"/>
        <w:szCs w:val="20"/>
      </w:rPr>
    </w:pPr>
    <w:r>
      <w:rPr>
        <w:b/>
        <w:i/>
        <w:sz w:val="20"/>
        <w:szCs w:val="20"/>
      </w:rPr>
      <w:t>Draft Minutes November 2011 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b/>
        <w:i/>
        <w:sz w:val="20"/>
        <w:szCs w:val="20"/>
      </w:rPr>
      <w:t>BAC Meeting</w:t>
    </w:r>
  </w:p>
  <w:p w:rsidR="00C457D1" w:rsidRDefault="00EE027C">
    <w:pPr>
      <w:pStyle w:val="Footer"/>
      <w:jc w:val="center"/>
      <w:rPr>
        <w:b/>
        <w:i/>
        <w:sz w:val="20"/>
        <w:szCs w:val="20"/>
      </w:rPr>
    </w:pPr>
    <w:r>
      <w:rPr>
        <w:b/>
        <w:i/>
        <w:sz w:val="20"/>
        <w:szCs w:val="20"/>
      </w:rPr>
      <w:t>Commercial-in-Confidence</w:t>
    </w:r>
  </w:p>
  <w:p w:rsidR="00C457D1" w:rsidRDefault="00C457D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84F" w:rsidRDefault="001B384F">
      <w:r>
        <w:separator/>
      </w:r>
    </w:p>
    <w:p w:rsidR="001B384F" w:rsidRDefault="001B384F"/>
  </w:footnote>
  <w:footnote w:type="continuationSeparator" w:id="0">
    <w:p w:rsidR="001B384F" w:rsidRDefault="001B384F">
      <w:r>
        <w:continuationSeparator/>
      </w:r>
    </w:p>
    <w:p w:rsidR="001B384F" w:rsidRDefault="001B384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C457D1">
      <w:trPr>
        <w:trHeight w:val="151"/>
      </w:trPr>
      <w:tc>
        <w:tcPr>
          <w:tcW w:w="2389" w:type="pct"/>
          <w:tcBorders>
            <w:top w:val="nil"/>
            <w:left w:val="nil"/>
            <w:bottom w:val="single" w:sz="4" w:space="0" w:color="4F81BD"/>
            <w:right w:val="nil"/>
          </w:tcBorders>
        </w:tcPr>
        <w:p w:rsidR="00C457D1" w:rsidRDefault="00C457D1">
          <w:pPr>
            <w:pStyle w:val="Header"/>
            <w:spacing w:line="276" w:lineRule="auto"/>
            <w:rPr>
              <w:rFonts w:ascii="Cambria" w:eastAsia="MS Gothic" w:hAnsi="Cambria"/>
              <w:b/>
              <w:bCs/>
              <w:color w:val="4F81BD"/>
            </w:rPr>
          </w:pPr>
        </w:p>
      </w:tc>
      <w:tc>
        <w:tcPr>
          <w:tcW w:w="333" w:type="pct"/>
          <w:vMerge w:val="restart"/>
          <w:noWrap/>
          <w:vAlign w:val="center"/>
          <w:hideMark/>
        </w:tcPr>
        <w:p w:rsidR="00C457D1" w:rsidRDefault="00EE027C">
          <w:pPr>
            <w:pStyle w:val="MediumGrid21"/>
            <w:rPr>
              <w:rFonts w:ascii="Cambria" w:hAnsi="Cambria"/>
              <w:color w:val="4F81BD"/>
              <w:szCs w:val="20"/>
            </w:rPr>
          </w:pPr>
          <w:r>
            <w:rPr>
              <w:rFonts w:ascii="Cambria" w:hAnsi="Cambria"/>
              <w:color w:val="4F81BD"/>
            </w:rPr>
            <w:t>[Type text]</w:t>
          </w:r>
        </w:p>
      </w:tc>
      <w:tc>
        <w:tcPr>
          <w:tcW w:w="2278" w:type="pct"/>
          <w:tcBorders>
            <w:top w:val="nil"/>
            <w:left w:val="nil"/>
            <w:bottom w:val="single" w:sz="4" w:space="0" w:color="4F81BD"/>
            <w:right w:val="nil"/>
          </w:tcBorders>
        </w:tcPr>
        <w:p w:rsidR="00C457D1" w:rsidRDefault="00C457D1">
          <w:pPr>
            <w:pStyle w:val="Header"/>
            <w:spacing w:line="276" w:lineRule="auto"/>
            <w:rPr>
              <w:rFonts w:ascii="Cambria" w:eastAsia="MS Gothic" w:hAnsi="Cambria"/>
              <w:b/>
              <w:bCs/>
              <w:color w:val="4F81BD"/>
            </w:rPr>
          </w:pPr>
        </w:p>
      </w:tc>
    </w:tr>
    <w:tr w:rsidR="00C457D1">
      <w:trPr>
        <w:trHeight w:val="150"/>
      </w:trPr>
      <w:tc>
        <w:tcPr>
          <w:tcW w:w="2389" w:type="pct"/>
          <w:tcBorders>
            <w:top w:val="single" w:sz="4" w:space="0" w:color="4F81BD"/>
            <w:left w:val="nil"/>
            <w:bottom w:val="nil"/>
            <w:right w:val="nil"/>
          </w:tcBorders>
        </w:tcPr>
        <w:p w:rsidR="00C457D1" w:rsidRDefault="00C457D1">
          <w:pPr>
            <w:pStyle w:val="Header"/>
            <w:spacing w:line="276" w:lineRule="auto"/>
            <w:rPr>
              <w:rFonts w:ascii="Cambria" w:eastAsia="MS Gothic" w:hAnsi="Cambria"/>
              <w:b/>
              <w:bCs/>
              <w:color w:val="4F81BD"/>
            </w:rPr>
          </w:pPr>
        </w:p>
      </w:tc>
      <w:tc>
        <w:tcPr>
          <w:tcW w:w="0" w:type="auto"/>
          <w:vMerge/>
          <w:vAlign w:val="center"/>
          <w:hideMark/>
        </w:tcPr>
        <w:p w:rsidR="00C457D1" w:rsidRDefault="00C457D1">
          <w:pPr>
            <w:rPr>
              <w:rFonts w:ascii="Cambria" w:hAnsi="Cambria"/>
              <w:color w:val="4F81BD"/>
              <w:sz w:val="22"/>
              <w:szCs w:val="22"/>
            </w:rPr>
          </w:pPr>
        </w:p>
      </w:tc>
      <w:tc>
        <w:tcPr>
          <w:tcW w:w="2278" w:type="pct"/>
          <w:tcBorders>
            <w:top w:val="single" w:sz="4" w:space="0" w:color="4F81BD"/>
            <w:left w:val="nil"/>
            <w:bottom w:val="nil"/>
            <w:right w:val="nil"/>
          </w:tcBorders>
        </w:tcPr>
        <w:p w:rsidR="00C457D1" w:rsidRDefault="00C457D1">
          <w:pPr>
            <w:pStyle w:val="Header"/>
            <w:spacing w:line="276" w:lineRule="auto"/>
            <w:rPr>
              <w:rFonts w:ascii="Cambria" w:eastAsia="MS Gothic" w:hAnsi="Cambria"/>
              <w:b/>
              <w:bCs/>
              <w:color w:val="4F81BD"/>
            </w:rPr>
          </w:pPr>
        </w:p>
      </w:tc>
    </w:tr>
  </w:tbl>
  <w:p w:rsidR="00C457D1" w:rsidRDefault="00C457D1">
    <w:pPr>
      <w:pStyle w:val="Header"/>
    </w:pPr>
  </w:p>
  <w:p w:rsidR="00C457D1" w:rsidRDefault="00C457D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7D1" w:rsidRDefault="00EE027C">
    <w:pPr>
      <w:pStyle w:val="Header"/>
      <w:keepNext/>
      <w:ind w:left="360"/>
      <w:jc w:val="center"/>
      <w:rPr>
        <w:rFonts w:asciiTheme="minorHAnsi" w:hAnsiTheme="minorHAnsi" w:cs="Arial"/>
        <w:i/>
        <w:color w:val="808080"/>
      </w:rPr>
    </w:pPr>
    <w:r>
      <w:rPr>
        <w:rFonts w:asciiTheme="minorHAnsi" w:hAnsiTheme="minorHAnsi" w:cs="Arial"/>
        <w:i/>
        <w:color w:val="808080"/>
      </w:rPr>
      <w:t>Public Summary Document – July 2019 PBAC Meeting</w:t>
    </w:r>
  </w:p>
  <w:p w:rsidR="00C457D1" w:rsidRDefault="00C457D1">
    <w:pPr>
      <w:pStyle w:val="Header"/>
      <w:keepNext/>
      <w:ind w:left="360"/>
      <w:jc w:val="center"/>
      <w:rPr>
        <w:rFonts w:asciiTheme="minorHAnsi" w:hAnsiTheme="minorHAnsi" w:cs="Arial"/>
        <w:i/>
        <w:color w:val="80808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1BA" w:rsidRDefault="00B241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AD38CB"/>
    <w:multiLevelType w:val="hybridMultilevel"/>
    <w:tmpl w:val="F5D0D9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39332A"/>
    <w:multiLevelType w:val="hybridMultilevel"/>
    <w:tmpl w:val="219A6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DCC7586"/>
    <w:multiLevelType w:val="multilevel"/>
    <w:tmpl w:val="ED744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4D033C"/>
    <w:multiLevelType w:val="multilevel"/>
    <w:tmpl w:val="A4362906"/>
    <w:lvl w:ilvl="0">
      <w:start w:val="1"/>
      <w:numFmt w:val="decimal"/>
      <w:pStyle w:val="2Sections"/>
      <w:lvlText w:val="%1"/>
      <w:lvlJc w:val="left"/>
      <w:pPr>
        <w:ind w:left="720" w:hanging="720"/>
      </w:pPr>
      <w:rPr>
        <w:rFonts w:hint="default"/>
        <w:b/>
        <w:i w:val="0"/>
      </w:rPr>
    </w:lvl>
    <w:lvl w:ilvl="1">
      <w:start w:val="1"/>
      <w:numFmt w:val="decimal"/>
      <w:pStyle w:val="3Bodytext"/>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500591"/>
    <w:multiLevelType w:val="hybridMultilevel"/>
    <w:tmpl w:val="6E4485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A40E18"/>
    <w:multiLevelType w:val="hybridMultilevel"/>
    <w:tmpl w:val="79BEE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18"/>
  </w:num>
  <w:num w:numId="5">
    <w:abstractNumId w:val="23"/>
  </w:num>
  <w:num w:numId="6">
    <w:abstractNumId w:val="7"/>
  </w:num>
  <w:num w:numId="7">
    <w:abstractNumId w:val="16"/>
  </w:num>
  <w:num w:numId="8">
    <w:abstractNumId w:val="4"/>
  </w:num>
  <w:num w:numId="9">
    <w:abstractNumId w:val="15"/>
  </w:num>
  <w:num w:numId="10">
    <w:abstractNumId w:val="13"/>
  </w:num>
  <w:num w:numId="11">
    <w:abstractNumId w:val="11"/>
  </w:num>
  <w:num w:numId="12">
    <w:abstractNumId w:val="1"/>
  </w:num>
  <w:num w:numId="13">
    <w:abstractNumId w:val="0"/>
  </w:num>
  <w:num w:numId="14">
    <w:abstractNumId w:val="23"/>
  </w:num>
  <w:num w:numId="15">
    <w:abstractNumId w:val="23"/>
  </w:num>
  <w:num w:numId="16">
    <w:abstractNumId w:val="23"/>
  </w:num>
  <w:num w:numId="17">
    <w:abstractNumId w:val="21"/>
  </w:num>
  <w:num w:numId="18">
    <w:abstractNumId w:val="23"/>
  </w:num>
  <w:num w:numId="19">
    <w:abstractNumId w:val="17"/>
  </w:num>
  <w:num w:numId="20">
    <w:abstractNumId w:val="14"/>
  </w:num>
  <w:num w:numId="21">
    <w:abstractNumId w:val="23"/>
  </w:num>
  <w:num w:numId="22">
    <w:abstractNumId w:val="25"/>
  </w:num>
  <w:num w:numId="23">
    <w:abstractNumId w:val="24"/>
  </w:num>
  <w:num w:numId="24">
    <w:abstractNumId w:val="19"/>
  </w:num>
  <w:num w:numId="25">
    <w:abstractNumId w:val="22"/>
  </w:num>
  <w:num w:numId="26">
    <w:abstractNumId w:val="23"/>
  </w:num>
  <w:num w:numId="27">
    <w:abstractNumId w:val="23"/>
  </w:num>
  <w:num w:numId="28">
    <w:abstractNumId w:val="23"/>
  </w:num>
  <w:num w:numId="29">
    <w:abstractNumId w:val="23"/>
  </w:num>
  <w:num w:numId="30">
    <w:abstractNumId w:val="20"/>
  </w:num>
  <w:num w:numId="31">
    <w:abstractNumId w:val="5"/>
  </w:num>
  <w:num w:numId="32">
    <w:abstractNumId w:val="2"/>
  </w:num>
  <w:num w:numId="33">
    <w:abstractNumId w:val="10"/>
  </w:num>
  <w:num w:numId="34">
    <w:abstractNumId w:val="12"/>
  </w:num>
  <w:num w:numId="3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7D1"/>
    <w:rsid w:val="0000317C"/>
    <w:rsid w:val="001359F8"/>
    <w:rsid w:val="001B384F"/>
    <w:rsid w:val="002C6D5C"/>
    <w:rsid w:val="00466E4E"/>
    <w:rsid w:val="006358C0"/>
    <w:rsid w:val="00703008"/>
    <w:rsid w:val="0093639F"/>
    <w:rsid w:val="00B241BA"/>
    <w:rsid w:val="00C457D1"/>
    <w:rsid w:val="00C575C2"/>
    <w:rsid w:val="00D141F8"/>
    <w:rsid w:val="00D82E42"/>
    <w:rsid w:val="00EE027C"/>
    <w:rsid w:val="00FB69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pPr>
      <w:ind w:left="0"/>
      <w:outlineLvl w:val="0"/>
    </w:pPr>
    <w:rPr>
      <w:b/>
      <w:szCs w:val="22"/>
    </w:rPr>
  </w:style>
  <w:style w:type="paragraph" w:styleId="Heading2">
    <w:name w:val="heading 2"/>
    <w:aliases w:val="Subsection Headings"/>
    <w:basedOn w:val="Normal"/>
    <w:next w:val="Normal"/>
    <w:link w:val="Heading2Char"/>
    <w:uiPriority w:val="1"/>
    <w:qFormat/>
    <w:pPr>
      <w:keepNext/>
      <w:outlineLvl w:val="1"/>
    </w:pPr>
    <w:rPr>
      <w:rFonts w:ascii="Arial" w:hAnsi="Arial"/>
      <w:b/>
      <w:i/>
      <w:sz w:val="22"/>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Pr>
      <w:sz w:val="24"/>
      <w:szCs w:val="24"/>
      <w:lang w:eastAsia="en-AU"/>
    </w:rPr>
  </w:style>
  <w:style w:type="paragraph" w:customStyle="1" w:styleId="MediumGrid21">
    <w:name w:val="Medium Grid 21"/>
    <w:link w:val="MediumGrid2Char"/>
    <w:rPr>
      <w:rFonts w:ascii="PMingLiU" w:eastAsia="MS Mincho" w:hAnsi="PMingLiU"/>
      <w:sz w:val="22"/>
      <w:szCs w:val="22"/>
      <w:lang w:val="en-US" w:eastAsia="en-US"/>
    </w:rPr>
  </w:style>
  <w:style w:type="character" w:customStyle="1" w:styleId="MediumGrid2Char">
    <w:name w:val="Medium Grid 2 Char"/>
    <w:link w:val="MediumGrid21"/>
    <w:rPr>
      <w:rFonts w:ascii="PMingLiU" w:eastAsia="MS Mincho" w:hAnsi="PMingLiU"/>
      <w:sz w:val="22"/>
      <w:szCs w:val="22"/>
      <w:lang w:val="en-US"/>
    </w:rPr>
  </w:style>
  <w:style w:type="table" w:customStyle="1" w:styleId="IntenseQuote1">
    <w:name w:val="Intense Quote1"/>
    <w:basedOn w:val="TableNormal"/>
    <w:uiPriority w:val="60"/>
    <w:qFormat/>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Pr>
      <w:sz w:val="24"/>
      <w:szCs w:val="24"/>
    </w:rPr>
  </w:style>
  <w:style w:type="paragraph" w:styleId="ListParagraph">
    <w:name w:val="List Paragraph"/>
    <w:aliases w:val="BulletPoints,Numbered para,Footnote,Bullet point,List Paragraph1,List Paragraph11,Recommendation,ES Paragraph,PBAC ES Paragraph,PBAC normal points,Bullet List"/>
    <w:basedOn w:val="Normal"/>
    <w:link w:val="ListParagraphChar"/>
    <w:uiPriority w:val="34"/>
    <w:qFormat/>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style>
  <w:style w:type="paragraph" w:styleId="NoSpacing">
    <w:name w:val="No Spacing"/>
    <w:basedOn w:val="Normal"/>
    <w:link w:val="NoSpacingChar"/>
    <w:uiPriority w:val="99"/>
    <w:qFormat/>
    <w:pPr>
      <w:jc w:val="both"/>
    </w:pPr>
    <w:rPr>
      <w:rFonts w:ascii="Arial" w:hAnsi="Arial"/>
      <w:sz w:val="22"/>
      <w:szCs w:val="22"/>
    </w:rPr>
  </w:style>
  <w:style w:type="character" w:styleId="Hyperlink">
    <w:name w:val="Hyperlink"/>
    <w:uiPriority w:val="99"/>
    <w:rPr>
      <w:color w:val="0000FF"/>
      <w:u w:val="single"/>
    </w:rPr>
  </w:style>
  <w:style w:type="paragraph" w:styleId="Title">
    <w:name w:val="Title"/>
    <w:basedOn w:val="Normal"/>
    <w:next w:val="Normal"/>
    <w:link w:val="TitleChar"/>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pPr>
      <w:numPr>
        <w:numId w:val="12"/>
      </w:numPr>
      <w:contextualSpacing/>
    </w:pPr>
  </w:style>
  <w:style w:type="paragraph" w:styleId="ListContinue2">
    <w:name w:val="List Continue 2"/>
    <w:basedOn w:val="Normal"/>
    <w:pPr>
      <w:spacing w:after="120"/>
      <w:ind w:left="566"/>
      <w:contextualSpacing/>
    </w:pPr>
  </w:style>
  <w:style w:type="paragraph" w:styleId="ListNumber2">
    <w:name w:val="List Number 2"/>
    <w:basedOn w:val="Normal"/>
    <w:pPr>
      <w:tabs>
        <w:tab w:val="num" w:pos="643"/>
      </w:tabs>
      <w:ind w:left="643" w:hanging="360"/>
      <w:contextualSpacing/>
    </w:pPr>
  </w:style>
  <w:style w:type="character" w:customStyle="1" w:styleId="TitleChar">
    <w:name w:val="Title Char"/>
    <w:basedOn w:val="DefaultParagraphFont"/>
    <w:link w:val="Title"/>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
    <w:basedOn w:val="DefaultParagraphFont"/>
    <w:link w:val="ListParagraph"/>
    <w:uiPriority w:val="34"/>
    <w:qFormat/>
    <w:rPr>
      <w:rFonts w:ascii="Arial" w:hAnsi="Arial" w:cs="Arial"/>
      <w:snapToGrid w:val="0"/>
      <w:sz w:val="22"/>
      <w:lang w:eastAsia="en-US"/>
    </w:rPr>
  </w:style>
  <w:style w:type="paragraph" w:customStyle="1" w:styleId="2Sections">
    <w:name w:val="2. Sections"/>
    <w:qFormat/>
    <w:pPr>
      <w:numPr>
        <w:numId w:val="14"/>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Pr>
      <w:rFonts w:ascii="Arial" w:hAnsi="Arial"/>
      <w:b/>
      <w:i/>
      <w:sz w:val="22"/>
      <w:szCs w:val="24"/>
    </w:rPr>
  </w:style>
  <w:style w:type="paragraph" w:customStyle="1" w:styleId="1MainTitle">
    <w:name w:val="1. Main Title"/>
    <w:basedOn w:val="Title"/>
    <w:link w:val="1MainTitleChar"/>
    <w:qFormat/>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pPr>
      <w:jc w:val="right"/>
    </w:pPr>
    <w:rPr>
      <w:rFonts w:asciiTheme="minorHAnsi" w:hAnsiTheme="minorHAnsi" w:cs="Arial"/>
    </w:rPr>
  </w:style>
  <w:style w:type="character" w:customStyle="1" w:styleId="1MainTitleChar">
    <w:name w:val="1. Main Title Char"/>
    <w:basedOn w:val="TitleChar"/>
    <w:link w:val="1MainTitle"/>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pPr>
      <w:spacing w:after="60"/>
    </w:pPr>
    <w:rPr>
      <w:rFonts w:ascii="Arial Narrow" w:hAnsi="Arial Narrow"/>
      <w:b/>
      <w:sz w:val="20"/>
    </w:rPr>
  </w:style>
  <w:style w:type="character" w:customStyle="1" w:styleId="MinorOVRHeaderChar">
    <w:name w:val="Minor OVR Header Char"/>
    <w:basedOn w:val="HeaderChar"/>
    <w:link w:val="MinorOVRHeader"/>
    <w:rPr>
      <w:rFonts w:asciiTheme="minorHAnsi" w:hAnsiTheme="minorHAnsi" w:cs="Arial"/>
      <w:sz w:val="24"/>
      <w:szCs w:val="24"/>
      <w:lang w:eastAsia="en-AU"/>
    </w:rPr>
  </w:style>
  <w:style w:type="character" w:customStyle="1" w:styleId="NoSpacingChar">
    <w:name w:val="No Spacing Char"/>
    <w:basedOn w:val="DefaultParagraphFont"/>
    <w:link w:val="NoSpacing"/>
    <w:uiPriority w:val="99"/>
    <w:rPr>
      <w:rFonts w:ascii="Arial" w:hAnsi="Arial"/>
      <w:sz w:val="22"/>
      <w:szCs w:val="22"/>
    </w:rPr>
  </w:style>
  <w:style w:type="character" w:customStyle="1" w:styleId="TabletitlesChar">
    <w:name w:val="Table titles Char"/>
    <w:basedOn w:val="NoSpacingChar"/>
    <w:link w:val="Tabletitles"/>
    <w:rPr>
      <w:rFonts w:ascii="Arial Narrow" w:hAnsi="Arial Narrow"/>
      <w:b/>
      <w:sz w:val="22"/>
      <w:szCs w:val="22"/>
    </w:rPr>
  </w:style>
  <w:style w:type="paragraph" w:customStyle="1" w:styleId="3Bodytext">
    <w:name w:val="3. Body text"/>
    <w:basedOn w:val="ListParagraph"/>
    <w:link w:val="3BodytextChar"/>
    <w:qFormat/>
    <w:pPr>
      <w:widowControl/>
      <w:numPr>
        <w:ilvl w:val="1"/>
        <w:numId w:val="14"/>
      </w:numPr>
      <w:spacing w:after="120"/>
      <w:contextualSpacing w:val="0"/>
    </w:pPr>
    <w:rPr>
      <w:rFonts w:asciiTheme="minorHAnsi" w:eastAsiaTheme="minorHAnsi" w:hAnsiTheme="minorHAnsi" w:cstheme="minorBidi"/>
      <w:snapToGrid/>
      <w:sz w:val="24"/>
      <w:szCs w:val="22"/>
    </w:rPr>
  </w:style>
  <w:style w:type="paragraph" w:customStyle="1" w:styleId="PBACFooter">
    <w:name w:val="PBAC Footer"/>
    <w:basedOn w:val="Footer"/>
    <w:link w:val="PBACFooterChar"/>
    <w:qFormat/>
    <w:pPr>
      <w:jc w:val="center"/>
    </w:pPr>
    <w:rPr>
      <w:rFonts w:ascii="Arial" w:hAnsi="Arial" w:cs="Arial"/>
      <w:b/>
      <w:sz w:val="20"/>
      <w:szCs w:val="20"/>
    </w:rPr>
  </w:style>
  <w:style w:type="character" w:customStyle="1" w:styleId="3BodytextChar">
    <w:name w:val="3. Body text Char"/>
    <w:basedOn w:val="ListParagraphChar"/>
    <w:link w:val="3Bodytext"/>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Pr>
      <w:rFonts w:ascii="Arial" w:hAnsi="Arial" w:cs="Arial"/>
      <w:b/>
      <w:sz w:val="24"/>
      <w:szCs w:val="24"/>
    </w:rPr>
  </w:style>
  <w:style w:type="paragraph" w:customStyle="1" w:styleId="PBACHeading1">
    <w:name w:val="PBAC Heading 1"/>
    <w:qFormat/>
    <w:pPr>
      <w:ind w:left="720" w:hanging="720"/>
      <w:outlineLvl w:val="0"/>
    </w:pPr>
    <w:rPr>
      <w:rFonts w:ascii="Arial" w:hAnsi="Arial" w:cs="Arial"/>
      <w:b/>
      <w:snapToGrid w:val="0"/>
      <w:sz w:val="22"/>
      <w:szCs w:val="22"/>
      <w:lang w:eastAsia="en-US"/>
    </w:rPr>
  </w:style>
  <w:style w:type="paragraph" w:customStyle="1" w:styleId="TableText0">
    <w:name w:val="Table Text"/>
    <w:basedOn w:val="NoSpacing"/>
    <w:link w:val="TableTextChar0"/>
    <w:qFormat/>
    <w:rPr>
      <w:rFonts w:ascii="Arial Narrow" w:hAnsi="Arial Narrow"/>
      <w:sz w:val="20"/>
    </w:rPr>
  </w:style>
  <w:style w:type="paragraph" w:customStyle="1" w:styleId="Lists">
    <w:name w:val="Lists"/>
    <w:basedOn w:val="3Bodytext"/>
    <w:link w:val="ListsChar"/>
    <w:qFormat/>
    <w:pPr>
      <w:numPr>
        <w:ilvl w:val="0"/>
        <w:numId w:val="17"/>
      </w:numPr>
    </w:pPr>
  </w:style>
  <w:style w:type="character" w:customStyle="1" w:styleId="TableTextChar0">
    <w:name w:val="Table Text Char"/>
    <w:basedOn w:val="NoSpacingChar"/>
    <w:link w:val="TableText0"/>
    <w:rPr>
      <w:rFonts w:ascii="Arial Narrow" w:hAnsi="Arial Narrow"/>
      <w:sz w:val="22"/>
      <w:szCs w:val="22"/>
    </w:rPr>
  </w:style>
  <w:style w:type="character" w:styleId="FollowedHyperlink">
    <w:name w:val="FollowedHyperlink"/>
    <w:basedOn w:val="DefaultParagraphFont"/>
    <w:semiHidden/>
    <w:unhideWhenUsed/>
    <w:rPr>
      <w:color w:val="800080" w:themeColor="followedHyperlink"/>
      <w:u w:val="single"/>
    </w:rPr>
  </w:style>
  <w:style w:type="character" w:customStyle="1" w:styleId="ListsChar">
    <w:name w:val="Lists Char"/>
    <w:basedOn w:val="3BodytextChar"/>
    <w:link w:val="Lists"/>
    <w:rPr>
      <w:rFonts w:asciiTheme="minorHAnsi" w:eastAsiaTheme="minorHAnsi" w:hAnsiTheme="minorHAnsi" w:cstheme="minorBidi"/>
      <w:snapToGrid/>
      <w:sz w:val="24"/>
      <w:szCs w:val="22"/>
      <w:lang w:eastAsia="en-US"/>
    </w:rPr>
  </w:style>
  <w:style w:type="paragraph" w:customStyle="1" w:styleId="Bulletpoints">
    <w:name w:val="Bullet points"/>
    <w:basedOn w:val="ListParagraph"/>
    <w:qFormat/>
    <w:pPr>
      <w:numPr>
        <w:numId w:val="19"/>
      </w:numPr>
      <w:ind w:left="425" w:hanging="425"/>
      <w:contextualSpacing w:val="0"/>
    </w:pPr>
    <w:rPr>
      <w:rFonts w:ascii="Calibri" w:hAnsi="Calibri"/>
      <w:sz w:val="24"/>
      <w:szCs w:val="24"/>
    </w:rPr>
  </w:style>
  <w:style w:type="paragraph" w:customStyle="1" w:styleId="TableFooter">
    <w:name w:val="Table Footer"/>
    <w:basedOn w:val="Normal"/>
    <w:link w:val="TableFooterChar"/>
    <w:qFormat/>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Pr>
      <w:rFonts w:ascii="Arial Narrow" w:hAnsi="Arial Narrow" w:cs="Arial"/>
      <w:snapToGrid w:val="0"/>
      <w:sz w:val="18"/>
      <w:szCs w:val="22"/>
      <w:lang w:eastAsia="en-US"/>
    </w:rPr>
  </w:style>
  <w:style w:type="character" w:customStyle="1" w:styleId="TabletextChar">
    <w:name w:val="Table text Char"/>
    <w:link w:val="Tabletext"/>
    <w:uiPriority w:val="2"/>
    <w:rPr>
      <w:rFonts w:ascii="Arial" w:hAnsi="Arial"/>
      <w:lang w:eastAsia="en-US"/>
    </w:rPr>
  </w:style>
  <w:style w:type="paragraph" w:customStyle="1" w:styleId="ExecSummText">
    <w:name w:val="ExecSummText"/>
    <w:basedOn w:val="Normal"/>
    <w:uiPriority w:val="99"/>
    <w:qFormat/>
    <w:pPr>
      <w:spacing w:after="120"/>
      <w:jc w:val="both"/>
    </w:pPr>
    <w:rPr>
      <w:rFonts w:ascii="Arial" w:hAnsi="Arial"/>
      <w:noProo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00057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33A28-2F1A-4140-9609-C625623C4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1753</Words>
  <Characters>9996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2019-11-13T00:44:00Z</dcterms:created>
  <dcterms:modified xsi:type="dcterms:W3CDTF">2019-11-13T00:45:00Z</dcterms:modified>
</cp:coreProperties>
</file>