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2B" w:rsidRDefault="00C13F8B">
      <w:pPr>
        <w:pStyle w:val="Title"/>
        <w:spacing w:before="120" w:after="120"/>
        <w:ind w:left="709" w:hanging="709"/>
        <w:rPr>
          <w:rFonts w:asciiTheme="minorHAnsi" w:hAnsiTheme="minorHAnsi" w:cstheme="minorHAnsi"/>
          <w:sz w:val="36"/>
          <w:szCs w:val="36"/>
          <w:lang w:bidi="ar-JO"/>
        </w:rPr>
      </w:pPr>
      <w:bookmarkStart w:id="0" w:name="_GoBack"/>
      <w:bookmarkEnd w:id="0"/>
      <w:r>
        <w:rPr>
          <w:rFonts w:asciiTheme="minorHAnsi" w:hAnsiTheme="minorHAnsi" w:cstheme="minorHAnsi"/>
          <w:sz w:val="36"/>
          <w:szCs w:val="36"/>
          <w:lang w:bidi="ar-JO"/>
        </w:rPr>
        <w:t>5.21</w:t>
      </w:r>
      <w:r>
        <w:rPr>
          <w:rFonts w:asciiTheme="minorHAnsi" w:hAnsiTheme="minorHAnsi" w:cstheme="minorHAnsi"/>
          <w:sz w:val="36"/>
          <w:szCs w:val="36"/>
          <w:lang w:bidi="ar-JO"/>
        </w:rPr>
        <w:tab/>
        <w:t>MUPIROCIN</w:t>
      </w:r>
      <w:r w:rsidR="007A13CC">
        <w:rPr>
          <w:rFonts w:asciiTheme="minorHAnsi" w:hAnsiTheme="minorHAnsi" w:cstheme="minorHAnsi"/>
          <w:sz w:val="36"/>
          <w:szCs w:val="36"/>
          <w:lang w:bidi="ar-JO"/>
        </w:rPr>
        <w:br/>
        <w:t>Nasal oin</w:t>
      </w:r>
      <w:r>
        <w:rPr>
          <w:rFonts w:asciiTheme="minorHAnsi" w:hAnsiTheme="minorHAnsi" w:cstheme="minorHAnsi"/>
          <w:sz w:val="36"/>
          <w:szCs w:val="36"/>
          <w:lang w:bidi="ar-JO"/>
        </w:rPr>
        <w:t xml:space="preserve">tment 20 mg (as calcium) per g, </w:t>
      </w:r>
      <w:r w:rsidR="007A13CC">
        <w:rPr>
          <w:rFonts w:asciiTheme="minorHAnsi" w:hAnsiTheme="minorHAnsi" w:cstheme="minorHAnsi"/>
          <w:sz w:val="36"/>
          <w:szCs w:val="36"/>
          <w:lang w:bidi="ar-JO"/>
        </w:rPr>
        <w:t>5 g Med</w:t>
      </w:r>
      <w:r>
        <w:rPr>
          <w:rFonts w:asciiTheme="minorHAnsi" w:hAnsiTheme="minorHAnsi" w:cstheme="minorHAnsi"/>
          <w:sz w:val="36"/>
          <w:szCs w:val="36"/>
          <w:lang w:bidi="ar-JO"/>
        </w:rPr>
        <w:t>surge mupirocin nasal ointment,</w:t>
      </w:r>
    </w:p>
    <w:p w:rsidR="004E0A2B" w:rsidRDefault="007A13CC">
      <w:pPr>
        <w:pStyle w:val="Title"/>
        <w:spacing w:before="120" w:after="120"/>
        <w:ind w:left="720" w:hanging="11"/>
        <w:rPr>
          <w:rFonts w:asciiTheme="minorHAnsi" w:hAnsiTheme="minorHAnsi" w:cstheme="minorHAnsi"/>
          <w:sz w:val="36"/>
          <w:szCs w:val="36"/>
          <w:lang w:bidi="ar-JO"/>
        </w:rPr>
      </w:pPr>
      <w:r>
        <w:rPr>
          <w:rFonts w:asciiTheme="minorHAnsi" w:hAnsiTheme="minorHAnsi" w:cstheme="minorHAnsi"/>
          <w:sz w:val="36"/>
          <w:szCs w:val="36"/>
          <w:lang w:bidi="ar-JO"/>
        </w:rPr>
        <w:t>Medsurge Healthcare Pty Ltd.</w:t>
      </w:r>
    </w:p>
    <w:p w:rsidR="004E0A2B" w:rsidRDefault="004E0A2B">
      <w:pPr>
        <w:rPr>
          <w:lang w:bidi="ar-JO"/>
        </w:rPr>
      </w:pPr>
    </w:p>
    <w:p w:rsidR="004E0A2B" w:rsidRDefault="007A13CC">
      <w:pPr>
        <w:pStyle w:val="PBACHeading1"/>
        <w:spacing w:before="120" w:after="120"/>
        <w:ind w:left="709" w:hanging="709"/>
        <w:jc w:val="both"/>
        <w:rPr>
          <w:rFonts w:asciiTheme="minorHAnsi" w:hAnsiTheme="minorHAnsi" w:cstheme="minorHAnsi"/>
          <w:sz w:val="32"/>
          <w:szCs w:val="32"/>
          <w:lang w:bidi="ar-JO"/>
        </w:rPr>
      </w:pPr>
      <w:r>
        <w:rPr>
          <w:rFonts w:asciiTheme="minorHAnsi" w:hAnsiTheme="minorHAnsi" w:cstheme="minorHAnsi"/>
          <w:sz w:val="32"/>
          <w:szCs w:val="32"/>
          <w:lang w:bidi="ar-JO"/>
        </w:rPr>
        <w:t>Purpose of Application</w:t>
      </w:r>
    </w:p>
    <w:p w:rsidR="004E0A2B" w:rsidRDefault="007A13CC" w:rsidP="004139F8">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The submission requested an Authority Required (STREAMLINED) listing of a new form of mupirocin 2% nasal ointment in a larger pack size of 5g, on the General Schedule for the treatment of nasal colonisation of staphylococcus</w:t>
      </w:r>
      <w:r>
        <w:rPr>
          <w:rFonts w:asciiTheme="minorHAnsi" w:eastAsiaTheme="minorHAnsi" w:hAnsiTheme="minorHAnsi" w:cstheme="minorHAnsi"/>
          <w:i/>
          <w:snapToGrid/>
          <w:sz w:val="24"/>
          <w:szCs w:val="22"/>
          <w:lang w:bidi="ar-JO"/>
        </w:rPr>
        <w:t xml:space="preserve"> </w:t>
      </w:r>
      <w:r>
        <w:rPr>
          <w:rFonts w:asciiTheme="minorHAnsi" w:eastAsiaTheme="minorHAnsi" w:hAnsiTheme="minorHAnsi" w:cstheme="minorHAnsi"/>
          <w:snapToGrid/>
          <w:sz w:val="24"/>
          <w:szCs w:val="22"/>
          <w:lang w:bidi="ar-JO"/>
        </w:rPr>
        <w:t>aureus infection in Aboriginal and Torres Strait Islander persons. This was the first submission to the PBAC for Medsurge mupirocin nasal ointment (Medsurge from herein) in a 5g pack size.</w:t>
      </w:r>
    </w:p>
    <w:p w:rsidR="004139F8" w:rsidRPr="004139F8" w:rsidRDefault="004139F8" w:rsidP="004139F8">
      <w:pPr>
        <w:spacing w:before="120" w:after="120"/>
        <w:rPr>
          <w:rFonts w:asciiTheme="minorHAnsi" w:eastAsiaTheme="minorHAnsi" w:hAnsiTheme="minorHAnsi" w:cstheme="minorHAnsi"/>
          <w:szCs w:val="22"/>
          <w:lang w:bidi="ar-JO"/>
        </w:rPr>
      </w:pPr>
    </w:p>
    <w:p w:rsidR="004E0A2B" w:rsidRDefault="007A13CC">
      <w:pPr>
        <w:pStyle w:val="PBACHeading1"/>
        <w:spacing w:before="120" w:after="120"/>
        <w:ind w:left="709" w:hanging="709"/>
        <w:jc w:val="both"/>
        <w:rPr>
          <w:rFonts w:asciiTheme="minorHAnsi" w:hAnsiTheme="minorHAnsi" w:cstheme="minorHAnsi"/>
          <w:sz w:val="32"/>
          <w:szCs w:val="32"/>
          <w:lang w:bidi="ar-JO"/>
        </w:rPr>
      </w:pPr>
      <w:r>
        <w:rPr>
          <w:rFonts w:asciiTheme="minorHAnsi" w:hAnsiTheme="minorHAnsi" w:cstheme="minorHAnsi"/>
          <w:sz w:val="32"/>
          <w:szCs w:val="32"/>
          <w:lang w:bidi="ar-JO"/>
        </w:rPr>
        <w:t>Requested listing</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The same listing as the currently listed pack of mupirocin 2% nasal ointment, 3g (Bactroban®) was sought.</w:t>
      </w:r>
    </w:p>
    <w:p w:rsidR="004139F8" w:rsidRDefault="004139F8" w:rsidP="004139F8">
      <w:pPr>
        <w:pStyle w:val="ListParagraph"/>
        <w:widowControl/>
        <w:spacing w:before="120" w:after="120"/>
        <w:contextualSpacing w:val="0"/>
        <w:rPr>
          <w:rFonts w:asciiTheme="minorHAnsi" w:eastAsiaTheme="minorHAnsi" w:hAnsiTheme="minorHAnsi" w:cstheme="minorHAnsi"/>
          <w:snapToGrid/>
          <w:sz w:val="24"/>
          <w:szCs w:val="22"/>
          <w:lang w:bidi="ar-JO"/>
        </w:rPr>
      </w:pPr>
    </w:p>
    <w:tbl>
      <w:tblPr>
        <w:tblW w:w="5000" w:type="pct"/>
        <w:tblLook w:val="0000" w:firstRow="0" w:lastRow="0" w:firstColumn="0" w:lastColumn="0" w:noHBand="0" w:noVBand="0"/>
      </w:tblPr>
      <w:tblGrid>
        <w:gridCol w:w="1876"/>
        <w:gridCol w:w="1311"/>
        <w:gridCol w:w="702"/>
        <w:gridCol w:w="850"/>
        <w:gridCol w:w="1569"/>
        <w:gridCol w:w="1005"/>
        <w:gridCol w:w="1713"/>
      </w:tblGrid>
      <w:tr w:rsidR="004E0A2B">
        <w:trPr>
          <w:cantSplit/>
          <w:trHeight w:val="465"/>
        </w:trPr>
        <w:tc>
          <w:tcPr>
            <w:tcW w:w="1765" w:type="pct"/>
            <w:gridSpan w:val="2"/>
            <w:tcBorders>
              <w:bottom w:val="single" w:sz="4" w:space="0" w:color="auto"/>
            </w:tcBorders>
          </w:tcPr>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Name, Restriction,</w:t>
            </w:r>
          </w:p>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Manner of administration and form</w:t>
            </w:r>
          </w:p>
        </w:tc>
        <w:tc>
          <w:tcPr>
            <w:tcW w:w="389" w:type="pct"/>
            <w:tcBorders>
              <w:bottom w:val="single" w:sz="4" w:space="0" w:color="auto"/>
            </w:tcBorders>
          </w:tcPr>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Max.</w:t>
            </w:r>
          </w:p>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Qty</w:t>
            </w:r>
          </w:p>
        </w:tc>
        <w:tc>
          <w:tcPr>
            <w:tcW w:w="471" w:type="pct"/>
            <w:tcBorders>
              <w:bottom w:val="single" w:sz="4" w:space="0" w:color="auto"/>
            </w:tcBorders>
          </w:tcPr>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№.of</w:t>
            </w:r>
          </w:p>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Rpts</w:t>
            </w:r>
          </w:p>
        </w:tc>
        <w:tc>
          <w:tcPr>
            <w:tcW w:w="869" w:type="pct"/>
            <w:tcBorders>
              <w:bottom w:val="single" w:sz="4" w:space="0" w:color="auto"/>
            </w:tcBorders>
          </w:tcPr>
          <w:p w:rsidR="004E0A2B" w:rsidRDefault="007A13CC">
            <w:pPr>
              <w:keepNext/>
              <w:spacing w:before="40" w:after="40"/>
              <w:rPr>
                <w:rFonts w:ascii="Arial Narrow" w:hAnsi="Arial Narrow" w:cs="Arial"/>
                <w:sz w:val="20"/>
                <w:szCs w:val="20"/>
                <w:lang w:bidi="ar-JO"/>
              </w:rPr>
            </w:pPr>
            <w:r>
              <w:rPr>
                <w:rFonts w:ascii="Arial Narrow" w:hAnsi="Arial Narrow" w:cs="Arial"/>
                <w:sz w:val="20"/>
                <w:szCs w:val="20"/>
                <w:lang w:bidi="ar-JO"/>
              </w:rPr>
              <w:t>Dispensed Price for Max. Qty</w:t>
            </w:r>
          </w:p>
        </w:tc>
        <w:tc>
          <w:tcPr>
            <w:tcW w:w="1506" w:type="pct"/>
            <w:gridSpan w:val="2"/>
            <w:tcBorders>
              <w:bottom w:val="single" w:sz="4" w:space="0" w:color="auto"/>
            </w:tcBorders>
          </w:tcPr>
          <w:p w:rsidR="004E0A2B" w:rsidRDefault="007A13CC">
            <w:pPr>
              <w:keepNext/>
              <w:spacing w:before="40" w:after="40"/>
              <w:jc w:val="both"/>
              <w:rPr>
                <w:rFonts w:ascii="Arial Narrow" w:hAnsi="Arial Narrow" w:cs="Arial"/>
                <w:sz w:val="20"/>
                <w:szCs w:val="20"/>
                <w:lang w:bidi="ar-JO"/>
              </w:rPr>
            </w:pPr>
            <w:r>
              <w:rPr>
                <w:rFonts w:ascii="Arial Narrow" w:hAnsi="Arial Narrow" w:cs="Arial"/>
                <w:sz w:val="20"/>
                <w:szCs w:val="20"/>
                <w:lang w:bidi="ar-JO"/>
              </w:rPr>
              <w:t>Proprietary Name and Manufacturer</w:t>
            </w:r>
          </w:p>
        </w:tc>
      </w:tr>
      <w:tr w:rsidR="004E0A2B" w:rsidTr="004139F8">
        <w:trPr>
          <w:cantSplit/>
          <w:trHeight w:val="567"/>
        </w:trPr>
        <w:tc>
          <w:tcPr>
            <w:tcW w:w="1765" w:type="pct"/>
            <w:gridSpan w:val="2"/>
          </w:tcPr>
          <w:p w:rsidR="004E0A2B" w:rsidRDefault="007A13CC">
            <w:pPr>
              <w:keepNext/>
              <w:spacing w:before="40" w:after="40"/>
              <w:jc w:val="both"/>
              <w:rPr>
                <w:rFonts w:ascii="Arial Narrow" w:hAnsi="Arial Narrow" w:cs="Arial"/>
                <w:sz w:val="20"/>
                <w:szCs w:val="20"/>
                <w:lang w:bidi="ar-JO"/>
              </w:rPr>
            </w:pPr>
            <w:r>
              <w:rPr>
                <w:rFonts w:ascii="Arial Narrow" w:hAnsi="Arial Narrow" w:cs="Arial"/>
                <w:smallCaps/>
                <w:sz w:val="20"/>
                <w:szCs w:val="20"/>
                <w:lang w:bidi="ar-JO"/>
              </w:rPr>
              <w:t>MUPIROCIN</w:t>
            </w:r>
          </w:p>
          <w:p w:rsidR="004E0A2B" w:rsidRDefault="007A13CC">
            <w:pPr>
              <w:keepNext/>
              <w:spacing w:before="40" w:after="40"/>
              <w:jc w:val="both"/>
              <w:rPr>
                <w:rFonts w:ascii="Arial Narrow" w:hAnsi="Arial Narrow" w:cs="Arial"/>
                <w:i/>
                <w:sz w:val="20"/>
                <w:szCs w:val="20"/>
                <w:lang w:bidi="ar-JO"/>
              </w:rPr>
            </w:pPr>
            <w:r>
              <w:rPr>
                <w:rFonts w:ascii="Arial Narrow" w:hAnsi="Arial Narrow" w:cs="Arial"/>
                <w:sz w:val="20"/>
                <w:szCs w:val="20"/>
                <w:lang w:bidi="ar-JO"/>
              </w:rPr>
              <w:t>2% ointment, 5g</w:t>
            </w:r>
          </w:p>
        </w:tc>
        <w:tc>
          <w:tcPr>
            <w:tcW w:w="389" w:type="pct"/>
          </w:tcPr>
          <w:p w:rsidR="004E0A2B" w:rsidRDefault="004E0A2B">
            <w:pPr>
              <w:keepNext/>
              <w:spacing w:before="40" w:after="40"/>
              <w:jc w:val="both"/>
              <w:rPr>
                <w:rFonts w:ascii="Arial Narrow" w:hAnsi="Arial Narrow" w:cs="Arial"/>
                <w:sz w:val="20"/>
                <w:szCs w:val="20"/>
                <w:lang w:bidi="ar-JO"/>
              </w:rPr>
            </w:pPr>
          </w:p>
          <w:p w:rsidR="004E0A2B" w:rsidRDefault="007A13CC">
            <w:pPr>
              <w:keepNext/>
              <w:spacing w:before="40" w:after="40"/>
              <w:jc w:val="both"/>
              <w:rPr>
                <w:rFonts w:ascii="Arial Narrow" w:hAnsi="Arial Narrow" w:cs="Arial"/>
                <w:i/>
                <w:sz w:val="20"/>
                <w:szCs w:val="20"/>
                <w:lang w:bidi="ar-JO"/>
              </w:rPr>
            </w:pPr>
            <w:r>
              <w:rPr>
                <w:rFonts w:ascii="Arial Narrow" w:hAnsi="Arial Narrow" w:cs="Arial"/>
                <w:sz w:val="20"/>
                <w:szCs w:val="20"/>
                <w:lang w:bidi="ar-JO"/>
              </w:rPr>
              <w:t>1</w:t>
            </w:r>
          </w:p>
        </w:tc>
        <w:tc>
          <w:tcPr>
            <w:tcW w:w="471" w:type="pct"/>
          </w:tcPr>
          <w:p w:rsidR="004E0A2B" w:rsidRDefault="004E0A2B">
            <w:pPr>
              <w:keepNext/>
              <w:spacing w:before="40" w:after="40"/>
              <w:jc w:val="both"/>
              <w:rPr>
                <w:rFonts w:ascii="Arial Narrow" w:hAnsi="Arial Narrow" w:cs="Arial"/>
                <w:sz w:val="20"/>
                <w:szCs w:val="20"/>
                <w:lang w:bidi="ar-JO"/>
              </w:rPr>
            </w:pPr>
          </w:p>
          <w:p w:rsidR="004E0A2B" w:rsidRDefault="007A13CC">
            <w:pPr>
              <w:keepNext/>
              <w:spacing w:before="40" w:after="40"/>
              <w:jc w:val="both"/>
              <w:rPr>
                <w:rFonts w:ascii="Arial Narrow" w:hAnsi="Arial Narrow" w:cs="Arial"/>
                <w:i/>
                <w:sz w:val="20"/>
                <w:szCs w:val="20"/>
                <w:lang w:bidi="ar-JO"/>
              </w:rPr>
            </w:pPr>
            <w:r>
              <w:rPr>
                <w:rFonts w:ascii="Arial Narrow" w:hAnsi="Arial Narrow" w:cs="Arial"/>
                <w:sz w:val="20"/>
                <w:szCs w:val="20"/>
                <w:lang w:bidi="ar-JO"/>
              </w:rPr>
              <w:t>0</w:t>
            </w:r>
          </w:p>
        </w:tc>
        <w:tc>
          <w:tcPr>
            <w:tcW w:w="869" w:type="pct"/>
          </w:tcPr>
          <w:p w:rsidR="004E0A2B" w:rsidRDefault="004E0A2B">
            <w:pPr>
              <w:keepNext/>
              <w:spacing w:before="40" w:after="40"/>
              <w:jc w:val="both"/>
              <w:rPr>
                <w:rFonts w:ascii="Arial Narrow" w:hAnsi="Arial Narrow" w:cs="Arial"/>
                <w:sz w:val="20"/>
                <w:szCs w:val="20"/>
                <w:lang w:bidi="ar-JO"/>
              </w:rPr>
            </w:pPr>
          </w:p>
          <w:p w:rsidR="004E0A2B" w:rsidRDefault="007A13CC">
            <w:pPr>
              <w:keepNext/>
              <w:spacing w:before="40" w:after="40"/>
              <w:jc w:val="both"/>
              <w:rPr>
                <w:rFonts w:ascii="Arial Narrow" w:hAnsi="Arial Narrow" w:cs="Arial"/>
                <w:i/>
                <w:sz w:val="20"/>
                <w:szCs w:val="20"/>
                <w:lang w:bidi="ar-JO"/>
              </w:rPr>
            </w:pPr>
            <w:r>
              <w:rPr>
                <w:rFonts w:ascii="Arial Narrow" w:hAnsi="Arial Narrow" w:cs="Arial"/>
                <w:sz w:val="20"/>
                <w:szCs w:val="20"/>
                <w:lang w:bidi="ar-JO"/>
              </w:rPr>
              <w:t>$25.00</w:t>
            </w:r>
          </w:p>
        </w:tc>
        <w:tc>
          <w:tcPr>
            <w:tcW w:w="557" w:type="pct"/>
          </w:tcPr>
          <w:p w:rsidR="004E0A2B" w:rsidRDefault="004E0A2B">
            <w:pPr>
              <w:keepNext/>
              <w:spacing w:before="40" w:after="40"/>
              <w:rPr>
                <w:rFonts w:ascii="Arial Narrow" w:hAnsi="Arial Narrow" w:cs="Arial"/>
                <w:sz w:val="20"/>
                <w:szCs w:val="20"/>
                <w:lang w:bidi="ar-JO"/>
              </w:rPr>
            </w:pPr>
          </w:p>
          <w:p w:rsidR="004E0A2B" w:rsidRDefault="007A13CC">
            <w:pPr>
              <w:keepNext/>
              <w:spacing w:before="40" w:after="40"/>
              <w:rPr>
                <w:rFonts w:ascii="Arial Narrow" w:hAnsi="Arial Narrow" w:cs="Arial"/>
                <w:i/>
                <w:sz w:val="20"/>
                <w:szCs w:val="20"/>
                <w:lang w:bidi="ar-JO"/>
              </w:rPr>
            </w:pPr>
            <w:r>
              <w:rPr>
                <w:rFonts w:ascii="Arial Narrow" w:hAnsi="Arial Narrow" w:cs="Arial"/>
                <w:sz w:val="20"/>
                <w:szCs w:val="20"/>
                <w:lang w:bidi="ar-JO"/>
              </w:rPr>
              <w:t>Medsurge mupirocin nasal ointment</w:t>
            </w:r>
          </w:p>
        </w:tc>
        <w:tc>
          <w:tcPr>
            <w:tcW w:w="949" w:type="pct"/>
          </w:tcPr>
          <w:p w:rsidR="004E0A2B" w:rsidRDefault="004E0A2B">
            <w:pPr>
              <w:keepNext/>
              <w:spacing w:before="40" w:after="40"/>
              <w:rPr>
                <w:rFonts w:ascii="Arial Narrow" w:hAnsi="Arial Narrow" w:cs="Arial"/>
                <w:sz w:val="20"/>
                <w:szCs w:val="20"/>
                <w:lang w:bidi="ar-JO"/>
              </w:rPr>
            </w:pPr>
          </w:p>
          <w:p w:rsidR="004E0A2B" w:rsidRDefault="007A13CC">
            <w:pPr>
              <w:keepNext/>
              <w:spacing w:before="40" w:after="40"/>
              <w:rPr>
                <w:rFonts w:ascii="Arial Narrow" w:hAnsi="Arial Narrow" w:cs="Arial"/>
                <w:sz w:val="20"/>
                <w:szCs w:val="20"/>
                <w:lang w:bidi="ar-JO"/>
              </w:rPr>
            </w:pPr>
            <w:r>
              <w:rPr>
                <w:rFonts w:ascii="Arial Narrow" w:hAnsi="Arial Narrow" w:cs="Arial"/>
                <w:sz w:val="20"/>
                <w:szCs w:val="20"/>
                <w:lang w:bidi="ar-JO"/>
              </w:rPr>
              <w:t xml:space="preserve">Medsurge Healthcare </w:t>
            </w:r>
          </w:p>
          <w:p w:rsidR="004E0A2B" w:rsidRDefault="007A13CC">
            <w:pPr>
              <w:keepNext/>
              <w:spacing w:before="40" w:after="40"/>
              <w:rPr>
                <w:rFonts w:ascii="Arial Narrow" w:hAnsi="Arial Narrow" w:cs="Arial"/>
                <w:i/>
                <w:sz w:val="20"/>
                <w:szCs w:val="20"/>
                <w:lang w:bidi="ar-JO"/>
              </w:rPr>
            </w:pPr>
            <w:r>
              <w:rPr>
                <w:rFonts w:ascii="Arial Narrow" w:hAnsi="Arial Narrow" w:cs="Arial"/>
                <w:sz w:val="20"/>
                <w:szCs w:val="20"/>
                <w:lang w:bidi="ar-JO"/>
              </w:rPr>
              <w:t xml:space="preserve">Pty Ltd </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Category / Program</w:t>
            </w: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GENERAL – General Schedule (Code GE)</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Prescriber type:</w:t>
            </w: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1"/>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 xml:space="preserve">Dental  </w:t>
            </w:r>
            <w:r>
              <w:rPr>
                <w:rFonts w:ascii="Arial Narrow" w:hAnsi="Arial Narrow" w:cs="Arial"/>
                <w:sz w:val="20"/>
                <w:szCs w:val="20"/>
                <w:lang w:bidi="ar-JO"/>
              </w:rPr>
              <w:fldChar w:fldCharType="begin">
                <w:ffData>
                  <w:name w:val=""/>
                  <w:enabled/>
                  <w:calcOnExit w:val="0"/>
                  <w:checkBox>
                    <w:sizeAuto/>
                    <w:default w:val="1"/>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 xml:space="preserve">Medical Practitioners  </w:t>
            </w:r>
            <w:r>
              <w:rPr>
                <w:rFonts w:ascii="Arial Narrow" w:hAnsi="Arial Narrow" w:cs="Arial"/>
                <w:sz w:val="20"/>
                <w:szCs w:val="20"/>
                <w:lang w:bidi="ar-JO"/>
              </w:rPr>
              <w:fldChar w:fldCharType="begin">
                <w:ffData>
                  <w:name w:val="Check3"/>
                  <w:enabled/>
                  <w:calcOnExit w:val="0"/>
                  <w:checkBox>
                    <w:sizeAuto/>
                    <w:default w:val="1"/>
                  </w:checkBox>
                </w:ffData>
              </w:fldChar>
            </w:r>
            <w:bookmarkStart w:id="1" w:name="Check3"/>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bookmarkEnd w:id="1"/>
            <w:r>
              <w:rPr>
                <w:rFonts w:ascii="Arial Narrow" w:hAnsi="Arial Narrow" w:cs="Arial"/>
                <w:sz w:val="20"/>
                <w:szCs w:val="20"/>
                <w:lang w:bidi="ar-JO"/>
              </w:rPr>
              <w:t xml:space="preserve">Nurse practitioners  </w:t>
            </w:r>
            <w:r>
              <w:rPr>
                <w:rFonts w:ascii="Arial Narrow" w:hAnsi="Arial Narrow" w:cs="Arial"/>
                <w:sz w:val="20"/>
                <w:szCs w:val="20"/>
                <w:lang w:bidi="ar-JO"/>
              </w:rPr>
              <w:fldChar w:fldCharType="begin">
                <w:ffData>
                  <w:name w:val=""/>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Optometrists</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5"/>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Midwives</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Condition:</w:t>
            </w: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 xml:space="preserve">Staphylococcus aureus infection </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PBS Indication:</w:t>
            </w: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Staphylococcus aureus infection</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Restriction Level / Method:</w:t>
            </w:r>
          </w:p>
          <w:p w:rsidR="004E0A2B" w:rsidRDefault="004E0A2B">
            <w:pPr>
              <w:spacing w:before="40" w:after="40"/>
              <w:rPr>
                <w:rFonts w:ascii="Arial Narrow" w:hAnsi="Arial Narrow" w:cs="Arial"/>
                <w:i/>
                <w:sz w:val="20"/>
                <w:szCs w:val="20"/>
                <w:lang w:bidi="ar-JO"/>
              </w:rPr>
            </w:pP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1"/>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Restricted benefit</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In Writing</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3"/>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Telephone</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Emergency</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5"/>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Electronic</w:t>
            </w:r>
          </w:p>
          <w:p w:rsidR="004E0A2B" w:rsidRDefault="007A13CC">
            <w:pPr>
              <w:spacing w:before="40" w:after="40"/>
              <w:rPr>
                <w:rFonts w:ascii="Arial Narrow" w:hAnsi="Arial Narrow" w:cs="Arial"/>
                <w:i/>
                <w:sz w:val="20"/>
                <w:szCs w:val="20"/>
                <w:lang w:bidi="ar-JO"/>
              </w:rPr>
            </w:pPr>
            <w:r>
              <w:rPr>
                <w:rFonts w:ascii="Arial Narrow" w:hAnsi="Arial Narrow" w:cs="Arial"/>
                <w:sz w:val="20"/>
                <w:szCs w:val="20"/>
                <w:lang w:bidi="ar-JO"/>
              </w:rPr>
              <w:fldChar w:fldCharType="begin">
                <w:ffData>
                  <w:name w:val="Check5"/>
                  <w:enabled/>
                  <w:calcOnExit w:val="0"/>
                  <w:checkBox>
                    <w:sizeAuto/>
                    <w:default w:val="1"/>
                  </w:checkBox>
                </w:ffData>
              </w:fldChar>
            </w:r>
            <w:bookmarkStart w:id="2" w:name="Check5"/>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bookmarkEnd w:id="2"/>
            <w:r>
              <w:rPr>
                <w:rFonts w:ascii="Arial Narrow" w:hAnsi="Arial Narrow" w:cs="Arial"/>
                <w:sz w:val="20"/>
                <w:szCs w:val="20"/>
                <w:lang w:bidi="ar-JO"/>
              </w:rPr>
              <w:t>Streamlined</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Clinical criteria:</w:t>
            </w:r>
          </w:p>
          <w:p w:rsidR="004E0A2B" w:rsidRDefault="004E0A2B">
            <w:pPr>
              <w:spacing w:before="40" w:after="40"/>
              <w:jc w:val="both"/>
              <w:rPr>
                <w:rFonts w:ascii="Arial Narrow" w:hAnsi="Arial Narrow" w:cs="Arial"/>
                <w:sz w:val="20"/>
                <w:szCs w:val="20"/>
                <w:lang w:bidi="ar-JO"/>
              </w:rPr>
            </w:pP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 xml:space="preserve">Patient must have nasal colonisation with the bacteria </w:t>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t xml:space="preserve">Population criteria: </w:t>
            </w: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tabs>
                <w:tab w:val="left" w:pos="5026"/>
              </w:tabs>
              <w:spacing w:before="40" w:after="40"/>
              <w:rPr>
                <w:rFonts w:ascii="Arial Narrow" w:hAnsi="Arial Narrow" w:cs="Arial"/>
                <w:sz w:val="20"/>
                <w:szCs w:val="20"/>
                <w:lang w:bidi="ar-JO"/>
              </w:rPr>
            </w:pPr>
            <w:r>
              <w:rPr>
                <w:rFonts w:ascii="Arial Narrow" w:hAnsi="Arial Narrow" w:cs="Arial"/>
                <w:sz w:val="20"/>
                <w:szCs w:val="20"/>
                <w:lang w:bidi="ar-JO"/>
              </w:rPr>
              <w:t xml:space="preserve">Patient must be an Aboriginal or a Torres Strait Islander person </w:t>
            </w:r>
            <w:r>
              <w:rPr>
                <w:rFonts w:ascii="Arial Narrow" w:hAnsi="Arial Narrow" w:cs="Arial"/>
                <w:sz w:val="20"/>
                <w:szCs w:val="20"/>
                <w:lang w:bidi="ar-JO"/>
              </w:rPr>
              <w:tab/>
            </w:r>
          </w:p>
        </w:tc>
      </w:tr>
      <w:tr w:rsidR="004E0A2B">
        <w:trPr>
          <w:cantSplit/>
          <w:trHeight w:val="360"/>
        </w:trPr>
        <w:tc>
          <w:tcPr>
            <w:tcW w:w="1039" w:type="pct"/>
            <w:tcBorders>
              <w:top w:val="single" w:sz="4" w:space="0" w:color="auto"/>
              <w:left w:val="single" w:sz="4" w:space="0" w:color="auto"/>
              <w:bottom w:val="single" w:sz="4" w:space="0" w:color="auto"/>
              <w:right w:val="single" w:sz="4" w:space="0" w:color="auto"/>
            </w:tcBorders>
          </w:tcPr>
          <w:p w:rsidR="004E0A2B" w:rsidRDefault="007A13CC">
            <w:pPr>
              <w:spacing w:before="40" w:after="40"/>
              <w:jc w:val="both"/>
              <w:rPr>
                <w:rFonts w:ascii="Arial Narrow" w:hAnsi="Arial Narrow" w:cs="Arial"/>
                <w:sz w:val="20"/>
                <w:szCs w:val="20"/>
                <w:lang w:bidi="ar-JO"/>
              </w:rPr>
            </w:pPr>
            <w:r>
              <w:rPr>
                <w:rFonts w:ascii="Arial Narrow" w:hAnsi="Arial Narrow" w:cs="Arial"/>
                <w:sz w:val="20"/>
                <w:szCs w:val="20"/>
                <w:lang w:bidi="ar-JO"/>
              </w:rPr>
              <w:lastRenderedPageBreak/>
              <w:t>Administrative advice:</w:t>
            </w:r>
          </w:p>
        </w:tc>
        <w:tc>
          <w:tcPr>
            <w:tcW w:w="3961" w:type="pct"/>
            <w:gridSpan w:val="6"/>
            <w:tcBorders>
              <w:top w:val="single" w:sz="4" w:space="0" w:color="auto"/>
              <w:left w:val="single" w:sz="4" w:space="0" w:color="auto"/>
              <w:bottom w:val="single" w:sz="4" w:space="0" w:color="auto"/>
              <w:right w:val="single" w:sz="4" w:space="0" w:color="auto"/>
            </w:tcBorders>
          </w:tcPr>
          <w:p w:rsidR="004E0A2B" w:rsidRDefault="007A13CC">
            <w:pPr>
              <w:rPr>
                <w:rFonts w:ascii="Arial Narrow" w:hAnsi="Arial Narrow" w:cs="Arial"/>
                <w:sz w:val="20"/>
                <w:szCs w:val="20"/>
                <w:lang w:bidi="ar-JO"/>
              </w:rPr>
            </w:pPr>
            <w:r>
              <w:rPr>
                <w:rFonts w:ascii="Arial Narrow" w:hAnsi="Arial Narrow" w:cs="Arial"/>
                <w:sz w:val="20"/>
                <w:szCs w:val="20"/>
                <w:lang w:bidi="ar-JO"/>
              </w:rPr>
              <w:t>Note:</w:t>
            </w:r>
          </w:p>
          <w:p w:rsidR="004E0A2B" w:rsidRDefault="007A13CC">
            <w:pPr>
              <w:pStyle w:val="NormalWeb"/>
              <w:shd w:val="clear" w:color="auto" w:fill="FFFFFF"/>
              <w:spacing w:before="0" w:beforeAutospacing="0" w:after="0" w:afterAutospacing="0"/>
              <w:textAlignment w:val="baseline"/>
              <w:rPr>
                <w:rFonts w:ascii="Arial Narrow" w:hAnsi="Arial Narrow" w:cs="Arial"/>
                <w:sz w:val="20"/>
                <w:szCs w:val="20"/>
                <w:lang w:bidi="ar-JO"/>
              </w:rPr>
            </w:pPr>
            <w:r>
              <w:rPr>
                <w:rFonts w:ascii="Arial Narrow" w:hAnsi="Arial Narrow" w:cs="Arial"/>
                <w:sz w:val="20"/>
                <w:szCs w:val="20"/>
                <w:lang w:bidi="ar-JO"/>
              </w:rPr>
              <w:t>No increase in the maximum quantity or number of units may be authorised.</w:t>
            </w:r>
          </w:p>
          <w:p w:rsidR="004E0A2B" w:rsidRDefault="004E0A2B">
            <w:pPr>
              <w:pStyle w:val="NormalWeb"/>
              <w:shd w:val="clear" w:color="auto" w:fill="FFFFFF"/>
              <w:spacing w:before="0" w:beforeAutospacing="0" w:after="0" w:afterAutospacing="0"/>
              <w:textAlignment w:val="baseline"/>
              <w:rPr>
                <w:rFonts w:ascii="Arial Narrow" w:hAnsi="Arial Narrow" w:cs="Arial"/>
                <w:sz w:val="20"/>
                <w:szCs w:val="20"/>
                <w:lang w:bidi="ar-JO"/>
              </w:rPr>
            </w:pPr>
          </w:p>
          <w:p w:rsidR="004E0A2B" w:rsidRDefault="007A13CC">
            <w:pPr>
              <w:rPr>
                <w:rFonts w:ascii="Arial Narrow" w:hAnsi="Arial Narrow" w:cs="Arial"/>
                <w:sz w:val="20"/>
                <w:szCs w:val="20"/>
                <w:lang w:bidi="ar-JO"/>
              </w:rPr>
            </w:pPr>
            <w:r>
              <w:rPr>
                <w:rFonts w:ascii="Arial Narrow" w:hAnsi="Arial Narrow" w:cs="Arial"/>
                <w:sz w:val="20"/>
                <w:szCs w:val="20"/>
                <w:lang w:bidi="ar-JO"/>
              </w:rPr>
              <w:t>Note:</w:t>
            </w:r>
          </w:p>
          <w:p w:rsidR="004E0A2B" w:rsidRDefault="007A13CC">
            <w:pPr>
              <w:pStyle w:val="NormalWeb"/>
              <w:shd w:val="clear" w:color="auto" w:fill="FFFFFF"/>
              <w:spacing w:before="0" w:beforeAutospacing="0" w:after="0" w:afterAutospacing="0"/>
              <w:textAlignment w:val="baseline"/>
              <w:rPr>
                <w:rFonts w:ascii="Arial Narrow" w:hAnsi="Arial Narrow" w:cs="Arial"/>
                <w:sz w:val="20"/>
                <w:szCs w:val="20"/>
                <w:lang w:bidi="ar-JO"/>
              </w:rPr>
            </w:pPr>
            <w:r>
              <w:rPr>
                <w:rFonts w:ascii="Arial Narrow" w:hAnsi="Arial Narrow" w:cs="Arial"/>
                <w:sz w:val="20"/>
                <w:szCs w:val="20"/>
                <w:lang w:bidi="ar-JO"/>
              </w:rPr>
              <w:t>No increase in the maximum number of repeats may be authorised.</w:t>
            </w:r>
          </w:p>
        </w:tc>
      </w:tr>
    </w:tbl>
    <w:p w:rsidR="004E0A2B" w:rsidRDefault="007A13CC">
      <w:pPr>
        <w:spacing w:before="120" w:after="120"/>
        <w:ind w:left="709"/>
        <w:jc w:val="both"/>
        <w:rPr>
          <w:rFonts w:asciiTheme="minorHAnsi" w:eastAsiaTheme="majorEastAsia" w:hAnsiTheme="minorHAnsi" w:cstheme="minorHAnsi"/>
          <w:i/>
          <w:lang w:eastAsia="en-US" w:bidi="ar-JO"/>
        </w:rPr>
      </w:pPr>
      <w:r>
        <w:rPr>
          <w:rFonts w:asciiTheme="minorHAnsi" w:eastAsiaTheme="majorEastAsia" w:hAnsiTheme="minorHAnsi" w:cstheme="minorHAnsi"/>
          <w:i/>
          <w:lang w:eastAsia="en-US" w:bidi="ar-JO"/>
        </w:rPr>
        <w:t xml:space="preserve">For more detail on PBAC’s view, see section 5 PBAC outcome. </w:t>
      </w:r>
    </w:p>
    <w:p w:rsidR="004E0A2B" w:rsidRDefault="004E0A2B">
      <w:pPr>
        <w:spacing w:before="120" w:after="120"/>
        <w:ind w:left="709"/>
        <w:jc w:val="both"/>
        <w:rPr>
          <w:rFonts w:asciiTheme="minorHAnsi" w:eastAsiaTheme="majorEastAsia" w:hAnsiTheme="minorHAnsi" w:cstheme="minorHAnsi"/>
          <w:i/>
          <w:lang w:eastAsia="en-US" w:bidi="ar-JO"/>
        </w:rPr>
      </w:pPr>
    </w:p>
    <w:p w:rsidR="004E0A2B" w:rsidRDefault="007A13CC">
      <w:pPr>
        <w:pStyle w:val="PBACHeading1"/>
        <w:spacing w:before="120" w:after="120"/>
        <w:ind w:left="709" w:hanging="709"/>
        <w:jc w:val="both"/>
        <w:rPr>
          <w:rFonts w:asciiTheme="minorHAnsi" w:hAnsiTheme="minorHAnsi" w:cstheme="minorHAnsi"/>
          <w:sz w:val="32"/>
          <w:szCs w:val="32"/>
          <w:lang w:bidi="ar-JO"/>
        </w:rPr>
      </w:pPr>
      <w:r>
        <w:rPr>
          <w:rFonts w:asciiTheme="minorHAnsi" w:hAnsiTheme="minorHAnsi" w:cstheme="minorHAnsi"/>
          <w:sz w:val="32"/>
          <w:szCs w:val="32"/>
          <w:lang w:bidi="ar-JO"/>
        </w:rPr>
        <w:t>Background</w:t>
      </w:r>
    </w:p>
    <w:p w:rsidR="004E0A2B" w:rsidRDefault="007A13CC">
      <w:pPr>
        <w:pStyle w:val="Heading2"/>
        <w:keepLines/>
        <w:spacing w:before="120" w:after="120"/>
        <w:jc w:val="both"/>
        <w:rPr>
          <w:rFonts w:asciiTheme="minorHAnsi" w:eastAsiaTheme="majorEastAsia" w:hAnsiTheme="minorHAnsi" w:cstheme="majorBidi"/>
          <w:sz w:val="28"/>
          <w:szCs w:val="28"/>
          <w:lang w:eastAsia="en-US" w:bidi="ar-JO"/>
        </w:rPr>
      </w:pPr>
      <w:r>
        <w:rPr>
          <w:rFonts w:asciiTheme="minorHAnsi" w:eastAsiaTheme="majorEastAsia" w:hAnsiTheme="minorHAnsi" w:cstheme="majorBidi"/>
          <w:sz w:val="28"/>
          <w:szCs w:val="28"/>
          <w:lang w:eastAsia="en-US" w:bidi="ar-JO"/>
        </w:rPr>
        <w:t>Registration status</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Mupirocin 2% ointment (Medsurge) in 3g and 5g pack sizes was registered with the TGA on 5 April 2019 for the elimination of nasal carriage of staphylococci, including methicillin resistant staphylococcus aureus (MRSA). The TGA established that Medsurge brand can be considered bioequivalent to Bactroban® brand mupirocin nasal ointment. Only the 5g pack size requested to be listed on the PBS.</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Mupirocin 2% nasal ointment, 3g (Bactroban®) was listed on the PBS on 1 July 2009 for the treatment of nasal colonisation of staphylococcus aureus infection in Aboriginal and Torres Strait Islander persons.</w:t>
      </w:r>
    </w:p>
    <w:p w:rsidR="004E0A2B" w:rsidRDefault="007A13CC" w:rsidP="004139F8">
      <w:pPr>
        <w:ind w:left="709"/>
        <w:jc w:val="both"/>
        <w:rPr>
          <w:rFonts w:asciiTheme="minorHAnsi" w:eastAsiaTheme="majorEastAsia" w:hAnsiTheme="minorHAnsi" w:cstheme="minorHAnsi"/>
          <w:i/>
          <w:lang w:eastAsia="en-US" w:bidi="ar-JO"/>
        </w:rPr>
      </w:pPr>
      <w:r>
        <w:rPr>
          <w:rFonts w:asciiTheme="minorHAnsi" w:eastAsiaTheme="majorEastAsia" w:hAnsiTheme="minorHAnsi" w:cstheme="minorHAnsi"/>
          <w:i/>
          <w:lang w:eastAsia="en-US" w:bidi="ar-JO"/>
        </w:rPr>
        <w:t>For more detail on PBAC’s view, see section 5 PBAC outcome.</w:t>
      </w:r>
    </w:p>
    <w:p w:rsidR="004139F8" w:rsidRDefault="004139F8" w:rsidP="004139F8">
      <w:pPr>
        <w:jc w:val="both"/>
        <w:rPr>
          <w:rFonts w:asciiTheme="minorHAnsi" w:eastAsiaTheme="majorEastAsia" w:hAnsiTheme="minorHAnsi" w:cstheme="minorHAnsi"/>
          <w:b/>
          <w:i/>
          <w:lang w:bidi="ar-JO"/>
        </w:rPr>
      </w:pPr>
    </w:p>
    <w:p w:rsidR="004E0A2B" w:rsidRDefault="007A13CC" w:rsidP="004139F8">
      <w:pPr>
        <w:pStyle w:val="PBACHeading1"/>
        <w:ind w:left="709" w:hanging="709"/>
        <w:jc w:val="both"/>
        <w:rPr>
          <w:rFonts w:asciiTheme="minorHAnsi" w:hAnsiTheme="minorHAnsi" w:cstheme="minorHAnsi"/>
          <w:sz w:val="32"/>
          <w:szCs w:val="32"/>
          <w:lang w:bidi="ar-JO"/>
        </w:rPr>
      </w:pPr>
      <w:r>
        <w:rPr>
          <w:rFonts w:asciiTheme="minorHAnsi" w:hAnsiTheme="minorHAnsi" w:cstheme="minorHAnsi"/>
          <w:sz w:val="32"/>
          <w:szCs w:val="32"/>
          <w:lang w:bidi="ar-JO"/>
        </w:rPr>
        <w:t>Consideration of the evidence</w:t>
      </w:r>
    </w:p>
    <w:p w:rsidR="004E0A2B" w:rsidRDefault="007A13CC">
      <w:pPr>
        <w:pStyle w:val="Heading2"/>
        <w:keepLines/>
        <w:spacing w:before="120" w:after="120"/>
        <w:jc w:val="both"/>
        <w:rPr>
          <w:rFonts w:asciiTheme="minorHAnsi" w:eastAsiaTheme="majorEastAsia" w:hAnsiTheme="minorHAnsi" w:cstheme="majorBidi"/>
          <w:sz w:val="28"/>
          <w:szCs w:val="28"/>
          <w:lang w:eastAsia="en-US" w:bidi="ar-JO"/>
        </w:rPr>
      </w:pPr>
      <w:r>
        <w:rPr>
          <w:rFonts w:asciiTheme="minorHAnsi" w:eastAsiaTheme="majorEastAsia" w:hAnsiTheme="minorHAnsi" w:cstheme="majorBidi"/>
          <w:sz w:val="28"/>
          <w:szCs w:val="28"/>
          <w:lang w:eastAsia="en-US" w:bidi="ar-JO"/>
        </w:rPr>
        <w:t xml:space="preserve">Sponsor hearing </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There was no hearing for this item as it was a minor submission.</w:t>
      </w:r>
    </w:p>
    <w:p w:rsidR="004E0A2B" w:rsidRDefault="007A13CC">
      <w:pPr>
        <w:pStyle w:val="Heading2"/>
        <w:keepLines/>
        <w:spacing w:before="120" w:after="120"/>
        <w:jc w:val="both"/>
        <w:rPr>
          <w:rFonts w:asciiTheme="minorHAnsi" w:eastAsiaTheme="majorEastAsia" w:hAnsiTheme="minorHAnsi" w:cstheme="majorBidi"/>
          <w:sz w:val="28"/>
          <w:szCs w:val="28"/>
          <w:lang w:eastAsia="en-US" w:bidi="ar-JO"/>
        </w:rPr>
      </w:pPr>
      <w:r>
        <w:rPr>
          <w:rFonts w:asciiTheme="minorHAnsi" w:eastAsiaTheme="majorEastAsia" w:hAnsiTheme="minorHAnsi" w:cstheme="majorBidi"/>
          <w:sz w:val="28"/>
          <w:szCs w:val="28"/>
          <w:lang w:eastAsia="en-US" w:bidi="ar-JO"/>
        </w:rPr>
        <w:t>Consumer comments</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The PBAC noted that no consumer comments were received for this item.</w:t>
      </w:r>
    </w:p>
    <w:p w:rsidR="004E0A2B" w:rsidRDefault="007A13CC">
      <w:pPr>
        <w:pStyle w:val="Heading2"/>
        <w:keepLines/>
        <w:spacing w:before="120" w:after="120"/>
        <w:jc w:val="both"/>
        <w:rPr>
          <w:rFonts w:asciiTheme="minorHAnsi" w:eastAsiaTheme="majorEastAsia" w:hAnsiTheme="minorHAnsi" w:cstheme="majorBidi"/>
          <w:sz w:val="28"/>
          <w:szCs w:val="28"/>
          <w:lang w:eastAsia="en-US" w:bidi="ar-JO"/>
        </w:rPr>
      </w:pPr>
      <w:r>
        <w:rPr>
          <w:rFonts w:asciiTheme="minorHAnsi" w:eastAsiaTheme="majorEastAsia" w:hAnsiTheme="minorHAnsi" w:cstheme="majorBidi"/>
          <w:sz w:val="28"/>
          <w:szCs w:val="28"/>
          <w:lang w:eastAsia="en-US" w:bidi="ar-JO"/>
        </w:rPr>
        <w:t>Estimated PBS usage &amp; financial implications</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The sponsor proposed an AEMP of $12.57. This proposed AEMP of Medsurge mupirocin ointment, 5g is the same as the AEMP of Bactroban® nasal ointment, 3g.</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As the two pack sizes were proposed to be priced the same, there is likely to be no financial implications to the PBS as mupirocin 2% ointment, 5g (Medsurge) is expected to only substitute for mupirocin 2% nasal ointment, 3g (Bactroban®).</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 xml:space="preserve">The Secretariat examined the number of prescriptions dispensed for mupirocin 2% nasal ointment (Bactroban®, item 9440W). A six month cohort of patients first initiating on the medicine was selected from December 2017 to May 2018. This allowed at least a 12 month follow-up period to the most current data at the time of the analysis (April 2019), based on the date of supply. The number of prescriptions dispensed per patient was counted over a 12 month period from the date of the patient’s first initiation. For this initiating cohort (n=1,510), 94 patients (6.2%) were </w:t>
      </w:r>
      <w:r>
        <w:rPr>
          <w:rFonts w:asciiTheme="minorHAnsi" w:eastAsiaTheme="minorHAnsi" w:hAnsiTheme="minorHAnsi" w:cstheme="minorHAnsi"/>
          <w:snapToGrid/>
          <w:sz w:val="24"/>
          <w:szCs w:val="22"/>
          <w:lang w:bidi="ar-JO"/>
        </w:rPr>
        <w:lastRenderedPageBreak/>
        <w:t>dispensed more than one script of mupirocin 2% nasal ointment (Bactroban®) within 12 months of their first script. This is likely to indicate that across the population the need for a second prescription is low, and is expected to constitute a small population even upon the prospective listing of the 5g pack size. The listing is therefore unlikely to result in any quantifiable savings to the PBS. The Secretariat provided utilisation data for Bactroban®. This showed that between 2015 and 2018, script numbers varied from 6,190 to 12,490 per year with no clear trend in utilisation.</w:t>
      </w:r>
    </w:p>
    <w:p w:rsidR="004E0A2B" w:rsidRDefault="007A13CC" w:rsidP="004139F8">
      <w:pPr>
        <w:pStyle w:val="ListParagraph"/>
        <w:rPr>
          <w:rFonts w:asciiTheme="minorHAnsi" w:eastAsiaTheme="majorEastAsia" w:hAnsiTheme="minorHAnsi" w:cstheme="minorHAnsi"/>
          <w:i/>
          <w:sz w:val="24"/>
          <w:szCs w:val="24"/>
          <w:lang w:bidi="ar-JO"/>
        </w:rPr>
      </w:pPr>
      <w:r>
        <w:rPr>
          <w:rFonts w:asciiTheme="minorHAnsi" w:eastAsiaTheme="majorEastAsia" w:hAnsiTheme="minorHAnsi" w:cstheme="minorHAnsi"/>
          <w:i/>
          <w:sz w:val="24"/>
          <w:szCs w:val="24"/>
          <w:lang w:bidi="ar-JO"/>
        </w:rPr>
        <w:t>For more detail on PBAC’s view, see section 5 PBAC outcome.</w:t>
      </w:r>
    </w:p>
    <w:p w:rsidR="004E0A2B" w:rsidRDefault="004E0A2B" w:rsidP="004139F8">
      <w:pPr>
        <w:pStyle w:val="ListParagraph"/>
        <w:rPr>
          <w:rFonts w:asciiTheme="minorHAnsi" w:eastAsiaTheme="majorEastAsia" w:hAnsiTheme="minorHAnsi" w:cstheme="minorHAnsi"/>
          <w:i/>
          <w:sz w:val="24"/>
          <w:szCs w:val="24"/>
          <w:lang w:bidi="ar-JO"/>
        </w:rPr>
      </w:pPr>
    </w:p>
    <w:p w:rsidR="004E0A2B" w:rsidRDefault="007A13CC" w:rsidP="004139F8">
      <w:pPr>
        <w:pStyle w:val="PBACHeading1"/>
        <w:ind w:left="709" w:hanging="709"/>
        <w:jc w:val="both"/>
        <w:rPr>
          <w:rFonts w:asciiTheme="minorHAnsi" w:hAnsiTheme="minorHAnsi" w:cstheme="minorHAnsi"/>
          <w:sz w:val="32"/>
          <w:szCs w:val="32"/>
          <w:lang w:bidi="ar-JO"/>
        </w:rPr>
      </w:pPr>
      <w:r>
        <w:rPr>
          <w:rFonts w:asciiTheme="minorHAnsi" w:hAnsiTheme="minorHAnsi" w:cstheme="minorHAnsi"/>
          <w:sz w:val="32"/>
          <w:szCs w:val="32"/>
          <w:lang w:bidi="ar-JO"/>
        </w:rPr>
        <w:t>PBAC Outcome</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Arial"/>
          <w:bCs/>
          <w:snapToGrid w:val="0"/>
          <w:lang w:bidi="ar-JO"/>
        </w:rPr>
        <w:t xml:space="preserve">The PBAC recommended the Section 85 Authority Required (STREAMLINED) listing of a new presentation of mupirocin, in the form 2% nasal ointment 5g (Medsurge) as an alternative to the currently listed mupirocin 2% nasal ointment, 3g (Bactroban®) </w:t>
      </w:r>
      <w:r>
        <w:rPr>
          <w:rFonts w:asciiTheme="minorHAnsi" w:eastAsiaTheme="minorHAnsi" w:hAnsiTheme="minorHAnsi" w:cstheme="minorHAnsi"/>
          <w:szCs w:val="22"/>
          <w:lang w:bidi="ar-JO"/>
        </w:rPr>
        <w:t>for the treatment of nasal colonisation of staphylococcus aureus infection in Aboriginal and Torres Strait Islander persons.</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theme="minorHAnsi"/>
          <w:snapToGrid w:val="0"/>
          <w:lang w:eastAsia="en-US" w:bidi="ar-JO"/>
        </w:rPr>
        <w:t>The PBAC noted that the TGA ha</w:t>
      </w:r>
      <w:r>
        <w:rPr>
          <w:rFonts w:asciiTheme="minorHAnsi" w:hAnsiTheme="minorHAnsi" w:cstheme="minorHAnsi"/>
          <w:lang w:bidi="ar-JO"/>
        </w:rPr>
        <w:t>d</w:t>
      </w:r>
      <w:r>
        <w:rPr>
          <w:rFonts w:asciiTheme="minorHAnsi" w:hAnsiTheme="minorHAnsi" w:cstheme="minorHAnsi"/>
          <w:snapToGrid w:val="0"/>
          <w:lang w:eastAsia="en-US" w:bidi="ar-JO"/>
        </w:rPr>
        <w:t xml:space="preserve"> accepted that bioequivalence had been established between the </w:t>
      </w:r>
      <w:r>
        <w:rPr>
          <w:rFonts w:asciiTheme="minorHAnsi" w:hAnsiTheme="minorHAnsi" w:cstheme="minorHAnsi"/>
          <w:bCs/>
          <w:snapToGrid w:val="0"/>
          <w:lang w:bidi="ar-JO"/>
        </w:rPr>
        <w:t xml:space="preserve">Medsurge </w:t>
      </w:r>
      <w:r>
        <w:rPr>
          <w:rFonts w:asciiTheme="minorHAnsi" w:hAnsiTheme="minorHAnsi" w:cstheme="minorHAnsi"/>
          <w:lang w:bidi="ar-JO"/>
        </w:rPr>
        <w:t xml:space="preserve">mupirocin nasal ointment, 5g </w:t>
      </w:r>
      <w:r>
        <w:rPr>
          <w:rFonts w:asciiTheme="minorHAnsi" w:hAnsiTheme="minorHAnsi" w:cstheme="minorHAnsi"/>
          <w:snapToGrid w:val="0"/>
          <w:lang w:eastAsia="en-US" w:bidi="ar-JO"/>
        </w:rPr>
        <w:t xml:space="preserve">and the </w:t>
      </w:r>
      <w:r>
        <w:rPr>
          <w:rFonts w:asciiTheme="minorHAnsi" w:hAnsiTheme="minorHAnsi" w:cstheme="minorHAnsi"/>
          <w:bCs/>
          <w:snapToGrid w:val="0"/>
          <w:lang w:bidi="ar-JO"/>
        </w:rPr>
        <w:t>Bactroban®, 3g</w:t>
      </w:r>
      <w:r>
        <w:rPr>
          <w:rFonts w:asciiTheme="minorHAnsi" w:hAnsiTheme="minorHAnsi" w:cstheme="minorHAnsi"/>
          <w:lang w:bidi="ar-JO"/>
        </w:rPr>
        <w:t xml:space="preserve"> products.</w:t>
      </w:r>
    </w:p>
    <w:p w:rsidR="004E0A2B" w:rsidRDefault="007A13CC">
      <w:pPr>
        <w:widowControl w:val="0"/>
        <w:numPr>
          <w:ilvl w:val="1"/>
          <w:numId w:val="5"/>
        </w:numPr>
        <w:spacing w:before="120" w:after="120"/>
        <w:jc w:val="both"/>
        <w:rPr>
          <w:rFonts w:asciiTheme="minorHAnsi" w:hAnsiTheme="minorHAnsi"/>
          <w:bCs/>
          <w:snapToGrid w:val="0"/>
          <w:lang w:bidi="ar-JO"/>
        </w:rPr>
      </w:pPr>
      <w:r>
        <w:rPr>
          <w:rFonts w:asciiTheme="minorHAnsi" w:hAnsiTheme="minorHAnsi"/>
          <w:bCs/>
          <w:snapToGrid w:val="0"/>
          <w:lang w:bidi="ar-JO"/>
        </w:rPr>
        <w:t>The PBAC noted that the sponsor had proposed the same price as the currently listed 3g pack size of Bactroban</w:t>
      </w:r>
      <w:r>
        <w:rPr>
          <w:rFonts w:asciiTheme="minorHAnsi" w:hAnsiTheme="minorHAnsi" w:cs="Arial"/>
          <w:bCs/>
          <w:snapToGrid w:val="0"/>
          <w:lang w:bidi="ar-JO"/>
        </w:rPr>
        <w:t>®</w:t>
      </w:r>
      <w:r>
        <w:rPr>
          <w:rFonts w:asciiTheme="minorHAnsi" w:hAnsiTheme="minorHAnsi"/>
          <w:bCs/>
          <w:snapToGrid w:val="0"/>
          <w:lang w:bidi="ar-JO"/>
        </w:rPr>
        <w:t xml:space="preserve">. </w:t>
      </w:r>
    </w:p>
    <w:p w:rsidR="004E0A2B" w:rsidRDefault="007A13CC">
      <w:pPr>
        <w:pStyle w:val="ListParagraph"/>
        <w:widowControl/>
        <w:numPr>
          <w:ilvl w:val="1"/>
          <w:numId w:val="5"/>
        </w:numPr>
        <w:spacing w:before="120" w:after="120"/>
        <w:contextualSpacing w:val="0"/>
        <w:rPr>
          <w:rFonts w:asciiTheme="minorHAnsi" w:eastAsiaTheme="minorHAnsi" w:hAnsiTheme="minorHAnsi" w:cstheme="minorHAnsi"/>
          <w:snapToGrid/>
          <w:sz w:val="24"/>
          <w:szCs w:val="22"/>
          <w:lang w:bidi="ar-JO"/>
        </w:rPr>
      </w:pPr>
      <w:r>
        <w:rPr>
          <w:rFonts w:asciiTheme="minorHAnsi" w:eastAsiaTheme="minorHAnsi" w:hAnsiTheme="minorHAnsi" w:cstheme="minorHAnsi"/>
          <w:snapToGrid/>
          <w:sz w:val="24"/>
          <w:szCs w:val="22"/>
          <w:lang w:bidi="ar-JO"/>
        </w:rPr>
        <w:t>The PBAC noted the utilisation data for PBS-subsidised Bactroban® between 2015 and 2018 and considered that it was difficult to estimate of utilisation and financial impact from listing the alternative brand. The PBAC noted that use of the currently listed Bactroban® brand was moderate and considered that the estimated utilisation and financial impact to the PBS were unlikely to be substantially altered by the addition of the new brand to the PBS, as current use showed that most patients do not receive a second prescription of mupirocin under the current listing. The PBAC therefore considered that listing of mupirocin 2% ointment (Medsurge) in a larger pack size of 5g was not expected to result in financial implications to the PBS/RPBS.</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Arial"/>
          <w:bCs/>
          <w:snapToGrid w:val="0"/>
          <w:lang w:bidi="ar-JO"/>
        </w:rPr>
        <w:t>The PBAC considered that listing of a larger pack size of mupirocin was unlikely to increase the risk of developing antimicrobial resistance in community settings.</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Arial"/>
          <w:bCs/>
          <w:snapToGrid w:val="0"/>
          <w:lang w:bidi="ar-JO"/>
        </w:rPr>
        <w:t>The PBAC advised that mupirocin 2% ointment, 5g (Medsurge) was suitable for prescribing by nurse practitioners, consistent with the listing for Bactroban® nasal ointment, 3g.</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Arial"/>
          <w:bCs/>
          <w:snapToGrid w:val="0"/>
          <w:lang w:bidi="ar-JO"/>
        </w:rPr>
        <w:t>The PBAC recommended that the Early Supply Rule should not apply, which was consistent with the currently listed Bactroban® nasal ointment, 3g.</w:t>
      </w:r>
    </w:p>
    <w:p w:rsidR="004E0A2B" w:rsidRDefault="007A13CC">
      <w:pPr>
        <w:pStyle w:val="ListParagraph"/>
        <w:widowControl/>
        <w:numPr>
          <w:ilvl w:val="1"/>
          <w:numId w:val="5"/>
        </w:numPr>
        <w:spacing w:before="120" w:after="120"/>
        <w:contextualSpacing w:val="0"/>
        <w:rPr>
          <w:rFonts w:asciiTheme="minorHAnsi" w:hAnsiTheme="minorHAnsi"/>
          <w:sz w:val="24"/>
          <w:szCs w:val="24"/>
          <w:lang w:bidi="ar-JO"/>
        </w:rPr>
      </w:pPr>
      <w:r>
        <w:rPr>
          <w:rFonts w:asciiTheme="minorHAnsi" w:hAnsiTheme="minorHAnsi"/>
          <w:sz w:val="24"/>
          <w:szCs w:val="24"/>
          <w:lang w:bidi="ar-JO"/>
        </w:rPr>
        <w:t xml:space="preserve">The PBAC noted that its recommendation was for a new form of an already listed drug and advised that because the recommended listing was not expected to alter the efficacy or toxicity of the treatment, or address a high and urgent unmet clinical need, </w:t>
      </w:r>
      <w:r>
        <w:rPr>
          <w:rFonts w:asciiTheme="minorHAnsi" w:hAnsiTheme="minorHAnsi"/>
          <w:sz w:val="24"/>
          <w:szCs w:val="24"/>
          <w:lang w:bidi="ar-JO"/>
        </w:rPr>
        <w:lastRenderedPageBreak/>
        <w:t xml:space="preserve">the criteria prescribed by the </w:t>
      </w:r>
      <w:r>
        <w:rPr>
          <w:rFonts w:asciiTheme="minorHAnsi" w:hAnsiTheme="minorHAnsi"/>
          <w:i/>
          <w:sz w:val="24"/>
          <w:szCs w:val="24"/>
          <w:lang w:bidi="ar-JO"/>
        </w:rPr>
        <w:t>National Health (Pharmaceuticals and Vaccines – Cost Recovery) Regulations 2009</w:t>
      </w:r>
      <w:r>
        <w:rPr>
          <w:rFonts w:asciiTheme="minorHAnsi" w:hAnsiTheme="minorHAnsi"/>
          <w:sz w:val="24"/>
          <w:szCs w:val="24"/>
          <w:lang w:bidi="ar-JO"/>
        </w:rPr>
        <w:t xml:space="preserve"> for Pricing Pathway A were not met. </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Arial"/>
          <w:bCs/>
          <w:snapToGrid w:val="0"/>
          <w:lang w:bidi="ar-JO"/>
        </w:rPr>
        <w:t>The PBAC noted that this submission is not eligible for an Independent Review, as it received a positive recommendation.</w:t>
      </w:r>
    </w:p>
    <w:p w:rsidR="004E0A2B" w:rsidRDefault="007A13CC">
      <w:pPr>
        <w:rPr>
          <w:rFonts w:asciiTheme="minorHAnsi" w:hAnsiTheme="minorHAnsi" w:cstheme="minorHAnsi"/>
          <w:b/>
          <w:snapToGrid w:val="0"/>
          <w:lang w:bidi="ar-JO"/>
        </w:rPr>
      </w:pPr>
      <w:r>
        <w:rPr>
          <w:rFonts w:asciiTheme="minorHAnsi" w:hAnsiTheme="minorHAnsi" w:cstheme="minorHAnsi"/>
          <w:b/>
          <w:snapToGrid w:val="0"/>
          <w:lang w:bidi="ar-JO"/>
        </w:rPr>
        <w:t>Outcome:</w:t>
      </w:r>
    </w:p>
    <w:p w:rsidR="004E0A2B" w:rsidRDefault="007A13CC">
      <w:pPr>
        <w:rPr>
          <w:rFonts w:asciiTheme="minorHAnsi" w:hAnsiTheme="minorHAnsi" w:cstheme="minorHAnsi"/>
          <w:snapToGrid w:val="0"/>
          <w:lang w:bidi="ar-JO"/>
        </w:rPr>
      </w:pPr>
      <w:r>
        <w:rPr>
          <w:rFonts w:asciiTheme="minorHAnsi" w:hAnsiTheme="minorHAnsi" w:cstheme="minorHAnsi"/>
          <w:snapToGrid w:val="0"/>
          <w:lang w:bidi="ar-JO"/>
        </w:rPr>
        <w:t>Recommended</w:t>
      </w:r>
    </w:p>
    <w:p w:rsidR="004E0A2B" w:rsidRDefault="004E0A2B">
      <w:pPr>
        <w:rPr>
          <w:rFonts w:asciiTheme="minorHAnsi" w:hAnsiTheme="minorHAnsi" w:cstheme="minorHAnsi"/>
          <w:snapToGrid w:val="0"/>
          <w:lang w:bidi="ar-JO"/>
        </w:rPr>
      </w:pPr>
    </w:p>
    <w:p w:rsidR="004E0A2B" w:rsidRDefault="007A13CC">
      <w:pPr>
        <w:pStyle w:val="PBACHeading1"/>
        <w:spacing w:before="120" w:after="120"/>
        <w:ind w:left="709" w:hanging="709"/>
        <w:rPr>
          <w:rFonts w:asciiTheme="minorHAnsi" w:hAnsiTheme="minorHAnsi" w:cstheme="minorHAnsi"/>
          <w:sz w:val="32"/>
          <w:szCs w:val="32"/>
          <w:lang w:bidi="ar-JO"/>
        </w:rPr>
      </w:pPr>
      <w:r>
        <w:rPr>
          <w:rFonts w:asciiTheme="minorHAnsi" w:hAnsiTheme="minorHAnsi" w:cstheme="minorHAnsi"/>
          <w:sz w:val="32"/>
          <w:szCs w:val="32"/>
          <w:lang w:bidi="ar-JO"/>
        </w:rPr>
        <w:t>Recommended listing</w:t>
      </w:r>
    </w:p>
    <w:p w:rsidR="004E0A2B" w:rsidRDefault="007A13CC">
      <w:pPr>
        <w:widowControl w:val="0"/>
        <w:numPr>
          <w:ilvl w:val="1"/>
          <w:numId w:val="5"/>
        </w:numPr>
        <w:spacing w:before="120" w:after="120"/>
        <w:jc w:val="both"/>
        <w:rPr>
          <w:rFonts w:asciiTheme="minorHAnsi" w:hAnsiTheme="minorHAnsi" w:cs="Arial"/>
          <w:bCs/>
          <w:snapToGrid w:val="0"/>
          <w:lang w:bidi="ar-JO"/>
        </w:rPr>
      </w:pPr>
      <w:r>
        <w:rPr>
          <w:rFonts w:asciiTheme="minorHAnsi" w:hAnsiTheme="minorHAnsi" w:cs="Arial"/>
          <w:bCs/>
          <w:snapToGrid w:val="0"/>
          <w:lang w:bidi="ar-JO"/>
        </w:rPr>
        <w:t xml:space="preserve">Add new item: </w:t>
      </w:r>
    </w:p>
    <w:tbl>
      <w:tblPr>
        <w:tblW w:w="5000" w:type="pct"/>
        <w:tblLook w:val="0020" w:firstRow="1" w:lastRow="0" w:firstColumn="0" w:lastColumn="0" w:noHBand="0" w:noVBand="0"/>
      </w:tblPr>
      <w:tblGrid>
        <w:gridCol w:w="3054"/>
        <w:gridCol w:w="581"/>
        <w:gridCol w:w="966"/>
        <w:gridCol w:w="4425"/>
      </w:tblGrid>
      <w:tr w:rsidR="004E0A2B">
        <w:trPr>
          <w:cantSplit/>
          <w:trHeight w:val="465"/>
        </w:trPr>
        <w:tc>
          <w:tcPr>
            <w:tcW w:w="1692" w:type="pct"/>
            <w:tcBorders>
              <w:bottom w:val="single" w:sz="4" w:space="0" w:color="auto"/>
            </w:tcBorders>
          </w:tcPr>
          <w:p w:rsidR="004E0A2B" w:rsidRDefault="007A13CC">
            <w:pPr>
              <w:keepNext/>
              <w:spacing w:before="40" w:after="40"/>
              <w:rPr>
                <w:rFonts w:ascii="Arial Narrow" w:hAnsi="Arial Narrow" w:cs="Arial"/>
                <w:b/>
                <w:sz w:val="20"/>
                <w:szCs w:val="20"/>
                <w:lang w:bidi="ar-JO"/>
              </w:rPr>
            </w:pPr>
            <w:r>
              <w:rPr>
                <w:rFonts w:ascii="Arial Narrow" w:hAnsi="Arial Narrow" w:cs="Arial"/>
                <w:b/>
                <w:sz w:val="20"/>
                <w:szCs w:val="20"/>
                <w:lang w:bidi="ar-JO"/>
              </w:rPr>
              <w:t>Name, Restriction,</w:t>
            </w:r>
          </w:p>
          <w:p w:rsidR="004E0A2B" w:rsidRDefault="007A13CC">
            <w:pPr>
              <w:keepNext/>
              <w:spacing w:before="40" w:after="40"/>
              <w:rPr>
                <w:rFonts w:ascii="Arial Narrow" w:hAnsi="Arial Narrow" w:cs="Arial"/>
                <w:sz w:val="20"/>
                <w:szCs w:val="20"/>
                <w:lang w:bidi="ar-JO"/>
              </w:rPr>
            </w:pPr>
            <w:r>
              <w:rPr>
                <w:rFonts w:ascii="Arial Narrow" w:hAnsi="Arial Narrow" w:cs="Arial"/>
                <w:b/>
                <w:sz w:val="20"/>
                <w:szCs w:val="20"/>
                <w:lang w:bidi="ar-JO"/>
              </w:rPr>
              <w:t>Manner of administration and form</w:t>
            </w:r>
          </w:p>
        </w:tc>
        <w:tc>
          <w:tcPr>
            <w:tcW w:w="322" w:type="pct"/>
            <w:tcBorders>
              <w:bottom w:val="single" w:sz="4" w:space="0" w:color="auto"/>
            </w:tcBorders>
          </w:tcPr>
          <w:p w:rsidR="004E0A2B" w:rsidRDefault="007A13CC">
            <w:pPr>
              <w:keepNext/>
              <w:spacing w:before="40" w:after="40"/>
              <w:rPr>
                <w:rFonts w:ascii="Arial Narrow" w:hAnsi="Arial Narrow" w:cs="Arial"/>
                <w:b/>
                <w:sz w:val="20"/>
                <w:szCs w:val="20"/>
                <w:lang w:bidi="ar-JO"/>
              </w:rPr>
            </w:pPr>
            <w:r>
              <w:rPr>
                <w:rFonts w:ascii="Arial Narrow" w:hAnsi="Arial Narrow" w:cs="Arial"/>
                <w:b/>
                <w:sz w:val="20"/>
                <w:szCs w:val="20"/>
                <w:lang w:bidi="ar-JO"/>
              </w:rPr>
              <w:t>Max.</w:t>
            </w:r>
          </w:p>
          <w:p w:rsidR="004E0A2B" w:rsidRDefault="007A13CC">
            <w:pPr>
              <w:keepNext/>
              <w:spacing w:before="40" w:after="40"/>
              <w:rPr>
                <w:rFonts w:ascii="Arial Narrow" w:hAnsi="Arial Narrow" w:cs="Arial"/>
                <w:b/>
                <w:sz w:val="20"/>
                <w:szCs w:val="20"/>
                <w:lang w:bidi="ar-JO"/>
              </w:rPr>
            </w:pPr>
            <w:r>
              <w:rPr>
                <w:rFonts w:ascii="Arial Narrow" w:hAnsi="Arial Narrow" w:cs="Arial"/>
                <w:b/>
                <w:sz w:val="20"/>
                <w:szCs w:val="20"/>
                <w:lang w:bidi="ar-JO"/>
              </w:rPr>
              <w:t>Qty</w:t>
            </w:r>
          </w:p>
        </w:tc>
        <w:tc>
          <w:tcPr>
            <w:tcW w:w="535" w:type="pct"/>
            <w:tcBorders>
              <w:bottom w:val="single" w:sz="4" w:space="0" w:color="auto"/>
            </w:tcBorders>
          </w:tcPr>
          <w:p w:rsidR="004E0A2B" w:rsidRDefault="007A13CC">
            <w:pPr>
              <w:keepNext/>
              <w:spacing w:before="40" w:after="40"/>
              <w:rPr>
                <w:rFonts w:ascii="Arial Narrow" w:hAnsi="Arial Narrow" w:cs="Arial"/>
                <w:b/>
                <w:sz w:val="20"/>
                <w:szCs w:val="20"/>
                <w:lang w:bidi="ar-JO"/>
              </w:rPr>
            </w:pPr>
            <w:r>
              <w:rPr>
                <w:rFonts w:ascii="Arial Narrow" w:hAnsi="Arial Narrow" w:cs="Arial"/>
                <w:b/>
                <w:sz w:val="20"/>
                <w:szCs w:val="20"/>
                <w:lang w:bidi="ar-JO"/>
              </w:rPr>
              <w:t>№.of</w:t>
            </w:r>
          </w:p>
          <w:p w:rsidR="004E0A2B" w:rsidRDefault="007A13CC">
            <w:pPr>
              <w:keepNext/>
              <w:spacing w:before="40" w:after="40"/>
              <w:rPr>
                <w:rFonts w:ascii="Arial Narrow" w:hAnsi="Arial Narrow" w:cs="Arial"/>
                <w:b/>
                <w:sz w:val="20"/>
                <w:szCs w:val="20"/>
                <w:lang w:bidi="ar-JO"/>
              </w:rPr>
            </w:pPr>
            <w:r>
              <w:rPr>
                <w:rFonts w:ascii="Arial Narrow" w:hAnsi="Arial Narrow" w:cs="Arial"/>
                <w:b/>
                <w:sz w:val="20"/>
                <w:szCs w:val="20"/>
                <w:lang w:bidi="ar-JO"/>
              </w:rPr>
              <w:t>Rpts</w:t>
            </w:r>
          </w:p>
        </w:tc>
        <w:tc>
          <w:tcPr>
            <w:tcW w:w="2451" w:type="pct"/>
            <w:tcBorders>
              <w:bottom w:val="single" w:sz="4" w:space="0" w:color="auto"/>
            </w:tcBorders>
          </w:tcPr>
          <w:p w:rsidR="004E0A2B" w:rsidRDefault="007A13CC">
            <w:pPr>
              <w:keepNext/>
              <w:spacing w:before="40" w:after="40"/>
              <w:rPr>
                <w:rFonts w:ascii="Arial Narrow" w:hAnsi="Arial Narrow" w:cs="Arial"/>
                <w:b/>
                <w:sz w:val="20"/>
                <w:szCs w:val="20"/>
                <w:lang w:bidi="ar-JO"/>
              </w:rPr>
            </w:pPr>
            <w:r>
              <w:rPr>
                <w:rFonts w:ascii="Arial Narrow" w:hAnsi="Arial Narrow" w:cs="Arial"/>
                <w:b/>
                <w:sz w:val="20"/>
                <w:szCs w:val="20"/>
                <w:lang w:bidi="ar-JO"/>
              </w:rPr>
              <w:t>Proprietary Name and Manufacturer</w:t>
            </w:r>
          </w:p>
        </w:tc>
      </w:tr>
      <w:tr w:rsidR="004E0A2B">
        <w:trPr>
          <w:cantSplit/>
          <w:trHeight w:val="764"/>
        </w:trPr>
        <w:tc>
          <w:tcPr>
            <w:tcW w:w="1692" w:type="pct"/>
          </w:tcPr>
          <w:p w:rsidR="004E0A2B" w:rsidRDefault="007A13CC">
            <w:pPr>
              <w:keepNext/>
              <w:spacing w:before="40" w:after="40"/>
              <w:rPr>
                <w:rFonts w:ascii="Arial Narrow" w:hAnsi="Arial Narrow" w:cs="Arial"/>
                <w:sz w:val="20"/>
                <w:szCs w:val="20"/>
                <w:lang w:bidi="ar-JO"/>
              </w:rPr>
            </w:pPr>
            <w:r>
              <w:rPr>
                <w:rFonts w:ascii="Arial Narrow" w:hAnsi="Arial Narrow" w:cs="Arial"/>
                <w:smallCaps/>
                <w:sz w:val="20"/>
                <w:szCs w:val="20"/>
                <w:lang w:bidi="ar-JO"/>
              </w:rPr>
              <w:t>MUPIROCIN</w:t>
            </w:r>
          </w:p>
          <w:p w:rsidR="004E0A2B" w:rsidRDefault="007A13CC">
            <w:pPr>
              <w:keepNext/>
              <w:spacing w:before="40" w:after="40"/>
              <w:rPr>
                <w:rFonts w:ascii="Arial Narrow" w:hAnsi="Arial Narrow" w:cs="Arial"/>
                <w:i/>
                <w:sz w:val="20"/>
                <w:szCs w:val="20"/>
                <w:lang w:bidi="ar-JO"/>
              </w:rPr>
            </w:pPr>
            <w:r>
              <w:rPr>
                <w:rFonts w:ascii="Arial Narrow" w:hAnsi="Arial Narrow" w:cs="Arial"/>
                <w:sz w:val="20"/>
                <w:szCs w:val="20"/>
                <w:lang w:bidi="ar-JO"/>
              </w:rPr>
              <w:t>2% ointment, 5g</w:t>
            </w:r>
          </w:p>
        </w:tc>
        <w:tc>
          <w:tcPr>
            <w:tcW w:w="322" w:type="pct"/>
          </w:tcPr>
          <w:p w:rsidR="004E0A2B" w:rsidRDefault="007A13CC">
            <w:pPr>
              <w:keepNext/>
              <w:spacing w:before="40" w:after="40"/>
              <w:rPr>
                <w:rFonts w:ascii="Arial Narrow" w:hAnsi="Arial Narrow" w:cs="Arial"/>
                <w:i/>
                <w:sz w:val="20"/>
                <w:szCs w:val="20"/>
                <w:lang w:bidi="ar-JO"/>
              </w:rPr>
            </w:pPr>
            <w:r>
              <w:rPr>
                <w:rFonts w:ascii="Arial Narrow" w:hAnsi="Arial Narrow" w:cs="Arial"/>
                <w:sz w:val="20"/>
                <w:szCs w:val="20"/>
                <w:lang w:bidi="ar-JO"/>
              </w:rPr>
              <w:t>1</w:t>
            </w:r>
          </w:p>
        </w:tc>
        <w:tc>
          <w:tcPr>
            <w:tcW w:w="535" w:type="pct"/>
          </w:tcPr>
          <w:p w:rsidR="004E0A2B" w:rsidRDefault="007A13CC">
            <w:pPr>
              <w:keepNext/>
              <w:spacing w:before="40" w:after="40"/>
              <w:rPr>
                <w:rFonts w:ascii="Arial Narrow" w:hAnsi="Arial Narrow" w:cs="Arial"/>
                <w:i/>
                <w:sz w:val="20"/>
                <w:szCs w:val="20"/>
                <w:lang w:bidi="ar-JO"/>
              </w:rPr>
            </w:pPr>
            <w:r>
              <w:rPr>
                <w:rFonts w:ascii="Arial Narrow" w:hAnsi="Arial Narrow" w:cs="Arial"/>
                <w:sz w:val="20"/>
                <w:szCs w:val="20"/>
                <w:lang w:bidi="ar-JO"/>
              </w:rPr>
              <w:t>0</w:t>
            </w:r>
          </w:p>
        </w:tc>
        <w:tc>
          <w:tcPr>
            <w:tcW w:w="2451" w:type="pct"/>
          </w:tcPr>
          <w:p w:rsidR="004E0A2B" w:rsidRDefault="007A13CC">
            <w:pPr>
              <w:keepNext/>
              <w:spacing w:before="40" w:after="40"/>
              <w:rPr>
                <w:rFonts w:ascii="Arial Narrow" w:hAnsi="Arial Narrow" w:cs="Arial"/>
                <w:sz w:val="20"/>
                <w:szCs w:val="20"/>
                <w:lang w:bidi="ar-JO"/>
              </w:rPr>
            </w:pPr>
            <w:r>
              <w:rPr>
                <w:rFonts w:ascii="Arial Narrow" w:hAnsi="Arial Narrow" w:cs="Arial"/>
                <w:sz w:val="20"/>
                <w:szCs w:val="20"/>
                <w:lang w:bidi="ar-JO"/>
              </w:rPr>
              <w:t>Medsurge mupirocin nasal ointment</w:t>
            </w:r>
          </w:p>
          <w:p w:rsidR="004E0A2B" w:rsidRDefault="007A13CC">
            <w:pPr>
              <w:keepNext/>
              <w:spacing w:before="40" w:after="40"/>
              <w:rPr>
                <w:rFonts w:ascii="Arial Narrow" w:hAnsi="Arial Narrow" w:cs="Arial"/>
                <w:i/>
                <w:sz w:val="20"/>
                <w:szCs w:val="20"/>
                <w:lang w:bidi="ar-JO"/>
              </w:rPr>
            </w:pPr>
            <w:r>
              <w:rPr>
                <w:rFonts w:ascii="Arial Narrow" w:hAnsi="Arial Narrow" w:cs="Arial"/>
                <w:sz w:val="20"/>
                <w:szCs w:val="20"/>
                <w:lang w:bidi="ar-JO"/>
              </w:rPr>
              <w:t>Medsurge Healthcare Pty Ltd</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Category / Program</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GENERAL – General Schedule (Code GE)</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Prescriber type:</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1"/>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 xml:space="preserve">Dental  </w:t>
            </w:r>
            <w:r>
              <w:rPr>
                <w:rFonts w:ascii="Arial Narrow" w:hAnsi="Arial Narrow" w:cs="Arial"/>
                <w:sz w:val="20"/>
                <w:szCs w:val="20"/>
                <w:lang w:bidi="ar-JO"/>
              </w:rPr>
              <w:fldChar w:fldCharType="begin">
                <w:ffData>
                  <w:name w:val=""/>
                  <w:enabled/>
                  <w:calcOnExit w:val="0"/>
                  <w:checkBox>
                    <w:sizeAuto/>
                    <w:default w:val="1"/>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 xml:space="preserve">Medical Practitioners  </w:t>
            </w:r>
            <w:r>
              <w:rPr>
                <w:rFonts w:ascii="Arial Narrow" w:hAnsi="Arial Narrow" w:cs="Arial"/>
                <w:sz w:val="20"/>
                <w:szCs w:val="20"/>
                <w:lang w:bidi="ar-JO"/>
              </w:rPr>
              <w:fldChar w:fldCharType="begin">
                <w:ffData>
                  <w:name w:val="Check3"/>
                  <w:enabled/>
                  <w:calcOnExit w:val="0"/>
                  <w:checkBox>
                    <w:sizeAuto/>
                    <w:default w:val="1"/>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 xml:space="preserve">Nurse practitioners  </w:t>
            </w:r>
            <w:r>
              <w:rPr>
                <w:rFonts w:ascii="Arial Narrow" w:hAnsi="Arial Narrow" w:cs="Arial"/>
                <w:sz w:val="20"/>
                <w:szCs w:val="20"/>
                <w:lang w:bidi="ar-JO"/>
              </w:rPr>
              <w:fldChar w:fldCharType="begin">
                <w:ffData>
                  <w:name w:val=""/>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Optometrists</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5"/>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Midwives</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Condition:</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 xml:space="preserve">Staphylococcus aureus infection </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PBS Indication:</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Staphylococcus aureus infection</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Restriction Level / Method:</w:t>
            </w:r>
          </w:p>
          <w:p w:rsidR="004E0A2B" w:rsidRDefault="004E0A2B">
            <w:pPr>
              <w:spacing w:before="40" w:after="40"/>
              <w:rPr>
                <w:rFonts w:ascii="Arial Narrow" w:hAnsi="Arial Narrow" w:cs="Arial"/>
                <w:i/>
                <w:sz w:val="20"/>
                <w:szCs w:val="20"/>
                <w:lang w:bidi="ar-JO"/>
              </w:rPr>
            </w:pP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1"/>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Restricted benefit</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In Writing</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3"/>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Telephone</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Emergency</w:t>
            </w:r>
          </w:p>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fldChar w:fldCharType="begin">
                <w:ffData>
                  <w:name w:val="Check5"/>
                  <w:enabled/>
                  <w:calcOnExit w:val="0"/>
                  <w:checkBox>
                    <w:sizeAuto/>
                    <w:default w:val="0"/>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Authority Required - Electronic</w:t>
            </w:r>
          </w:p>
          <w:p w:rsidR="004E0A2B" w:rsidRDefault="007A13CC">
            <w:pPr>
              <w:spacing w:before="40" w:after="40"/>
              <w:rPr>
                <w:rFonts w:ascii="Arial Narrow" w:hAnsi="Arial Narrow" w:cs="Arial"/>
                <w:i/>
                <w:sz w:val="20"/>
                <w:szCs w:val="20"/>
                <w:lang w:bidi="ar-JO"/>
              </w:rPr>
            </w:pPr>
            <w:r>
              <w:rPr>
                <w:rFonts w:ascii="Arial Narrow" w:hAnsi="Arial Narrow" w:cs="Arial"/>
                <w:sz w:val="20"/>
                <w:szCs w:val="20"/>
                <w:lang w:bidi="ar-JO"/>
              </w:rPr>
              <w:fldChar w:fldCharType="begin">
                <w:ffData>
                  <w:name w:val="Check5"/>
                  <w:enabled/>
                  <w:calcOnExit w:val="0"/>
                  <w:checkBox>
                    <w:sizeAuto/>
                    <w:default w:val="1"/>
                  </w:checkBox>
                </w:ffData>
              </w:fldChar>
            </w:r>
            <w:r>
              <w:rPr>
                <w:rFonts w:ascii="Arial Narrow" w:hAnsi="Arial Narrow" w:cs="Arial"/>
                <w:sz w:val="20"/>
                <w:szCs w:val="20"/>
                <w:lang w:bidi="ar-JO"/>
              </w:rPr>
              <w:instrText xml:space="preserve"> FORMCHECKBOX </w:instrText>
            </w:r>
            <w:r w:rsidR="00372E7E">
              <w:rPr>
                <w:rFonts w:ascii="Arial Narrow" w:hAnsi="Arial Narrow" w:cs="Arial"/>
                <w:sz w:val="20"/>
                <w:szCs w:val="20"/>
                <w:lang w:bidi="ar-JO"/>
              </w:rPr>
            </w:r>
            <w:r w:rsidR="00372E7E">
              <w:rPr>
                <w:rFonts w:ascii="Arial Narrow" w:hAnsi="Arial Narrow" w:cs="Arial"/>
                <w:sz w:val="20"/>
                <w:szCs w:val="20"/>
                <w:lang w:bidi="ar-JO"/>
              </w:rPr>
              <w:fldChar w:fldCharType="separate"/>
            </w:r>
            <w:r>
              <w:rPr>
                <w:rFonts w:ascii="Arial Narrow" w:hAnsi="Arial Narrow" w:cs="Arial"/>
                <w:sz w:val="20"/>
                <w:szCs w:val="20"/>
                <w:lang w:bidi="ar-JO"/>
              </w:rPr>
              <w:fldChar w:fldCharType="end"/>
            </w:r>
            <w:r>
              <w:rPr>
                <w:rFonts w:ascii="Arial Narrow" w:hAnsi="Arial Narrow" w:cs="Arial"/>
                <w:sz w:val="20"/>
                <w:szCs w:val="20"/>
                <w:lang w:bidi="ar-JO"/>
              </w:rPr>
              <w:t>Streamlined</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Clinical criteria:</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sz w:val="20"/>
                <w:szCs w:val="20"/>
                <w:lang w:bidi="ar-JO"/>
              </w:rPr>
            </w:pPr>
            <w:r>
              <w:rPr>
                <w:rFonts w:ascii="Arial Narrow" w:hAnsi="Arial Narrow" w:cs="Arial"/>
                <w:sz w:val="20"/>
                <w:szCs w:val="20"/>
                <w:lang w:bidi="ar-JO"/>
              </w:rPr>
              <w:t xml:space="preserve">Patient must have nasal colonisation with the bacteria </w:t>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 xml:space="preserve">Population criteria: </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tabs>
                <w:tab w:val="left" w:pos="5026"/>
              </w:tabs>
              <w:spacing w:before="40" w:after="40"/>
              <w:rPr>
                <w:rFonts w:ascii="Arial Narrow" w:hAnsi="Arial Narrow" w:cs="Arial"/>
                <w:sz w:val="20"/>
                <w:szCs w:val="20"/>
                <w:lang w:bidi="ar-JO"/>
              </w:rPr>
            </w:pPr>
            <w:r>
              <w:rPr>
                <w:rFonts w:ascii="Arial Narrow" w:hAnsi="Arial Narrow" w:cs="Arial"/>
                <w:sz w:val="20"/>
                <w:szCs w:val="20"/>
                <w:lang w:bidi="ar-JO"/>
              </w:rPr>
              <w:t xml:space="preserve">Patient must be an Aboriginal or a Torres Strait Islander person </w:t>
            </w:r>
            <w:r>
              <w:rPr>
                <w:rFonts w:ascii="Arial Narrow" w:hAnsi="Arial Narrow" w:cs="Arial"/>
                <w:sz w:val="20"/>
                <w:szCs w:val="20"/>
                <w:lang w:bidi="ar-JO"/>
              </w:rPr>
              <w:tab/>
            </w:r>
          </w:p>
        </w:tc>
      </w:tr>
      <w:tr w:rsidR="004E0A2B">
        <w:trPr>
          <w:cantSplit/>
          <w:trHeight w:val="360"/>
        </w:trPr>
        <w:tc>
          <w:tcPr>
            <w:tcW w:w="1692" w:type="pct"/>
            <w:tcBorders>
              <w:top w:val="single" w:sz="4" w:space="0" w:color="auto"/>
              <w:left w:val="single" w:sz="4" w:space="0" w:color="auto"/>
              <w:bottom w:val="single" w:sz="4" w:space="0" w:color="auto"/>
              <w:right w:val="single" w:sz="4" w:space="0" w:color="auto"/>
            </w:tcBorders>
          </w:tcPr>
          <w:p w:rsidR="004E0A2B" w:rsidRDefault="007A13CC">
            <w:pPr>
              <w:spacing w:before="40" w:after="40"/>
              <w:rPr>
                <w:rFonts w:ascii="Arial Narrow" w:hAnsi="Arial Narrow" w:cs="Arial"/>
                <w:b/>
                <w:sz w:val="20"/>
                <w:szCs w:val="20"/>
                <w:lang w:bidi="ar-JO"/>
              </w:rPr>
            </w:pPr>
            <w:r>
              <w:rPr>
                <w:rFonts w:ascii="Arial Narrow" w:hAnsi="Arial Narrow" w:cs="Arial"/>
                <w:b/>
                <w:sz w:val="20"/>
                <w:szCs w:val="20"/>
                <w:lang w:bidi="ar-JO"/>
              </w:rPr>
              <w:t>Administrative advice:</w:t>
            </w:r>
          </w:p>
        </w:tc>
        <w:tc>
          <w:tcPr>
            <w:tcW w:w="3308" w:type="pct"/>
            <w:gridSpan w:val="3"/>
            <w:tcBorders>
              <w:top w:val="single" w:sz="4" w:space="0" w:color="auto"/>
              <w:left w:val="single" w:sz="4" w:space="0" w:color="auto"/>
              <w:bottom w:val="single" w:sz="4" w:space="0" w:color="auto"/>
              <w:right w:val="single" w:sz="4" w:space="0" w:color="auto"/>
            </w:tcBorders>
          </w:tcPr>
          <w:p w:rsidR="004E0A2B" w:rsidRDefault="007A13CC">
            <w:pPr>
              <w:rPr>
                <w:rFonts w:ascii="Arial Narrow" w:hAnsi="Arial Narrow" w:cs="Arial"/>
                <w:sz w:val="20"/>
                <w:szCs w:val="20"/>
                <w:lang w:bidi="ar-JO"/>
              </w:rPr>
            </w:pPr>
            <w:r>
              <w:rPr>
                <w:rFonts w:ascii="Arial Narrow" w:hAnsi="Arial Narrow" w:cs="Arial"/>
                <w:sz w:val="20"/>
                <w:szCs w:val="20"/>
                <w:lang w:bidi="ar-JO"/>
              </w:rPr>
              <w:t>Note:</w:t>
            </w:r>
          </w:p>
          <w:p w:rsidR="004E0A2B" w:rsidRDefault="007A13CC">
            <w:pPr>
              <w:pStyle w:val="NormalWeb"/>
              <w:shd w:val="clear" w:color="auto" w:fill="FFFFFF"/>
              <w:spacing w:before="0" w:beforeAutospacing="0" w:after="0" w:afterAutospacing="0"/>
              <w:textAlignment w:val="baseline"/>
              <w:rPr>
                <w:rFonts w:ascii="Arial Narrow" w:hAnsi="Arial Narrow" w:cs="Arial"/>
                <w:sz w:val="20"/>
                <w:szCs w:val="20"/>
                <w:lang w:bidi="ar-JO"/>
              </w:rPr>
            </w:pPr>
            <w:r>
              <w:rPr>
                <w:rFonts w:ascii="Arial Narrow" w:hAnsi="Arial Narrow" w:cs="Arial"/>
                <w:sz w:val="20"/>
                <w:szCs w:val="20"/>
                <w:lang w:bidi="ar-JO"/>
              </w:rPr>
              <w:t>No increase in the maximum quantity or number of units may be authorised.</w:t>
            </w:r>
          </w:p>
          <w:p w:rsidR="004E0A2B" w:rsidRDefault="004E0A2B">
            <w:pPr>
              <w:pStyle w:val="NormalWeb"/>
              <w:shd w:val="clear" w:color="auto" w:fill="FFFFFF"/>
              <w:spacing w:before="0" w:beforeAutospacing="0" w:after="0" w:afterAutospacing="0"/>
              <w:textAlignment w:val="baseline"/>
              <w:rPr>
                <w:rFonts w:ascii="Arial Narrow" w:hAnsi="Arial Narrow" w:cs="Arial"/>
                <w:sz w:val="20"/>
                <w:szCs w:val="20"/>
                <w:lang w:bidi="ar-JO"/>
              </w:rPr>
            </w:pPr>
          </w:p>
          <w:p w:rsidR="004E0A2B" w:rsidRDefault="007A13CC">
            <w:pPr>
              <w:rPr>
                <w:rFonts w:ascii="Arial Narrow" w:hAnsi="Arial Narrow" w:cs="Arial"/>
                <w:sz w:val="20"/>
                <w:szCs w:val="20"/>
                <w:lang w:bidi="ar-JO"/>
              </w:rPr>
            </w:pPr>
            <w:r>
              <w:rPr>
                <w:rFonts w:ascii="Arial Narrow" w:hAnsi="Arial Narrow" w:cs="Arial"/>
                <w:sz w:val="20"/>
                <w:szCs w:val="20"/>
                <w:lang w:bidi="ar-JO"/>
              </w:rPr>
              <w:t>Note:</w:t>
            </w:r>
          </w:p>
          <w:p w:rsidR="004E0A2B" w:rsidRDefault="007A13CC">
            <w:pPr>
              <w:pStyle w:val="NormalWeb"/>
              <w:shd w:val="clear" w:color="auto" w:fill="FFFFFF"/>
              <w:spacing w:before="0" w:beforeAutospacing="0" w:after="0" w:afterAutospacing="0"/>
              <w:textAlignment w:val="baseline"/>
              <w:rPr>
                <w:rFonts w:ascii="Arial Narrow" w:hAnsi="Arial Narrow" w:cs="Arial"/>
                <w:sz w:val="20"/>
                <w:szCs w:val="20"/>
                <w:lang w:bidi="ar-JO"/>
              </w:rPr>
            </w:pPr>
            <w:r>
              <w:rPr>
                <w:rFonts w:ascii="Arial Narrow" w:hAnsi="Arial Narrow" w:cs="Arial"/>
                <w:sz w:val="20"/>
                <w:szCs w:val="20"/>
                <w:lang w:bidi="ar-JO"/>
              </w:rPr>
              <w:t>No increase in the maximum number of repeats may be authorised.</w:t>
            </w:r>
          </w:p>
        </w:tc>
      </w:tr>
    </w:tbl>
    <w:p w:rsidR="004E0A2B" w:rsidRDefault="004E0A2B">
      <w:pPr>
        <w:widowControl w:val="0"/>
        <w:jc w:val="both"/>
        <w:rPr>
          <w:rFonts w:asciiTheme="minorHAnsi" w:hAnsiTheme="minorHAnsi" w:cs="Arial"/>
          <w:b/>
          <w:bCs/>
          <w:snapToGrid w:val="0"/>
          <w:highlight w:val="yellow"/>
          <w:lang w:bidi="ar-JO"/>
        </w:rPr>
      </w:pPr>
    </w:p>
    <w:p w:rsidR="004E0A2B" w:rsidRDefault="007A13CC">
      <w:pPr>
        <w:pStyle w:val="PBACHeading1"/>
        <w:spacing w:before="120" w:after="120"/>
        <w:ind w:left="709" w:hanging="709"/>
        <w:rPr>
          <w:rFonts w:asciiTheme="minorHAnsi" w:hAnsiTheme="minorHAnsi" w:cstheme="minorHAnsi"/>
          <w:sz w:val="32"/>
          <w:szCs w:val="32"/>
          <w:lang w:bidi="ar-JO"/>
        </w:rPr>
      </w:pPr>
      <w:r>
        <w:rPr>
          <w:rFonts w:asciiTheme="minorHAnsi" w:hAnsiTheme="minorHAnsi" w:cstheme="minorHAnsi"/>
          <w:sz w:val="32"/>
          <w:szCs w:val="32"/>
          <w:lang w:bidi="ar-JO"/>
        </w:rPr>
        <w:t>Context for Decision</w:t>
      </w:r>
    </w:p>
    <w:p w:rsidR="004E0A2B" w:rsidRDefault="007A13CC">
      <w:pPr>
        <w:jc w:val="both"/>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E0A2B" w:rsidRDefault="004E0A2B">
      <w:pPr>
        <w:ind w:left="426"/>
        <w:jc w:val="both"/>
        <w:rPr>
          <w:rFonts w:ascii="Arial" w:hAnsi="Arial" w:cs="Arial"/>
          <w:sz w:val="22"/>
        </w:rPr>
      </w:pPr>
    </w:p>
    <w:p w:rsidR="004E0A2B" w:rsidRDefault="007A13CC">
      <w:pPr>
        <w:pStyle w:val="PBACHeading1"/>
        <w:spacing w:before="120" w:after="120"/>
        <w:ind w:left="709" w:hanging="709"/>
        <w:rPr>
          <w:rFonts w:asciiTheme="minorHAnsi" w:hAnsiTheme="minorHAnsi" w:cstheme="minorHAnsi"/>
          <w:sz w:val="32"/>
          <w:szCs w:val="32"/>
          <w:lang w:bidi="ar-JO"/>
        </w:rPr>
      </w:pPr>
      <w:r>
        <w:rPr>
          <w:rFonts w:asciiTheme="minorHAnsi" w:hAnsiTheme="minorHAnsi" w:cstheme="minorHAnsi"/>
          <w:sz w:val="32"/>
          <w:szCs w:val="32"/>
          <w:lang w:bidi="ar-JO"/>
        </w:rPr>
        <w:lastRenderedPageBreak/>
        <w:t>Sponsor’s Comment</w:t>
      </w:r>
    </w:p>
    <w:p w:rsidR="004E0A2B" w:rsidRDefault="007A13CC">
      <w:pPr>
        <w:spacing w:after="120"/>
        <w:jc w:val="both"/>
        <w:rPr>
          <w:rFonts w:asciiTheme="minorHAnsi" w:hAnsiTheme="minorHAnsi" w:cs="Arial"/>
          <w:bCs/>
        </w:rPr>
      </w:pPr>
      <w:r>
        <w:rPr>
          <w:rFonts w:asciiTheme="minorHAnsi" w:hAnsiTheme="minorHAnsi" w:cs="Arial"/>
          <w:bCs/>
        </w:rPr>
        <w:t>The sponsor had no comment.</w:t>
      </w:r>
    </w:p>
    <w:p w:rsidR="004E0A2B" w:rsidRDefault="004E0A2B">
      <w:pPr>
        <w:widowControl w:val="0"/>
        <w:jc w:val="both"/>
        <w:rPr>
          <w:rFonts w:asciiTheme="minorHAnsi" w:hAnsiTheme="minorHAnsi" w:cs="Arial"/>
          <w:b/>
          <w:bCs/>
          <w:snapToGrid w:val="0"/>
          <w:highlight w:val="yellow"/>
          <w:lang w:bidi="ar-JO"/>
        </w:rPr>
      </w:pPr>
    </w:p>
    <w:sectPr w:rsidR="004E0A2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56" w:rsidRDefault="004A4B56">
      <w:r>
        <w:separator/>
      </w:r>
    </w:p>
    <w:p w:rsidR="004A4B56" w:rsidRDefault="004A4B56"/>
    <w:p w:rsidR="004A4B56" w:rsidRDefault="004A4B56"/>
  </w:endnote>
  <w:endnote w:type="continuationSeparator" w:id="0">
    <w:p w:rsidR="004A4B56" w:rsidRDefault="004A4B56">
      <w:r>
        <w:continuationSeparator/>
      </w:r>
    </w:p>
    <w:p w:rsidR="004A4B56" w:rsidRDefault="004A4B56"/>
    <w:p w:rsidR="004A4B56" w:rsidRDefault="004A4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E0A2B">
      <w:trPr>
        <w:trHeight w:val="151"/>
      </w:trPr>
      <w:tc>
        <w:tcPr>
          <w:tcW w:w="2250" w:type="pct"/>
          <w:tcBorders>
            <w:top w:val="nil"/>
            <w:left w:val="nil"/>
            <w:bottom w:val="single" w:sz="4" w:space="0" w:color="4F81BD"/>
            <w:right w:val="nil"/>
          </w:tcBorders>
        </w:tcPr>
        <w:p w:rsidR="004E0A2B" w:rsidRDefault="004E0A2B">
          <w:pPr>
            <w:pStyle w:val="Header"/>
            <w:spacing w:line="276" w:lineRule="auto"/>
            <w:rPr>
              <w:rFonts w:ascii="Calibri" w:eastAsia="MS Gothic" w:hAnsi="Calibri"/>
              <w:b/>
              <w:bCs/>
              <w:color w:val="4F81BD"/>
            </w:rPr>
          </w:pPr>
        </w:p>
      </w:tc>
      <w:tc>
        <w:tcPr>
          <w:tcW w:w="500" w:type="pct"/>
          <w:vMerge w:val="restart"/>
          <w:noWrap/>
          <w:vAlign w:val="center"/>
          <w:hideMark/>
        </w:tcPr>
        <w:p w:rsidR="004E0A2B" w:rsidRDefault="007A13CC">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4E0A2B" w:rsidRDefault="004E0A2B">
          <w:pPr>
            <w:pStyle w:val="Header"/>
            <w:spacing w:line="276" w:lineRule="auto"/>
            <w:rPr>
              <w:rFonts w:ascii="Calibri" w:eastAsia="MS Gothic" w:hAnsi="Calibri"/>
              <w:b/>
              <w:bCs/>
              <w:color w:val="4F81BD"/>
            </w:rPr>
          </w:pPr>
        </w:p>
      </w:tc>
    </w:tr>
    <w:tr w:rsidR="004E0A2B">
      <w:trPr>
        <w:trHeight w:val="150"/>
      </w:trPr>
      <w:tc>
        <w:tcPr>
          <w:tcW w:w="2250" w:type="pct"/>
          <w:tcBorders>
            <w:top w:val="single" w:sz="4" w:space="0" w:color="4F81BD"/>
            <w:left w:val="nil"/>
            <w:bottom w:val="nil"/>
            <w:right w:val="nil"/>
          </w:tcBorders>
        </w:tcPr>
        <w:p w:rsidR="004E0A2B" w:rsidRDefault="004E0A2B">
          <w:pPr>
            <w:pStyle w:val="Header"/>
            <w:spacing w:line="276" w:lineRule="auto"/>
            <w:rPr>
              <w:rFonts w:ascii="Calibri" w:eastAsia="MS Gothic" w:hAnsi="Calibri"/>
              <w:b/>
              <w:bCs/>
              <w:color w:val="4F81BD"/>
            </w:rPr>
          </w:pPr>
        </w:p>
      </w:tc>
      <w:tc>
        <w:tcPr>
          <w:tcW w:w="0" w:type="auto"/>
          <w:vMerge/>
          <w:vAlign w:val="center"/>
          <w:hideMark/>
        </w:tcPr>
        <w:p w:rsidR="004E0A2B" w:rsidRDefault="004E0A2B">
          <w:pPr>
            <w:rPr>
              <w:rFonts w:ascii="Calibri" w:hAnsi="Calibri"/>
              <w:color w:val="365F91"/>
              <w:sz w:val="22"/>
              <w:szCs w:val="22"/>
            </w:rPr>
          </w:pPr>
        </w:p>
      </w:tc>
      <w:tc>
        <w:tcPr>
          <w:tcW w:w="2250" w:type="pct"/>
          <w:tcBorders>
            <w:top w:val="single" w:sz="4" w:space="0" w:color="4F81BD"/>
            <w:left w:val="nil"/>
            <w:bottom w:val="nil"/>
            <w:right w:val="nil"/>
          </w:tcBorders>
        </w:tcPr>
        <w:p w:rsidR="004E0A2B" w:rsidRDefault="004E0A2B">
          <w:pPr>
            <w:pStyle w:val="Header"/>
            <w:spacing w:line="276" w:lineRule="auto"/>
            <w:rPr>
              <w:rFonts w:ascii="Calibri" w:eastAsia="MS Gothic" w:hAnsi="Calibri"/>
              <w:b/>
              <w:bCs/>
              <w:color w:val="4F81BD"/>
            </w:rPr>
          </w:pPr>
        </w:p>
      </w:tc>
    </w:tr>
  </w:tbl>
  <w:p w:rsidR="004E0A2B" w:rsidRDefault="007A1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0A2B" w:rsidRDefault="004E0A2B">
    <w:pPr>
      <w:pStyle w:val="Footer"/>
    </w:pPr>
  </w:p>
  <w:p w:rsidR="004E0A2B" w:rsidRDefault="004E0A2B"/>
  <w:p w:rsidR="004E0A2B" w:rsidRDefault="004E0A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2B" w:rsidRDefault="004E0A2B">
    <w:pPr>
      <w:pStyle w:val="Footer"/>
      <w:jc w:val="center"/>
      <w:rPr>
        <w:rFonts w:asciiTheme="minorHAnsi" w:hAnsiTheme="minorHAnsi" w:cstheme="minorHAnsi"/>
        <w:b/>
        <w:caps/>
        <w:color w:val="4F81BD" w:themeColor="accent1"/>
      </w:rPr>
    </w:pPr>
  </w:p>
  <w:p w:rsidR="004E0A2B" w:rsidRDefault="007A13CC">
    <w:pPr>
      <w:pStyle w:val="Footer"/>
      <w:jc w:val="center"/>
      <w:rPr>
        <w:rFonts w:asciiTheme="minorHAnsi" w:hAnsiTheme="minorHAnsi" w:cstheme="minorHAnsi"/>
        <w:b/>
        <w:caps/>
        <w:noProof/>
      </w:rPr>
    </w:pPr>
    <w:r>
      <w:rPr>
        <w:rFonts w:asciiTheme="minorHAnsi" w:hAnsiTheme="minorHAnsi" w:cstheme="minorHAnsi"/>
        <w:b/>
        <w:caps/>
      </w:rPr>
      <w:fldChar w:fldCharType="begin"/>
    </w:r>
    <w:r>
      <w:rPr>
        <w:rFonts w:asciiTheme="minorHAnsi" w:hAnsiTheme="minorHAnsi" w:cstheme="minorHAnsi"/>
        <w:b/>
        <w:caps/>
      </w:rPr>
      <w:instrText xml:space="preserve"> PAGE   \* MERGEFORMAT </w:instrText>
    </w:r>
    <w:r>
      <w:rPr>
        <w:rFonts w:asciiTheme="minorHAnsi" w:hAnsiTheme="minorHAnsi" w:cstheme="minorHAnsi"/>
        <w:b/>
        <w:caps/>
      </w:rPr>
      <w:fldChar w:fldCharType="separate"/>
    </w:r>
    <w:r w:rsidR="00372E7E">
      <w:rPr>
        <w:rFonts w:asciiTheme="minorHAnsi" w:hAnsiTheme="minorHAnsi" w:cstheme="minorHAnsi"/>
        <w:b/>
        <w:caps/>
        <w:noProof/>
      </w:rPr>
      <w:t>2</w:t>
    </w:r>
    <w:r>
      <w:rPr>
        <w:rFonts w:asciiTheme="minorHAnsi" w:hAnsiTheme="minorHAnsi" w:cstheme="minorHAnsi"/>
        <w:b/>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E0A2B">
      <w:trPr>
        <w:trHeight w:val="151"/>
      </w:trPr>
      <w:tc>
        <w:tcPr>
          <w:tcW w:w="2250" w:type="pct"/>
          <w:tcBorders>
            <w:top w:val="nil"/>
            <w:left w:val="nil"/>
            <w:bottom w:val="single" w:sz="4" w:space="0" w:color="4F81BD"/>
            <w:right w:val="nil"/>
          </w:tcBorders>
        </w:tcPr>
        <w:p w:rsidR="004E0A2B" w:rsidRDefault="004E0A2B">
          <w:pPr>
            <w:pStyle w:val="Header"/>
            <w:spacing w:line="276" w:lineRule="auto"/>
            <w:rPr>
              <w:rFonts w:ascii="Calibri" w:eastAsia="MS Gothic" w:hAnsi="Calibri"/>
              <w:b/>
              <w:bCs/>
              <w:color w:val="4F81BD"/>
            </w:rPr>
          </w:pPr>
        </w:p>
      </w:tc>
      <w:tc>
        <w:tcPr>
          <w:tcW w:w="500" w:type="pct"/>
          <w:vMerge w:val="restart"/>
          <w:noWrap/>
          <w:vAlign w:val="center"/>
          <w:hideMark/>
        </w:tcPr>
        <w:p w:rsidR="004E0A2B" w:rsidRDefault="007A13CC">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4E0A2B" w:rsidRDefault="004E0A2B">
          <w:pPr>
            <w:pStyle w:val="Header"/>
            <w:spacing w:line="276" w:lineRule="auto"/>
            <w:rPr>
              <w:rFonts w:ascii="Calibri" w:eastAsia="MS Gothic" w:hAnsi="Calibri"/>
              <w:b/>
              <w:bCs/>
              <w:color w:val="4F81BD"/>
            </w:rPr>
          </w:pPr>
        </w:p>
      </w:tc>
    </w:tr>
    <w:tr w:rsidR="004E0A2B">
      <w:trPr>
        <w:trHeight w:val="150"/>
      </w:trPr>
      <w:tc>
        <w:tcPr>
          <w:tcW w:w="2250" w:type="pct"/>
          <w:tcBorders>
            <w:top w:val="single" w:sz="4" w:space="0" w:color="4F81BD"/>
            <w:left w:val="nil"/>
            <w:bottom w:val="nil"/>
            <w:right w:val="nil"/>
          </w:tcBorders>
        </w:tcPr>
        <w:p w:rsidR="004E0A2B" w:rsidRDefault="004E0A2B">
          <w:pPr>
            <w:pStyle w:val="Header"/>
            <w:spacing w:line="276" w:lineRule="auto"/>
            <w:rPr>
              <w:rFonts w:ascii="Calibri" w:eastAsia="MS Gothic" w:hAnsi="Calibri"/>
              <w:b/>
              <w:bCs/>
              <w:color w:val="4F81BD"/>
            </w:rPr>
          </w:pPr>
        </w:p>
      </w:tc>
      <w:tc>
        <w:tcPr>
          <w:tcW w:w="0" w:type="auto"/>
          <w:vMerge/>
          <w:vAlign w:val="center"/>
          <w:hideMark/>
        </w:tcPr>
        <w:p w:rsidR="004E0A2B" w:rsidRDefault="004E0A2B">
          <w:pPr>
            <w:rPr>
              <w:rFonts w:ascii="Calibri" w:hAnsi="Calibri"/>
              <w:color w:val="365F91"/>
              <w:sz w:val="22"/>
              <w:szCs w:val="22"/>
            </w:rPr>
          </w:pPr>
        </w:p>
      </w:tc>
      <w:tc>
        <w:tcPr>
          <w:tcW w:w="2250" w:type="pct"/>
          <w:tcBorders>
            <w:top w:val="single" w:sz="4" w:space="0" w:color="4F81BD"/>
            <w:left w:val="nil"/>
            <w:bottom w:val="nil"/>
            <w:right w:val="nil"/>
          </w:tcBorders>
        </w:tcPr>
        <w:p w:rsidR="004E0A2B" w:rsidRDefault="004E0A2B">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E0A2B">
      <w:trPr>
        <w:trHeight w:val="151"/>
      </w:trPr>
      <w:tc>
        <w:tcPr>
          <w:tcW w:w="2250" w:type="pct"/>
          <w:tcBorders>
            <w:top w:val="nil"/>
            <w:left w:val="nil"/>
            <w:bottom w:val="single" w:sz="4" w:space="0" w:color="4F81BD"/>
            <w:right w:val="nil"/>
          </w:tcBorders>
        </w:tcPr>
        <w:p w:rsidR="004E0A2B" w:rsidRDefault="004E0A2B">
          <w:pPr>
            <w:pStyle w:val="Header"/>
            <w:spacing w:line="276" w:lineRule="auto"/>
            <w:rPr>
              <w:rFonts w:ascii="Calibri" w:eastAsia="MS Gothic" w:hAnsi="Calibri"/>
              <w:b/>
              <w:bCs/>
              <w:color w:val="4F81BD"/>
            </w:rPr>
          </w:pPr>
        </w:p>
      </w:tc>
      <w:tc>
        <w:tcPr>
          <w:tcW w:w="500" w:type="pct"/>
          <w:vMerge w:val="restart"/>
          <w:noWrap/>
          <w:vAlign w:val="center"/>
          <w:hideMark/>
        </w:tcPr>
        <w:p w:rsidR="004E0A2B" w:rsidRDefault="007A13CC">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4E0A2B" w:rsidRDefault="004E0A2B">
          <w:pPr>
            <w:pStyle w:val="Header"/>
            <w:spacing w:line="276" w:lineRule="auto"/>
            <w:rPr>
              <w:rFonts w:ascii="Calibri" w:eastAsia="MS Gothic" w:hAnsi="Calibri"/>
              <w:b/>
              <w:bCs/>
              <w:color w:val="4F81BD"/>
            </w:rPr>
          </w:pPr>
        </w:p>
      </w:tc>
    </w:tr>
    <w:tr w:rsidR="004E0A2B">
      <w:trPr>
        <w:trHeight w:val="150"/>
      </w:trPr>
      <w:tc>
        <w:tcPr>
          <w:tcW w:w="2250" w:type="pct"/>
          <w:tcBorders>
            <w:top w:val="single" w:sz="4" w:space="0" w:color="4F81BD"/>
            <w:left w:val="nil"/>
            <w:bottom w:val="nil"/>
            <w:right w:val="nil"/>
          </w:tcBorders>
        </w:tcPr>
        <w:p w:rsidR="004E0A2B" w:rsidRDefault="004E0A2B">
          <w:pPr>
            <w:pStyle w:val="Header"/>
            <w:spacing w:line="276" w:lineRule="auto"/>
            <w:rPr>
              <w:rFonts w:ascii="Calibri" w:eastAsia="MS Gothic" w:hAnsi="Calibri"/>
              <w:b/>
              <w:bCs/>
              <w:color w:val="4F81BD"/>
            </w:rPr>
          </w:pPr>
        </w:p>
      </w:tc>
      <w:tc>
        <w:tcPr>
          <w:tcW w:w="0" w:type="auto"/>
          <w:vMerge/>
          <w:vAlign w:val="center"/>
          <w:hideMark/>
        </w:tcPr>
        <w:p w:rsidR="004E0A2B" w:rsidRDefault="004E0A2B">
          <w:pPr>
            <w:rPr>
              <w:rFonts w:ascii="Calibri" w:hAnsi="Calibri"/>
              <w:color w:val="365F91"/>
              <w:sz w:val="22"/>
              <w:szCs w:val="22"/>
            </w:rPr>
          </w:pPr>
        </w:p>
      </w:tc>
      <w:tc>
        <w:tcPr>
          <w:tcW w:w="2250" w:type="pct"/>
          <w:tcBorders>
            <w:top w:val="single" w:sz="4" w:space="0" w:color="4F81BD"/>
            <w:left w:val="nil"/>
            <w:bottom w:val="nil"/>
            <w:right w:val="nil"/>
          </w:tcBorders>
        </w:tcPr>
        <w:p w:rsidR="004E0A2B" w:rsidRDefault="004E0A2B">
          <w:pPr>
            <w:pStyle w:val="Header"/>
            <w:spacing w:line="276" w:lineRule="auto"/>
            <w:rPr>
              <w:rFonts w:ascii="Calibri" w:eastAsia="MS Gothic" w:hAnsi="Calibri"/>
              <w:b/>
              <w:bCs/>
              <w:color w:val="4F81BD"/>
            </w:rPr>
          </w:pPr>
        </w:p>
      </w:tc>
    </w:tr>
  </w:tbl>
  <w:p w:rsidR="004E0A2B" w:rsidRDefault="007A13CC">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4E0A2B" w:rsidRDefault="007A13CC">
    <w:pPr>
      <w:pStyle w:val="Footer"/>
      <w:jc w:val="center"/>
      <w:rPr>
        <w:b/>
        <w:i/>
        <w:sz w:val="20"/>
        <w:szCs w:val="20"/>
      </w:rPr>
    </w:pPr>
    <w:r>
      <w:rPr>
        <w:b/>
        <w:i/>
        <w:sz w:val="20"/>
        <w:szCs w:val="20"/>
      </w:rPr>
      <w:t>Commercial-in-Confidence</w:t>
    </w:r>
  </w:p>
  <w:p w:rsidR="004E0A2B" w:rsidRDefault="004E0A2B"/>
  <w:p w:rsidR="004E0A2B" w:rsidRDefault="004E0A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56" w:rsidRDefault="004A4B56">
      <w:r>
        <w:separator/>
      </w:r>
    </w:p>
    <w:p w:rsidR="004A4B56" w:rsidRDefault="004A4B56"/>
    <w:p w:rsidR="004A4B56" w:rsidRDefault="004A4B56"/>
  </w:footnote>
  <w:footnote w:type="continuationSeparator" w:id="0">
    <w:p w:rsidR="004A4B56" w:rsidRDefault="004A4B56">
      <w:r>
        <w:continuationSeparator/>
      </w:r>
    </w:p>
    <w:p w:rsidR="004A4B56" w:rsidRDefault="004A4B56"/>
    <w:p w:rsidR="004A4B56" w:rsidRDefault="004A4B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E0A2B">
      <w:trPr>
        <w:trHeight w:val="151"/>
      </w:trPr>
      <w:tc>
        <w:tcPr>
          <w:tcW w:w="2389" w:type="pct"/>
          <w:tcBorders>
            <w:top w:val="nil"/>
            <w:left w:val="nil"/>
            <w:bottom w:val="single" w:sz="4" w:space="0" w:color="4F81BD"/>
            <w:right w:val="nil"/>
          </w:tcBorders>
        </w:tcPr>
        <w:p w:rsidR="004E0A2B" w:rsidRDefault="004E0A2B">
          <w:pPr>
            <w:pStyle w:val="Header"/>
            <w:spacing w:line="276" w:lineRule="auto"/>
            <w:rPr>
              <w:rFonts w:ascii="Cambria" w:eastAsia="MS Gothic" w:hAnsi="Cambria"/>
              <w:b/>
              <w:bCs/>
              <w:color w:val="4F81BD"/>
            </w:rPr>
          </w:pPr>
        </w:p>
      </w:tc>
      <w:tc>
        <w:tcPr>
          <w:tcW w:w="333" w:type="pct"/>
          <w:vMerge w:val="restart"/>
          <w:noWrap/>
          <w:vAlign w:val="center"/>
          <w:hideMark/>
        </w:tcPr>
        <w:p w:rsidR="004E0A2B" w:rsidRDefault="007A13CC">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4E0A2B" w:rsidRDefault="004E0A2B">
          <w:pPr>
            <w:pStyle w:val="Header"/>
            <w:spacing w:line="276" w:lineRule="auto"/>
            <w:rPr>
              <w:rFonts w:ascii="Cambria" w:eastAsia="MS Gothic" w:hAnsi="Cambria"/>
              <w:b/>
              <w:bCs/>
              <w:color w:val="4F81BD"/>
            </w:rPr>
          </w:pPr>
        </w:p>
      </w:tc>
    </w:tr>
    <w:tr w:rsidR="004E0A2B">
      <w:trPr>
        <w:trHeight w:val="150"/>
      </w:trPr>
      <w:tc>
        <w:tcPr>
          <w:tcW w:w="2389" w:type="pct"/>
          <w:tcBorders>
            <w:top w:val="single" w:sz="4" w:space="0" w:color="4F81BD"/>
            <w:left w:val="nil"/>
            <w:bottom w:val="nil"/>
            <w:right w:val="nil"/>
          </w:tcBorders>
        </w:tcPr>
        <w:p w:rsidR="004E0A2B" w:rsidRDefault="004E0A2B">
          <w:pPr>
            <w:pStyle w:val="Header"/>
            <w:spacing w:line="276" w:lineRule="auto"/>
            <w:rPr>
              <w:rFonts w:ascii="Cambria" w:eastAsia="MS Gothic" w:hAnsi="Cambria"/>
              <w:b/>
              <w:bCs/>
              <w:color w:val="4F81BD"/>
            </w:rPr>
          </w:pPr>
        </w:p>
      </w:tc>
      <w:tc>
        <w:tcPr>
          <w:tcW w:w="0" w:type="auto"/>
          <w:vMerge/>
          <w:vAlign w:val="center"/>
          <w:hideMark/>
        </w:tcPr>
        <w:p w:rsidR="004E0A2B" w:rsidRDefault="004E0A2B">
          <w:pPr>
            <w:rPr>
              <w:rFonts w:ascii="Cambria" w:hAnsi="Cambria"/>
              <w:color w:val="4F81BD"/>
              <w:sz w:val="22"/>
              <w:szCs w:val="22"/>
            </w:rPr>
          </w:pPr>
        </w:p>
      </w:tc>
      <w:tc>
        <w:tcPr>
          <w:tcW w:w="2278" w:type="pct"/>
          <w:tcBorders>
            <w:top w:val="single" w:sz="4" w:space="0" w:color="4F81BD"/>
            <w:left w:val="nil"/>
            <w:bottom w:val="nil"/>
            <w:right w:val="nil"/>
          </w:tcBorders>
        </w:tcPr>
        <w:p w:rsidR="004E0A2B" w:rsidRDefault="004E0A2B">
          <w:pPr>
            <w:pStyle w:val="Header"/>
            <w:spacing w:line="276" w:lineRule="auto"/>
            <w:rPr>
              <w:rFonts w:ascii="Cambria" w:eastAsia="MS Gothic" w:hAnsi="Cambria"/>
              <w:b/>
              <w:bCs/>
              <w:color w:val="4F81BD"/>
            </w:rPr>
          </w:pPr>
        </w:p>
      </w:tc>
    </w:tr>
  </w:tbl>
  <w:p w:rsidR="004E0A2B" w:rsidRDefault="004E0A2B">
    <w:pPr>
      <w:pStyle w:val="Header"/>
    </w:pPr>
  </w:p>
  <w:p w:rsidR="004E0A2B" w:rsidRDefault="004E0A2B"/>
  <w:p w:rsidR="004E0A2B" w:rsidRDefault="004E0A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2B" w:rsidRDefault="007A13CC">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 – July 2019 PBAC Meeting</w:t>
    </w:r>
  </w:p>
  <w:p w:rsidR="004E0A2B" w:rsidRDefault="004E0A2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35" w:rsidRDefault="008C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60FC5"/>
    <w:multiLevelType w:val="hybridMultilevel"/>
    <w:tmpl w:val="728250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8B8190D"/>
    <w:multiLevelType w:val="hybridMultilevel"/>
    <w:tmpl w:val="97F2AD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73B33"/>
    <w:multiLevelType w:val="hybridMultilevel"/>
    <w:tmpl w:val="90129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0791A"/>
    <w:multiLevelType w:val="hybridMultilevel"/>
    <w:tmpl w:val="FFD4FB8C"/>
    <w:lvl w:ilvl="0" w:tplc="20EA108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0A1139"/>
    <w:multiLevelType w:val="hybridMultilevel"/>
    <w:tmpl w:val="CC7072B6"/>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2B093CC0"/>
    <w:multiLevelType w:val="hybridMultilevel"/>
    <w:tmpl w:val="388EEA88"/>
    <w:lvl w:ilvl="0" w:tplc="D6680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997434"/>
    <w:multiLevelType w:val="hybridMultilevel"/>
    <w:tmpl w:val="A4E8C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97F4A"/>
    <w:multiLevelType w:val="hybridMultilevel"/>
    <w:tmpl w:val="4B126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C99CEA8A">
      <w:numFmt w:val="bullet"/>
      <w:lvlText w:val="·"/>
      <w:lvlJc w:val="left"/>
      <w:pPr>
        <w:ind w:left="3600" w:hanging="360"/>
      </w:pPr>
      <w:rPr>
        <w:rFonts w:ascii="Calibri" w:eastAsiaTheme="minorHAnsi"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2C2EAE"/>
    <w:multiLevelType w:val="hybridMultilevel"/>
    <w:tmpl w:val="FB441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3290C67"/>
    <w:multiLevelType w:val="hybridMultilevel"/>
    <w:tmpl w:val="F0464356"/>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11D5A04"/>
    <w:multiLevelType w:val="hybridMultilevel"/>
    <w:tmpl w:val="1598C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6C2762D"/>
    <w:multiLevelType w:val="hybridMultilevel"/>
    <w:tmpl w:val="CBAC0C82"/>
    <w:lvl w:ilvl="0" w:tplc="0C090001">
      <w:start w:val="1"/>
      <w:numFmt w:val="bullet"/>
      <w:lvlText w:val=""/>
      <w:lvlJc w:val="left"/>
      <w:pPr>
        <w:ind w:left="1483" w:hanging="360"/>
      </w:pPr>
      <w:rPr>
        <w:rFonts w:ascii="Symbol" w:hAnsi="Symbol" w:hint="default"/>
      </w:rPr>
    </w:lvl>
    <w:lvl w:ilvl="1" w:tplc="0C090003" w:tentative="1">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2923" w:hanging="360"/>
      </w:pPr>
      <w:rPr>
        <w:rFonts w:ascii="Wingdings" w:hAnsi="Wingdings" w:hint="default"/>
      </w:rPr>
    </w:lvl>
    <w:lvl w:ilvl="3" w:tplc="0C090001" w:tentative="1">
      <w:start w:val="1"/>
      <w:numFmt w:val="bullet"/>
      <w:lvlText w:val=""/>
      <w:lvlJc w:val="left"/>
      <w:pPr>
        <w:ind w:left="3643" w:hanging="360"/>
      </w:pPr>
      <w:rPr>
        <w:rFonts w:ascii="Symbol" w:hAnsi="Symbol" w:hint="default"/>
      </w:rPr>
    </w:lvl>
    <w:lvl w:ilvl="4" w:tplc="0C090003" w:tentative="1">
      <w:start w:val="1"/>
      <w:numFmt w:val="bullet"/>
      <w:lvlText w:val="o"/>
      <w:lvlJc w:val="left"/>
      <w:pPr>
        <w:ind w:left="4363" w:hanging="360"/>
      </w:pPr>
      <w:rPr>
        <w:rFonts w:ascii="Courier New" w:hAnsi="Courier New" w:cs="Courier New" w:hint="default"/>
      </w:rPr>
    </w:lvl>
    <w:lvl w:ilvl="5" w:tplc="0C090005" w:tentative="1">
      <w:start w:val="1"/>
      <w:numFmt w:val="bullet"/>
      <w:lvlText w:val=""/>
      <w:lvlJc w:val="left"/>
      <w:pPr>
        <w:ind w:left="5083" w:hanging="360"/>
      </w:pPr>
      <w:rPr>
        <w:rFonts w:ascii="Wingdings" w:hAnsi="Wingdings" w:hint="default"/>
      </w:rPr>
    </w:lvl>
    <w:lvl w:ilvl="6" w:tplc="0C090001" w:tentative="1">
      <w:start w:val="1"/>
      <w:numFmt w:val="bullet"/>
      <w:lvlText w:val=""/>
      <w:lvlJc w:val="left"/>
      <w:pPr>
        <w:ind w:left="5803" w:hanging="360"/>
      </w:pPr>
      <w:rPr>
        <w:rFonts w:ascii="Symbol" w:hAnsi="Symbol" w:hint="default"/>
      </w:rPr>
    </w:lvl>
    <w:lvl w:ilvl="7" w:tplc="0C090003" w:tentative="1">
      <w:start w:val="1"/>
      <w:numFmt w:val="bullet"/>
      <w:lvlText w:val="o"/>
      <w:lvlJc w:val="left"/>
      <w:pPr>
        <w:ind w:left="6523" w:hanging="360"/>
      </w:pPr>
      <w:rPr>
        <w:rFonts w:ascii="Courier New" w:hAnsi="Courier New" w:cs="Courier New" w:hint="default"/>
      </w:rPr>
    </w:lvl>
    <w:lvl w:ilvl="8" w:tplc="0C090005" w:tentative="1">
      <w:start w:val="1"/>
      <w:numFmt w:val="bullet"/>
      <w:lvlText w:val=""/>
      <w:lvlJc w:val="left"/>
      <w:pPr>
        <w:ind w:left="7243" w:hanging="360"/>
      </w:pPr>
      <w:rPr>
        <w:rFonts w:ascii="Wingdings" w:hAnsi="Wingdings" w:hint="default"/>
      </w:rPr>
    </w:lvl>
  </w:abstractNum>
  <w:abstractNum w:abstractNumId="33" w15:restartNumberingAfterBreak="0">
    <w:nsid w:val="6E1C71D4"/>
    <w:multiLevelType w:val="hybridMultilevel"/>
    <w:tmpl w:val="DC66C07E"/>
    <w:lvl w:ilvl="0" w:tplc="9CB2C4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84D033C"/>
    <w:multiLevelType w:val="multilevel"/>
    <w:tmpl w:val="7A3270B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8"/>
  </w:num>
  <w:num w:numId="4">
    <w:abstractNumId w:val="25"/>
  </w:num>
  <w:num w:numId="5">
    <w:abstractNumId w:val="34"/>
  </w:num>
  <w:num w:numId="6">
    <w:abstractNumId w:val="10"/>
  </w:num>
  <w:num w:numId="7">
    <w:abstractNumId w:val="23"/>
  </w:num>
  <w:num w:numId="8">
    <w:abstractNumId w:val="5"/>
  </w:num>
  <w:num w:numId="9">
    <w:abstractNumId w:val="21"/>
  </w:num>
  <w:num w:numId="10">
    <w:abstractNumId w:val="20"/>
  </w:num>
  <w:num w:numId="11">
    <w:abstractNumId w:val="18"/>
  </w:num>
  <w:num w:numId="12">
    <w:abstractNumId w:val="1"/>
  </w:num>
  <w:num w:numId="13">
    <w:abstractNumId w:val="0"/>
  </w:num>
  <w:num w:numId="14">
    <w:abstractNumId w:val="34"/>
  </w:num>
  <w:num w:numId="15">
    <w:abstractNumId w:val="33"/>
  </w:num>
  <w:num w:numId="16">
    <w:abstractNumId w:val="4"/>
  </w:num>
  <w:num w:numId="17">
    <w:abstractNumId w:val="24"/>
  </w:num>
  <w:num w:numId="18">
    <w:abstractNumId w:val="9"/>
  </w:num>
  <w:num w:numId="19">
    <w:abstractNumId w:val="22"/>
  </w:num>
  <w:num w:numId="20">
    <w:abstractNumId w:val="31"/>
  </w:num>
  <w:num w:numId="21">
    <w:abstractNumId w:val="26"/>
  </w:num>
  <w:num w:numId="22">
    <w:abstractNumId w:val="32"/>
  </w:num>
  <w:num w:numId="23">
    <w:abstractNumId w:val="1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6"/>
  </w:num>
  <w:num w:numId="27">
    <w:abstractNumId w:val="17"/>
  </w:num>
  <w:num w:numId="28">
    <w:abstractNumId w:val="34"/>
  </w:num>
  <w:num w:numId="29">
    <w:abstractNumId w:val="12"/>
  </w:num>
  <w:num w:numId="30">
    <w:abstractNumId w:val="14"/>
  </w:num>
  <w:num w:numId="31">
    <w:abstractNumId w:val="34"/>
  </w:num>
  <w:num w:numId="32">
    <w:abstractNumId w:val="34"/>
  </w:num>
  <w:num w:numId="33">
    <w:abstractNumId w:val="27"/>
  </w:num>
  <w:num w:numId="34">
    <w:abstractNumId w:val="34"/>
  </w:num>
  <w:num w:numId="35">
    <w:abstractNumId w:val="28"/>
  </w:num>
  <w:num w:numId="36">
    <w:abstractNumId w:val="29"/>
  </w:num>
  <w:num w:numId="37">
    <w:abstractNumId w:val="7"/>
  </w:num>
  <w:num w:numId="38">
    <w:abstractNumId w:val="2"/>
  </w:num>
  <w:num w:numId="39">
    <w:abstractNumId w:val="15"/>
  </w:num>
  <w:num w:numId="40">
    <w:abstractNumId w:val="19"/>
  </w:num>
  <w:num w:numId="41">
    <w:abstractNumId w:val="13"/>
  </w:num>
  <w:num w:numId="42">
    <w:abstractNumId w:val="34"/>
  </w:num>
  <w:num w:numId="43">
    <w:abstractNumId w:val="34"/>
  </w:num>
  <w:num w:numId="4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2B"/>
    <w:rsid w:val="00372E7E"/>
    <w:rsid w:val="004139F8"/>
    <w:rsid w:val="004A4B56"/>
    <w:rsid w:val="004E0A2B"/>
    <w:rsid w:val="00617647"/>
    <w:rsid w:val="00752BBA"/>
    <w:rsid w:val="007A13CC"/>
    <w:rsid w:val="008C5135"/>
    <w:rsid w:val="00927839"/>
    <w:rsid w:val="00C13F8B"/>
    <w:rsid w:val="00E448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DFC1FA6-2E46-468F-B54B-74C65CF4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qFormat/>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qFormat/>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Pr>
      <w:rFonts w:ascii="Arial" w:hAnsi="Arial" w:cs="Arial"/>
      <w:snapToGrid w:val="0"/>
      <w:sz w:val="22"/>
      <w:lang w:eastAsia="en-US"/>
    </w:rPr>
  </w:style>
  <w:style w:type="paragraph" w:customStyle="1" w:styleId="PBACHeading1">
    <w:name w:val="PBAC Heading 1"/>
    <w:qFormat/>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character" w:styleId="FollowedHyperlink">
    <w:name w:val="FollowedHyperlink"/>
    <w:basedOn w:val="DefaultParagraphFont"/>
    <w:rPr>
      <w:color w:val="800080" w:themeColor="followedHyperlink"/>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Caption">
    <w:name w:val="caption"/>
    <w:basedOn w:val="Normal"/>
    <w:next w:val="Normal"/>
    <w:unhideWhenUsed/>
    <w:qFormat/>
    <w:pPr>
      <w:keepNext/>
    </w:pPr>
    <w:rPr>
      <w:rFonts w:ascii="Arial Narrow" w:hAnsi="Arial Narrow"/>
      <w:b/>
      <w:bCs/>
      <w:color w:val="000000" w:themeColor="text1"/>
      <w:sz w:val="20"/>
      <w:szCs w:val="20"/>
    </w:r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paragraph" w:customStyle="1" w:styleId="2Sections">
    <w:name w:val="2. Sections"/>
    <w:qFormat/>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pPr>
      <w:widowControl/>
      <w:spacing w:after="120"/>
      <w:ind w:hanging="720"/>
      <w:contextualSpacing w:val="0"/>
    </w:pPr>
    <w:rPr>
      <w:rFonts w:asciiTheme="minorHAnsi" w:eastAsiaTheme="minorHAnsi" w:hAnsiTheme="minorHAnsi" w:cstheme="minorBidi"/>
      <w:snapToGrid/>
      <w:sz w:val="24"/>
      <w:szCs w:val="22"/>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paragraph" w:customStyle="1" w:styleId="Lists">
    <w:name w:val="Lists"/>
    <w:basedOn w:val="3Bodytext"/>
    <w:link w:val="ListsChar"/>
    <w:qFormat/>
    <w:pPr>
      <w:numPr>
        <w:numId w:val="25"/>
      </w:numPr>
    </w:p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Tabletitles">
    <w:name w:val="Table titles"/>
    <w:basedOn w:val="NoSpacing"/>
    <w:link w:val="TabletitlesChar"/>
    <w:qFormat/>
    <w:pPr>
      <w:spacing w:after="60"/>
    </w:pPr>
    <w:rPr>
      <w:rFonts w:ascii="Arial Narrow" w:hAnsi="Arial Narrow"/>
      <w:b/>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TableText0">
    <w:name w:val="Table Text"/>
    <w:basedOn w:val="NoSpacing"/>
    <w:link w:val="TableTextChar"/>
    <w:qFormat/>
    <w:rPr>
      <w:rFonts w:ascii="Arial Narrow" w:hAnsi="Arial Narrow"/>
    </w:rPr>
  </w:style>
  <w:style w:type="character" w:customStyle="1" w:styleId="TableTextChar">
    <w:name w:val="Table Text Char"/>
    <w:basedOn w:val="NoSpacingChar"/>
    <w:link w:val="TableText0"/>
    <w:rPr>
      <w:rFonts w:ascii="Arial Narrow" w:hAnsi="Arial Narrow"/>
      <w:sz w:val="22"/>
      <w:szCs w:val="22"/>
    </w:rPr>
  </w:style>
  <w:style w:type="paragraph" w:styleId="Revision">
    <w:name w:val="Revision"/>
    <w:hidden/>
    <w:uiPriority w:val="71"/>
    <w:semiHidden/>
    <w:rPr>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3084777">
      <w:bodyDiv w:val="1"/>
      <w:marLeft w:val="0"/>
      <w:marRight w:val="0"/>
      <w:marTop w:val="0"/>
      <w:marBottom w:val="0"/>
      <w:divBdr>
        <w:top w:val="none" w:sz="0" w:space="0" w:color="auto"/>
        <w:left w:val="none" w:sz="0" w:space="0" w:color="auto"/>
        <w:bottom w:val="none" w:sz="0" w:space="0" w:color="auto"/>
        <w:right w:val="none" w:sz="0" w:space="0" w:color="auto"/>
      </w:divBdr>
    </w:div>
    <w:div w:id="1110199592">
      <w:bodyDiv w:val="1"/>
      <w:marLeft w:val="0"/>
      <w:marRight w:val="0"/>
      <w:marTop w:val="0"/>
      <w:marBottom w:val="0"/>
      <w:divBdr>
        <w:top w:val="none" w:sz="0" w:space="0" w:color="auto"/>
        <w:left w:val="none" w:sz="0" w:space="0" w:color="auto"/>
        <w:bottom w:val="none" w:sz="0" w:space="0" w:color="auto"/>
        <w:right w:val="none" w:sz="0" w:space="0" w:color="auto"/>
      </w:divBdr>
    </w:div>
    <w:div w:id="1311594388">
      <w:bodyDiv w:val="1"/>
      <w:marLeft w:val="0"/>
      <w:marRight w:val="0"/>
      <w:marTop w:val="0"/>
      <w:marBottom w:val="0"/>
      <w:divBdr>
        <w:top w:val="none" w:sz="0" w:space="0" w:color="auto"/>
        <w:left w:val="none" w:sz="0" w:space="0" w:color="auto"/>
        <w:bottom w:val="none" w:sz="0" w:space="0" w:color="auto"/>
        <w:right w:val="none" w:sz="0" w:space="0" w:color="auto"/>
      </w:divBdr>
    </w:div>
    <w:div w:id="145629146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508214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215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D803-995D-41D7-A002-5F9AB4E7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2019-09-25T04:12:00Z</dcterms:created>
  <dcterms:modified xsi:type="dcterms:W3CDTF">2019-10-25T01:06:00Z</dcterms:modified>
</cp:coreProperties>
</file>