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308" w:rsidRDefault="00D72FC2" w:rsidP="00D72FC2">
      <w:pPr>
        <w:pStyle w:val="1MainTitle"/>
      </w:pPr>
      <w:bookmarkStart w:id="0" w:name="_GoBack"/>
      <w:bookmarkEnd w:id="0"/>
      <w:r>
        <w:t>5.22</w:t>
      </w:r>
      <w:r>
        <w:tab/>
        <w:t>OXYCODONE</w:t>
      </w:r>
      <w:r>
        <w:br/>
      </w:r>
      <w:r w:rsidR="002F7B70">
        <w:t xml:space="preserve">Capsule containing oxycodone hydrochloride 5 mg, </w:t>
      </w:r>
      <w:r w:rsidR="002F7B70">
        <w:br/>
        <w:t>OxyNorm</w:t>
      </w:r>
      <w:r w:rsidR="002F7B70">
        <w:rPr>
          <w:vertAlign w:val="superscript"/>
        </w:rPr>
        <w:t>®</w:t>
      </w:r>
      <w:r w:rsidR="009239D3">
        <w:t xml:space="preserve">, </w:t>
      </w:r>
      <w:r w:rsidR="002F7B70">
        <w:t>Mundipharma Pty Ltd.</w:t>
      </w:r>
    </w:p>
    <w:p w:rsidR="006E0308" w:rsidRDefault="002F7B70">
      <w:pPr>
        <w:pStyle w:val="2Sections"/>
      </w:pPr>
      <w:r>
        <w:t xml:space="preserve">Purpose of Application </w:t>
      </w:r>
    </w:p>
    <w:p w:rsidR="006E0308" w:rsidRDefault="002F7B70">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minor submission requested a Restricted Benefit listing for a new pack size/maximum quantity (10 capsules) of oxycodone 5 mg capsules for patients with severe disabling pain who are unresponsive to non-opioid analgesics. </w:t>
      </w:r>
    </w:p>
    <w:p w:rsidR="006E0308" w:rsidRDefault="002F7B70">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Oxycodone 5 mg capsules and tablets are currently available on the PBS in a maximum quantity of 20 capsules or tablets. The submission claimed that the new pack size/maximum quantity aimed to improve Quality Use of Medicines. </w:t>
      </w:r>
    </w:p>
    <w:p w:rsidR="006E0308" w:rsidRDefault="002F7B70">
      <w:pPr>
        <w:pStyle w:val="2Sections"/>
      </w:pPr>
      <w:r>
        <w:t>Requested listing</w:t>
      </w:r>
    </w:p>
    <w:p w:rsidR="006E0308" w:rsidRDefault="002F7B70">
      <w:pPr>
        <w:pStyle w:val="3Bodytext"/>
      </w:pPr>
      <w:r>
        <w:t>The submission proposes no changes to the existing listing with the exception of making an additional ma</w:t>
      </w:r>
      <w:r w:rsidR="00D72FC2">
        <w:t>ximum quantity of 10 available.</w:t>
      </w:r>
    </w:p>
    <w:p w:rsidR="006E0308" w:rsidRDefault="002F7B70">
      <w:pPr>
        <w:pStyle w:val="3Bodytext"/>
      </w:pPr>
      <w:r>
        <w:t>Suggestions and additions proposed by the Secretariat to the requested listing are added in italics and suggested deletions are crossed out with strikethrough.</w:t>
      </w:r>
    </w:p>
    <w:p w:rsidR="006E0308" w:rsidRDefault="006E0308">
      <w:pPr>
        <w:pStyle w:val="3Bodytext"/>
        <w:numPr>
          <w:ilvl w:val="0"/>
          <w:numId w:val="0"/>
        </w:numPr>
        <w:ind w:left="720"/>
      </w:pP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6E0308">
        <w:trPr>
          <w:cantSplit/>
          <w:trHeight w:val="471"/>
        </w:trPr>
        <w:tc>
          <w:tcPr>
            <w:tcW w:w="3261" w:type="dxa"/>
            <w:gridSpan w:val="2"/>
            <w:tcBorders>
              <w:bottom w:val="single" w:sz="4" w:space="0" w:color="auto"/>
            </w:tcBorders>
          </w:tcPr>
          <w:p w:rsidR="006E0308" w:rsidRDefault="002F7B70">
            <w:pPr>
              <w:keepNext/>
              <w:ind w:left="-108"/>
              <w:jc w:val="both"/>
              <w:rPr>
                <w:rFonts w:ascii="Arial Narrow" w:hAnsi="Arial Narrow" w:cs="Arial"/>
                <w:sz w:val="20"/>
                <w:szCs w:val="20"/>
              </w:rPr>
            </w:pPr>
            <w:r>
              <w:rPr>
                <w:rFonts w:ascii="Arial Narrow" w:hAnsi="Arial Narrow" w:cs="Arial"/>
                <w:sz w:val="20"/>
                <w:szCs w:val="20"/>
              </w:rPr>
              <w:t>Name, Restriction,</w:t>
            </w:r>
          </w:p>
          <w:p w:rsidR="006E0308" w:rsidRDefault="002F7B70">
            <w:pPr>
              <w:keepNext/>
              <w:ind w:left="-108"/>
              <w:jc w:val="both"/>
              <w:rPr>
                <w:rFonts w:ascii="Arial Narrow" w:hAnsi="Arial Narrow" w:cs="Arial"/>
                <w:sz w:val="20"/>
                <w:szCs w:val="20"/>
              </w:rPr>
            </w:pPr>
            <w:r>
              <w:rPr>
                <w:rFonts w:ascii="Arial Narrow" w:hAnsi="Arial Narrow" w:cs="Arial"/>
                <w:sz w:val="20"/>
                <w:szCs w:val="20"/>
              </w:rPr>
              <w:t>Manner of administration and form</w:t>
            </w:r>
          </w:p>
        </w:tc>
        <w:tc>
          <w:tcPr>
            <w:tcW w:w="567" w:type="dxa"/>
            <w:tcBorders>
              <w:bottom w:val="single" w:sz="4" w:space="0" w:color="auto"/>
            </w:tcBorders>
          </w:tcPr>
          <w:p w:rsidR="006E0308" w:rsidRDefault="002F7B70">
            <w:pPr>
              <w:keepNext/>
              <w:ind w:left="-108"/>
              <w:jc w:val="both"/>
              <w:rPr>
                <w:rFonts w:ascii="Arial Narrow" w:hAnsi="Arial Narrow" w:cs="Arial"/>
                <w:sz w:val="20"/>
                <w:szCs w:val="20"/>
              </w:rPr>
            </w:pPr>
            <w:r>
              <w:rPr>
                <w:rFonts w:ascii="Arial Narrow" w:hAnsi="Arial Narrow" w:cs="Arial"/>
                <w:sz w:val="20"/>
                <w:szCs w:val="20"/>
              </w:rPr>
              <w:t>Max.</w:t>
            </w:r>
          </w:p>
          <w:p w:rsidR="006E0308" w:rsidRDefault="002F7B70">
            <w:pPr>
              <w:keepNext/>
              <w:ind w:left="-108"/>
              <w:jc w:val="both"/>
              <w:rPr>
                <w:rFonts w:ascii="Arial Narrow" w:hAnsi="Arial Narrow" w:cs="Arial"/>
                <w:sz w:val="20"/>
                <w:szCs w:val="20"/>
              </w:rPr>
            </w:pPr>
            <w:r>
              <w:rPr>
                <w:rFonts w:ascii="Arial Narrow" w:hAnsi="Arial Narrow" w:cs="Arial"/>
                <w:sz w:val="20"/>
                <w:szCs w:val="20"/>
              </w:rPr>
              <w:t>Qty</w:t>
            </w:r>
          </w:p>
        </w:tc>
        <w:tc>
          <w:tcPr>
            <w:tcW w:w="850" w:type="dxa"/>
            <w:tcBorders>
              <w:bottom w:val="single" w:sz="4" w:space="0" w:color="auto"/>
            </w:tcBorders>
          </w:tcPr>
          <w:p w:rsidR="006E0308" w:rsidRDefault="002F7B70">
            <w:pPr>
              <w:keepNext/>
              <w:ind w:left="-108"/>
              <w:jc w:val="both"/>
              <w:rPr>
                <w:rFonts w:ascii="Arial Narrow" w:hAnsi="Arial Narrow" w:cs="Arial"/>
                <w:sz w:val="20"/>
                <w:szCs w:val="20"/>
              </w:rPr>
            </w:pPr>
            <w:r>
              <w:rPr>
                <w:rFonts w:ascii="Arial Narrow" w:hAnsi="Arial Narrow" w:cs="Arial"/>
                <w:sz w:val="20"/>
                <w:szCs w:val="20"/>
              </w:rPr>
              <w:t>№.of</w:t>
            </w:r>
          </w:p>
          <w:p w:rsidR="006E0308" w:rsidRDefault="002F7B70">
            <w:pPr>
              <w:keepNext/>
              <w:ind w:left="-108"/>
              <w:jc w:val="both"/>
              <w:rPr>
                <w:rFonts w:ascii="Arial Narrow" w:hAnsi="Arial Narrow" w:cs="Arial"/>
                <w:sz w:val="20"/>
                <w:szCs w:val="20"/>
              </w:rPr>
            </w:pPr>
            <w:r>
              <w:rPr>
                <w:rFonts w:ascii="Arial Narrow" w:hAnsi="Arial Narrow" w:cs="Arial"/>
                <w:sz w:val="20"/>
                <w:szCs w:val="20"/>
              </w:rPr>
              <w:t>Rpts</w:t>
            </w:r>
          </w:p>
        </w:tc>
        <w:tc>
          <w:tcPr>
            <w:tcW w:w="1701" w:type="dxa"/>
            <w:tcBorders>
              <w:bottom w:val="single" w:sz="4" w:space="0" w:color="auto"/>
            </w:tcBorders>
          </w:tcPr>
          <w:p w:rsidR="006E0308" w:rsidRDefault="002F7B70">
            <w:pPr>
              <w:keepNext/>
              <w:ind w:left="-108"/>
              <w:jc w:val="both"/>
              <w:rPr>
                <w:rFonts w:ascii="Arial Narrow" w:hAnsi="Arial Narrow" w:cs="Arial"/>
                <w:sz w:val="20"/>
                <w:szCs w:val="20"/>
              </w:rPr>
            </w:pPr>
            <w:r>
              <w:rPr>
                <w:rFonts w:ascii="Arial Narrow" w:hAnsi="Arial Narrow" w:cs="Arial"/>
                <w:sz w:val="20"/>
                <w:szCs w:val="20"/>
              </w:rPr>
              <w:t>Dispensed Price for Max. Qty</w:t>
            </w:r>
          </w:p>
        </w:tc>
        <w:tc>
          <w:tcPr>
            <w:tcW w:w="2835" w:type="dxa"/>
            <w:gridSpan w:val="2"/>
            <w:tcBorders>
              <w:bottom w:val="single" w:sz="4" w:space="0" w:color="auto"/>
            </w:tcBorders>
          </w:tcPr>
          <w:p w:rsidR="006E0308" w:rsidRDefault="002F7B70">
            <w:pPr>
              <w:keepNext/>
              <w:jc w:val="both"/>
              <w:rPr>
                <w:rFonts w:ascii="Arial Narrow" w:hAnsi="Arial Narrow" w:cs="Arial"/>
                <w:sz w:val="20"/>
                <w:szCs w:val="20"/>
                <w:lang w:val="fr-FR"/>
              </w:rPr>
            </w:pPr>
            <w:r>
              <w:rPr>
                <w:rFonts w:ascii="Arial Narrow" w:hAnsi="Arial Narrow" w:cs="Arial"/>
                <w:sz w:val="20"/>
                <w:szCs w:val="20"/>
              </w:rPr>
              <w:t>Proprietary Name and Manufacturer</w:t>
            </w:r>
          </w:p>
        </w:tc>
      </w:tr>
      <w:tr w:rsidR="006E0308">
        <w:trPr>
          <w:cantSplit/>
          <w:trHeight w:val="577"/>
        </w:trPr>
        <w:tc>
          <w:tcPr>
            <w:tcW w:w="3261" w:type="dxa"/>
            <w:gridSpan w:val="2"/>
          </w:tcPr>
          <w:p w:rsidR="006E0308" w:rsidRDefault="002F7B70">
            <w:pPr>
              <w:keepNext/>
              <w:ind w:left="-108"/>
              <w:jc w:val="both"/>
              <w:rPr>
                <w:rFonts w:ascii="Arial Narrow" w:hAnsi="Arial Narrow" w:cs="Arial"/>
                <w:sz w:val="20"/>
                <w:szCs w:val="20"/>
              </w:rPr>
            </w:pPr>
            <w:r>
              <w:rPr>
                <w:rFonts w:ascii="Arial Narrow" w:hAnsi="Arial Narrow" w:cs="Arial"/>
                <w:smallCaps/>
                <w:sz w:val="20"/>
                <w:szCs w:val="20"/>
              </w:rPr>
              <w:t>oxycodone</w:t>
            </w:r>
          </w:p>
          <w:p w:rsidR="006E0308" w:rsidRDefault="002F7B70">
            <w:pPr>
              <w:keepNext/>
              <w:ind w:left="-108"/>
              <w:jc w:val="both"/>
              <w:rPr>
                <w:rFonts w:ascii="Arial Narrow" w:hAnsi="Arial Narrow" w:cs="Arial"/>
                <w:color w:val="FF0000"/>
                <w:sz w:val="20"/>
                <w:szCs w:val="20"/>
              </w:rPr>
            </w:pPr>
            <w:r>
              <w:rPr>
                <w:rFonts w:ascii="Arial Narrow" w:hAnsi="Arial Narrow" w:cs="Arial"/>
                <w:sz w:val="20"/>
                <w:szCs w:val="20"/>
              </w:rPr>
              <w:t>Oxycodone hydrochloride 5 mg capsule, 10</w:t>
            </w:r>
          </w:p>
        </w:tc>
        <w:tc>
          <w:tcPr>
            <w:tcW w:w="567" w:type="dxa"/>
          </w:tcPr>
          <w:p w:rsidR="006E0308" w:rsidRDefault="006E0308">
            <w:pPr>
              <w:keepNext/>
              <w:ind w:left="-108"/>
              <w:jc w:val="both"/>
              <w:rPr>
                <w:rFonts w:ascii="Arial Narrow" w:hAnsi="Arial Narrow" w:cs="Arial"/>
                <w:sz w:val="20"/>
                <w:szCs w:val="20"/>
              </w:rPr>
            </w:pPr>
          </w:p>
          <w:p w:rsidR="006E0308" w:rsidRDefault="002F7B70">
            <w:pPr>
              <w:keepNext/>
              <w:ind w:left="-108"/>
              <w:jc w:val="both"/>
              <w:rPr>
                <w:rFonts w:ascii="Arial Narrow" w:hAnsi="Arial Narrow" w:cs="Arial"/>
                <w:sz w:val="20"/>
                <w:szCs w:val="20"/>
              </w:rPr>
            </w:pPr>
            <w:r>
              <w:rPr>
                <w:rFonts w:ascii="Arial Narrow" w:hAnsi="Arial Narrow" w:cs="Arial"/>
                <w:sz w:val="20"/>
                <w:szCs w:val="20"/>
              </w:rPr>
              <w:t>1</w:t>
            </w:r>
          </w:p>
        </w:tc>
        <w:tc>
          <w:tcPr>
            <w:tcW w:w="850" w:type="dxa"/>
          </w:tcPr>
          <w:p w:rsidR="006E0308" w:rsidRDefault="006E0308">
            <w:pPr>
              <w:keepNext/>
              <w:ind w:left="-108"/>
              <w:jc w:val="both"/>
              <w:rPr>
                <w:rFonts w:ascii="Arial Narrow" w:hAnsi="Arial Narrow" w:cs="Arial"/>
                <w:sz w:val="20"/>
                <w:szCs w:val="20"/>
              </w:rPr>
            </w:pPr>
          </w:p>
          <w:p w:rsidR="006E0308" w:rsidRDefault="002F7B70">
            <w:pPr>
              <w:keepNext/>
              <w:ind w:left="-108"/>
              <w:jc w:val="both"/>
              <w:rPr>
                <w:rFonts w:ascii="Arial Narrow" w:hAnsi="Arial Narrow" w:cs="Arial"/>
                <w:sz w:val="20"/>
                <w:szCs w:val="20"/>
              </w:rPr>
            </w:pPr>
            <w:r>
              <w:rPr>
                <w:rFonts w:ascii="Arial Narrow" w:hAnsi="Arial Narrow" w:cs="Arial"/>
                <w:sz w:val="20"/>
                <w:szCs w:val="20"/>
              </w:rPr>
              <w:t>0</w:t>
            </w:r>
          </w:p>
        </w:tc>
        <w:tc>
          <w:tcPr>
            <w:tcW w:w="1701" w:type="dxa"/>
          </w:tcPr>
          <w:p w:rsidR="006E0308" w:rsidRDefault="006E0308">
            <w:pPr>
              <w:keepNext/>
              <w:ind w:left="-108"/>
              <w:jc w:val="both"/>
              <w:rPr>
                <w:rFonts w:ascii="Arial Narrow" w:hAnsi="Arial Narrow" w:cs="Arial"/>
                <w:sz w:val="20"/>
                <w:szCs w:val="20"/>
              </w:rPr>
            </w:pPr>
          </w:p>
          <w:p w:rsidR="006E0308" w:rsidRDefault="002F7B70">
            <w:pPr>
              <w:keepNext/>
              <w:ind w:left="-108"/>
              <w:jc w:val="both"/>
              <w:rPr>
                <w:rFonts w:ascii="Arial Narrow" w:hAnsi="Arial Narrow" w:cs="Arial"/>
                <w:sz w:val="20"/>
                <w:szCs w:val="20"/>
              </w:rPr>
            </w:pPr>
            <w:r>
              <w:rPr>
                <w:rFonts w:ascii="Arial Narrow" w:hAnsi="Arial Narrow" w:cs="Arial"/>
                <w:sz w:val="20"/>
                <w:szCs w:val="20"/>
              </w:rPr>
              <w:t>$</w:t>
            </w:r>
            <w:r w:rsidR="00FC30C4">
              <w:rPr>
                <w:rFonts w:ascii="Arial Narrow" w:hAnsi="Arial Narrow" w:cs="Arial"/>
                <w:noProof/>
                <w:color w:val="000000"/>
                <w:sz w:val="20"/>
                <w:szCs w:val="20"/>
                <w:highlight w:val="black"/>
              </w:rPr>
              <w:t>''''''''''''</w:t>
            </w:r>
          </w:p>
        </w:tc>
        <w:tc>
          <w:tcPr>
            <w:tcW w:w="1559" w:type="dxa"/>
          </w:tcPr>
          <w:p w:rsidR="006E0308" w:rsidRDefault="002F7B70">
            <w:pPr>
              <w:keepNext/>
              <w:jc w:val="both"/>
              <w:rPr>
                <w:rFonts w:ascii="Arial Narrow" w:hAnsi="Arial Narrow" w:cs="Arial"/>
                <w:sz w:val="20"/>
                <w:szCs w:val="20"/>
              </w:rPr>
            </w:pPr>
            <w:r>
              <w:rPr>
                <w:rFonts w:ascii="Arial Narrow" w:hAnsi="Arial Narrow" w:cs="Arial"/>
                <w:sz w:val="20"/>
                <w:szCs w:val="20"/>
              </w:rPr>
              <w:t>OxyNorm®</w:t>
            </w:r>
          </w:p>
        </w:tc>
        <w:tc>
          <w:tcPr>
            <w:tcW w:w="1276" w:type="dxa"/>
          </w:tcPr>
          <w:p w:rsidR="006E0308" w:rsidRDefault="002F7B70">
            <w:pPr>
              <w:keepNext/>
              <w:jc w:val="both"/>
              <w:rPr>
                <w:rFonts w:ascii="Arial Narrow" w:hAnsi="Arial Narrow" w:cs="Arial"/>
                <w:sz w:val="20"/>
                <w:szCs w:val="20"/>
              </w:rPr>
            </w:pPr>
            <w:r>
              <w:rPr>
                <w:rFonts w:ascii="Arial Narrow" w:hAnsi="Arial Narrow" w:cs="Arial"/>
                <w:sz w:val="20"/>
                <w:szCs w:val="20"/>
              </w:rPr>
              <w:t>Mundipharma Pty Ltd</w:t>
            </w:r>
          </w:p>
        </w:tc>
      </w:tr>
      <w:tr w:rsidR="006E0308">
        <w:trPr>
          <w:cantSplit/>
          <w:trHeight w:val="360"/>
        </w:trPr>
        <w:tc>
          <w:tcPr>
            <w:tcW w:w="9214" w:type="dxa"/>
            <w:gridSpan w:val="7"/>
            <w:tcBorders>
              <w:bottom w:val="single" w:sz="4" w:space="0" w:color="auto"/>
            </w:tcBorders>
          </w:tcPr>
          <w:p w:rsidR="006E0308" w:rsidRDefault="006E0308">
            <w:pPr>
              <w:jc w:val="both"/>
              <w:rPr>
                <w:rFonts w:ascii="Arial Narrow" w:hAnsi="Arial Narrow" w:cs="Arial"/>
                <w:sz w:val="20"/>
                <w:szCs w:val="20"/>
              </w:rPr>
            </w:pPr>
          </w:p>
        </w:tc>
      </w:tr>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sz w:val="20"/>
                <w:szCs w:val="20"/>
              </w:rPr>
            </w:pPr>
            <w:r>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sz w:val="20"/>
                <w:szCs w:val="20"/>
              </w:rPr>
            </w:pPr>
            <w:r>
              <w:rPr>
                <w:rFonts w:ascii="Arial Narrow" w:hAnsi="Arial Narrow" w:cs="Arial"/>
                <w:sz w:val="20"/>
                <w:szCs w:val="20"/>
              </w:rPr>
              <w:t>GENERAL – General Schedule (Code GE)</w:t>
            </w:r>
          </w:p>
          <w:p w:rsidR="006E0308" w:rsidRDefault="006E0308">
            <w:pPr>
              <w:rPr>
                <w:rFonts w:ascii="Arial Narrow" w:hAnsi="Arial Narrow" w:cs="Arial"/>
                <w:sz w:val="20"/>
                <w:szCs w:val="20"/>
              </w:rPr>
            </w:pPr>
          </w:p>
        </w:tc>
      </w:tr>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sz w:val="20"/>
                <w:szCs w:val="20"/>
              </w:rPr>
            </w:pPr>
            <w:r>
              <w:rPr>
                <w:rFonts w:ascii="Arial Narrow" w:hAnsi="Arial Narrow" w:cs="Arial"/>
                <w:b/>
                <w:sz w:val="20"/>
                <w:szCs w:val="20"/>
              </w:rPr>
              <w:t>Prescriber type:</w:t>
            </w:r>
          </w:p>
          <w:p w:rsidR="006E0308" w:rsidRDefault="006E0308">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B63630">
              <w:rPr>
                <w:rFonts w:ascii="Arial Narrow" w:hAnsi="Arial Narrow" w:cs="Arial"/>
                <w:sz w:val="20"/>
                <w:szCs w:val="20"/>
              </w:rPr>
            </w:r>
            <w:r w:rsidR="00B6363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  </w:t>
            </w: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B63630">
              <w:rPr>
                <w:rFonts w:ascii="Arial Narrow" w:hAnsi="Arial Narrow" w:cs="Arial"/>
                <w:sz w:val="20"/>
                <w:szCs w:val="20"/>
              </w:rPr>
            </w:r>
            <w:r w:rsidR="00B6363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Nurse Practitioner</w:t>
            </w:r>
          </w:p>
        </w:tc>
      </w:tr>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sz w:val="20"/>
                <w:szCs w:val="20"/>
              </w:rPr>
            </w:pPr>
            <w:r>
              <w:rPr>
                <w:rFonts w:ascii="Arial Narrow" w:hAnsi="Arial Narrow" w:cs="Arial"/>
                <w:b/>
                <w:sz w:val="20"/>
                <w:szCs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sz w:val="20"/>
                <w:szCs w:val="20"/>
              </w:rPr>
            </w:pPr>
            <w:r>
              <w:rPr>
                <w:rFonts w:ascii="Arial Narrow" w:hAnsi="Arial Narrow" w:cs="Arial"/>
                <w:sz w:val="20"/>
                <w:szCs w:val="20"/>
              </w:rPr>
              <w:t>Severe</w:t>
            </w:r>
          </w:p>
        </w:tc>
      </w:tr>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sz w:val="20"/>
                <w:szCs w:val="20"/>
              </w:rPr>
            </w:pPr>
            <w:r>
              <w:rPr>
                <w:rFonts w:ascii="Arial Narrow" w:hAnsi="Arial Narrow" w:cs="Arial"/>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sz w:val="20"/>
                <w:szCs w:val="20"/>
              </w:rPr>
            </w:pPr>
            <w:r>
              <w:rPr>
                <w:rFonts w:ascii="Arial Narrow" w:hAnsi="Arial Narrow" w:cs="Arial"/>
                <w:sz w:val="20"/>
                <w:szCs w:val="20"/>
              </w:rPr>
              <w:t>Disabling pain</w:t>
            </w:r>
          </w:p>
        </w:tc>
      </w:tr>
      <w:tr w:rsidR="006E0308">
        <w:trPr>
          <w:cantSplit/>
          <w:trHeight w:val="369"/>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sz w:val="20"/>
                <w:szCs w:val="20"/>
              </w:rPr>
            </w:pPr>
            <w:r>
              <w:rPr>
                <w:rFonts w:ascii="Arial Narrow" w:hAnsi="Arial Narrow" w:cs="Arial"/>
                <w:b/>
                <w:sz w:val="20"/>
                <w:szCs w:val="20"/>
              </w:rPr>
              <w:t>PBS Indication:</w:t>
            </w:r>
          </w:p>
          <w:p w:rsidR="006E0308" w:rsidRDefault="006E0308">
            <w:pPr>
              <w:jc w:val="both"/>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sz w:val="20"/>
                <w:szCs w:val="20"/>
              </w:rPr>
            </w:pPr>
            <w:r>
              <w:rPr>
                <w:rFonts w:ascii="Arial Narrow" w:hAnsi="Arial Narrow" w:cs="Arial"/>
                <w:sz w:val="20"/>
                <w:szCs w:val="20"/>
              </w:rPr>
              <w:t>Severe disabling pain</w:t>
            </w:r>
          </w:p>
        </w:tc>
      </w:tr>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sz w:val="20"/>
                <w:szCs w:val="20"/>
              </w:rPr>
            </w:pPr>
            <w:r>
              <w:rPr>
                <w:rFonts w:ascii="Arial Narrow" w:hAnsi="Arial Narrow" w:cs="Arial"/>
                <w:b/>
                <w:sz w:val="20"/>
                <w:szCs w:val="20"/>
              </w:rPr>
              <w:t>Restriction Level / Method:</w:t>
            </w:r>
          </w:p>
          <w:p w:rsidR="006E0308" w:rsidRDefault="006E0308">
            <w:pPr>
              <w:rPr>
                <w:rFonts w:ascii="Arial Narrow" w:hAnsi="Arial Narrow" w:cs="Arial"/>
                <w:i/>
                <w:sz w:val="20"/>
                <w:szCs w:val="20"/>
              </w:rPr>
            </w:pPr>
          </w:p>
          <w:p w:rsidR="006E0308" w:rsidRDefault="006E0308">
            <w:pPr>
              <w:rPr>
                <w:rFonts w:ascii="Arial Narrow" w:hAnsi="Arial Narrow" w:cs="Arial"/>
                <w:i/>
                <w:sz w:val="20"/>
                <w:szCs w:val="20"/>
              </w:rPr>
            </w:pPr>
          </w:p>
          <w:p w:rsidR="006E0308" w:rsidRDefault="006E0308">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63630">
              <w:rPr>
                <w:rFonts w:ascii="Arial Narrow" w:hAnsi="Arial Narrow" w:cs="Arial"/>
                <w:sz w:val="20"/>
                <w:szCs w:val="20"/>
              </w:rPr>
            </w:r>
            <w:r w:rsidR="00B6363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Restricted benefit</w:t>
            </w:r>
          </w:p>
          <w:p w:rsidR="006E0308" w:rsidRDefault="002F7B70">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B63630">
              <w:rPr>
                <w:rFonts w:ascii="Arial Narrow" w:hAnsi="Arial Narrow" w:cs="Arial"/>
                <w:sz w:val="20"/>
                <w:szCs w:val="20"/>
              </w:rPr>
            </w:r>
            <w:r w:rsidR="00B6363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 In Writing</w:t>
            </w:r>
          </w:p>
          <w:p w:rsidR="006E0308" w:rsidRDefault="002F7B70">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B63630">
              <w:rPr>
                <w:rFonts w:ascii="Arial Narrow" w:hAnsi="Arial Narrow" w:cs="Arial"/>
                <w:sz w:val="20"/>
                <w:szCs w:val="20"/>
              </w:rPr>
            </w:r>
            <w:r w:rsidR="00B6363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 Telephone/Electronic/Emergency</w:t>
            </w:r>
          </w:p>
          <w:p w:rsidR="006E0308" w:rsidRDefault="002F7B70">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B63630">
              <w:rPr>
                <w:rFonts w:ascii="Arial Narrow" w:hAnsi="Arial Narrow" w:cs="Arial"/>
                <w:sz w:val="20"/>
                <w:szCs w:val="20"/>
              </w:rPr>
            </w:r>
            <w:r w:rsidR="00B6363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Streamlined</w:t>
            </w:r>
          </w:p>
        </w:tc>
      </w:tr>
      <w:tr w:rsidR="006E0308">
        <w:trPr>
          <w:cantSplit/>
          <w:trHeight w:val="657"/>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sz w:val="20"/>
                <w:szCs w:val="20"/>
              </w:rPr>
            </w:pPr>
            <w:r>
              <w:rPr>
                <w:rFonts w:ascii="Arial Narrow" w:hAnsi="Arial Narrow" w:cs="Arial"/>
                <w:b/>
                <w:sz w:val="20"/>
                <w:szCs w:val="20"/>
              </w:rPr>
              <w:t>Clinical criteria:</w:t>
            </w:r>
          </w:p>
          <w:p w:rsidR="006E0308" w:rsidRDefault="006E0308">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sz w:val="20"/>
                <w:szCs w:val="20"/>
              </w:rPr>
            </w:pPr>
            <w:r>
              <w:rPr>
                <w:rFonts w:ascii="Arial Narrow" w:hAnsi="Arial Narrow" w:cs="Arial"/>
                <w:sz w:val="20"/>
                <w:szCs w:val="20"/>
              </w:rPr>
              <w:t>The condition must be unresponsive to non-opioid analgesics.</w:t>
            </w:r>
          </w:p>
          <w:p w:rsidR="006E0308" w:rsidRDefault="006E0308">
            <w:pPr>
              <w:jc w:val="both"/>
              <w:rPr>
                <w:rFonts w:ascii="Arial Narrow" w:hAnsi="Arial Narrow" w:cs="Arial"/>
                <w:sz w:val="20"/>
                <w:szCs w:val="20"/>
              </w:rPr>
            </w:pPr>
          </w:p>
        </w:tc>
      </w:tr>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color w:val="000000" w:themeColor="text1"/>
                <w:sz w:val="20"/>
                <w:szCs w:val="20"/>
              </w:rPr>
            </w:pPr>
            <w:r>
              <w:rPr>
                <w:rFonts w:ascii="Arial Narrow" w:hAnsi="Arial Narrow" w:cs="Arial"/>
                <w:b/>
                <w:color w:val="000000" w:themeColor="text1"/>
                <w:sz w:val="20"/>
                <w:szCs w:val="20"/>
              </w:rPr>
              <w:lastRenderedPageBreak/>
              <w:t>Prescriber Instructions:</w:t>
            </w:r>
          </w:p>
          <w:p w:rsidR="006E0308" w:rsidRDefault="006E0308">
            <w:pPr>
              <w:jc w:val="both"/>
              <w:rPr>
                <w:rFonts w:ascii="Arial Narrow" w:hAnsi="Arial Narrow" w:cs="Arial"/>
                <w:color w:val="000000" w:themeColor="text1"/>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i/>
                <w:color w:val="000000" w:themeColor="text1"/>
                <w:sz w:val="20"/>
                <w:szCs w:val="20"/>
              </w:rPr>
            </w:pPr>
            <w:r>
              <w:rPr>
                <w:rFonts w:ascii="Arial Narrow" w:hAnsi="Arial Narrow" w:cs="Arial"/>
                <w:i/>
                <w:color w:val="000000" w:themeColor="text1"/>
                <w:sz w:val="20"/>
                <w:szCs w:val="20"/>
              </w:rPr>
              <w:t>Authorities for increased maximum quantities and/or repeats will be granted only for:</w:t>
            </w:r>
          </w:p>
          <w:p w:rsidR="006E0308" w:rsidRDefault="002F7B70">
            <w:pPr>
              <w:rPr>
                <w:rFonts w:ascii="Arial Narrow" w:hAnsi="Arial Narrow" w:cs="Arial"/>
                <w:i/>
                <w:color w:val="000000" w:themeColor="text1"/>
                <w:sz w:val="20"/>
                <w:szCs w:val="20"/>
              </w:rPr>
            </w:pPr>
            <w:r>
              <w:rPr>
                <w:rFonts w:ascii="Arial Narrow" w:hAnsi="Arial Narrow" w:cs="Arial"/>
                <w:i/>
                <w:color w:val="000000" w:themeColor="text1"/>
                <w:sz w:val="20"/>
                <w:szCs w:val="20"/>
              </w:rPr>
              <w:t>(i) severe disabling pain associated with proven malignant neoplasia; or</w:t>
            </w:r>
          </w:p>
          <w:p w:rsidR="006E0308" w:rsidRDefault="002F7B70">
            <w:pPr>
              <w:rPr>
                <w:rFonts w:ascii="Arial Narrow" w:hAnsi="Arial Narrow" w:cs="Arial"/>
                <w:i/>
                <w:color w:val="000000" w:themeColor="text1"/>
                <w:sz w:val="20"/>
                <w:szCs w:val="20"/>
              </w:rPr>
            </w:pPr>
            <w:r>
              <w:rPr>
                <w:rFonts w:ascii="Arial Narrow" w:hAnsi="Arial Narrow" w:cs="Arial"/>
                <w:i/>
                <w:color w:val="000000" w:themeColor="text1"/>
                <w:sz w:val="20"/>
                <w:szCs w:val="20"/>
              </w:rPr>
              <w:t>(ii) chronic severe disabling pain not responding to non-opioid analgesics where the total duration of opioid analgesic treatment is less than 12 months; or</w:t>
            </w:r>
          </w:p>
          <w:p w:rsidR="006E0308" w:rsidRDefault="002F7B70">
            <w:pPr>
              <w:rPr>
                <w:rFonts w:ascii="Arial Narrow" w:hAnsi="Arial Narrow" w:cs="Arial"/>
                <w:i/>
                <w:color w:val="000000" w:themeColor="text1"/>
                <w:sz w:val="20"/>
                <w:szCs w:val="20"/>
              </w:rPr>
            </w:pPr>
            <w:r>
              <w:rPr>
                <w:rFonts w:ascii="Arial Narrow" w:hAnsi="Arial Narrow" w:cs="Arial"/>
                <w:i/>
                <w:color w:val="000000" w:themeColor="text1"/>
                <w:sz w:val="20"/>
                <w:szCs w:val="20"/>
              </w:rPr>
              <w:t>(iii) first application for treatment beyond 12 months of chronic severe disabling pain not responding to non-opioid analgesics where the patient's pain management has been reviewed through consultation by the patient with another medical practitioner, and the clinical need for continuing opioid analgesic treatment has been confirmed. The date of the consultation must be no more than 3 months prior to the application for a PBS authority. The full name of the medical practitioner consulted and the date of consultation are to be provided at the time of application; or</w:t>
            </w:r>
          </w:p>
          <w:p w:rsidR="006E0308" w:rsidRDefault="002F7B70">
            <w:pPr>
              <w:rPr>
                <w:rFonts w:ascii="Arial Narrow" w:hAnsi="Arial Narrow" w:cs="Arial"/>
                <w:color w:val="000000" w:themeColor="text1"/>
                <w:sz w:val="20"/>
                <w:szCs w:val="20"/>
              </w:rPr>
            </w:pPr>
            <w:r>
              <w:rPr>
                <w:rFonts w:ascii="Arial Narrow" w:hAnsi="Arial Narrow" w:cs="Arial"/>
                <w:i/>
                <w:color w:val="000000" w:themeColor="text1"/>
                <w:sz w:val="20"/>
                <w:szCs w:val="20"/>
              </w:rPr>
              <w:t>(iv) subsequent application for treatment of chronic severe disabling pain not responding to non-opioid analgesics where a PBS authority prescription for treatment beyond 12 months has previously been issued for this patient.</w:t>
            </w:r>
          </w:p>
        </w:tc>
      </w:tr>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color w:val="000000" w:themeColor="text1"/>
                <w:sz w:val="20"/>
                <w:szCs w:val="20"/>
              </w:rPr>
            </w:pPr>
            <w:r>
              <w:rPr>
                <w:rFonts w:ascii="Arial Narrow" w:hAnsi="Arial Narrow" w:cs="Arial"/>
                <w:b/>
                <w:color w:val="000000" w:themeColor="text1"/>
                <w:sz w:val="20"/>
                <w:szCs w:val="20"/>
              </w:rPr>
              <w:t>Administrative Advice:</w:t>
            </w:r>
          </w:p>
          <w:p w:rsidR="006E0308" w:rsidRDefault="006E0308">
            <w:pPr>
              <w:jc w:val="both"/>
              <w:rPr>
                <w:rFonts w:ascii="Arial Narrow" w:hAnsi="Arial Narrow" w:cs="Arial"/>
                <w:i/>
                <w:color w:val="000000" w:themeColor="text1"/>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strike/>
                <w:color w:val="000000" w:themeColor="text1"/>
                <w:sz w:val="20"/>
                <w:szCs w:val="20"/>
                <w:shd w:val="clear" w:color="auto" w:fill="FFFFFF" w:themeFill="background1"/>
              </w:rPr>
            </w:pPr>
            <w:r>
              <w:rPr>
                <w:rFonts w:ascii="Arial Narrow" w:hAnsi="Arial Narrow"/>
                <w:strike/>
                <w:color w:val="000000" w:themeColor="text1"/>
                <w:sz w:val="20"/>
                <w:szCs w:val="20"/>
                <w:shd w:val="clear" w:color="auto" w:fill="FFFFFF" w:themeFill="background1"/>
              </w:rPr>
              <w:t>Authorities for increased maximum quantities and/or repeats will be granted only for:</w:t>
            </w:r>
          </w:p>
          <w:p w:rsidR="006E0308" w:rsidRDefault="002F7B70">
            <w:pPr>
              <w:rPr>
                <w:rFonts w:ascii="Arial Narrow" w:hAnsi="Arial Narrow"/>
                <w:strike/>
                <w:color w:val="000000" w:themeColor="text1"/>
                <w:sz w:val="20"/>
                <w:szCs w:val="20"/>
                <w:shd w:val="clear" w:color="auto" w:fill="FFFFFF" w:themeFill="background1"/>
              </w:rPr>
            </w:pPr>
            <w:r>
              <w:rPr>
                <w:rFonts w:ascii="Arial Narrow" w:hAnsi="Arial Narrow"/>
                <w:strike/>
                <w:color w:val="000000" w:themeColor="text1"/>
                <w:sz w:val="20"/>
                <w:szCs w:val="20"/>
                <w:shd w:val="clear" w:color="auto" w:fill="FFFFFF" w:themeFill="background1"/>
              </w:rPr>
              <w:t>(i) severe disabling pain associated with proven malignant neoplasia; or</w:t>
            </w:r>
          </w:p>
          <w:p w:rsidR="006E0308" w:rsidRDefault="002F7B70">
            <w:pPr>
              <w:rPr>
                <w:rFonts w:ascii="Arial Narrow" w:hAnsi="Arial Narrow"/>
                <w:strike/>
                <w:color w:val="000000" w:themeColor="text1"/>
                <w:sz w:val="20"/>
                <w:szCs w:val="20"/>
                <w:shd w:val="clear" w:color="auto" w:fill="FFFFFF" w:themeFill="background1"/>
              </w:rPr>
            </w:pPr>
            <w:r>
              <w:rPr>
                <w:rFonts w:ascii="Arial Narrow" w:hAnsi="Arial Narrow"/>
                <w:strike/>
                <w:color w:val="000000" w:themeColor="text1"/>
                <w:sz w:val="20"/>
                <w:szCs w:val="20"/>
                <w:shd w:val="clear" w:color="auto" w:fill="FFFFFF" w:themeFill="background1"/>
              </w:rPr>
              <w:t>(ii) chronic severe disabling pain not responding to non-opioid analgesics where the total duration of opioid analgesic treatment is less than 12 months; or</w:t>
            </w:r>
          </w:p>
          <w:p w:rsidR="006E0308" w:rsidRDefault="002F7B70">
            <w:pPr>
              <w:rPr>
                <w:rFonts w:ascii="Arial Narrow" w:hAnsi="Arial Narrow"/>
                <w:strike/>
                <w:color w:val="000000" w:themeColor="text1"/>
                <w:sz w:val="20"/>
                <w:szCs w:val="20"/>
                <w:shd w:val="clear" w:color="auto" w:fill="FFFFFF" w:themeFill="background1"/>
              </w:rPr>
            </w:pPr>
            <w:r>
              <w:rPr>
                <w:rFonts w:ascii="Arial Narrow" w:hAnsi="Arial Narrow"/>
                <w:strike/>
                <w:color w:val="000000" w:themeColor="text1"/>
                <w:sz w:val="20"/>
                <w:szCs w:val="20"/>
                <w:shd w:val="clear" w:color="auto" w:fill="FFFFFF" w:themeFill="background1"/>
              </w:rPr>
              <w:t>(iii) first application for treatment beyond 12 months of chronic severe disabling pain not responding to non-opioid analgesics where the patient's pain management has been reviewed through consultation by the patient with another medical practitioner, and the clinical need for continuing opioid analgesic treatment has been confirmed. The date of the consultation must be no more than 3 months prior to the application for a PBS authority. The full name of the medical practitioner consulted and the date of consultation are to be provided at the time of application; or</w:t>
            </w:r>
          </w:p>
          <w:p w:rsidR="006E0308" w:rsidRDefault="002F7B70">
            <w:pPr>
              <w:rPr>
                <w:rFonts w:ascii="Arial Narrow" w:hAnsi="Arial Narrow" w:cs="Arial"/>
                <w:strike/>
                <w:color w:val="000000" w:themeColor="text1"/>
                <w:sz w:val="20"/>
                <w:szCs w:val="20"/>
              </w:rPr>
            </w:pPr>
            <w:r>
              <w:rPr>
                <w:rFonts w:ascii="Arial Narrow" w:hAnsi="Arial Narrow"/>
                <w:strike/>
                <w:color w:val="000000" w:themeColor="text1"/>
                <w:sz w:val="20"/>
                <w:szCs w:val="20"/>
                <w:shd w:val="clear" w:color="auto" w:fill="FFFFFF" w:themeFill="background1"/>
              </w:rPr>
              <w:t>(iv) subsequent application for treatment of chronic severe disabling pain not responding to non-opioid analgesics where a PBS authority prescription for treatment beyond 12 months has previously been issued for this patient.</w:t>
            </w:r>
          </w:p>
        </w:tc>
      </w:tr>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Pr="009239D3" w:rsidRDefault="002F7B70">
            <w:pPr>
              <w:jc w:val="both"/>
              <w:rPr>
                <w:rFonts w:ascii="Arial Narrow" w:hAnsi="Arial Narrow" w:cs="Arial"/>
                <w:b/>
                <w:color w:val="000000" w:themeColor="text1"/>
                <w:sz w:val="20"/>
                <w:szCs w:val="20"/>
              </w:rPr>
            </w:pPr>
            <w:r>
              <w:rPr>
                <w:rFonts w:ascii="Arial Narrow" w:hAnsi="Arial Narrow" w:cs="Arial"/>
                <w:b/>
                <w:color w:val="000000" w:themeColor="text1"/>
                <w:sz w:val="20"/>
                <w:szCs w:val="20"/>
              </w:rPr>
              <w:t>Cautions:</w:t>
            </w:r>
          </w:p>
        </w:tc>
        <w:tc>
          <w:tcPr>
            <w:tcW w:w="6379" w:type="dxa"/>
            <w:gridSpan w:val="6"/>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color w:val="000000" w:themeColor="text1"/>
                <w:sz w:val="20"/>
                <w:szCs w:val="20"/>
              </w:rPr>
            </w:pPr>
            <w:r>
              <w:rPr>
                <w:rFonts w:ascii="Arial Narrow" w:hAnsi="Arial Narrow" w:cs="Arial"/>
                <w:color w:val="000000" w:themeColor="text1"/>
                <w:sz w:val="20"/>
                <w:szCs w:val="20"/>
              </w:rPr>
              <w:t>The risk of drug dependence is high.</w:t>
            </w:r>
          </w:p>
        </w:tc>
      </w:tr>
    </w:tbl>
    <w:p w:rsidR="006E0308" w:rsidRDefault="006E0308">
      <w:pPr>
        <w:rPr>
          <w:rFonts w:eastAsiaTheme="majorEastAsia"/>
          <w:lang w:eastAsia="en-US"/>
        </w:rPr>
      </w:pPr>
    </w:p>
    <w:tbl>
      <w:tblPr>
        <w:tblW w:w="9214" w:type="dxa"/>
        <w:tblInd w:w="108" w:type="dxa"/>
        <w:tblLayout w:type="fixed"/>
        <w:tblLook w:val="0000" w:firstRow="0" w:lastRow="0" w:firstColumn="0" w:lastColumn="0" w:noHBand="0" w:noVBand="0"/>
      </w:tblPr>
      <w:tblGrid>
        <w:gridCol w:w="2835"/>
        <w:gridCol w:w="6379"/>
      </w:tblGrid>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color w:val="000000" w:themeColor="text1"/>
                <w:sz w:val="20"/>
                <w:szCs w:val="20"/>
              </w:rPr>
            </w:pPr>
            <w:r>
              <w:rPr>
                <w:rFonts w:ascii="Arial Narrow" w:hAnsi="Arial Narrow" w:cs="Arial"/>
                <w:b/>
                <w:color w:val="000000" w:themeColor="text1"/>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i/>
                <w:color w:val="000000" w:themeColor="text1"/>
                <w:sz w:val="20"/>
                <w:szCs w:val="20"/>
              </w:rPr>
            </w:pPr>
            <w:r>
              <w:rPr>
                <w:rFonts w:ascii="Arial Narrow" w:hAnsi="Arial Narrow" w:cs="Arial"/>
                <w:i/>
                <w:color w:val="000000" w:themeColor="text1"/>
                <w:sz w:val="20"/>
                <w:szCs w:val="20"/>
              </w:rPr>
              <w:t>GENERAL – General Schedule (Code GE)</w:t>
            </w:r>
          </w:p>
        </w:tc>
      </w:tr>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color w:val="000000" w:themeColor="text1"/>
                <w:sz w:val="20"/>
                <w:szCs w:val="20"/>
              </w:rPr>
            </w:pPr>
            <w:r>
              <w:rPr>
                <w:rFonts w:ascii="Arial Narrow" w:hAnsi="Arial Narrow" w:cs="Arial"/>
                <w:b/>
                <w:color w:val="000000" w:themeColor="text1"/>
                <w:sz w:val="20"/>
                <w:szCs w:val="20"/>
              </w:rPr>
              <w:t>Prescriber type:</w:t>
            </w:r>
          </w:p>
        </w:tc>
        <w:tc>
          <w:tcPr>
            <w:tcW w:w="6379" w:type="dxa"/>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i/>
                <w:color w:val="000000" w:themeColor="text1"/>
                <w:sz w:val="20"/>
                <w:szCs w:val="20"/>
              </w:rPr>
            </w:pPr>
            <w:r>
              <w:rPr>
                <w:rFonts w:ascii="Arial Narrow" w:hAnsi="Arial Narrow" w:cs="Arial"/>
                <w:i/>
                <w:color w:val="000000" w:themeColor="text1"/>
                <w:sz w:val="20"/>
                <w:szCs w:val="20"/>
              </w:rPr>
              <w:fldChar w:fldCharType="begin">
                <w:ffData>
                  <w:name w:val="Check1"/>
                  <w:enabled/>
                  <w:calcOnExit w:val="0"/>
                  <w:checkBox>
                    <w:sizeAuto/>
                    <w:default w:val="1"/>
                  </w:checkBox>
                </w:ffData>
              </w:fldChar>
            </w:r>
            <w:r>
              <w:rPr>
                <w:rFonts w:ascii="Arial Narrow" w:hAnsi="Arial Narrow" w:cs="Arial"/>
                <w:i/>
                <w:color w:val="000000" w:themeColor="text1"/>
                <w:sz w:val="20"/>
                <w:szCs w:val="20"/>
              </w:rPr>
              <w:instrText xml:space="preserve"> FORMCHECKBOX </w:instrText>
            </w:r>
            <w:r w:rsidR="00B63630">
              <w:rPr>
                <w:rFonts w:ascii="Arial Narrow" w:hAnsi="Arial Narrow" w:cs="Arial"/>
                <w:i/>
                <w:color w:val="000000" w:themeColor="text1"/>
                <w:sz w:val="20"/>
                <w:szCs w:val="20"/>
              </w:rPr>
            </w:r>
            <w:r w:rsidR="00B63630">
              <w:rPr>
                <w:rFonts w:ascii="Arial Narrow" w:hAnsi="Arial Narrow" w:cs="Arial"/>
                <w:i/>
                <w:color w:val="000000" w:themeColor="text1"/>
                <w:sz w:val="20"/>
                <w:szCs w:val="20"/>
              </w:rPr>
              <w:fldChar w:fldCharType="separate"/>
            </w:r>
            <w:r>
              <w:rPr>
                <w:rFonts w:ascii="Arial Narrow" w:hAnsi="Arial Narrow" w:cs="Arial"/>
                <w:i/>
                <w:color w:val="000000" w:themeColor="text1"/>
                <w:sz w:val="20"/>
                <w:szCs w:val="20"/>
              </w:rPr>
              <w:fldChar w:fldCharType="end"/>
            </w:r>
            <w:r w:rsidR="0043180F">
              <w:rPr>
                <w:rFonts w:ascii="Arial Narrow" w:hAnsi="Arial Narrow" w:cs="Arial"/>
                <w:i/>
                <w:color w:val="000000" w:themeColor="text1"/>
                <w:sz w:val="20"/>
                <w:szCs w:val="20"/>
              </w:rPr>
              <w:t>Dental</w:t>
            </w:r>
          </w:p>
        </w:tc>
      </w:tr>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color w:val="000000" w:themeColor="text1"/>
                <w:sz w:val="20"/>
                <w:szCs w:val="20"/>
              </w:rPr>
            </w:pPr>
            <w:r>
              <w:rPr>
                <w:rFonts w:ascii="Arial Narrow" w:hAnsi="Arial Narrow" w:cs="Arial"/>
                <w:b/>
                <w:color w:val="000000" w:themeColor="text1"/>
                <w:sz w:val="20"/>
                <w:szCs w:val="20"/>
              </w:rPr>
              <w:t>Severity:</w:t>
            </w:r>
          </w:p>
        </w:tc>
        <w:tc>
          <w:tcPr>
            <w:tcW w:w="6379" w:type="dxa"/>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i/>
                <w:color w:val="000000" w:themeColor="text1"/>
                <w:sz w:val="20"/>
                <w:szCs w:val="20"/>
              </w:rPr>
            </w:pPr>
            <w:r>
              <w:rPr>
                <w:rFonts w:ascii="Arial Narrow" w:hAnsi="Arial Narrow" w:cs="Arial"/>
                <w:i/>
                <w:color w:val="000000" w:themeColor="text1"/>
                <w:sz w:val="20"/>
                <w:szCs w:val="20"/>
              </w:rPr>
              <w:t>Severe</w:t>
            </w:r>
          </w:p>
        </w:tc>
      </w:tr>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color w:val="000000" w:themeColor="text1"/>
                <w:sz w:val="20"/>
                <w:szCs w:val="20"/>
              </w:rPr>
            </w:pPr>
            <w:r>
              <w:rPr>
                <w:rFonts w:ascii="Arial Narrow" w:hAnsi="Arial Narrow" w:cs="Arial"/>
                <w:b/>
                <w:color w:val="000000" w:themeColor="text1"/>
                <w:sz w:val="20"/>
                <w:szCs w:val="20"/>
              </w:rPr>
              <w:t>Condition:</w:t>
            </w:r>
          </w:p>
        </w:tc>
        <w:tc>
          <w:tcPr>
            <w:tcW w:w="6379" w:type="dxa"/>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i/>
                <w:color w:val="000000" w:themeColor="text1"/>
                <w:sz w:val="20"/>
                <w:szCs w:val="20"/>
              </w:rPr>
            </w:pPr>
            <w:r>
              <w:rPr>
                <w:rFonts w:ascii="Arial Narrow" w:hAnsi="Arial Narrow" w:cs="Arial"/>
                <w:i/>
                <w:color w:val="000000" w:themeColor="text1"/>
                <w:sz w:val="20"/>
                <w:szCs w:val="20"/>
              </w:rPr>
              <w:t>Disabling pain</w:t>
            </w:r>
          </w:p>
        </w:tc>
      </w:tr>
      <w:tr w:rsidR="006E0308">
        <w:trPr>
          <w:cantSplit/>
          <w:trHeight w:val="369"/>
        </w:trPr>
        <w:tc>
          <w:tcPr>
            <w:tcW w:w="2835" w:type="dxa"/>
            <w:tcBorders>
              <w:top w:val="single" w:sz="4" w:space="0" w:color="auto"/>
              <w:left w:val="single" w:sz="4" w:space="0" w:color="auto"/>
              <w:bottom w:val="single" w:sz="4" w:space="0" w:color="auto"/>
              <w:right w:val="single" w:sz="4" w:space="0" w:color="auto"/>
            </w:tcBorders>
          </w:tcPr>
          <w:p w:rsidR="006E0308" w:rsidRPr="009239D3" w:rsidRDefault="002F7B70">
            <w:pPr>
              <w:jc w:val="both"/>
              <w:rPr>
                <w:rFonts w:ascii="Arial Narrow" w:hAnsi="Arial Narrow" w:cs="Arial"/>
                <w:b/>
                <w:color w:val="000000" w:themeColor="text1"/>
                <w:sz w:val="20"/>
                <w:szCs w:val="20"/>
              </w:rPr>
            </w:pPr>
            <w:r>
              <w:rPr>
                <w:rFonts w:ascii="Arial Narrow" w:hAnsi="Arial Narrow" w:cs="Arial"/>
                <w:b/>
                <w:color w:val="000000" w:themeColor="text1"/>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i/>
                <w:color w:val="000000" w:themeColor="text1"/>
                <w:sz w:val="20"/>
                <w:szCs w:val="20"/>
              </w:rPr>
            </w:pPr>
            <w:r>
              <w:rPr>
                <w:rFonts w:ascii="Arial Narrow" w:hAnsi="Arial Narrow" w:cs="Arial"/>
                <w:i/>
                <w:color w:val="000000" w:themeColor="text1"/>
                <w:sz w:val="20"/>
                <w:szCs w:val="20"/>
              </w:rPr>
              <w:t>Severe disabling pain</w:t>
            </w:r>
          </w:p>
        </w:tc>
      </w:tr>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color w:val="000000" w:themeColor="text1"/>
                <w:sz w:val="20"/>
                <w:szCs w:val="20"/>
              </w:rPr>
            </w:pPr>
            <w:r>
              <w:rPr>
                <w:rFonts w:ascii="Arial Narrow" w:hAnsi="Arial Narrow" w:cs="Arial"/>
                <w:b/>
                <w:color w:val="000000" w:themeColor="text1"/>
                <w:sz w:val="20"/>
                <w:szCs w:val="20"/>
              </w:rPr>
              <w:t>Restriction Level / Method:</w:t>
            </w:r>
          </w:p>
          <w:p w:rsidR="006E0308" w:rsidRDefault="006E0308">
            <w:pPr>
              <w:rPr>
                <w:rFonts w:ascii="Arial Narrow" w:hAnsi="Arial Narrow" w:cs="Arial"/>
                <w:i/>
                <w:color w:val="000000" w:themeColor="text1"/>
                <w:sz w:val="20"/>
                <w:szCs w:val="20"/>
              </w:rPr>
            </w:pPr>
          </w:p>
          <w:p w:rsidR="006E0308" w:rsidRDefault="006E0308">
            <w:pPr>
              <w:rPr>
                <w:rFonts w:ascii="Arial Narrow" w:hAnsi="Arial Narrow" w:cs="Arial"/>
                <w:i/>
                <w:color w:val="000000" w:themeColor="text1"/>
                <w:sz w:val="20"/>
                <w:szCs w:val="20"/>
              </w:rPr>
            </w:pPr>
          </w:p>
          <w:p w:rsidR="006E0308" w:rsidRDefault="006E0308">
            <w:pPr>
              <w:rPr>
                <w:rFonts w:ascii="Arial Narrow" w:hAnsi="Arial Narrow" w:cs="Arial"/>
                <w:i/>
                <w:color w:val="000000" w:themeColor="text1"/>
                <w:sz w:val="20"/>
                <w:szCs w:val="20"/>
              </w:rPr>
            </w:pPr>
          </w:p>
        </w:tc>
        <w:tc>
          <w:tcPr>
            <w:tcW w:w="6379" w:type="dxa"/>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i/>
                <w:color w:val="000000" w:themeColor="text1"/>
                <w:sz w:val="20"/>
                <w:szCs w:val="20"/>
              </w:rPr>
            </w:pPr>
            <w:r>
              <w:rPr>
                <w:rFonts w:ascii="Arial Narrow" w:hAnsi="Arial Narrow" w:cs="Arial"/>
                <w:i/>
                <w:color w:val="000000" w:themeColor="text1"/>
                <w:sz w:val="20"/>
                <w:szCs w:val="20"/>
              </w:rPr>
              <w:fldChar w:fldCharType="begin">
                <w:ffData>
                  <w:name w:val=""/>
                  <w:enabled/>
                  <w:calcOnExit w:val="0"/>
                  <w:checkBox>
                    <w:sizeAuto/>
                    <w:default w:val="1"/>
                  </w:checkBox>
                </w:ffData>
              </w:fldChar>
            </w:r>
            <w:r>
              <w:rPr>
                <w:rFonts w:ascii="Arial Narrow" w:hAnsi="Arial Narrow" w:cs="Arial"/>
                <w:i/>
                <w:color w:val="000000" w:themeColor="text1"/>
                <w:sz w:val="20"/>
                <w:szCs w:val="20"/>
              </w:rPr>
              <w:instrText xml:space="preserve"> FORMCHECKBOX </w:instrText>
            </w:r>
            <w:r w:rsidR="00B63630">
              <w:rPr>
                <w:rFonts w:ascii="Arial Narrow" w:hAnsi="Arial Narrow" w:cs="Arial"/>
                <w:i/>
                <w:color w:val="000000" w:themeColor="text1"/>
                <w:sz w:val="20"/>
                <w:szCs w:val="20"/>
              </w:rPr>
            </w:r>
            <w:r w:rsidR="00B63630">
              <w:rPr>
                <w:rFonts w:ascii="Arial Narrow" w:hAnsi="Arial Narrow" w:cs="Arial"/>
                <w:i/>
                <w:color w:val="000000" w:themeColor="text1"/>
                <w:sz w:val="20"/>
                <w:szCs w:val="20"/>
              </w:rPr>
              <w:fldChar w:fldCharType="separate"/>
            </w:r>
            <w:r>
              <w:rPr>
                <w:rFonts w:ascii="Arial Narrow" w:hAnsi="Arial Narrow" w:cs="Arial"/>
                <w:i/>
                <w:color w:val="000000" w:themeColor="text1"/>
                <w:sz w:val="20"/>
                <w:szCs w:val="20"/>
              </w:rPr>
              <w:fldChar w:fldCharType="end"/>
            </w:r>
            <w:r>
              <w:rPr>
                <w:rFonts w:ascii="Arial Narrow" w:hAnsi="Arial Narrow" w:cs="Arial"/>
                <w:i/>
                <w:color w:val="000000" w:themeColor="text1"/>
                <w:sz w:val="20"/>
                <w:szCs w:val="20"/>
              </w:rPr>
              <w:t>Restricted benefit</w:t>
            </w:r>
          </w:p>
          <w:p w:rsidR="006E0308" w:rsidRDefault="002F7B70">
            <w:pPr>
              <w:rPr>
                <w:rFonts w:ascii="Arial Narrow" w:hAnsi="Arial Narrow" w:cs="Arial"/>
                <w:i/>
                <w:color w:val="000000" w:themeColor="text1"/>
                <w:sz w:val="20"/>
                <w:szCs w:val="20"/>
              </w:rPr>
            </w:pPr>
            <w:r>
              <w:rPr>
                <w:rFonts w:ascii="Arial Narrow" w:hAnsi="Arial Narrow" w:cs="Arial"/>
                <w:i/>
                <w:color w:val="000000" w:themeColor="text1"/>
                <w:sz w:val="20"/>
                <w:szCs w:val="20"/>
              </w:rPr>
              <w:fldChar w:fldCharType="begin">
                <w:ffData>
                  <w:name w:val=""/>
                  <w:enabled/>
                  <w:calcOnExit w:val="0"/>
                  <w:checkBox>
                    <w:sizeAuto/>
                    <w:default w:val="0"/>
                  </w:checkBox>
                </w:ffData>
              </w:fldChar>
            </w:r>
            <w:r>
              <w:rPr>
                <w:rFonts w:ascii="Arial Narrow" w:hAnsi="Arial Narrow" w:cs="Arial"/>
                <w:i/>
                <w:color w:val="000000" w:themeColor="text1"/>
                <w:sz w:val="20"/>
                <w:szCs w:val="20"/>
              </w:rPr>
              <w:instrText xml:space="preserve"> FORMCHECKBOX </w:instrText>
            </w:r>
            <w:r w:rsidR="00B63630">
              <w:rPr>
                <w:rFonts w:ascii="Arial Narrow" w:hAnsi="Arial Narrow" w:cs="Arial"/>
                <w:i/>
                <w:color w:val="000000" w:themeColor="text1"/>
                <w:sz w:val="20"/>
                <w:szCs w:val="20"/>
              </w:rPr>
            </w:r>
            <w:r w:rsidR="00B63630">
              <w:rPr>
                <w:rFonts w:ascii="Arial Narrow" w:hAnsi="Arial Narrow" w:cs="Arial"/>
                <w:i/>
                <w:color w:val="000000" w:themeColor="text1"/>
                <w:sz w:val="20"/>
                <w:szCs w:val="20"/>
              </w:rPr>
              <w:fldChar w:fldCharType="separate"/>
            </w:r>
            <w:r>
              <w:rPr>
                <w:rFonts w:ascii="Arial Narrow" w:hAnsi="Arial Narrow" w:cs="Arial"/>
                <w:i/>
                <w:color w:val="000000" w:themeColor="text1"/>
                <w:sz w:val="20"/>
                <w:szCs w:val="20"/>
              </w:rPr>
              <w:fldChar w:fldCharType="end"/>
            </w:r>
            <w:r>
              <w:rPr>
                <w:rFonts w:ascii="Arial Narrow" w:hAnsi="Arial Narrow" w:cs="Arial"/>
                <w:i/>
                <w:color w:val="000000" w:themeColor="text1"/>
                <w:sz w:val="20"/>
                <w:szCs w:val="20"/>
              </w:rPr>
              <w:t>Authority Required – In Writing</w:t>
            </w:r>
          </w:p>
          <w:p w:rsidR="006E0308" w:rsidRDefault="002F7B70">
            <w:pPr>
              <w:rPr>
                <w:rFonts w:ascii="Arial Narrow" w:hAnsi="Arial Narrow" w:cs="Arial"/>
                <w:i/>
                <w:color w:val="000000" w:themeColor="text1"/>
                <w:sz w:val="20"/>
                <w:szCs w:val="20"/>
              </w:rPr>
            </w:pPr>
            <w:r>
              <w:rPr>
                <w:rFonts w:ascii="Arial Narrow" w:hAnsi="Arial Narrow" w:cs="Arial"/>
                <w:i/>
                <w:color w:val="000000" w:themeColor="text1"/>
                <w:sz w:val="20"/>
                <w:szCs w:val="20"/>
              </w:rPr>
              <w:fldChar w:fldCharType="begin">
                <w:ffData>
                  <w:name w:val="Check3"/>
                  <w:enabled/>
                  <w:calcOnExit w:val="0"/>
                  <w:checkBox>
                    <w:sizeAuto/>
                    <w:default w:val="0"/>
                  </w:checkBox>
                </w:ffData>
              </w:fldChar>
            </w:r>
            <w:r>
              <w:rPr>
                <w:rFonts w:ascii="Arial Narrow" w:hAnsi="Arial Narrow" w:cs="Arial"/>
                <w:i/>
                <w:color w:val="000000" w:themeColor="text1"/>
                <w:sz w:val="20"/>
                <w:szCs w:val="20"/>
              </w:rPr>
              <w:instrText xml:space="preserve"> FORMCHECKBOX </w:instrText>
            </w:r>
            <w:r w:rsidR="00B63630">
              <w:rPr>
                <w:rFonts w:ascii="Arial Narrow" w:hAnsi="Arial Narrow" w:cs="Arial"/>
                <w:i/>
                <w:color w:val="000000" w:themeColor="text1"/>
                <w:sz w:val="20"/>
                <w:szCs w:val="20"/>
              </w:rPr>
            </w:r>
            <w:r w:rsidR="00B63630">
              <w:rPr>
                <w:rFonts w:ascii="Arial Narrow" w:hAnsi="Arial Narrow" w:cs="Arial"/>
                <w:i/>
                <w:color w:val="000000" w:themeColor="text1"/>
                <w:sz w:val="20"/>
                <w:szCs w:val="20"/>
              </w:rPr>
              <w:fldChar w:fldCharType="separate"/>
            </w:r>
            <w:r>
              <w:rPr>
                <w:rFonts w:ascii="Arial Narrow" w:hAnsi="Arial Narrow" w:cs="Arial"/>
                <w:i/>
                <w:color w:val="000000" w:themeColor="text1"/>
                <w:sz w:val="20"/>
                <w:szCs w:val="20"/>
              </w:rPr>
              <w:fldChar w:fldCharType="end"/>
            </w:r>
            <w:r>
              <w:rPr>
                <w:rFonts w:ascii="Arial Narrow" w:hAnsi="Arial Narrow" w:cs="Arial"/>
                <w:i/>
                <w:color w:val="000000" w:themeColor="text1"/>
                <w:sz w:val="20"/>
                <w:szCs w:val="20"/>
              </w:rPr>
              <w:t>Authority Required – Telephone/Electronic/Emergency</w:t>
            </w:r>
          </w:p>
          <w:p w:rsidR="006E0308" w:rsidRDefault="002F7B70">
            <w:pPr>
              <w:rPr>
                <w:rFonts w:ascii="Arial Narrow" w:hAnsi="Arial Narrow" w:cs="Arial"/>
                <w:i/>
                <w:color w:val="000000" w:themeColor="text1"/>
                <w:sz w:val="20"/>
                <w:szCs w:val="20"/>
              </w:rPr>
            </w:pPr>
            <w:r>
              <w:rPr>
                <w:rFonts w:ascii="Arial Narrow" w:hAnsi="Arial Narrow" w:cs="Arial"/>
                <w:i/>
                <w:color w:val="000000" w:themeColor="text1"/>
                <w:sz w:val="20"/>
                <w:szCs w:val="20"/>
              </w:rPr>
              <w:fldChar w:fldCharType="begin">
                <w:ffData>
                  <w:name w:val="Check5"/>
                  <w:enabled/>
                  <w:calcOnExit w:val="0"/>
                  <w:checkBox>
                    <w:sizeAuto/>
                    <w:default w:val="0"/>
                  </w:checkBox>
                </w:ffData>
              </w:fldChar>
            </w:r>
            <w:r>
              <w:rPr>
                <w:rFonts w:ascii="Arial Narrow" w:hAnsi="Arial Narrow" w:cs="Arial"/>
                <w:i/>
                <w:color w:val="000000" w:themeColor="text1"/>
                <w:sz w:val="20"/>
                <w:szCs w:val="20"/>
              </w:rPr>
              <w:instrText xml:space="preserve"> FORMCHECKBOX </w:instrText>
            </w:r>
            <w:r w:rsidR="00B63630">
              <w:rPr>
                <w:rFonts w:ascii="Arial Narrow" w:hAnsi="Arial Narrow" w:cs="Arial"/>
                <w:i/>
                <w:color w:val="000000" w:themeColor="text1"/>
                <w:sz w:val="20"/>
                <w:szCs w:val="20"/>
              </w:rPr>
            </w:r>
            <w:r w:rsidR="00B63630">
              <w:rPr>
                <w:rFonts w:ascii="Arial Narrow" w:hAnsi="Arial Narrow" w:cs="Arial"/>
                <w:i/>
                <w:color w:val="000000" w:themeColor="text1"/>
                <w:sz w:val="20"/>
                <w:szCs w:val="20"/>
              </w:rPr>
              <w:fldChar w:fldCharType="separate"/>
            </w:r>
            <w:r>
              <w:rPr>
                <w:rFonts w:ascii="Arial Narrow" w:hAnsi="Arial Narrow" w:cs="Arial"/>
                <w:i/>
                <w:color w:val="000000" w:themeColor="text1"/>
                <w:sz w:val="20"/>
                <w:szCs w:val="20"/>
              </w:rPr>
              <w:fldChar w:fldCharType="end"/>
            </w:r>
            <w:r>
              <w:rPr>
                <w:rFonts w:ascii="Arial Narrow" w:hAnsi="Arial Narrow" w:cs="Arial"/>
                <w:i/>
                <w:color w:val="000000" w:themeColor="text1"/>
                <w:sz w:val="20"/>
                <w:szCs w:val="20"/>
              </w:rPr>
              <w:t>Streamlined</w:t>
            </w:r>
          </w:p>
        </w:tc>
      </w:tr>
      <w:tr w:rsidR="006E0308" w:rsidTr="009239D3">
        <w:trPr>
          <w:cantSplit/>
          <w:trHeight w:val="411"/>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color w:val="000000" w:themeColor="text1"/>
                <w:sz w:val="20"/>
                <w:szCs w:val="20"/>
              </w:rPr>
            </w:pPr>
            <w:r>
              <w:rPr>
                <w:rFonts w:ascii="Arial Narrow" w:hAnsi="Arial Narrow" w:cs="Arial"/>
                <w:b/>
                <w:color w:val="000000" w:themeColor="text1"/>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rsidR="006E0308" w:rsidRDefault="002F7B70" w:rsidP="009239D3">
            <w:pPr>
              <w:rPr>
                <w:rFonts w:ascii="Arial Narrow" w:hAnsi="Arial Narrow" w:cs="Arial"/>
                <w:i/>
                <w:color w:val="000000" w:themeColor="text1"/>
                <w:sz w:val="20"/>
                <w:szCs w:val="20"/>
              </w:rPr>
            </w:pPr>
            <w:r>
              <w:rPr>
                <w:rFonts w:ascii="Arial Narrow" w:hAnsi="Arial Narrow" w:cs="Arial"/>
                <w:i/>
                <w:color w:val="000000" w:themeColor="text1"/>
                <w:sz w:val="20"/>
                <w:szCs w:val="20"/>
              </w:rPr>
              <w:t>The condition must be unresponsive to non-opioid analgesics.</w:t>
            </w:r>
          </w:p>
        </w:tc>
      </w:tr>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color w:val="000000" w:themeColor="text1"/>
                <w:sz w:val="20"/>
                <w:szCs w:val="20"/>
              </w:rPr>
            </w:pPr>
            <w:r>
              <w:rPr>
                <w:rFonts w:ascii="Arial Narrow" w:hAnsi="Arial Narrow" w:cs="Arial"/>
                <w:b/>
                <w:color w:val="000000" w:themeColor="text1"/>
                <w:sz w:val="20"/>
                <w:szCs w:val="20"/>
              </w:rPr>
              <w:t>Prescriber Instructions:</w:t>
            </w:r>
          </w:p>
          <w:p w:rsidR="006E0308" w:rsidRDefault="006E0308">
            <w:pPr>
              <w:jc w:val="both"/>
              <w:rPr>
                <w:rFonts w:ascii="Arial Narrow" w:hAnsi="Arial Narrow" w:cs="Arial"/>
                <w:color w:val="000000" w:themeColor="text1"/>
                <w:sz w:val="20"/>
                <w:szCs w:val="20"/>
              </w:rPr>
            </w:pPr>
          </w:p>
        </w:tc>
        <w:tc>
          <w:tcPr>
            <w:tcW w:w="6379" w:type="dxa"/>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i/>
                <w:color w:val="000000" w:themeColor="text1"/>
                <w:sz w:val="20"/>
                <w:szCs w:val="20"/>
              </w:rPr>
            </w:pPr>
            <w:r>
              <w:rPr>
                <w:rFonts w:ascii="Arial Narrow" w:hAnsi="Arial Narrow" w:cs="Arial"/>
                <w:i/>
                <w:color w:val="000000" w:themeColor="text1"/>
                <w:sz w:val="20"/>
                <w:szCs w:val="20"/>
              </w:rPr>
              <w:t>Prescribing of drugs of addiction by dentists is not permitted in some States/Territories.</w:t>
            </w:r>
          </w:p>
        </w:tc>
      </w:tr>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Pr="009239D3" w:rsidRDefault="002F7B70">
            <w:pPr>
              <w:jc w:val="both"/>
              <w:rPr>
                <w:rFonts w:ascii="Arial Narrow" w:hAnsi="Arial Narrow" w:cs="Arial"/>
                <w:b/>
                <w:color w:val="000000" w:themeColor="text1"/>
                <w:sz w:val="20"/>
                <w:szCs w:val="20"/>
              </w:rPr>
            </w:pPr>
            <w:r>
              <w:rPr>
                <w:rFonts w:ascii="Arial Narrow" w:hAnsi="Arial Narrow" w:cs="Arial"/>
                <w:b/>
                <w:color w:val="000000" w:themeColor="text1"/>
                <w:sz w:val="20"/>
                <w:szCs w:val="20"/>
              </w:rPr>
              <w:t>Administrative Advice:</w:t>
            </w:r>
          </w:p>
        </w:tc>
        <w:tc>
          <w:tcPr>
            <w:tcW w:w="6379" w:type="dxa"/>
            <w:tcBorders>
              <w:top w:val="single" w:sz="4" w:space="0" w:color="auto"/>
              <w:left w:val="single" w:sz="4" w:space="0" w:color="auto"/>
              <w:bottom w:val="single" w:sz="4" w:space="0" w:color="auto"/>
              <w:right w:val="single" w:sz="4" w:space="0" w:color="auto"/>
            </w:tcBorders>
          </w:tcPr>
          <w:p w:rsidR="006E0308" w:rsidRDefault="006E0308">
            <w:pPr>
              <w:rPr>
                <w:rFonts w:ascii="Arial Narrow" w:hAnsi="Arial Narrow" w:cs="Arial"/>
                <w:i/>
                <w:color w:val="000000" w:themeColor="text1"/>
                <w:sz w:val="20"/>
                <w:szCs w:val="20"/>
              </w:rPr>
            </w:pPr>
          </w:p>
        </w:tc>
      </w:tr>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Pr="009239D3" w:rsidRDefault="002F7B70">
            <w:pPr>
              <w:jc w:val="both"/>
              <w:rPr>
                <w:rFonts w:ascii="Arial Narrow" w:hAnsi="Arial Narrow" w:cs="Arial"/>
                <w:b/>
                <w:color w:val="000000" w:themeColor="text1"/>
                <w:sz w:val="20"/>
                <w:szCs w:val="20"/>
              </w:rPr>
            </w:pPr>
            <w:r>
              <w:rPr>
                <w:rFonts w:ascii="Arial Narrow" w:hAnsi="Arial Narrow" w:cs="Arial"/>
                <w:b/>
                <w:color w:val="000000" w:themeColor="text1"/>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i/>
                <w:color w:val="000000" w:themeColor="text1"/>
                <w:sz w:val="20"/>
                <w:szCs w:val="20"/>
              </w:rPr>
            </w:pPr>
            <w:r>
              <w:rPr>
                <w:rFonts w:ascii="Arial Narrow" w:hAnsi="Arial Narrow" w:cs="Arial"/>
                <w:i/>
                <w:color w:val="000000" w:themeColor="text1"/>
                <w:sz w:val="20"/>
                <w:szCs w:val="20"/>
              </w:rPr>
              <w:t>The risk of drug dependence is high.</w:t>
            </w:r>
          </w:p>
        </w:tc>
      </w:tr>
    </w:tbl>
    <w:p w:rsidR="006E0308" w:rsidRDefault="006E0308">
      <w:pPr>
        <w:rPr>
          <w:rFonts w:eastAsiaTheme="majorEastAsia"/>
          <w:color w:val="000000" w:themeColor="text1"/>
          <w:lang w:eastAsia="en-US"/>
        </w:rPr>
      </w:pPr>
    </w:p>
    <w:p w:rsidR="006E0308" w:rsidRDefault="002F7B70">
      <w:pPr>
        <w:pStyle w:val="3Bodytext"/>
        <w:numPr>
          <w:ilvl w:val="0"/>
          <w:numId w:val="0"/>
        </w:numPr>
        <w:rPr>
          <w:i/>
          <w:color w:val="000000" w:themeColor="text1"/>
        </w:rPr>
      </w:pPr>
      <w:r>
        <w:rPr>
          <w:i/>
          <w:color w:val="000000" w:themeColor="text1"/>
        </w:rPr>
        <w:t>For more detail on PBAC’s view, see section 6 PBAC outcome.</w:t>
      </w:r>
    </w:p>
    <w:p w:rsidR="009239D3" w:rsidRDefault="009239D3">
      <w:pPr>
        <w:rPr>
          <w:rFonts w:asciiTheme="minorHAnsi" w:hAnsiTheme="minorHAnsi" w:cs="Arial"/>
          <w:b/>
          <w:snapToGrid w:val="0"/>
          <w:color w:val="000000" w:themeColor="text1"/>
          <w:sz w:val="32"/>
          <w:szCs w:val="32"/>
          <w:lang w:eastAsia="en-US"/>
        </w:rPr>
      </w:pPr>
      <w:r>
        <w:rPr>
          <w:color w:val="000000" w:themeColor="text1"/>
        </w:rPr>
        <w:br w:type="page"/>
      </w:r>
    </w:p>
    <w:p w:rsidR="006E0308" w:rsidRDefault="002F7B70">
      <w:pPr>
        <w:pStyle w:val="2Sections"/>
        <w:rPr>
          <w:color w:val="000000" w:themeColor="text1"/>
        </w:rPr>
      </w:pPr>
      <w:r>
        <w:rPr>
          <w:color w:val="000000" w:themeColor="text1"/>
        </w:rPr>
        <w:lastRenderedPageBreak/>
        <w:t>Background</w:t>
      </w:r>
    </w:p>
    <w:p w:rsidR="006E0308" w:rsidRDefault="002F7B70">
      <w:pPr>
        <w:pStyle w:val="3Bodytext"/>
        <w:rPr>
          <w:color w:val="000000" w:themeColor="text1"/>
        </w:rPr>
      </w:pPr>
      <w:r>
        <w:rPr>
          <w:color w:val="000000" w:themeColor="text1"/>
        </w:rPr>
        <w:t xml:space="preserve">Oxycodone (OxyNorm®) was TGA registered for the management of opioid responsive, moderate to severe pain. The 10-capsule pack was TGA registered on 22 October 2018, which also consisted of a label change related to ‘Short Course Pack’ as well as a change of colour to differentiate from the 20-capsule pack. </w:t>
      </w:r>
    </w:p>
    <w:p w:rsidR="006E0308" w:rsidRDefault="002F7B70">
      <w:pPr>
        <w:pStyle w:val="3Bodytext"/>
        <w:rPr>
          <w:color w:val="000000" w:themeColor="text1"/>
        </w:rPr>
      </w:pPr>
      <w:r>
        <w:rPr>
          <w:color w:val="000000" w:themeColor="text1"/>
        </w:rPr>
        <w:t>The submission claimed the new 10-capsule pack was introduced in response to the recent TGA review ‘Prescription strong (Schedule 8) opioid use and misuse in Australia’</w:t>
      </w:r>
      <w:r>
        <w:rPr>
          <w:rStyle w:val="FootnoteReference"/>
          <w:color w:val="000000" w:themeColor="text1"/>
        </w:rPr>
        <w:footnoteReference w:id="1"/>
      </w:r>
      <w:r>
        <w:rPr>
          <w:color w:val="000000" w:themeColor="text1"/>
        </w:rPr>
        <w:t xml:space="preserve"> which considered the appropriateness of pack sizes for strong opioids intended for short-term use. </w:t>
      </w:r>
    </w:p>
    <w:p w:rsidR="006E0308" w:rsidRDefault="002F7B70">
      <w:pPr>
        <w:pStyle w:val="3Bodytext"/>
        <w:rPr>
          <w:color w:val="000000" w:themeColor="text1"/>
        </w:rPr>
      </w:pPr>
      <w:r>
        <w:t xml:space="preserve">At the time of this submission, the TGA review was ongoing and no regulatory response to reduce pack-sizes had been introduced; however, </w:t>
      </w:r>
      <w:r>
        <w:rPr>
          <w:color w:val="000000" w:themeColor="text1"/>
        </w:rPr>
        <w:t>the Society of Hospital Pharmacists of Australia had recommended smaller pack sizes of oxycodone</w:t>
      </w:r>
      <w:r>
        <w:rPr>
          <w:rStyle w:val="FootnoteReference"/>
          <w:color w:val="000000" w:themeColor="text1"/>
        </w:rPr>
        <w:footnoteReference w:id="2"/>
      </w:r>
      <w:r>
        <w:t xml:space="preserve">. </w:t>
      </w:r>
    </w:p>
    <w:p w:rsidR="006E0308" w:rsidRDefault="002F7B70">
      <w:pPr>
        <w:pStyle w:val="2Sections"/>
        <w:rPr>
          <w:color w:val="000000" w:themeColor="text1"/>
        </w:rPr>
      </w:pPr>
      <w:r>
        <w:rPr>
          <w:color w:val="000000" w:themeColor="text1"/>
        </w:rPr>
        <w:t xml:space="preserve">Comparator </w:t>
      </w:r>
    </w:p>
    <w:p w:rsidR="006E0308" w:rsidRDefault="002F7B70">
      <w:pPr>
        <w:pStyle w:val="3Bodytext"/>
        <w:rPr>
          <w:color w:val="000000" w:themeColor="text1"/>
        </w:rPr>
      </w:pPr>
      <w:r>
        <w:rPr>
          <w:color w:val="000000" w:themeColor="text1"/>
        </w:rPr>
        <w:t>The minor submission nominated oxycodone 5 mg (20 capsules, PBS item number 8464L and 5191F) as the main comparator.</w:t>
      </w:r>
    </w:p>
    <w:p w:rsidR="006E0308" w:rsidRDefault="002F7B70">
      <w:pPr>
        <w:widowControl w:val="0"/>
        <w:numPr>
          <w:ilvl w:val="1"/>
          <w:numId w:val="5"/>
        </w:numPr>
        <w:spacing w:after="120"/>
        <w:jc w:val="both"/>
        <w:rPr>
          <w:rFonts w:ascii="Calibri" w:hAnsi="Calibri" w:cs="Calibri"/>
          <w:bCs/>
          <w:snapToGrid w:val="0"/>
          <w:lang w:val="en-GB"/>
        </w:rPr>
      </w:pPr>
      <w:r>
        <w:rPr>
          <w:rFonts w:ascii="Calibri" w:hAnsi="Calibri" w:cs="Calibri"/>
          <w:color w:val="000000" w:themeColor="text1"/>
        </w:rPr>
        <w:t>The Sponsor requested a higher price than the comparator on a per-tablet basis.</w:t>
      </w:r>
    </w:p>
    <w:p w:rsidR="006E0308" w:rsidRDefault="002F7B70">
      <w:pPr>
        <w:pStyle w:val="3Bodytext"/>
        <w:rPr>
          <w:color w:val="000000" w:themeColor="text1"/>
        </w:rPr>
      </w:pPr>
      <w:r>
        <w:rPr>
          <w:rFonts w:cs="Arial"/>
          <w:bCs/>
          <w:snapToGrid w:val="0"/>
          <w:lang w:val="en-GB"/>
        </w:rPr>
        <w:t>The PBAC noted that this submission seeks to list a new maximum quantity/pack size of an already listed Pharmaceutical Item; thus there is no need to identify a comparator.</w:t>
      </w:r>
    </w:p>
    <w:p w:rsidR="006E0308" w:rsidRDefault="002F7B70">
      <w:pPr>
        <w:pStyle w:val="3Bodytext"/>
        <w:numPr>
          <w:ilvl w:val="0"/>
          <w:numId w:val="0"/>
        </w:numPr>
        <w:rPr>
          <w:i/>
          <w:color w:val="000000" w:themeColor="text1"/>
        </w:rPr>
      </w:pPr>
      <w:r>
        <w:rPr>
          <w:i/>
          <w:color w:val="000000" w:themeColor="text1"/>
        </w:rPr>
        <w:t>For more detail on PBAC’s view, see section 6 PBAC outcome.</w:t>
      </w:r>
    </w:p>
    <w:p w:rsidR="006E0308" w:rsidRDefault="002F7B70">
      <w:pPr>
        <w:pStyle w:val="2Sections"/>
        <w:rPr>
          <w:rFonts w:eastAsiaTheme="majorEastAsia"/>
        </w:rPr>
      </w:pPr>
      <w:r>
        <w:rPr>
          <w:rFonts w:eastAsiaTheme="majorEastAsia"/>
        </w:rPr>
        <w:t>Consideration of the evidence</w:t>
      </w:r>
    </w:p>
    <w:p w:rsidR="006E0308" w:rsidRPr="009239D3" w:rsidRDefault="002F7B70" w:rsidP="009239D3">
      <w:pPr>
        <w:pStyle w:val="Heading2"/>
        <w:keepLines/>
        <w:spacing w:before="240" w:after="120"/>
        <w:rPr>
          <w:rFonts w:asciiTheme="minorHAnsi" w:eastAsiaTheme="majorEastAsia" w:hAnsiTheme="minorHAnsi" w:cstheme="majorBidi"/>
          <w:color w:val="000000" w:themeColor="text1"/>
          <w:sz w:val="28"/>
          <w:szCs w:val="28"/>
          <w:lang w:eastAsia="en-US"/>
        </w:rPr>
      </w:pPr>
      <w:r>
        <w:rPr>
          <w:rFonts w:asciiTheme="minorHAnsi" w:hAnsiTheme="minorHAnsi" w:cs="Arial"/>
          <w:bCs/>
          <w:snapToGrid w:val="0"/>
          <w:sz w:val="28"/>
          <w:szCs w:val="28"/>
        </w:rPr>
        <w:t>Sponsor hearing</w:t>
      </w:r>
    </w:p>
    <w:p w:rsidR="006E0308" w:rsidRDefault="002F7B70">
      <w:pPr>
        <w:widowControl w:val="0"/>
        <w:numPr>
          <w:ilvl w:val="1"/>
          <w:numId w:val="5"/>
        </w:numPr>
        <w:spacing w:after="120"/>
        <w:jc w:val="both"/>
        <w:rPr>
          <w:rFonts w:asciiTheme="minorHAnsi" w:hAnsiTheme="minorHAnsi" w:cs="Arial"/>
          <w:bCs/>
          <w:snapToGrid w:val="0"/>
        </w:rPr>
      </w:pPr>
      <w:r>
        <w:rPr>
          <w:rFonts w:asciiTheme="minorHAnsi" w:hAnsiTheme="minorHAnsi" w:cs="Arial"/>
          <w:bCs/>
          <w:snapToGrid w:val="0"/>
        </w:rPr>
        <w:t>There was no hearing for this item as it was a minor submission.</w:t>
      </w:r>
    </w:p>
    <w:p w:rsidR="006E0308" w:rsidRPr="009239D3" w:rsidRDefault="002F7B70" w:rsidP="009239D3">
      <w:pPr>
        <w:pStyle w:val="Heading2"/>
        <w:keepLines/>
        <w:spacing w:before="240" w:after="120"/>
        <w:rPr>
          <w:rFonts w:asciiTheme="minorHAnsi" w:eastAsiaTheme="majorEastAsia" w:hAnsiTheme="minorHAnsi" w:cstheme="majorBidi"/>
          <w:color w:val="000000" w:themeColor="text1"/>
          <w:sz w:val="28"/>
          <w:szCs w:val="28"/>
          <w:lang w:eastAsia="en-US"/>
        </w:rPr>
      </w:pPr>
      <w:r w:rsidRPr="009239D3">
        <w:rPr>
          <w:rFonts w:asciiTheme="minorHAnsi" w:eastAsiaTheme="majorEastAsia" w:hAnsiTheme="minorHAnsi" w:cstheme="majorBidi"/>
          <w:color w:val="000000" w:themeColor="text1"/>
          <w:sz w:val="28"/>
          <w:szCs w:val="28"/>
          <w:lang w:eastAsia="en-US"/>
        </w:rPr>
        <w:t>Consumer comments</w:t>
      </w:r>
    </w:p>
    <w:p w:rsidR="006E0308" w:rsidRDefault="002F7B70">
      <w:pPr>
        <w:widowControl w:val="0"/>
        <w:numPr>
          <w:ilvl w:val="1"/>
          <w:numId w:val="5"/>
        </w:numPr>
        <w:spacing w:after="120"/>
        <w:jc w:val="both"/>
        <w:rPr>
          <w:rFonts w:asciiTheme="minorHAnsi" w:hAnsiTheme="minorHAnsi" w:cs="Arial"/>
          <w:bCs/>
          <w:snapToGrid w:val="0"/>
        </w:rPr>
      </w:pPr>
      <w:r>
        <w:rPr>
          <w:rFonts w:asciiTheme="minorHAnsi" w:hAnsiTheme="minorHAnsi" w:cs="Arial"/>
          <w:bCs/>
          <w:snapToGrid w:val="0"/>
        </w:rPr>
        <w:t>The PBAC noted that no consumer comments were received for this item.</w:t>
      </w:r>
    </w:p>
    <w:p w:rsidR="006E0308" w:rsidRDefault="002F7B70">
      <w:pPr>
        <w:pStyle w:val="Heading2"/>
        <w:keepLines/>
        <w:spacing w:before="240" w:after="120"/>
        <w:rPr>
          <w:rFonts w:asciiTheme="minorHAnsi" w:eastAsiaTheme="majorEastAsia" w:hAnsiTheme="minorHAnsi" w:cstheme="majorBidi"/>
          <w:color w:val="000000" w:themeColor="text1"/>
          <w:sz w:val="28"/>
          <w:szCs w:val="28"/>
          <w:lang w:eastAsia="en-US"/>
        </w:rPr>
      </w:pPr>
      <w:r>
        <w:rPr>
          <w:rFonts w:asciiTheme="minorHAnsi" w:eastAsiaTheme="majorEastAsia" w:hAnsiTheme="minorHAnsi" w:cstheme="majorBidi"/>
          <w:color w:val="000000" w:themeColor="text1"/>
          <w:sz w:val="28"/>
          <w:szCs w:val="28"/>
          <w:lang w:eastAsia="en-US"/>
        </w:rPr>
        <w:t xml:space="preserve">Clinical trials </w:t>
      </w:r>
    </w:p>
    <w:p w:rsidR="006E0308" w:rsidRDefault="002F7B70">
      <w:pPr>
        <w:pStyle w:val="3Bodytext"/>
        <w:rPr>
          <w:color w:val="000000" w:themeColor="text1"/>
          <w:szCs w:val="24"/>
        </w:rPr>
      </w:pPr>
      <w:r>
        <w:rPr>
          <w:color w:val="000000" w:themeColor="text1"/>
          <w:szCs w:val="24"/>
        </w:rPr>
        <w:t xml:space="preserve">The minor submission presented no clinical trials. </w:t>
      </w:r>
    </w:p>
    <w:p w:rsidR="006E0308" w:rsidRDefault="002F7B70">
      <w:pPr>
        <w:pStyle w:val="3Bodytext"/>
        <w:rPr>
          <w:color w:val="000000" w:themeColor="text1"/>
          <w:szCs w:val="24"/>
        </w:rPr>
      </w:pPr>
      <w:r>
        <w:rPr>
          <w:color w:val="000000" w:themeColor="text1"/>
          <w:szCs w:val="24"/>
        </w:rPr>
        <w:t xml:space="preserve">The submission referenced a systematic review into the frequency at which clinician-prescribed opioids were unused in post-operative patients and reasons for this, and </w:t>
      </w:r>
      <w:r>
        <w:rPr>
          <w:color w:val="000000" w:themeColor="text1"/>
          <w:szCs w:val="24"/>
        </w:rPr>
        <w:lastRenderedPageBreak/>
        <w:t>storage and disposal practices by these patients</w:t>
      </w:r>
      <w:r>
        <w:rPr>
          <w:szCs w:val="24"/>
          <w:vertAlign w:val="superscript"/>
        </w:rPr>
        <w:footnoteReference w:id="3"/>
      </w:r>
      <w:r>
        <w:rPr>
          <w:color w:val="000000" w:themeColor="text1"/>
          <w:szCs w:val="24"/>
        </w:rPr>
        <w:t xml:space="preserve">. The review found that across 810 patients and 6 clinical trials in the United States, 67% to 92% of patients reported unused opioids post-surgery. Among opioids obtained by surgical patients, 42% to 71% of all tablets went unused. In two studies examining storage safety, 73% to 77% of patients reported that their prescription opioids were not stored in locked containers. The review concluded that best practices to reduce the over-supply of opioids after surgery are needed, especially given clinician-prescribed opioid analgesics are commonly diverted for non-medical use. </w:t>
      </w:r>
    </w:p>
    <w:p w:rsidR="006E0308" w:rsidRDefault="002F7B70">
      <w:pPr>
        <w:pStyle w:val="3Bodytext"/>
        <w:numPr>
          <w:ilvl w:val="0"/>
          <w:numId w:val="0"/>
        </w:numPr>
        <w:rPr>
          <w:i/>
        </w:rPr>
      </w:pPr>
      <w:r>
        <w:rPr>
          <w:i/>
        </w:rPr>
        <w:t>For more detail on PBAC’s view, see section 6 PBAC outcome.</w:t>
      </w:r>
    </w:p>
    <w:p w:rsidR="006E0308" w:rsidRDefault="002F7B70">
      <w:pPr>
        <w:pStyle w:val="Heading2"/>
        <w:keepLines/>
        <w:spacing w:before="240" w:after="120"/>
        <w:rPr>
          <w:rFonts w:asciiTheme="minorHAnsi" w:eastAsiaTheme="majorEastAsia" w:hAnsiTheme="minorHAnsi" w:cstheme="majorBidi"/>
          <w:color w:val="000000" w:themeColor="text1"/>
          <w:sz w:val="28"/>
          <w:szCs w:val="28"/>
          <w:lang w:eastAsia="en-US"/>
        </w:rPr>
      </w:pPr>
      <w:r>
        <w:rPr>
          <w:rFonts w:asciiTheme="minorHAnsi" w:eastAsiaTheme="majorEastAsia" w:hAnsiTheme="minorHAnsi" w:cstheme="majorBidi"/>
          <w:color w:val="000000" w:themeColor="text1"/>
          <w:sz w:val="28"/>
          <w:szCs w:val="28"/>
          <w:lang w:eastAsia="en-US"/>
        </w:rPr>
        <w:t>Economic analysis</w:t>
      </w:r>
    </w:p>
    <w:p w:rsidR="006E0308" w:rsidRDefault="002F7B70">
      <w:pPr>
        <w:pStyle w:val="ListParagraph"/>
        <w:widowControl/>
        <w:numPr>
          <w:ilvl w:val="1"/>
          <w:numId w:val="14"/>
        </w:numPr>
        <w:spacing w:after="120"/>
        <w:contextualSpacing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The minor submission presented no economic comparison.</w:t>
      </w:r>
    </w:p>
    <w:p w:rsidR="006E0308" w:rsidRDefault="002F7B70">
      <w:pPr>
        <w:pStyle w:val="3Bodytext"/>
        <w:rPr>
          <w:color w:val="000000" w:themeColor="text1"/>
          <w:szCs w:val="24"/>
        </w:rPr>
      </w:pPr>
      <w:r>
        <w:rPr>
          <w:color w:val="000000" w:themeColor="text1"/>
          <w:szCs w:val="24"/>
        </w:rPr>
        <w:t>The Sponsor requested an approved ex-manufacturer price (AEMP) of $</w:t>
      </w:r>
      <w:r w:rsidR="00FC30C4">
        <w:rPr>
          <w:noProof/>
          <w:color w:val="000000"/>
          <w:szCs w:val="24"/>
          <w:highlight w:val="black"/>
        </w:rPr>
        <w:t xml:space="preserve">'''''''' </w:t>
      </w:r>
      <w:r>
        <w:rPr>
          <w:color w:val="000000" w:themeColor="text1"/>
          <w:szCs w:val="24"/>
        </w:rPr>
        <w:t>per 10 capsules of 5 mg oxycodone with a DPMQ of $</w:t>
      </w:r>
      <w:r w:rsidR="00FC30C4">
        <w:rPr>
          <w:noProof/>
          <w:color w:val="000000"/>
          <w:szCs w:val="24"/>
          <w:highlight w:val="black"/>
        </w:rPr>
        <w:t>'''''''''''</w:t>
      </w:r>
      <w:r>
        <w:rPr>
          <w:color w:val="000000" w:themeColor="text1"/>
          <w:szCs w:val="24"/>
        </w:rPr>
        <w:t xml:space="preserve">. The proposed AEMP is identical to the currently listed 20 capsule pack, representing a </w:t>
      </w:r>
      <w:r w:rsidR="00FC30C4">
        <w:rPr>
          <w:noProof/>
          <w:color w:val="000000"/>
          <w:szCs w:val="24"/>
          <w:highlight w:val="black"/>
        </w:rPr>
        <w:t>'''''''</w:t>
      </w:r>
      <w:r>
        <w:rPr>
          <w:color w:val="000000" w:themeColor="text1"/>
          <w:szCs w:val="24"/>
        </w:rPr>
        <w:t xml:space="preserve">% price increase per capsule of oxycodone for the new pack. The Sponsor claimed that the purchase price of both of the packs for the company is </w:t>
      </w:r>
      <w:r w:rsidR="00FC30C4">
        <w:rPr>
          <w:noProof/>
          <w:color w:val="000000"/>
          <w:szCs w:val="24"/>
          <w:highlight w:val="black"/>
        </w:rPr>
        <w:t>'''''''''''''''''</w:t>
      </w:r>
      <w:r>
        <w:rPr>
          <w:color w:val="000000" w:themeColor="text1"/>
          <w:szCs w:val="24"/>
        </w:rPr>
        <w:t xml:space="preserve">. </w:t>
      </w:r>
    </w:p>
    <w:p w:rsidR="006E0308" w:rsidRDefault="002F7B70">
      <w:pPr>
        <w:pStyle w:val="3Bodytext"/>
        <w:rPr>
          <w:color w:val="000000" w:themeColor="text1"/>
          <w:szCs w:val="24"/>
        </w:rPr>
      </w:pPr>
      <w:r>
        <w:rPr>
          <w:color w:val="000000" w:themeColor="text1"/>
          <w:szCs w:val="24"/>
        </w:rPr>
        <w:t xml:space="preserve">The Pre-PBAC response stated that the proposed price </w:t>
      </w:r>
      <w:r w:rsidR="00FC30C4">
        <w:rPr>
          <w:noProof/>
          <w:color w:val="000000"/>
          <w:szCs w:val="24"/>
          <w:highlight w:val="black"/>
        </w:rPr>
        <w:t>'''''''''' ''''''' ''''''''''''' '''''' ''''''''''' ''''' ''' ''''''''''' '''' ''''''''''''''''''''</w:t>
      </w:r>
      <w:r>
        <w:rPr>
          <w:color w:val="000000" w:themeColor="text1"/>
          <w:szCs w:val="24"/>
        </w:rPr>
        <w:t>, since some patients are currently prescribed 20 capsules when only 10 capsules are required. It also claimed the reduced toxicity effects of a smaller pack size/maximum quantity warrants a higher price.</w:t>
      </w:r>
    </w:p>
    <w:p w:rsidR="006E0308" w:rsidRDefault="002F7B70">
      <w:pPr>
        <w:pStyle w:val="3Bodytext"/>
        <w:rPr>
          <w:color w:val="000000" w:themeColor="text1"/>
          <w:szCs w:val="24"/>
        </w:rPr>
      </w:pPr>
      <w:r>
        <w:rPr>
          <w:color w:val="000000" w:themeColor="text1"/>
          <w:szCs w:val="24"/>
        </w:rPr>
        <w:t xml:space="preserve">Section 84AK of the </w:t>
      </w:r>
      <w:r>
        <w:rPr>
          <w:i/>
          <w:color w:val="000000" w:themeColor="text1"/>
          <w:szCs w:val="24"/>
        </w:rPr>
        <w:t xml:space="preserve">National Health Act 1953 </w:t>
      </w:r>
      <w:r>
        <w:rPr>
          <w:color w:val="000000" w:themeColor="text1"/>
          <w:szCs w:val="24"/>
        </w:rPr>
        <w:t xml:space="preserve">(the Act) defines the </w:t>
      </w:r>
      <w:r>
        <w:rPr>
          <w:i/>
          <w:color w:val="000000" w:themeColor="text1"/>
          <w:szCs w:val="24"/>
        </w:rPr>
        <w:t xml:space="preserve">pricing quantity </w:t>
      </w:r>
      <w:r>
        <w:rPr>
          <w:color w:val="000000" w:themeColor="text1"/>
          <w:szCs w:val="24"/>
        </w:rPr>
        <w:t xml:space="preserve">of a listed brand of a pharmaceutical item as the “lowest of any pack quantity of any listed brand of the pharmaceutical item”. Section 85D of the Act requires different pack sizes of the same pharmaceutical item are to be priced proportionally. </w:t>
      </w:r>
    </w:p>
    <w:p w:rsidR="006E0308" w:rsidRDefault="002F7B70">
      <w:pPr>
        <w:pStyle w:val="3Bodytext"/>
        <w:numPr>
          <w:ilvl w:val="0"/>
          <w:numId w:val="0"/>
        </w:numPr>
        <w:rPr>
          <w:i/>
        </w:rPr>
      </w:pPr>
      <w:r>
        <w:rPr>
          <w:i/>
        </w:rPr>
        <w:t>For more detail on PBAC’s view, see section 6 PBAC outcome.</w:t>
      </w:r>
    </w:p>
    <w:p w:rsidR="006E0308" w:rsidRDefault="002F7B70">
      <w:pPr>
        <w:pStyle w:val="Heading2"/>
        <w:keepLines/>
        <w:spacing w:before="240" w:after="120"/>
        <w:rPr>
          <w:rFonts w:asciiTheme="minorHAnsi" w:eastAsiaTheme="majorEastAsia" w:hAnsiTheme="minorHAnsi" w:cstheme="majorBidi"/>
          <w:color w:val="000000" w:themeColor="text1"/>
          <w:sz w:val="28"/>
          <w:szCs w:val="28"/>
          <w:lang w:eastAsia="en-US"/>
        </w:rPr>
      </w:pPr>
      <w:r>
        <w:rPr>
          <w:rFonts w:asciiTheme="minorHAnsi" w:eastAsiaTheme="majorEastAsia" w:hAnsiTheme="minorHAnsi" w:cstheme="majorBidi"/>
          <w:color w:val="000000" w:themeColor="text1"/>
          <w:sz w:val="28"/>
          <w:szCs w:val="28"/>
          <w:lang w:eastAsia="en-US"/>
        </w:rPr>
        <w:t>Estimated PBS usage &amp; financial implications</w:t>
      </w:r>
    </w:p>
    <w:p w:rsidR="006E0308" w:rsidRDefault="002F7B70">
      <w:pPr>
        <w:pStyle w:val="3Bodytext"/>
        <w:rPr>
          <w:color w:val="000000" w:themeColor="text1"/>
          <w:szCs w:val="24"/>
        </w:rPr>
      </w:pPr>
      <w:r>
        <w:rPr>
          <w:color w:val="000000" w:themeColor="text1"/>
          <w:szCs w:val="24"/>
        </w:rPr>
        <w:t xml:space="preserve">The Sponsor claimed that the proposed listing of the 10-capsule pack would be cost-neutral to PBS, as it would only displace the larger packs size, and the market was not expected to grow. </w:t>
      </w:r>
    </w:p>
    <w:p w:rsidR="006E0308" w:rsidRDefault="002F7B70">
      <w:pPr>
        <w:pStyle w:val="3Bodytext"/>
      </w:pPr>
      <w:r>
        <w:t xml:space="preserve">The Sponsor also claimed that the current 20-capsule pack of OxyNorm is sold at a gross loss of </w:t>
      </w:r>
      <w:r w:rsidR="00FC30C4">
        <w:rPr>
          <w:noProof/>
          <w:color w:val="000000"/>
          <w:highlight w:val="black"/>
        </w:rPr>
        <w:t>'''''''''</w:t>
      </w:r>
      <w:r>
        <w:t xml:space="preserve">% per pack, and that the cost-of-goods for the 10-capsule pack is </w:t>
      </w:r>
      <w:r w:rsidR="00FC30C4">
        <w:rPr>
          <w:noProof/>
          <w:color w:val="000000"/>
          <w:highlight w:val="black"/>
        </w:rPr>
        <w:t>'''''' ''''''''''' ''''</w:t>
      </w:r>
      <w:r>
        <w:t xml:space="preserve"> the 20-capsule pack.</w:t>
      </w:r>
      <w:r>
        <w:rPr>
          <w:color w:val="000000" w:themeColor="text1"/>
          <w:szCs w:val="24"/>
        </w:rPr>
        <w:t xml:space="preserve"> </w:t>
      </w:r>
      <w:r>
        <w:t xml:space="preserve">The submission provided </w:t>
      </w:r>
      <w:r w:rsidR="0043180F">
        <w:t xml:space="preserve">no data to support this claim. </w:t>
      </w:r>
    </w:p>
    <w:p w:rsidR="006E0308" w:rsidRDefault="002F7B70">
      <w:pPr>
        <w:pStyle w:val="3Bodytext"/>
        <w:numPr>
          <w:ilvl w:val="0"/>
          <w:numId w:val="0"/>
        </w:numPr>
        <w:rPr>
          <w:i/>
        </w:rPr>
      </w:pPr>
      <w:r>
        <w:rPr>
          <w:i/>
        </w:rPr>
        <w:t>For more detail on PBAC’s view, see section 6 PBAC outcome.</w:t>
      </w:r>
    </w:p>
    <w:p w:rsidR="006E0308" w:rsidRDefault="002F7B70">
      <w:pPr>
        <w:pStyle w:val="2Sections"/>
      </w:pPr>
      <w:r>
        <w:lastRenderedPageBreak/>
        <w:t>PBAC Outcome</w:t>
      </w:r>
    </w:p>
    <w:p w:rsidR="006E0308" w:rsidRDefault="002F7B70">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recommended the Restricted Benefit listing of a new maximum quantity (MQ) of 10 for oxycodone 5 mg capsules and tablets for short-term use for patients with severe disabling pain unrespon</w:t>
      </w:r>
      <w:r w:rsidR="0043180F">
        <w:rPr>
          <w:rFonts w:asciiTheme="minorHAnsi" w:hAnsiTheme="minorHAnsi" w:cs="Arial"/>
          <w:bCs/>
          <w:snapToGrid w:val="0"/>
          <w:lang w:val="en-GB"/>
        </w:rPr>
        <w:t xml:space="preserve">sive to non-opioid analgesics. </w:t>
      </w:r>
      <w:r>
        <w:rPr>
          <w:rFonts w:asciiTheme="minorHAnsi" w:hAnsiTheme="minorHAnsi" w:cs="Arial"/>
          <w:bCs/>
          <w:snapToGrid w:val="0"/>
          <w:lang w:val="en-GB"/>
        </w:rPr>
        <w:t>The PBAC noted the requirements of the Act for proportional pricing and requested the Department negotiate a new price for the 10 pack consistent with these requirements.</w:t>
      </w:r>
    </w:p>
    <w:p w:rsidR="006E0308" w:rsidRDefault="002F7B70">
      <w:pPr>
        <w:pStyle w:val="3Bodytext"/>
        <w:rPr>
          <w:rFonts w:cs="Arial"/>
          <w:bCs/>
          <w:snapToGrid w:val="0"/>
          <w:lang w:val="en-GB"/>
        </w:rPr>
      </w:pPr>
      <w:r>
        <w:rPr>
          <w:snapToGrid w:val="0"/>
          <w:lang w:val="en-GB"/>
        </w:rPr>
        <w:t>The PBAC noted that the current PBS listing of 20 capsules of 5 mg oxycodone has the flexibility to allow prescriber to presc</w:t>
      </w:r>
      <w:r w:rsidR="0043180F">
        <w:rPr>
          <w:snapToGrid w:val="0"/>
          <w:lang w:val="en-GB"/>
        </w:rPr>
        <w:t xml:space="preserve">ribe a broken pack to patients. </w:t>
      </w:r>
      <w:r>
        <w:rPr>
          <w:snapToGrid w:val="0"/>
          <w:lang w:val="en-GB"/>
        </w:rPr>
        <w:t>The PBAC noted that the sponsor did not account for the prescribing of a lower quantity as a broken pack in its submission.</w:t>
      </w:r>
    </w:p>
    <w:p w:rsidR="006E0308" w:rsidRDefault="002F7B70">
      <w:pPr>
        <w:pStyle w:val="3Bodytext"/>
        <w:rPr>
          <w:rFonts w:cs="Arial"/>
          <w:bCs/>
          <w:snapToGrid w:val="0"/>
          <w:lang w:val="en-GB"/>
        </w:rPr>
      </w:pPr>
      <w:r>
        <w:rPr>
          <w:snapToGrid w:val="0"/>
          <w:lang w:val="en-GB"/>
        </w:rPr>
        <w:t>The PBAC recommended the new listing for an MQ of 10 be differentiated from the current restriction for an MQ of 20 by indicating the MQ of 10 is intended for short term (2 – 3 days) pain relief of acute severe pain that is non-responsive to non-opioid analgesics, and by not allowing any increase in the maximum quantity or number of repeats.</w:t>
      </w:r>
    </w:p>
    <w:p w:rsidR="006E0308" w:rsidRDefault="002F7B70">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acknowledged the recent TGA review, ‘Prescription strong (Schedule 8) opioid use and misuse in Australia’, which proposed an option for the Sponsors to register, and make available for supply, smaller (such as maximum three-day) pack sizes for treatment of patients with acute pain. It also noted the recommendation for smaller pack-sizes of oxycodone was supported by the </w:t>
      </w:r>
      <w:r>
        <w:rPr>
          <w:rFonts w:asciiTheme="minorHAnsi" w:hAnsiTheme="minorHAnsi" w:cs="Arial"/>
          <w:bCs/>
          <w:snapToGrid w:val="0"/>
        </w:rPr>
        <w:t xml:space="preserve">Society of Hospital Pharmacists of Australia. </w:t>
      </w:r>
      <w:r>
        <w:rPr>
          <w:rFonts w:asciiTheme="minorHAnsi" w:hAnsiTheme="minorHAnsi" w:cs="Arial"/>
          <w:bCs/>
          <w:snapToGrid w:val="0"/>
          <w:lang w:val="en-GB"/>
        </w:rPr>
        <w:t>The PBAC acknowledged the potential quality use of medicine benefit of reduced maximum quantities for opioids used in the acute pain setting (</w:t>
      </w:r>
      <w:r w:rsidR="00D72FC2">
        <w:rPr>
          <w:rFonts w:asciiTheme="minorHAnsi" w:hAnsiTheme="minorHAnsi" w:cs="Arial"/>
          <w:bCs/>
          <w:snapToGrid w:val="0"/>
          <w:lang w:val="en-GB"/>
        </w:rPr>
        <w:t>e.g.</w:t>
      </w:r>
      <w:r>
        <w:rPr>
          <w:rFonts w:asciiTheme="minorHAnsi" w:hAnsiTheme="minorHAnsi" w:cs="Arial"/>
          <w:bCs/>
          <w:snapToGrid w:val="0"/>
          <w:lang w:val="en-GB"/>
        </w:rPr>
        <w:t xml:space="preserve"> after surgery).</w:t>
      </w:r>
    </w:p>
    <w:p w:rsidR="006E0308" w:rsidRDefault="002F7B70">
      <w:pPr>
        <w:pStyle w:val="3Bodytext"/>
        <w:rPr>
          <w:snapToGrid w:val="0"/>
          <w:lang w:val="en-GB"/>
        </w:rPr>
      </w:pPr>
      <w:r>
        <w:rPr>
          <w:snapToGrid w:val="0"/>
          <w:lang w:val="en-GB"/>
        </w:rPr>
        <w:t>The PBAC noted that its recommendation was for a new maximum quantity of an already listed Pharmaceutical Item and advised that because the recommended change to the listing was not expected to alter the efficacy or toxicity of the treatment, or address</w:t>
      </w:r>
      <w:r>
        <w:rPr>
          <w:snapToGrid w:val="0"/>
        </w:rPr>
        <w:t xml:space="preserve"> a high and urgent unmet clinical need</w:t>
      </w:r>
      <w:r>
        <w:rPr>
          <w:snapToGrid w:val="0"/>
          <w:lang w:val="en-GB"/>
        </w:rPr>
        <w:t xml:space="preserve">, the criteria prescribed by the </w:t>
      </w:r>
      <w:r>
        <w:rPr>
          <w:i/>
          <w:snapToGrid w:val="0"/>
          <w:lang w:val="en-GB"/>
        </w:rPr>
        <w:t>National Health (Pharmaceuticals and Vaccines – Cost Recovery) Regulations 2009</w:t>
      </w:r>
      <w:r>
        <w:rPr>
          <w:snapToGrid w:val="0"/>
          <w:lang w:val="en-GB"/>
        </w:rPr>
        <w:t xml:space="preserve"> for Pricing Pathway A were not met. </w:t>
      </w:r>
    </w:p>
    <w:p w:rsidR="006E0308" w:rsidRDefault="002F7B70">
      <w:pPr>
        <w:pStyle w:val="ListParagraph"/>
        <w:widowControl/>
        <w:numPr>
          <w:ilvl w:val="1"/>
          <w:numId w:val="5"/>
        </w:numPr>
        <w:spacing w:after="120"/>
        <w:contextualSpacing w:val="0"/>
        <w:rPr>
          <w:rFonts w:asciiTheme="minorHAnsi" w:hAnsiTheme="minorHAnsi" w:cstheme="minorHAnsi"/>
          <w:color w:val="000000" w:themeColor="text1"/>
          <w:sz w:val="24"/>
          <w:szCs w:val="24"/>
        </w:rPr>
      </w:pPr>
      <w:r>
        <w:rPr>
          <w:rFonts w:asciiTheme="minorHAnsi" w:hAnsiTheme="minorHAnsi"/>
          <w:color w:val="000000" w:themeColor="text1"/>
          <w:sz w:val="24"/>
          <w:szCs w:val="24"/>
        </w:rPr>
        <w:t>The PBAC noted oxycodone is currently available for prescribing by nurse practitioners for patients with severe disabling pain who are unrespo</w:t>
      </w:r>
      <w:r w:rsidR="0043180F">
        <w:rPr>
          <w:rFonts w:asciiTheme="minorHAnsi" w:hAnsiTheme="minorHAnsi"/>
          <w:color w:val="000000" w:themeColor="text1"/>
          <w:sz w:val="24"/>
          <w:szCs w:val="24"/>
        </w:rPr>
        <w:t>nsive to non-opioid analgesics.</w:t>
      </w:r>
    </w:p>
    <w:p w:rsidR="006E0308" w:rsidRDefault="002F7B70">
      <w:pPr>
        <w:pStyle w:val="ListParagraph"/>
        <w:keepNext/>
        <w:keepLines/>
        <w:widowControl/>
        <w:numPr>
          <w:ilvl w:val="1"/>
          <w:numId w:val="5"/>
        </w:numPr>
        <w:spacing w:after="120"/>
        <w:contextualSpacing w:val="0"/>
        <w:rPr>
          <w:rFonts w:asciiTheme="minorHAnsi" w:hAnsiTheme="minorHAnsi"/>
          <w:color w:val="000000" w:themeColor="text1"/>
          <w:sz w:val="24"/>
          <w:szCs w:val="24"/>
        </w:rPr>
      </w:pPr>
      <w:r>
        <w:rPr>
          <w:rFonts w:asciiTheme="minorHAnsi" w:hAnsiTheme="minorHAnsi"/>
          <w:color w:val="000000" w:themeColor="text1"/>
          <w:sz w:val="24"/>
          <w:szCs w:val="24"/>
        </w:rPr>
        <w:t xml:space="preserve">The Safety Net Early Supply Rule does not currently apply to oxycodone. </w:t>
      </w:r>
    </w:p>
    <w:p w:rsidR="006E0308" w:rsidRDefault="002F7B70">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noted that this submission is not eligible for an Independent Review, as it received a positive recommendation. </w:t>
      </w:r>
    </w:p>
    <w:p w:rsidR="006E0308" w:rsidRDefault="006E0308">
      <w:pPr>
        <w:rPr>
          <w:snapToGrid w:val="0"/>
          <w:lang w:val="en-GB"/>
        </w:rPr>
      </w:pPr>
    </w:p>
    <w:p w:rsidR="006E0308" w:rsidRDefault="002F7B70">
      <w:pPr>
        <w:jc w:val="both"/>
        <w:rPr>
          <w:rFonts w:asciiTheme="minorHAnsi" w:hAnsiTheme="minorHAnsi" w:cs="Arial"/>
          <w:b/>
          <w:bCs/>
          <w:snapToGrid w:val="0"/>
          <w:lang w:val="en-GB"/>
        </w:rPr>
      </w:pPr>
      <w:r>
        <w:rPr>
          <w:rFonts w:asciiTheme="minorHAnsi" w:hAnsiTheme="minorHAnsi" w:cs="Arial"/>
          <w:b/>
          <w:bCs/>
          <w:snapToGrid w:val="0"/>
          <w:lang w:val="en-GB"/>
        </w:rPr>
        <w:t>Outcome:</w:t>
      </w:r>
    </w:p>
    <w:p w:rsidR="006E0308" w:rsidRDefault="002F7B70">
      <w:pPr>
        <w:jc w:val="both"/>
        <w:rPr>
          <w:rFonts w:asciiTheme="minorHAnsi" w:hAnsiTheme="minorHAnsi" w:cs="Arial"/>
          <w:bCs/>
          <w:snapToGrid w:val="0"/>
          <w:lang w:val="en-GB"/>
        </w:rPr>
      </w:pPr>
      <w:r>
        <w:rPr>
          <w:rFonts w:asciiTheme="minorHAnsi" w:hAnsiTheme="minorHAnsi" w:cs="Arial"/>
          <w:bCs/>
          <w:snapToGrid w:val="0"/>
          <w:lang w:val="en-GB"/>
        </w:rPr>
        <w:t xml:space="preserve">Recommended </w:t>
      </w:r>
    </w:p>
    <w:p w:rsidR="006E0308" w:rsidRDefault="006E0308">
      <w:pPr>
        <w:widowControl w:val="0"/>
        <w:jc w:val="both"/>
        <w:rPr>
          <w:rFonts w:asciiTheme="minorHAnsi" w:hAnsiTheme="minorHAnsi" w:cs="Arial"/>
          <w:b/>
          <w:bCs/>
          <w:snapToGrid w:val="0"/>
        </w:rPr>
      </w:pPr>
    </w:p>
    <w:p w:rsidR="006E0308" w:rsidRDefault="002F7B70">
      <w:pPr>
        <w:pStyle w:val="2Sections"/>
        <w:rPr>
          <w:i/>
          <w:lang w:val="en-GB"/>
        </w:rPr>
      </w:pPr>
      <w:r>
        <w:rPr>
          <w:lang w:val="en-GB"/>
        </w:rPr>
        <w:lastRenderedPageBreak/>
        <w:t>Recommended listing</w:t>
      </w:r>
    </w:p>
    <w:p w:rsidR="006E0308" w:rsidRDefault="002F7B70">
      <w:pPr>
        <w:widowControl w:val="0"/>
        <w:ind w:firstLine="720"/>
        <w:jc w:val="both"/>
        <w:rPr>
          <w:rFonts w:asciiTheme="minorHAnsi" w:hAnsiTheme="minorHAnsi" w:cs="Arial"/>
          <w:bCs/>
          <w:snapToGrid w:val="0"/>
        </w:rPr>
      </w:pPr>
      <w:r>
        <w:rPr>
          <w:rFonts w:asciiTheme="minorHAnsi" w:hAnsiTheme="minorHAnsi" w:cs="Arial"/>
          <w:bCs/>
          <w:snapToGrid w:val="0"/>
        </w:rPr>
        <w:t>Add new items:</w:t>
      </w:r>
    </w:p>
    <w:p w:rsidR="006E0308" w:rsidRDefault="006E0308">
      <w:pPr>
        <w:widowControl w:val="0"/>
        <w:ind w:firstLine="720"/>
        <w:jc w:val="both"/>
        <w:rPr>
          <w:rFonts w:asciiTheme="minorHAnsi" w:hAnsiTheme="minorHAnsi" w:cs="Arial"/>
          <w:bCs/>
          <w:snapToGrid w:val="0"/>
        </w:rPr>
      </w:pPr>
    </w:p>
    <w:tbl>
      <w:tblPr>
        <w:tblW w:w="9214" w:type="dxa"/>
        <w:tblInd w:w="108" w:type="dxa"/>
        <w:tblLayout w:type="fixed"/>
        <w:tblLook w:val="0000" w:firstRow="0" w:lastRow="0" w:firstColumn="0" w:lastColumn="0" w:noHBand="0" w:noVBand="0"/>
      </w:tblPr>
      <w:tblGrid>
        <w:gridCol w:w="2835"/>
        <w:gridCol w:w="426"/>
        <w:gridCol w:w="567"/>
        <w:gridCol w:w="850"/>
        <w:gridCol w:w="1559"/>
        <w:gridCol w:w="1276"/>
        <w:gridCol w:w="1701"/>
      </w:tblGrid>
      <w:tr w:rsidR="006E0308">
        <w:trPr>
          <w:gridAfter w:val="1"/>
          <w:wAfter w:w="1701" w:type="dxa"/>
          <w:cantSplit/>
          <w:trHeight w:val="471"/>
        </w:trPr>
        <w:tc>
          <w:tcPr>
            <w:tcW w:w="3261" w:type="dxa"/>
            <w:gridSpan w:val="2"/>
            <w:tcBorders>
              <w:bottom w:val="single" w:sz="4" w:space="0" w:color="auto"/>
            </w:tcBorders>
          </w:tcPr>
          <w:p w:rsidR="006E0308" w:rsidRDefault="002F7B70">
            <w:pPr>
              <w:keepNext/>
              <w:ind w:left="-108"/>
              <w:jc w:val="both"/>
              <w:rPr>
                <w:rFonts w:ascii="Arial Narrow" w:hAnsi="Arial Narrow" w:cs="Arial"/>
                <w:sz w:val="20"/>
                <w:szCs w:val="20"/>
              </w:rPr>
            </w:pPr>
            <w:r>
              <w:rPr>
                <w:rFonts w:ascii="Arial Narrow" w:hAnsi="Arial Narrow" w:cs="Arial"/>
                <w:sz w:val="20"/>
                <w:szCs w:val="20"/>
              </w:rPr>
              <w:t>Name, Restriction,</w:t>
            </w:r>
          </w:p>
          <w:p w:rsidR="006E0308" w:rsidRDefault="002F7B70">
            <w:pPr>
              <w:keepNext/>
              <w:ind w:left="-108"/>
              <w:jc w:val="both"/>
              <w:rPr>
                <w:rFonts w:ascii="Arial Narrow" w:hAnsi="Arial Narrow" w:cs="Arial"/>
                <w:sz w:val="20"/>
                <w:szCs w:val="20"/>
              </w:rPr>
            </w:pPr>
            <w:r>
              <w:rPr>
                <w:rFonts w:ascii="Arial Narrow" w:hAnsi="Arial Narrow" w:cs="Arial"/>
                <w:sz w:val="20"/>
                <w:szCs w:val="20"/>
              </w:rPr>
              <w:t>Manner of administration and form</w:t>
            </w:r>
          </w:p>
        </w:tc>
        <w:tc>
          <w:tcPr>
            <w:tcW w:w="567" w:type="dxa"/>
            <w:tcBorders>
              <w:bottom w:val="single" w:sz="4" w:space="0" w:color="auto"/>
            </w:tcBorders>
          </w:tcPr>
          <w:p w:rsidR="006E0308" w:rsidRDefault="002F7B70">
            <w:pPr>
              <w:keepNext/>
              <w:ind w:left="-108"/>
              <w:jc w:val="both"/>
              <w:rPr>
                <w:rFonts w:ascii="Arial Narrow" w:hAnsi="Arial Narrow" w:cs="Arial"/>
                <w:sz w:val="20"/>
                <w:szCs w:val="20"/>
              </w:rPr>
            </w:pPr>
            <w:r>
              <w:rPr>
                <w:rFonts w:ascii="Arial Narrow" w:hAnsi="Arial Narrow" w:cs="Arial"/>
                <w:sz w:val="20"/>
                <w:szCs w:val="20"/>
              </w:rPr>
              <w:t>Max.</w:t>
            </w:r>
          </w:p>
          <w:p w:rsidR="006E0308" w:rsidRDefault="002F7B70">
            <w:pPr>
              <w:keepNext/>
              <w:ind w:left="-108"/>
              <w:jc w:val="both"/>
              <w:rPr>
                <w:rFonts w:ascii="Arial Narrow" w:hAnsi="Arial Narrow" w:cs="Arial"/>
                <w:sz w:val="20"/>
                <w:szCs w:val="20"/>
              </w:rPr>
            </w:pPr>
            <w:r>
              <w:rPr>
                <w:rFonts w:ascii="Arial Narrow" w:hAnsi="Arial Narrow" w:cs="Arial"/>
                <w:sz w:val="20"/>
                <w:szCs w:val="20"/>
              </w:rPr>
              <w:t>Qty</w:t>
            </w:r>
          </w:p>
        </w:tc>
        <w:tc>
          <w:tcPr>
            <w:tcW w:w="850" w:type="dxa"/>
            <w:tcBorders>
              <w:bottom w:val="single" w:sz="4" w:space="0" w:color="auto"/>
            </w:tcBorders>
          </w:tcPr>
          <w:p w:rsidR="006E0308" w:rsidRDefault="002F7B70">
            <w:pPr>
              <w:keepNext/>
              <w:ind w:left="-108"/>
              <w:jc w:val="both"/>
              <w:rPr>
                <w:rFonts w:ascii="Arial Narrow" w:hAnsi="Arial Narrow" w:cs="Arial"/>
                <w:sz w:val="20"/>
                <w:szCs w:val="20"/>
              </w:rPr>
            </w:pPr>
            <w:r>
              <w:rPr>
                <w:rFonts w:ascii="Arial Narrow" w:hAnsi="Arial Narrow" w:cs="Arial"/>
                <w:sz w:val="20"/>
                <w:szCs w:val="20"/>
              </w:rPr>
              <w:t>№.of</w:t>
            </w:r>
          </w:p>
          <w:p w:rsidR="006E0308" w:rsidRDefault="002F7B70">
            <w:pPr>
              <w:keepNext/>
              <w:ind w:left="-108"/>
              <w:jc w:val="both"/>
              <w:rPr>
                <w:rFonts w:ascii="Arial Narrow" w:hAnsi="Arial Narrow" w:cs="Arial"/>
                <w:sz w:val="20"/>
                <w:szCs w:val="20"/>
              </w:rPr>
            </w:pPr>
            <w:r>
              <w:rPr>
                <w:rFonts w:ascii="Arial Narrow" w:hAnsi="Arial Narrow" w:cs="Arial"/>
                <w:sz w:val="20"/>
                <w:szCs w:val="20"/>
              </w:rPr>
              <w:t>Rpts</w:t>
            </w:r>
          </w:p>
        </w:tc>
        <w:tc>
          <w:tcPr>
            <w:tcW w:w="2835" w:type="dxa"/>
            <w:gridSpan w:val="2"/>
            <w:tcBorders>
              <w:bottom w:val="single" w:sz="4" w:space="0" w:color="auto"/>
            </w:tcBorders>
          </w:tcPr>
          <w:p w:rsidR="006E0308" w:rsidRDefault="002F7B70">
            <w:pPr>
              <w:keepNext/>
              <w:jc w:val="both"/>
              <w:rPr>
                <w:rFonts w:ascii="Arial Narrow" w:hAnsi="Arial Narrow" w:cs="Arial"/>
                <w:sz w:val="20"/>
                <w:szCs w:val="20"/>
                <w:lang w:val="fr-FR"/>
              </w:rPr>
            </w:pPr>
            <w:r>
              <w:rPr>
                <w:rFonts w:ascii="Arial Narrow" w:hAnsi="Arial Narrow" w:cs="Arial"/>
                <w:sz w:val="20"/>
                <w:szCs w:val="20"/>
              </w:rPr>
              <w:t>Proprietary Name and Manufacturer</w:t>
            </w:r>
          </w:p>
        </w:tc>
      </w:tr>
      <w:tr w:rsidR="006E0308">
        <w:trPr>
          <w:gridAfter w:val="1"/>
          <w:wAfter w:w="1701" w:type="dxa"/>
          <w:cantSplit/>
          <w:trHeight w:val="577"/>
        </w:trPr>
        <w:tc>
          <w:tcPr>
            <w:tcW w:w="3261" w:type="dxa"/>
            <w:gridSpan w:val="2"/>
          </w:tcPr>
          <w:p w:rsidR="006E0308" w:rsidRDefault="002F7B70">
            <w:pPr>
              <w:keepNext/>
              <w:ind w:left="-108"/>
              <w:jc w:val="both"/>
              <w:rPr>
                <w:rFonts w:ascii="Arial Narrow" w:hAnsi="Arial Narrow" w:cs="Arial"/>
                <w:sz w:val="20"/>
                <w:szCs w:val="20"/>
              </w:rPr>
            </w:pPr>
            <w:r>
              <w:rPr>
                <w:rFonts w:ascii="Arial Narrow" w:hAnsi="Arial Narrow" w:cs="Arial"/>
                <w:smallCaps/>
                <w:sz w:val="20"/>
                <w:szCs w:val="20"/>
              </w:rPr>
              <w:t>oxycodone</w:t>
            </w:r>
          </w:p>
          <w:p w:rsidR="006E0308" w:rsidRDefault="002F7B70">
            <w:pPr>
              <w:keepNext/>
              <w:ind w:left="-108"/>
              <w:jc w:val="both"/>
              <w:rPr>
                <w:rFonts w:ascii="Arial Narrow" w:hAnsi="Arial Narrow" w:cs="Arial"/>
                <w:color w:val="FF0000"/>
                <w:sz w:val="20"/>
                <w:szCs w:val="20"/>
              </w:rPr>
            </w:pPr>
            <w:r>
              <w:rPr>
                <w:rFonts w:ascii="Arial Narrow" w:hAnsi="Arial Narrow" w:cs="Arial"/>
                <w:sz w:val="20"/>
                <w:szCs w:val="20"/>
              </w:rPr>
              <w:t>Oxycodone hydrochloride 5 mg capsule/tablet, 10</w:t>
            </w:r>
          </w:p>
        </w:tc>
        <w:tc>
          <w:tcPr>
            <w:tcW w:w="567" w:type="dxa"/>
          </w:tcPr>
          <w:p w:rsidR="006E0308" w:rsidRDefault="006E0308">
            <w:pPr>
              <w:keepNext/>
              <w:ind w:left="-108"/>
              <w:jc w:val="both"/>
              <w:rPr>
                <w:rFonts w:ascii="Arial Narrow" w:hAnsi="Arial Narrow" w:cs="Arial"/>
                <w:sz w:val="20"/>
                <w:szCs w:val="20"/>
              </w:rPr>
            </w:pPr>
          </w:p>
          <w:p w:rsidR="006E0308" w:rsidRDefault="002F7B70">
            <w:pPr>
              <w:keepNext/>
              <w:ind w:left="-108"/>
              <w:jc w:val="both"/>
              <w:rPr>
                <w:rFonts w:ascii="Arial Narrow" w:hAnsi="Arial Narrow" w:cs="Arial"/>
                <w:sz w:val="20"/>
                <w:szCs w:val="20"/>
              </w:rPr>
            </w:pPr>
            <w:r>
              <w:rPr>
                <w:rFonts w:ascii="Arial Narrow" w:hAnsi="Arial Narrow" w:cs="Arial"/>
                <w:sz w:val="20"/>
                <w:szCs w:val="20"/>
              </w:rPr>
              <w:t>1</w:t>
            </w:r>
          </w:p>
        </w:tc>
        <w:tc>
          <w:tcPr>
            <w:tcW w:w="850" w:type="dxa"/>
          </w:tcPr>
          <w:p w:rsidR="006E0308" w:rsidRDefault="006E0308">
            <w:pPr>
              <w:keepNext/>
              <w:ind w:left="-108"/>
              <w:jc w:val="both"/>
              <w:rPr>
                <w:rFonts w:ascii="Arial Narrow" w:hAnsi="Arial Narrow" w:cs="Arial"/>
                <w:sz w:val="20"/>
                <w:szCs w:val="20"/>
              </w:rPr>
            </w:pPr>
          </w:p>
          <w:p w:rsidR="006E0308" w:rsidRDefault="002F7B70">
            <w:pPr>
              <w:keepNext/>
              <w:ind w:left="-108"/>
              <w:jc w:val="both"/>
              <w:rPr>
                <w:rFonts w:ascii="Arial Narrow" w:hAnsi="Arial Narrow" w:cs="Arial"/>
                <w:sz w:val="20"/>
                <w:szCs w:val="20"/>
              </w:rPr>
            </w:pPr>
            <w:r>
              <w:rPr>
                <w:rFonts w:ascii="Arial Narrow" w:hAnsi="Arial Narrow" w:cs="Arial"/>
                <w:sz w:val="20"/>
                <w:szCs w:val="20"/>
              </w:rPr>
              <w:t>0</w:t>
            </w:r>
          </w:p>
        </w:tc>
        <w:tc>
          <w:tcPr>
            <w:tcW w:w="1559" w:type="dxa"/>
          </w:tcPr>
          <w:p w:rsidR="006E0308" w:rsidRDefault="002F7B70">
            <w:pPr>
              <w:keepNext/>
              <w:jc w:val="both"/>
              <w:rPr>
                <w:rFonts w:ascii="Arial Narrow" w:hAnsi="Arial Narrow" w:cs="Arial"/>
                <w:sz w:val="20"/>
                <w:szCs w:val="20"/>
              </w:rPr>
            </w:pPr>
            <w:r>
              <w:rPr>
                <w:rFonts w:ascii="Arial Narrow" w:hAnsi="Arial Narrow" w:cs="Arial"/>
                <w:sz w:val="20"/>
                <w:szCs w:val="20"/>
              </w:rPr>
              <w:t>Various</w:t>
            </w:r>
          </w:p>
        </w:tc>
        <w:tc>
          <w:tcPr>
            <w:tcW w:w="1276" w:type="dxa"/>
          </w:tcPr>
          <w:p w:rsidR="006E0308" w:rsidRDefault="002F7B70">
            <w:pPr>
              <w:keepNext/>
              <w:jc w:val="both"/>
              <w:rPr>
                <w:rFonts w:ascii="Arial Narrow" w:hAnsi="Arial Narrow" w:cs="Arial"/>
                <w:sz w:val="20"/>
                <w:szCs w:val="20"/>
              </w:rPr>
            </w:pPr>
            <w:r>
              <w:rPr>
                <w:rFonts w:ascii="Arial Narrow" w:hAnsi="Arial Narrow" w:cs="Arial"/>
                <w:sz w:val="20"/>
                <w:szCs w:val="20"/>
              </w:rPr>
              <w:t>Various</w:t>
            </w:r>
          </w:p>
        </w:tc>
      </w:tr>
      <w:tr w:rsidR="006E0308">
        <w:trPr>
          <w:cantSplit/>
          <w:trHeight w:val="360"/>
        </w:trPr>
        <w:tc>
          <w:tcPr>
            <w:tcW w:w="9214" w:type="dxa"/>
            <w:gridSpan w:val="7"/>
            <w:tcBorders>
              <w:bottom w:val="single" w:sz="4" w:space="0" w:color="auto"/>
            </w:tcBorders>
          </w:tcPr>
          <w:p w:rsidR="006E0308" w:rsidRDefault="006E0308">
            <w:pPr>
              <w:jc w:val="both"/>
              <w:rPr>
                <w:rFonts w:ascii="Arial Narrow" w:hAnsi="Arial Narrow" w:cs="Arial"/>
                <w:sz w:val="20"/>
                <w:szCs w:val="20"/>
              </w:rPr>
            </w:pPr>
          </w:p>
        </w:tc>
      </w:tr>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sz w:val="20"/>
                <w:szCs w:val="20"/>
              </w:rPr>
            </w:pPr>
            <w:r>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sz w:val="20"/>
                <w:szCs w:val="20"/>
              </w:rPr>
            </w:pPr>
            <w:r>
              <w:rPr>
                <w:rFonts w:ascii="Arial Narrow" w:hAnsi="Arial Narrow" w:cs="Arial"/>
                <w:sz w:val="20"/>
                <w:szCs w:val="20"/>
              </w:rPr>
              <w:t>GENERAL – General Schedule (Code GE)</w:t>
            </w:r>
          </w:p>
          <w:p w:rsidR="006E0308" w:rsidRDefault="006E0308">
            <w:pPr>
              <w:rPr>
                <w:rFonts w:ascii="Arial Narrow" w:hAnsi="Arial Narrow" w:cs="Arial"/>
                <w:sz w:val="20"/>
                <w:szCs w:val="20"/>
              </w:rPr>
            </w:pPr>
          </w:p>
        </w:tc>
      </w:tr>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sz w:val="20"/>
                <w:szCs w:val="20"/>
              </w:rPr>
            </w:pPr>
            <w:r>
              <w:rPr>
                <w:rFonts w:ascii="Arial Narrow" w:hAnsi="Arial Narrow" w:cs="Arial"/>
                <w:b/>
                <w:sz w:val="20"/>
                <w:szCs w:val="20"/>
              </w:rPr>
              <w:t>Prescriber type:</w:t>
            </w:r>
          </w:p>
          <w:p w:rsidR="006E0308" w:rsidRDefault="006E0308">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B63630">
              <w:rPr>
                <w:rFonts w:ascii="Arial Narrow" w:hAnsi="Arial Narrow" w:cs="Arial"/>
                <w:sz w:val="20"/>
                <w:szCs w:val="20"/>
              </w:rPr>
            </w:r>
            <w:r w:rsidR="00B6363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  </w:t>
            </w: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B63630">
              <w:rPr>
                <w:rFonts w:ascii="Arial Narrow" w:hAnsi="Arial Narrow" w:cs="Arial"/>
                <w:sz w:val="20"/>
                <w:szCs w:val="20"/>
              </w:rPr>
            </w:r>
            <w:r w:rsidR="00B6363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Nurse Practitioner</w:t>
            </w:r>
          </w:p>
        </w:tc>
      </w:tr>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sz w:val="20"/>
                <w:szCs w:val="20"/>
              </w:rPr>
            </w:pPr>
            <w:r>
              <w:rPr>
                <w:rFonts w:ascii="Arial Narrow" w:hAnsi="Arial Narrow" w:cs="Arial"/>
                <w:b/>
                <w:sz w:val="20"/>
                <w:szCs w:val="20"/>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sz w:val="20"/>
                <w:szCs w:val="20"/>
              </w:rPr>
            </w:pPr>
            <w:r>
              <w:rPr>
                <w:rFonts w:ascii="Arial Narrow" w:hAnsi="Arial Narrow" w:cs="Arial"/>
                <w:sz w:val="20"/>
                <w:szCs w:val="20"/>
              </w:rPr>
              <w:t>Acute</w:t>
            </w:r>
          </w:p>
        </w:tc>
      </w:tr>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sz w:val="20"/>
                <w:szCs w:val="20"/>
              </w:rPr>
            </w:pPr>
            <w:r>
              <w:rPr>
                <w:rFonts w:ascii="Arial Narrow" w:hAnsi="Arial Narrow" w:cs="Arial"/>
                <w:b/>
                <w:sz w:val="20"/>
                <w:szCs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sz w:val="20"/>
                <w:szCs w:val="20"/>
              </w:rPr>
            </w:pPr>
            <w:r>
              <w:rPr>
                <w:rFonts w:ascii="Arial Narrow" w:hAnsi="Arial Narrow" w:cs="Arial"/>
                <w:sz w:val="20"/>
                <w:szCs w:val="20"/>
              </w:rPr>
              <w:t>Severe</w:t>
            </w:r>
          </w:p>
        </w:tc>
      </w:tr>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sz w:val="20"/>
                <w:szCs w:val="20"/>
              </w:rPr>
            </w:pPr>
            <w:r>
              <w:rPr>
                <w:rFonts w:ascii="Arial Narrow" w:hAnsi="Arial Narrow" w:cs="Arial"/>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sz w:val="20"/>
                <w:szCs w:val="20"/>
              </w:rPr>
            </w:pPr>
            <w:r>
              <w:rPr>
                <w:rFonts w:ascii="Arial Narrow" w:hAnsi="Arial Narrow" w:cs="Arial"/>
                <w:sz w:val="20"/>
                <w:szCs w:val="20"/>
              </w:rPr>
              <w:t>Disabling pain</w:t>
            </w:r>
          </w:p>
        </w:tc>
      </w:tr>
      <w:tr w:rsidR="006E0308">
        <w:trPr>
          <w:cantSplit/>
          <w:trHeight w:val="369"/>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sz w:val="20"/>
                <w:szCs w:val="20"/>
              </w:rPr>
            </w:pPr>
            <w:r>
              <w:rPr>
                <w:rFonts w:ascii="Arial Narrow" w:hAnsi="Arial Narrow" w:cs="Arial"/>
                <w:b/>
                <w:sz w:val="20"/>
                <w:szCs w:val="20"/>
              </w:rPr>
              <w:t>PBS Indication:</w:t>
            </w:r>
          </w:p>
          <w:p w:rsidR="006E0308" w:rsidRDefault="006E0308">
            <w:pPr>
              <w:jc w:val="both"/>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sz w:val="20"/>
                <w:szCs w:val="20"/>
              </w:rPr>
            </w:pPr>
            <w:r>
              <w:rPr>
                <w:rFonts w:ascii="Arial Narrow" w:hAnsi="Arial Narrow" w:cs="Arial"/>
                <w:sz w:val="20"/>
                <w:szCs w:val="20"/>
              </w:rPr>
              <w:t>Acute severe disabling pain.</w:t>
            </w:r>
          </w:p>
        </w:tc>
      </w:tr>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sz w:val="20"/>
                <w:szCs w:val="20"/>
              </w:rPr>
            </w:pPr>
            <w:r>
              <w:rPr>
                <w:rFonts w:ascii="Arial Narrow" w:hAnsi="Arial Narrow" w:cs="Arial"/>
                <w:b/>
                <w:sz w:val="20"/>
                <w:szCs w:val="20"/>
              </w:rPr>
              <w:t>Restriction Level / Method:</w:t>
            </w:r>
          </w:p>
          <w:p w:rsidR="006E0308" w:rsidRDefault="006E0308">
            <w:pPr>
              <w:rPr>
                <w:rFonts w:ascii="Arial Narrow" w:hAnsi="Arial Narrow" w:cs="Arial"/>
                <w:i/>
                <w:sz w:val="20"/>
                <w:szCs w:val="20"/>
              </w:rPr>
            </w:pPr>
          </w:p>
          <w:p w:rsidR="006E0308" w:rsidRDefault="006E0308">
            <w:pPr>
              <w:rPr>
                <w:rFonts w:ascii="Arial Narrow" w:hAnsi="Arial Narrow" w:cs="Arial"/>
                <w:i/>
                <w:sz w:val="20"/>
                <w:szCs w:val="20"/>
              </w:rPr>
            </w:pPr>
          </w:p>
          <w:p w:rsidR="006E0308" w:rsidRDefault="006E0308">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63630">
              <w:rPr>
                <w:rFonts w:ascii="Arial Narrow" w:hAnsi="Arial Narrow" w:cs="Arial"/>
                <w:sz w:val="20"/>
                <w:szCs w:val="20"/>
              </w:rPr>
            </w:r>
            <w:r w:rsidR="00B6363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Restricted benefit</w:t>
            </w:r>
          </w:p>
          <w:p w:rsidR="006E0308" w:rsidRDefault="002F7B70">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B63630">
              <w:rPr>
                <w:rFonts w:ascii="Arial Narrow" w:hAnsi="Arial Narrow" w:cs="Arial"/>
                <w:sz w:val="20"/>
                <w:szCs w:val="20"/>
              </w:rPr>
            </w:r>
            <w:r w:rsidR="00B6363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 In Writing</w:t>
            </w:r>
          </w:p>
          <w:p w:rsidR="006E0308" w:rsidRDefault="002F7B70">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B63630">
              <w:rPr>
                <w:rFonts w:ascii="Arial Narrow" w:hAnsi="Arial Narrow" w:cs="Arial"/>
                <w:sz w:val="20"/>
                <w:szCs w:val="20"/>
              </w:rPr>
            </w:r>
            <w:r w:rsidR="00B6363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 Telephone/Electronic/Emergency</w:t>
            </w:r>
          </w:p>
          <w:p w:rsidR="006E0308" w:rsidRDefault="002F7B70">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B63630">
              <w:rPr>
                <w:rFonts w:ascii="Arial Narrow" w:hAnsi="Arial Narrow" w:cs="Arial"/>
                <w:sz w:val="20"/>
                <w:szCs w:val="20"/>
              </w:rPr>
            </w:r>
            <w:r w:rsidR="00B6363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Streamlined</w:t>
            </w:r>
          </w:p>
        </w:tc>
      </w:tr>
      <w:tr w:rsidR="006E0308">
        <w:trPr>
          <w:cantSplit/>
          <w:trHeight w:val="657"/>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sz w:val="20"/>
                <w:szCs w:val="20"/>
              </w:rPr>
            </w:pPr>
            <w:r>
              <w:rPr>
                <w:rFonts w:ascii="Arial Narrow" w:hAnsi="Arial Narrow" w:cs="Arial"/>
                <w:b/>
                <w:sz w:val="20"/>
                <w:szCs w:val="20"/>
              </w:rPr>
              <w:t>Clinical criteria:</w:t>
            </w:r>
          </w:p>
          <w:p w:rsidR="006E0308" w:rsidRDefault="006E0308">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sz w:val="20"/>
                <w:szCs w:val="20"/>
              </w:rPr>
            </w:pPr>
            <w:r>
              <w:rPr>
                <w:rFonts w:ascii="Arial Narrow" w:hAnsi="Arial Narrow" w:cs="Arial"/>
                <w:sz w:val="20"/>
                <w:szCs w:val="20"/>
              </w:rPr>
              <w:t xml:space="preserve">The treatment must be for short term term (2- 3 days) acute severe disabling pain, AND </w:t>
            </w:r>
          </w:p>
          <w:p w:rsidR="006E0308" w:rsidRDefault="002F7B70">
            <w:pPr>
              <w:rPr>
                <w:rFonts w:ascii="Arial Narrow" w:hAnsi="Arial Narrow" w:cs="Arial"/>
                <w:sz w:val="20"/>
                <w:szCs w:val="20"/>
              </w:rPr>
            </w:pPr>
            <w:r>
              <w:rPr>
                <w:rFonts w:ascii="Arial Narrow" w:hAnsi="Arial Narrow" w:cs="Arial"/>
                <w:sz w:val="20"/>
                <w:szCs w:val="20"/>
              </w:rPr>
              <w:t>The condition must be unresponsive to non-opioid analgesics.</w:t>
            </w:r>
          </w:p>
          <w:p w:rsidR="006E0308" w:rsidRDefault="006E0308">
            <w:pPr>
              <w:jc w:val="both"/>
              <w:rPr>
                <w:rFonts w:ascii="Arial Narrow" w:hAnsi="Arial Narrow" w:cs="Arial"/>
                <w:sz w:val="20"/>
                <w:szCs w:val="20"/>
              </w:rPr>
            </w:pPr>
          </w:p>
        </w:tc>
      </w:tr>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color w:val="000000" w:themeColor="text1"/>
                <w:sz w:val="20"/>
                <w:szCs w:val="20"/>
              </w:rPr>
            </w:pPr>
            <w:r>
              <w:rPr>
                <w:rFonts w:ascii="Arial Narrow" w:hAnsi="Arial Narrow" w:cs="Arial"/>
                <w:b/>
                <w:color w:val="000000" w:themeColor="text1"/>
                <w:sz w:val="20"/>
                <w:szCs w:val="20"/>
              </w:rPr>
              <w:t>Prescriber Instructions:</w:t>
            </w:r>
          </w:p>
          <w:p w:rsidR="006E0308" w:rsidRDefault="006E0308">
            <w:pPr>
              <w:jc w:val="both"/>
              <w:rPr>
                <w:rFonts w:ascii="Arial Narrow" w:hAnsi="Arial Narrow" w:cs="Arial"/>
                <w:color w:val="000000" w:themeColor="text1"/>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6E0308" w:rsidRDefault="006E0308">
            <w:pPr>
              <w:rPr>
                <w:rFonts w:ascii="Arial Narrow" w:hAnsi="Arial Narrow" w:cs="Arial"/>
                <w:color w:val="000000" w:themeColor="text1"/>
                <w:sz w:val="20"/>
                <w:szCs w:val="20"/>
              </w:rPr>
            </w:pPr>
          </w:p>
        </w:tc>
      </w:tr>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color w:val="000000" w:themeColor="text1"/>
                <w:sz w:val="20"/>
                <w:szCs w:val="20"/>
              </w:rPr>
            </w:pPr>
            <w:r>
              <w:rPr>
                <w:rFonts w:ascii="Arial Narrow" w:hAnsi="Arial Narrow" w:cs="Arial"/>
                <w:b/>
                <w:color w:val="000000" w:themeColor="text1"/>
                <w:sz w:val="20"/>
                <w:szCs w:val="20"/>
              </w:rPr>
              <w:t>Administrative Advice:</w:t>
            </w:r>
          </w:p>
          <w:p w:rsidR="006E0308" w:rsidRDefault="006E0308">
            <w:pPr>
              <w:jc w:val="both"/>
              <w:rPr>
                <w:rFonts w:ascii="Arial Narrow" w:hAnsi="Arial Narrow" w:cs="Arial"/>
                <w:i/>
                <w:color w:val="000000" w:themeColor="text1"/>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color w:val="000000" w:themeColor="text1"/>
                <w:sz w:val="20"/>
                <w:szCs w:val="20"/>
              </w:rPr>
            </w:pPr>
            <w:r>
              <w:rPr>
                <w:rFonts w:ascii="Arial Narrow" w:hAnsi="Arial Narrow" w:cs="Arial"/>
                <w:color w:val="000000" w:themeColor="text1"/>
                <w:sz w:val="20"/>
                <w:szCs w:val="20"/>
              </w:rPr>
              <w:t>Note:</w:t>
            </w:r>
          </w:p>
          <w:p w:rsidR="006E0308" w:rsidRDefault="002F7B70">
            <w:pPr>
              <w:rPr>
                <w:rFonts w:ascii="Arial Narrow" w:hAnsi="Arial Narrow" w:cs="Arial"/>
                <w:color w:val="000000" w:themeColor="text1"/>
                <w:sz w:val="20"/>
                <w:szCs w:val="20"/>
              </w:rPr>
            </w:pPr>
            <w:r>
              <w:rPr>
                <w:rFonts w:ascii="Arial Narrow" w:hAnsi="Arial Narrow" w:cs="Arial"/>
                <w:color w:val="000000" w:themeColor="text1"/>
                <w:sz w:val="20"/>
                <w:szCs w:val="20"/>
              </w:rPr>
              <w:t>No increase in the maximum quantity or number of units may be authorised.</w:t>
            </w:r>
          </w:p>
          <w:p w:rsidR="006E0308" w:rsidRDefault="002F7B70">
            <w:pPr>
              <w:rPr>
                <w:rFonts w:ascii="Arial Narrow" w:hAnsi="Arial Narrow" w:cs="Arial"/>
                <w:strike/>
                <w:color w:val="000000" w:themeColor="text1"/>
                <w:sz w:val="20"/>
                <w:szCs w:val="20"/>
              </w:rPr>
            </w:pPr>
            <w:r>
              <w:rPr>
                <w:rFonts w:ascii="Arial Narrow" w:hAnsi="Arial Narrow" w:cs="Arial"/>
                <w:color w:val="000000" w:themeColor="text1"/>
                <w:sz w:val="20"/>
                <w:szCs w:val="20"/>
              </w:rPr>
              <w:t>No increase in the number of repeats may be authorised.</w:t>
            </w:r>
          </w:p>
        </w:tc>
      </w:tr>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color w:val="000000" w:themeColor="text1"/>
                <w:sz w:val="20"/>
                <w:szCs w:val="20"/>
              </w:rPr>
            </w:pPr>
            <w:r>
              <w:rPr>
                <w:rFonts w:ascii="Arial Narrow" w:hAnsi="Arial Narrow" w:cs="Arial"/>
                <w:b/>
                <w:color w:val="000000" w:themeColor="text1"/>
                <w:sz w:val="20"/>
                <w:szCs w:val="20"/>
              </w:rPr>
              <w:t>Cautions:</w:t>
            </w:r>
          </w:p>
          <w:p w:rsidR="006E0308" w:rsidRDefault="006E0308">
            <w:pPr>
              <w:jc w:val="both"/>
              <w:rPr>
                <w:rFonts w:ascii="Arial Narrow" w:hAnsi="Arial Narrow" w:cs="Arial"/>
                <w:i/>
                <w:color w:val="000000" w:themeColor="text1"/>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color w:val="000000" w:themeColor="text1"/>
                <w:sz w:val="20"/>
                <w:szCs w:val="20"/>
              </w:rPr>
            </w:pPr>
            <w:r>
              <w:rPr>
                <w:rFonts w:ascii="Arial Narrow" w:hAnsi="Arial Narrow" w:cs="Arial"/>
                <w:color w:val="000000" w:themeColor="text1"/>
                <w:sz w:val="20"/>
                <w:szCs w:val="20"/>
              </w:rPr>
              <w:t>The risk of drug dependence is high.</w:t>
            </w:r>
          </w:p>
        </w:tc>
      </w:tr>
    </w:tbl>
    <w:p w:rsidR="006E0308" w:rsidRDefault="006E0308">
      <w:pPr>
        <w:rPr>
          <w:rFonts w:eastAsiaTheme="majorEastAsia"/>
          <w:lang w:eastAsia="en-US"/>
        </w:rPr>
      </w:pPr>
    </w:p>
    <w:tbl>
      <w:tblPr>
        <w:tblW w:w="9214" w:type="dxa"/>
        <w:tblInd w:w="108" w:type="dxa"/>
        <w:tblLayout w:type="fixed"/>
        <w:tblLook w:val="0000" w:firstRow="0" w:lastRow="0" w:firstColumn="0" w:lastColumn="0" w:noHBand="0" w:noVBand="0"/>
      </w:tblPr>
      <w:tblGrid>
        <w:gridCol w:w="2835"/>
        <w:gridCol w:w="6379"/>
      </w:tblGrid>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color w:val="000000" w:themeColor="text1"/>
                <w:sz w:val="20"/>
                <w:szCs w:val="20"/>
              </w:rPr>
            </w:pPr>
            <w:r>
              <w:rPr>
                <w:rFonts w:ascii="Arial Narrow" w:hAnsi="Arial Narrow" w:cs="Arial"/>
                <w:b/>
                <w:color w:val="000000" w:themeColor="text1"/>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i/>
                <w:color w:val="000000" w:themeColor="text1"/>
                <w:sz w:val="20"/>
                <w:szCs w:val="20"/>
              </w:rPr>
            </w:pPr>
            <w:r>
              <w:rPr>
                <w:rFonts w:ascii="Arial Narrow" w:hAnsi="Arial Narrow" w:cs="Arial"/>
                <w:i/>
                <w:color w:val="000000" w:themeColor="text1"/>
                <w:sz w:val="20"/>
                <w:szCs w:val="20"/>
              </w:rPr>
              <w:t>GENERAL – General Schedule (Code GE)</w:t>
            </w:r>
          </w:p>
          <w:p w:rsidR="006E0308" w:rsidRDefault="006E0308">
            <w:pPr>
              <w:rPr>
                <w:rFonts w:ascii="Arial Narrow" w:hAnsi="Arial Narrow" w:cs="Arial"/>
                <w:i/>
                <w:color w:val="000000" w:themeColor="text1"/>
                <w:sz w:val="20"/>
                <w:szCs w:val="20"/>
              </w:rPr>
            </w:pPr>
          </w:p>
        </w:tc>
      </w:tr>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color w:val="000000" w:themeColor="text1"/>
                <w:sz w:val="20"/>
                <w:szCs w:val="20"/>
              </w:rPr>
            </w:pPr>
            <w:r>
              <w:rPr>
                <w:rFonts w:ascii="Arial Narrow" w:hAnsi="Arial Narrow" w:cs="Arial"/>
                <w:b/>
                <w:color w:val="000000" w:themeColor="text1"/>
                <w:sz w:val="20"/>
                <w:szCs w:val="20"/>
              </w:rPr>
              <w:t>Prescriber type:</w:t>
            </w:r>
          </w:p>
          <w:p w:rsidR="006E0308" w:rsidRDefault="006E0308">
            <w:pPr>
              <w:jc w:val="both"/>
              <w:rPr>
                <w:rFonts w:ascii="Arial Narrow" w:hAnsi="Arial Narrow" w:cs="Arial"/>
                <w:b/>
                <w:color w:val="000000" w:themeColor="text1"/>
                <w:sz w:val="20"/>
                <w:szCs w:val="20"/>
              </w:rPr>
            </w:pPr>
          </w:p>
        </w:tc>
        <w:tc>
          <w:tcPr>
            <w:tcW w:w="6379" w:type="dxa"/>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i/>
                <w:color w:val="000000" w:themeColor="text1"/>
                <w:sz w:val="20"/>
                <w:szCs w:val="20"/>
              </w:rPr>
            </w:pPr>
            <w:r>
              <w:rPr>
                <w:rFonts w:ascii="Arial Narrow" w:hAnsi="Arial Narrow" w:cs="Arial"/>
                <w:i/>
                <w:color w:val="000000" w:themeColor="text1"/>
                <w:sz w:val="20"/>
                <w:szCs w:val="20"/>
              </w:rPr>
              <w:fldChar w:fldCharType="begin">
                <w:ffData>
                  <w:name w:val="Check1"/>
                  <w:enabled/>
                  <w:calcOnExit w:val="0"/>
                  <w:checkBox>
                    <w:sizeAuto/>
                    <w:default w:val="1"/>
                  </w:checkBox>
                </w:ffData>
              </w:fldChar>
            </w:r>
            <w:r>
              <w:rPr>
                <w:rFonts w:ascii="Arial Narrow" w:hAnsi="Arial Narrow" w:cs="Arial"/>
                <w:i/>
                <w:color w:val="000000" w:themeColor="text1"/>
                <w:sz w:val="20"/>
                <w:szCs w:val="20"/>
              </w:rPr>
              <w:instrText xml:space="preserve"> FORMCHECKBOX </w:instrText>
            </w:r>
            <w:r w:rsidR="00B63630">
              <w:rPr>
                <w:rFonts w:ascii="Arial Narrow" w:hAnsi="Arial Narrow" w:cs="Arial"/>
                <w:i/>
                <w:color w:val="000000" w:themeColor="text1"/>
                <w:sz w:val="20"/>
                <w:szCs w:val="20"/>
              </w:rPr>
            </w:r>
            <w:r w:rsidR="00B63630">
              <w:rPr>
                <w:rFonts w:ascii="Arial Narrow" w:hAnsi="Arial Narrow" w:cs="Arial"/>
                <w:i/>
                <w:color w:val="000000" w:themeColor="text1"/>
                <w:sz w:val="20"/>
                <w:szCs w:val="20"/>
              </w:rPr>
              <w:fldChar w:fldCharType="separate"/>
            </w:r>
            <w:r>
              <w:rPr>
                <w:rFonts w:ascii="Arial Narrow" w:hAnsi="Arial Narrow" w:cs="Arial"/>
                <w:i/>
                <w:color w:val="000000" w:themeColor="text1"/>
                <w:sz w:val="20"/>
                <w:szCs w:val="20"/>
              </w:rPr>
              <w:fldChar w:fldCharType="end"/>
            </w:r>
            <w:r w:rsidR="0043180F">
              <w:rPr>
                <w:rFonts w:ascii="Arial Narrow" w:hAnsi="Arial Narrow" w:cs="Arial"/>
                <w:i/>
                <w:color w:val="000000" w:themeColor="text1"/>
                <w:sz w:val="20"/>
                <w:szCs w:val="20"/>
              </w:rPr>
              <w:t>Dental</w:t>
            </w:r>
          </w:p>
        </w:tc>
      </w:tr>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color w:val="000000" w:themeColor="text1"/>
                <w:sz w:val="20"/>
                <w:szCs w:val="20"/>
              </w:rPr>
            </w:pPr>
            <w:r>
              <w:rPr>
                <w:rFonts w:ascii="Arial Narrow" w:hAnsi="Arial Narrow" w:cs="Arial"/>
                <w:b/>
                <w:color w:val="000000" w:themeColor="text1"/>
                <w:sz w:val="20"/>
                <w:szCs w:val="20"/>
              </w:rPr>
              <w:t>Severity:</w:t>
            </w:r>
          </w:p>
        </w:tc>
        <w:tc>
          <w:tcPr>
            <w:tcW w:w="6379" w:type="dxa"/>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i/>
                <w:color w:val="000000" w:themeColor="text1"/>
                <w:sz w:val="20"/>
                <w:szCs w:val="20"/>
              </w:rPr>
            </w:pPr>
            <w:r>
              <w:rPr>
                <w:rFonts w:ascii="Arial Narrow" w:hAnsi="Arial Narrow" w:cs="Arial"/>
                <w:i/>
                <w:color w:val="000000" w:themeColor="text1"/>
                <w:sz w:val="20"/>
                <w:szCs w:val="20"/>
              </w:rPr>
              <w:t>Severe</w:t>
            </w:r>
          </w:p>
        </w:tc>
      </w:tr>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color w:val="000000" w:themeColor="text1"/>
                <w:sz w:val="20"/>
                <w:szCs w:val="20"/>
              </w:rPr>
            </w:pPr>
            <w:r>
              <w:rPr>
                <w:rFonts w:ascii="Arial Narrow" w:hAnsi="Arial Narrow" w:cs="Arial"/>
                <w:b/>
                <w:color w:val="000000" w:themeColor="text1"/>
                <w:sz w:val="20"/>
                <w:szCs w:val="20"/>
              </w:rPr>
              <w:t>Condition:</w:t>
            </w:r>
          </w:p>
        </w:tc>
        <w:tc>
          <w:tcPr>
            <w:tcW w:w="6379" w:type="dxa"/>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i/>
                <w:color w:val="000000" w:themeColor="text1"/>
                <w:sz w:val="20"/>
                <w:szCs w:val="20"/>
              </w:rPr>
            </w:pPr>
            <w:r>
              <w:rPr>
                <w:rFonts w:ascii="Arial Narrow" w:hAnsi="Arial Narrow" w:cs="Arial"/>
                <w:i/>
                <w:color w:val="000000" w:themeColor="text1"/>
                <w:sz w:val="20"/>
                <w:szCs w:val="20"/>
              </w:rPr>
              <w:t>Disabling pain</w:t>
            </w:r>
          </w:p>
        </w:tc>
      </w:tr>
      <w:tr w:rsidR="006E0308">
        <w:trPr>
          <w:cantSplit/>
          <w:trHeight w:val="369"/>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color w:val="000000" w:themeColor="text1"/>
                <w:sz w:val="20"/>
                <w:szCs w:val="20"/>
              </w:rPr>
            </w:pPr>
            <w:r>
              <w:rPr>
                <w:rFonts w:ascii="Arial Narrow" w:hAnsi="Arial Narrow" w:cs="Arial"/>
                <w:b/>
                <w:color w:val="000000" w:themeColor="text1"/>
                <w:sz w:val="20"/>
                <w:szCs w:val="20"/>
              </w:rPr>
              <w:t>PBS Indication:</w:t>
            </w:r>
          </w:p>
          <w:p w:rsidR="006E0308" w:rsidRDefault="006E0308">
            <w:pPr>
              <w:jc w:val="both"/>
              <w:rPr>
                <w:rFonts w:ascii="Arial Narrow" w:hAnsi="Arial Narrow" w:cs="Arial"/>
                <w:i/>
                <w:color w:val="000000" w:themeColor="text1"/>
                <w:sz w:val="20"/>
                <w:szCs w:val="20"/>
              </w:rPr>
            </w:pPr>
          </w:p>
        </w:tc>
        <w:tc>
          <w:tcPr>
            <w:tcW w:w="6379" w:type="dxa"/>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i/>
                <w:color w:val="000000" w:themeColor="text1"/>
                <w:sz w:val="20"/>
                <w:szCs w:val="20"/>
              </w:rPr>
            </w:pPr>
            <w:r>
              <w:rPr>
                <w:rFonts w:ascii="Arial Narrow" w:hAnsi="Arial Narrow" w:cs="Arial"/>
                <w:i/>
                <w:color w:val="000000" w:themeColor="text1"/>
                <w:sz w:val="20"/>
                <w:szCs w:val="20"/>
              </w:rPr>
              <w:t>Severe disabling pain</w:t>
            </w:r>
          </w:p>
        </w:tc>
      </w:tr>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color w:val="000000" w:themeColor="text1"/>
                <w:sz w:val="20"/>
                <w:szCs w:val="20"/>
              </w:rPr>
            </w:pPr>
            <w:r>
              <w:rPr>
                <w:rFonts w:ascii="Arial Narrow" w:hAnsi="Arial Narrow" w:cs="Arial"/>
                <w:b/>
                <w:color w:val="000000" w:themeColor="text1"/>
                <w:sz w:val="20"/>
                <w:szCs w:val="20"/>
              </w:rPr>
              <w:t>Restriction Level / Method:</w:t>
            </w:r>
          </w:p>
          <w:p w:rsidR="006E0308" w:rsidRDefault="006E0308">
            <w:pPr>
              <w:rPr>
                <w:rFonts w:ascii="Arial Narrow" w:hAnsi="Arial Narrow" w:cs="Arial"/>
                <w:i/>
                <w:color w:val="000000" w:themeColor="text1"/>
                <w:sz w:val="20"/>
                <w:szCs w:val="20"/>
              </w:rPr>
            </w:pPr>
          </w:p>
          <w:p w:rsidR="006E0308" w:rsidRDefault="006E0308">
            <w:pPr>
              <w:rPr>
                <w:rFonts w:ascii="Arial Narrow" w:hAnsi="Arial Narrow" w:cs="Arial"/>
                <w:i/>
                <w:color w:val="000000" w:themeColor="text1"/>
                <w:sz w:val="20"/>
                <w:szCs w:val="20"/>
              </w:rPr>
            </w:pPr>
          </w:p>
          <w:p w:rsidR="006E0308" w:rsidRDefault="006E0308">
            <w:pPr>
              <w:rPr>
                <w:rFonts w:ascii="Arial Narrow" w:hAnsi="Arial Narrow" w:cs="Arial"/>
                <w:i/>
                <w:color w:val="000000" w:themeColor="text1"/>
                <w:sz w:val="20"/>
                <w:szCs w:val="20"/>
              </w:rPr>
            </w:pPr>
          </w:p>
        </w:tc>
        <w:tc>
          <w:tcPr>
            <w:tcW w:w="6379" w:type="dxa"/>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i/>
                <w:color w:val="000000" w:themeColor="text1"/>
                <w:sz w:val="20"/>
                <w:szCs w:val="20"/>
              </w:rPr>
            </w:pPr>
            <w:r>
              <w:rPr>
                <w:rFonts w:ascii="Arial Narrow" w:hAnsi="Arial Narrow" w:cs="Arial"/>
                <w:i/>
                <w:color w:val="000000" w:themeColor="text1"/>
                <w:sz w:val="20"/>
                <w:szCs w:val="20"/>
              </w:rPr>
              <w:fldChar w:fldCharType="begin">
                <w:ffData>
                  <w:name w:val=""/>
                  <w:enabled/>
                  <w:calcOnExit w:val="0"/>
                  <w:checkBox>
                    <w:sizeAuto/>
                    <w:default w:val="1"/>
                  </w:checkBox>
                </w:ffData>
              </w:fldChar>
            </w:r>
            <w:r>
              <w:rPr>
                <w:rFonts w:ascii="Arial Narrow" w:hAnsi="Arial Narrow" w:cs="Arial"/>
                <w:i/>
                <w:color w:val="000000" w:themeColor="text1"/>
                <w:sz w:val="20"/>
                <w:szCs w:val="20"/>
              </w:rPr>
              <w:instrText xml:space="preserve"> FORMCHECKBOX </w:instrText>
            </w:r>
            <w:r w:rsidR="00B63630">
              <w:rPr>
                <w:rFonts w:ascii="Arial Narrow" w:hAnsi="Arial Narrow" w:cs="Arial"/>
                <w:i/>
                <w:color w:val="000000" w:themeColor="text1"/>
                <w:sz w:val="20"/>
                <w:szCs w:val="20"/>
              </w:rPr>
            </w:r>
            <w:r w:rsidR="00B63630">
              <w:rPr>
                <w:rFonts w:ascii="Arial Narrow" w:hAnsi="Arial Narrow" w:cs="Arial"/>
                <w:i/>
                <w:color w:val="000000" w:themeColor="text1"/>
                <w:sz w:val="20"/>
                <w:szCs w:val="20"/>
              </w:rPr>
              <w:fldChar w:fldCharType="separate"/>
            </w:r>
            <w:r>
              <w:rPr>
                <w:rFonts w:ascii="Arial Narrow" w:hAnsi="Arial Narrow" w:cs="Arial"/>
                <w:i/>
                <w:color w:val="000000" w:themeColor="text1"/>
                <w:sz w:val="20"/>
                <w:szCs w:val="20"/>
              </w:rPr>
              <w:fldChar w:fldCharType="end"/>
            </w:r>
            <w:r>
              <w:rPr>
                <w:rFonts w:ascii="Arial Narrow" w:hAnsi="Arial Narrow" w:cs="Arial"/>
                <w:i/>
                <w:color w:val="000000" w:themeColor="text1"/>
                <w:sz w:val="20"/>
                <w:szCs w:val="20"/>
              </w:rPr>
              <w:t>Restricted benefit</w:t>
            </w:r>
          </w:p>
          <w:p w:rsidR="006E0308" w:rsidRDefault="002F7B70">
            <w:pPr>
              <w:rPr>
                <w:rFonts w:ascii="Arial Narrow" w:hAnsi="Arial Narrow" w:cs="Arial"/>
                <w:i/>
                <w:color w:val="000000" w:themeColor="text1"/>
                <w:sz w:val="20"/>
                <w:szCs w:val="20"/>
              </w:rPr>
            </w:pPr>
            <w:r>
              <w:rPr>
                <w:rFonts w:ascii="Arial Narrow" w:hAnsi="Arial Narrow" w:cs="Arial"/>
                <w:i/>
                <w:color w:val="000000" w:themeColor="text1"/>
                <w:sz w:val="20"/>
                <w:szCs w:val="20"/>
              </w:rPr>
              <w:fldChar w:fldCharType="begin">
                <w:ffData>
                  <w:name w:val=""/>
                  <w:enabled/>
                  <w:calcOnExit w:val="0"/>
                  <w:checkBox>
                    <w:sizeAuto/>
                    <w:default w:val="0"/>
                  </w:checkBox>
                </w:ffData>
              </w:fldChar>
            </w:r>
            <w:r>
              <w:rPr>
                <w:rFonts w:ascii="Arial Narrow" w:hAnsi="Arial Narrow" w:cs="Arial"/>
                <w:i/>
                <w:color w:val="000000" w:themeColor="text1"/>
                <w:sz w:val="20"/>
                <w:szCs w:val="20"/>
              </w:rPr>
              <w:instrText xml:space="preserve"> FORMCHECKBOX </w:instrText>
            </w:r>
            <w:r w:rsidR="00B63630">
              <w:rPr>
                <w:rFonts w:ascii="Arial Narrow" w:hAnsi="Arial Narrow" w:cs="Arial"/>
                <w:i/>
                <w:color w:val="000000" w:themeColor="text1"/>
                <w:sz w:val="20"/>
                <w:szCs w:val="20"/>
              </w:rPr>
            </w:r>
            <w:r w:rsidR="00B63630">
              <w:rPr>
                <w:rFonts w:ascii="Arial Narrow" w:hAnsi="Arial Narrow" w:cs="Arial"/>
                <w:i/>
                <w:color w:val="000000" w:themeColor="text1"/>
                <w:sz w:val="20"/>
                <w:szCs w:val="20"/>
              </w:rPr>
              <w:fldChar w:fldCharType="separate"/>
            </w:r>
            <w:r>
              <w:rPr>
                <w:rFonts w:ascii="Arial Narrow" w:hAnsi="Arial Narrow" w:cs="Arial"/>
                <w:i/>
                <w:color w:val="000000" w:themeColor="text1"/>
                <w:sz w:val="20"/>
                <w:szCs w:val="20"/>
              </w:rPr>
              <w:fldChar w:fldCharType="end"/>
            </w:r>
            <w:r>
              <w:rPr>
                <w:rFonts w:ascii="Arial Narrow" w:hAnsi="Arial Narrow" w:cs="Arial"/>
                <w:i/>
                <w:color w:val="000000" w:themeColor="text1"/>
                <w:sz w:val="20"/>
                <w:szCs w:val="20"/>
              </w:rPr>
              <w:t>Authority Required – In Writing</w:t>
            </w:r>
          </w:p>
          <w:p w:rsidR="006E0308" w:rsidRDefault="002F7B70">
            <w:pPr>
              <w:rPr>
                <w:rFonts w:ascii="Arial Narrow" w:hAnsi="Arial Narrow" w:cs="Arial"/>
                <w:i/>
                <w:color w:val="000000" w:themeColor="text1"/>
                <w:sz w:val="20"/>
                <w:szCs w:val="20"/>
              </w:rPr>
            </w:pPr>
            <w:r>
              <w:rPr>
                <w:rFonts w:ascii="Arial Narrow" w:hAnsi="Arial Narrow" w:cs="Arial"/>
                <w:i/>
                <w:color w:val="000000" w:themeColor="text1"/>
                <w:sz w:val="20"/>
                <w:szCs w:val="20"/>
              </w:rPr>
              <w:fldChar w:fldCharType="begin">
                <w:ffData>
                  <w:name w:val="Check3"/>
                  <w:enabled/>
                  <w:calcOnExit w:val="0"/>
                  <w:checkBox>
                    <w:sizeAuto/>
                    <w:default w:val="0"/>
                  </w:checkBox>
                </w:ffData>
              </w:fldChar>
            </w:r>
            <w:r>
              <w:rPr>
                <w:rFonts w:ascii="Arial Narrow" w:hAnsi="Arial Narrow" w:cs="Arial"/>
                <w:i/>
                <w:color w:val="000000" w:themeColor="text1"/>
                <w:sz w:val="20"/>
                <w:szCs w:val="20"/>
              </w:rPr>
              <w:instrText xml:space="preserve"> FORMCHECKBOX </w:instrText>
            </w:r>
            <w:r w:rsidR="00B63630">
              <w:rPr>
                <w:rFonts w:ascii="Arial Narrow" w:hAnsi="Arial Narrow" w:cs="Arial"/>
                <w:i/>
                <w:color w:val="000000" w:themeColor="text1"/>
                <w:sz w:val="20"/>
                <w:szCs w:val="20"/>
              </w:rPr>
            </w:r>
            <w:r w:rsidR="00B63630">
              <w:rPr>
                <w:rFonts w:ascii="Arial Narrow" w:hAnsi="Arial Narrow" w:cs="Arial"/>
                <w:i/>
                <w:color w:val="000000" w:themeColor="text1"/>
                <w:sz w:val="20"/>
                <w:szCs w:val="20"/>
              </w:rPr>
              <w:fldChar w:fldCharType="separate"/>
            </w:r>
            <w:r>
              <w:rPr>
                <w:rFonts w:ascii="Arial Narrow" w:hAnsi="Arial Narrow" w:cs="Arial"/>
                <w:i/>
                <w:color w:val="000000" w:themeColor="text1"/>
                <w:sz w:val="20"/>
                <w:szCs w:val="20"/>
              </w:rPr>
              <w:fldChar w:fldCharType="end"/>
            </w:r>
            <w:r>
              <w:rPr>
                <w:rFonts w:ascii="Arial Narrow" w:hAnsi="Arial Narrow" w:cs="Arial"/>
                <w:i/>
                <w:color w:val="000000" w:themeColor="text1"/>
                <w:sz w:val="20"/>
                <w:szCs w:val="20"/>
              </w:rPr>
              <w:t>Authority Required – Telephone/Electronic/Emergency</w:t>
            </w:r>
          </w:p>
          <w:p w:rsidR="006E0308" w:rsidRDefault="002F7B70">
            <w:pPr>
              <w:rPr>
                <w:rFonts w:ascii="Arial Narrow" w:hAnsi="Arial Narrow" w:cs="Arial"/>
                <w:i/>
                <w:color w:val="000000" w:themeColor="text1"/>
                <w:sz w:val="20"/>
                <w:szCs w:val="20"/>
              </w:rPr>
            </w:pPr>
            <w:r>
              <w:rPr>
                <w:rFonts w:ascii="Arial Narrow" w:hAnsi="Arial Narrow" w:cs="Arial"/>
                <w:i/>
                <w:color w:val="000000" w:themeColor="text1"/>
                <w:sz w:val="20"/>
                <w:szCs w:val="20"/>
              </w:rPr>
              <w:fldChar w:fldCharType="begin">
                <w:ffData>
                  <w:name w:val="Check5"/>
                  <w:enabled/>
                  <w:calcOnExit w:val="0"/>
                  <w:checkBox>
                    <w:sizeAuto/>
                    <w:default w:val="0"/>
                  </w:checkBox>
                </w:ffData>
              </w:fldChar>
            </w:r>
            <w:r>
              <w:rPr>
                <w:rFonts w:ascii="Arial Narrow" w:hAnsi="Arial Narrow" w:cs="Arial"/>
                <w:i/>
                <w:color w:val="000000" w:themeColor="text1"/>
                <w:sz w:val="20"/>
                <w:szCs w:val="20"/>
              </w:rPr>
              <w:instrText xml:space="preserve"> FORMCHECKBOX </w:instrText>
            </w:r>
            <w:r w:rsidR="00B63630">
              <w:rPr>
                <w:rFonts w:ascii="Arial Narrow" w:hAnsi="Arial Narrow" w:cs="Arial"/>
                <w:i/>
                <w:color w:val="000000" w:themeColor="text1"/>
                <w:sz w:val="20"/>
                <w:szCs w:val="20"/>
              </w:rPr>
            </w:r>
            <w:r w:rsidR="00B63630">
              <w:rPr>
                <w:rFonts w:ascii="Arial Narrow" w:hAnsi="Arial Narrow" w:cs="Arial"/>
                <w:i/>
                <w:color w:val="000000" w:themeColor="text1"/>
                <w:sz w:val="20"/>
                <w:szCs w:val="20"/>
              </w:rPr>
              <w:fldChar w:fldCharType="separate"/>
            </w:r>
            <w:r>
              <w:rPr>
                <w:rFonts w:ascii="Arial Narrow" w:hAnsi="Arial Narrow" w:cs="Arial"/>
                <w:i/>
                <w:color w:val="000000" w:themeColor="text1"/>
                <w:sz w:val="20"/>
                <w:szCs w:val="20"/>
              </w:rPr>
              <w:fldChar w:fldCharType="end"/>
            </w:r>
            <w:r>
              <w:rPr>
                <w:rFonts w:ascii="Arial Narrow" w:hAnsi="Arial Narrow" w:cs="Arial"/>
                <w:i/>
                <w:color w:val="000000" w:themeColor="text1"/>
                <w:sz w:val="20"/>
                <w:szCs w:val="20"/>
              </w:rPr>
              <w:t>Streamlined</w:t>
            </w:r>
          </w:p>
        </w:tc>
      </w:tr>
      <w:tr w:rsidR="006E0308">
        <w:trPr>
          <w:cantSplit/>
          <w:trHeight w:val="657"/>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color w:val="000000" w:themeColor="text1"/>
                <w:sz w:val="20"/>
                <w:szCs w:val="20"/>
              </w:rPr>
            </w:pPr>
            <w:r>
              <w:rPr>
                <w:rFonts w:ascii="Arial Narrow" w:hAnsi="Arial Narrow" w:cs="Arial"/>
                <w:b/>
                <w:color w:val="000000" w:themeColor="text1"/>
                <w:sz w:val="20"/>
                <w:szCs w:val="20"/>
              </w:rPr>
              <w:t>Clinical criteria:</w:t>
            </w:r>
          </w:p>
          <w:p w:rsidR="006E0308" w:rsidRDefault="006E0308">
            <w:pPr>
              <w:jc w:val="both"/>
              <w:rPr>
                <w:rFonts w:ascii="Arial Narrow" w:hAnsi="Arial Narrow" w:cs="Arial"/>
                <w:b/>
                <w:color w:val="000000" w:themeColor="text1"/>
                <w:sz w:val="20"/>
                <w:szCs w:val="20"/>
              </w:rPr>
            </w:pPr>
          </w:p>
        </w:tc>
        <w:tc>
          <w:tcPr>
            <w:tcW w:w="6379" w:type="dxa"/>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i/>
                <w:color w:val="000000" w:themeColor="text1"/>
                <w:sz w:val="20"/>
                <w:szCs w:val="20"/>
              </w:rPr>
            </w:pPr>
            <w:r>
              <w:rPr>
                <w:rFonts w:ascii="Arial Narrow" w:hAnsi="Arial Narrow" w:cs="Arial"/>
                <w:i/>
                <w:color w:val="000000" w:themeColor="text1"/>
                <w:sz w:val="20"/>
                <w:szCs w:val="20"/>
              </w:rPr>
              <w:t>The condition must be unresponsive to non-opioid analgesics.</w:t>
            </w:r>
          </w:p>
          <w:p w:rsidR="006E0308" w:rsidRDefault="006E0308">
            <w:pPr>
              <w:jc w:val="both"/>
              <w:rPr>
                <w:rFonts w:ascii="Arial Narrow" w:hAnsi="Arial Narrow" w:cs="Arial"/>
                <w:i/>
                <w:color w:val="000000" w:themeColor="text1"/>
                <w:sz w:val="20"/>
                <w:szCs w:val="20"/>
              </w:rPr>
            </w:pPr>
          </w:p>
        </w:tc>
      </w:tr>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color w:val="000000" w:themeColor="text1"/>
                <w:sz w:val="20"/>
                <w:szCs w:val="20"/>
              </w:rPr>
            </w:pPr>
            <w:r>
              <w:rPr>
                <w:rFonts w:ascii="Arial Narrow" w:hAnsi="Arial Narrow" w:cs="Arial"/>
                <w:b/>
                <w:color w:val="000000" w:themeColor="text1"/>
                <w:sz w:val="20"/>
                <w:szCs w:val="20"/>
              </w:rPr>
              <w:lastRenderedPageBreak/>
              <w:t>Prescriber Instructions:</w:t>
            </w:r>
          </w:p>
          <w:p w:rsidR="006E0308" w:rsidRDefault="006E0308">
            <w:pPr>
              <w:jc w:val="both"/>
              <w:rPr>
                <w:rFonts w:ascii="Arial Narrow" w:hAnsi="Arial Narrow" w:cs="Arial"/>
                <w:color w:val="000000" w:themeColor="text1"/>
                <w:sz w:val="20"/>
                <w:szCs w:val="20"/>
              </w:rPr>
            </w:pPr>
          </w:p>
        </w:tc>
        <w:tc>
          <w:tcPr>
            <w:tcW w:w="6379" w:type="dxa"/>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i/>
                <w:color w:val="000000" w:themeColor="text1"/>
                <w:sz w:val="20"/>
                <w:szCs w:val="20"/>
              </w:rPr>
            </w:pPr>
            <w:r>
              <w:rPr>
                <w:rFonts w:ascii="Arial Narrow" w:hAnsi="Arial Narrow" w:cs="Arial"/>
                <w:i/>
                <w:color w:val="000000" w:themeColor="text1"/>
                <w:sz w:val="20"/>
                <w:szCs w:val="20"/>
              </w:rPr>
              <w:t>Prescribing of drugs of addiction by dentists is not permitted in some States/Territories.</w:t>
            </w:r>
          </w:p>
        </w:tc>
      </w:tr>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color w:val="000000" w:themeColor="text1"/>
                <w:sz w:val="20"/>
                <w:szCs w:val="20"/>
              </w:rPr>
            </w:pPr>
            <w:r>
              <w:rPr>
                <w:rFonts w:ascii="Arial Narrow" w:hAnsi="Arial Narrow" w:cs="Arial"/>
                <w:b/>
                <w:color w:val="000000" w:themeColor="text1"/>
                <w:sz w:val="20"/>
                <w:szCs w:val="20"/>
              </w:rPr>
              <w:t>Administrative Advice:</w:t>
            </w:r>
          </w:p>
          <w:p w:rsidR="006E0308" w:rsidRDefault="006E0308">
            <w:pPr>
              <w:jc w:val="both"/>
              <w:rPr>
                <w:rFonts w:ascii="Arial Narrow" w:hAnsi="Arial Narrow" w:cs="Arial"/>
                <w:i/>
                <w:color w:val="000000" w:themeColor="text1"/>
                <w:sz w:val="20"/>
                <w:szCs w:val="20"/>
              </w:rPr>
            </w:pPr>
          </w:p>
        </w:tc>
        <w:tc>
          <w:tcPr>
            <w:tcW w:w="6379" w:type="dxa"/>
            <w:tcBorders>
              <w:top w:val="single" w:sz="4" w:space="0" w:color="auto"/>
              <w:left w:val="single" w:sz="4" w:space="0" w:color="auto"/>
              <w:bottom w:val="single" w:sz="4" w:space="0" w:color="auto"/>
              <w:right w:val="single" w:sz="4" w:space="0" w:color="auto"/>
            </w:tcBorders>
          </w:tcPr>
          <w:p w:rsidR="006E0308" w:rsidRDefault="006E0308">
            <w:pPr>
              <w:rPr>
                <w:rFonts w:ascii="Arial Narrow" w:hAnsi="Arial Narrow" w:cs="Arial"/>
                <w:i/>
                <w:color w:val="000000" w:themeColor="text1"/>
                <w:sz w:val="20"/>
                <w:szCs w:val="20"/>
              </w:rPr>
            </w:pPr>
          </w:p>
        </w:tc>
      </w:tr>
      <w:tr w:rsidR="006E0308">
        <w:trPr>
          <w:cantSplit/>
          <w:trHeight w:val="360"/>
        </w:trPr>
        <w:tc>
          <w:tcPr>
            <w:tcW w:w="2835" w:type="dxa"/>
            <w:tcBorders>
              <w:top w:val="single" w:sz="4" w:space="0" w:color="auto"/>
              <w:left w:val="single" w:sz="4" w:space="0" w:color="auto"/>
              <w:bottom w:val="single" w:sz="4" w:space="0" w:color="auto"/>
              <w:right w:val="single" w:sz="4" w:space="0" w:color="auto"/>
            </w:tcBorders>
          </w:tcPr>
          <w:p w:rsidR="006E0308" w:rsidRDefault="002F7B70">
            <w:pPr>
              <w:jc w:val="both"/>
              <w:rPr>
                <w:rFonts w:ascii="Arial Narrow" w:hAnsi="Arial Narrow" w:cs="Arial"/>
                <w:b/>
                <w:color w:val="000000" w:themeColor="text1"/>
                <w:sz w:val="20"/>
                <w:szCs w:val="20"/>
              </w:rPr>
            </w:pPr>
            <w:r>
              <w:rPr>
                <w:rFonts w:ascii="Arial Narrow" w:hAnsi="Arial Narrow" w:cs="Arial"/>
                <w:b/>
                <w:color w:val="000000" w:themeColor="text1"/>
                <w:sz w:val="20"/>
                <w:szCs w:val="20"/>
              </w:rPr>
              <w:t>Cautions:</w:t>
            </w:r>
          </w:p>
          <w:p w:rsidR="006E0308" w:rsidRDefault="006E0308">
            <w:pPr>
              <w:jc w:val="both"/>
              <w:rPr>
                <w:rFonts w:ascii="Arial Narrow" w:hAnsi="Arial Narrow" w:cs="Arial"/>
                <w:i/>
                <w:color w:val="000000" w:themeColor="text1"/>
                <w:sz w:val="20"/>
                <w:szCs w:val="20"/>
              </w:rPr>
            </w:pPr>
          </w:p>
        </w:tc>
        <w:tc>
          <w:tcPr>
            <w:tcW w:w="6379" w:type="dxa"/>
            <w:tcBorders>
              <w:top w:val="single" w:sz="4" w:space="0" w:color="auto"/>
              <w:left w:val="single" w:sz="4" w:space="0" w:color="auto"/>
              <w:bottom w:val="single" w:sz="4" w:space="0" w:color="auto"/>
              <w:right w:val="single" w:sz="4" w:space="0" w:color="auto"/>
            </w:tcBorders>
          </w:tcPr>
          <w:p w:rsidR="006E0308" w:rsidRDefault="002F7B70">
            <w:pPr>
              <w:rPr>
                <w:rFonts w:ascii="Arial Narrow" w:hAnsi="Arial Narrow" w:cs="Arial"/>
                <w:i/>
                <w:color w:val="000000" w:themeColor="text1"/>
                <w:sz w:val="20"/>
                <w:szCs w:val="20"/>
              </w:rPr>
            </w:pPr>
            <w:r>
              <w:rPr>
                <w:rFonts w:ascii="Arial Narrow" w:hAnsi="Arial Narrow" w:cs="Arial"/>
                <w:i/>
                <w:color w:val="000000" w:themeColor="text1"/>
                <w:sz w:val="20"/>
                <w:szCs w:val="20"/>
              </w:rPr>
              <w:t>The risk of drug dependence is high.</w:t>
            </w:r>
          </w:p>
        </w:tc>
      </w:tr>
    </w:tbl>
    <w:p w:rsidR="006E0308" w:rsidRDefault="006E0308">
      <w:pPr>
        <w:rPr>
          <w:rFonts w:asciiTheme="minorHAnsi" w:hAnsiTheme="minorHAnsi"/>
          <w:sz w:val="22"/>
          <w:szCs w:val="22"/>
        </w:rPr>
      </w:pPr>
    </w:p>
    <w:p w:rsidR="006E0308" w:rsidRDefault="002F7B70">
      <w:pPr>
        <w:pStyle w:val="2Sections"/>
        <w:rPr>
          <w:lang w:val="en-GB"/>
        </w:rPr>
      </w:pPr>
      <w:r>
        <w:rPr>
          <w:lang w:val="en-GB"/>
        </w:rPr>
        <w:t>Context for Decision</w:t>
      </w:r>
    </w:p>
    <w:p w:rsidR="006E0308" w:rsidRDefault="002F7B70">
      <w:pPr>
        <w:spacing w:line="276" w:lineRule="auto"/>
        <w:jc w:val="both"/>
        <w:rPr>
          <w:rFonts w:asciiTheme="minorHAnsi" w:eastAsiaTheme="minorHAnsi" w:hAnsiTheme="minorHAnsi" w:cs="Arial"/>
          <w:szCs w:val="22"/>
          <w:lang w:eastAsia="en-US"/>
        </w:rPr>
      </w:pPr>
      <w:r>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E0308" w:rsidRDefault="002F7B70">
      <w:pPr>
        <w:pStyle w:val="2Sections"/>
        <w:rPr>
          <w:lang w:val="en-GB"/>
        </w:rPr>
      </w:pPr>
      <w:r>
        <w:rPr>
          <w:lang w:val="en-GB"/>
        </w:rPr>
        <w:t>Sponsor’s Comment</w:t>
      </w:r>
    </w:p>
    <w:p w:rsidR="006E0308" w:rsidRPr="00D72FC2" w:rsidRDefault="002F7B70" w:rsidP="00D72FC2">
      <w:pPr>
        <w:spacing w:after="120" w:line="276" w:lineRule="auto"/>
        <w:jc w:val="both"/>
        <w:rPr>
          <w:rFonts w:asciiTheme="minorHAnsi" w:eastAsiaTheme="minorHAnsi" w:hAnsiTheme="minorHAnsi" w:cs="Arial"/>
          <w:bCs/>
          <w:szCs w:val="22"/>
          <w:lang w:eastAsia="en-US"/>
        </w:rPr>
      </w:pPr>
      <w:r>
        <w:rPr>
          <w:rFonts w:asciiTheme="minorHAnsi" w:eastAsiaTheme="minorHAnsi" w:hAnsiTheme="minorHAnsi" w:cs="Arial"/>
          <w:bCs/>
          <w:szCs w:val="22"/>
          <w:lang w:eastAsia="en-US"/>
        </w:rPr>
        <w:t>The sponsor looks forward to working with the Department to give effect to the PBAC’s recommendations.</w:t>
      </w:r>
    </w:p>
    <w:sectPr w:rsidR="006E0308" w:rsidRPr="00D72FC2">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0C4" w:rsidRDefault="00FC30C4">
      <w:r>
        <w:separator/>
      </w:r>
    </w:p>
    <w:p w:rsidR="00FC30C4" w:rsidRDefault="00FC30C4"/>
  </w:endnote>
  <w:endnote w:type="continuationSeparator" w:id="0">
    <w:p w:rsidR="00FC30C4" w:rsidRDefault="00FC30C4">
      <w:r>
        <w:continuationSeparator/>
      </w:r>
    </w:p>
    <w:p w:rsidR="00FC30C4" w:rsidRDefault="00FC3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E0308">
      <w:trPr>
        <w:trHeight w:val="151"/>
      </w:trPr>
      <w:tc>
        <w:tcPr>
          <w:tcW w:w="2250" w:type="pct"/>
          <w:tcBorders>
            <w:top w:val="nil"/>
            <w:left w:val="nil"/>
            <w:bottom w:val="single" w:sz="4" w:space="0" w:color="4F81BD"/>
            <w:right w:val="nil"/>
          </w:tcBorders>
        </w:tcPr>
        <w:p w:rsidR="006E0308" w:rsidRDefault="006E0308">
          <w:pPr>
            <w:pStyle w:val="Header"/>
            <w:spacing w:line="276" w:lineRule="auto"/>
            <w:rPr>
              <w:rFonts w:ascii="Calibri" w:eastAsia="MS Gothic" w:hAnsi="Calibri"/>
              <w:b/>
              <w:bCs/>
              <w:color w:val="4F81BD"/>
            </w:rPr>
          </w:pPr>
        </w:p>
      </w:tc>
      <w:tc>
        <w:tcPr>
          <w:tcW w:w="500" w:type="pct"/>
          <w:vMerge w:val="restart"/>
          <w:noWrap/>
          <w:vAlign w:val="center"/>
          <w:hideMark/>
        </w:tcPr>
        <w:p w:rsidR="006E0308" w:rsidRDefault="002F7B70">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6E0308" w:rsidRDefault="006E0308">
          <w:pPr>
            <w:pStyle w:val="Header"/>
            <w:spacing w:line="276" w:lineRule="auto"/>
            <w:rPr>
              <w:rFonts w:ascii="Calibri" w:eastAsia="MS Gothic" w:hAnsi="Calibri"/>
              <w:b/>
              <w:bCs/>
              <w:color w:val="4F81BD"/>
            </w:rPr>
          </w:pPr>
        </w:p>
      </w:tc>
    </w:tr>
    <w:tr w:rsidR="006E0308">
      <w:trPr>
        <w:trHeight w:val="150"/>
      </w:trPr>
      <w:tc>
        <w:tcPr>
          <w:tcW w:w="2250" w:type="pct"/>
          <w:tcBorders>
            <w:top w:val="single" w:sz="4" w:space="0" w:color="4F81BD"/>
            <w:left w:val="nil"/>
            <w:bottom w:val="nil"/>
            <w:right w:val="nil"/>
          </w:tcBorders>
        </w:tcPr>
        <w:p w:rsidR="006E0308" w:rsidRDefault="006E0308">
          <w:pPr>
            <w:pStyle w:val="Header"/>
            <w:spacing w:line="276" w:lineRule="auto"/>
            <w:rPr>
              <w:rFonts w:ascii="Calibri" w:eastAsia="MS Gothic" w:hAnsi="Calibri"/>
              <w:b/>
              <w:bCs/>
              <w:color w:val="4F81BD"/>
            </w:rPr>
          </w:pPr>
        </w:p>
      </w:tc>
      <w:tc>
        <w:tcPr>
          <w:tcW w:w="0" w:type="auto"/>
          <w:vMerge/>
          <w:vAlign w:val="center"/>
          <w:hideMark/>
        </w:tcPr>
        <w:p w:rsidR="006E0308" w:rsidRDefault="006E0308">
          <w:pPr>
            <w:rPr>
              <w:rFonts w:ascii="Calibri" w:hAnsi="Calibri"/>
              <w:color w:val="365F91"/>
              <w:sz w:val="22"/>
              <w:szCs w:val="22"/>
            </w:rPr>
          </w:pPr>
        </w:p>
      </w:tc>
      <w:tc>
        <w:tcPr>
          <w:tcW w:w="2250" w:type="pct"/>
          <w:tcBorders>
            <w:top w:val="single" w:sz="4" w:space="0" w:color="4F81BD"/>
            <w:left w:val="nil"/>
            <w:bottom w:val="nil"/>
            <w:right w:val="nil"/>
          </w:tcBorders>
        </w:tcPr>
        <w:p w:rsidR="006E0308" w:rsidRDefault="006E0308">
          <w:pPr>
            <w:pStyle w:val="Header"/>
            <w:spacing w:line="276" w:lineRule="auto"/>
            <w:rPr>
              <w:rFonts w:ascii="Calibri" w:eastAsia="MS Gothic" w:hAnsi="Calibri"/>
              <w:b/>
              <w:bCs/>
              <w:color w:val="4F81BD"/>
            </w:rPr>
          </w:pPr>
        </w:p>
      </w:tc>
    </w:tr>
  </w:tbl>
  <w:p w:rsidR="006E0308" w:rsidRDefault="002F7B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0308" w:rsidRDefault="006E0308">
    <w:pPr>
      <w:pStyle w:val="Footer"/>
    </w:pPr>
  </w:p>
  <w:p w:rsidR="006E0308" w:rsidRDefault="006E030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308" w:rsidRDefault="006E0308">
    <w:pPr>
      <w:pStyle w:val="Footer"/>
      <w:jc w:val="center"/>
      <w:rPr>
        <w:rFonts w:asciiTheme="minorHAnsi" w:hAnsiTheme="minorHAnsi" w:cstheme="minorHAnsi"/>
        <w:b/>
        <w:color w:val="808080" w:themeColor="background1" w:themeShade="80"/>
      </w:rPr>
    </w:pPr>
  </w:p>
  <w:p w:rsidR="006E0308" w:rsidRDefault="00B63630">
    <w:pPr>
      <w:pStyle w:val="Footer"/>
      <w:jc w:val="center"/>
      <w:rPr>
        <w:rFonts w:asciiTheme="minorHAnsi" w:hAnsiTheme="minorHAnsi" w:cstheme="minorHAnsi"/>
        <w:b/>
        <w:color w:val="808080" w:themeColor="background1" w:themeShade="80"/>
      </w:rPr>
    </w:pPr>
    <w:sdt>
      <w:sdtPr>
        <w:rPr>
          <w:rFonts w:asciiTheme="minorHAnsi" w:hAnsiTheme="minorHAnsi" w:cstheme="minorHAnsi"/>
          <w:b/>
          <w:color w:val="808080" w:themeColor="background1" w:themeShade="80"/>
        </w:rPr>
        <w:id w:val="-351879996"/>
        <w:docPartObj>
          <w:docPartGallery w:val="Page Numbers (Bottom of Page)"/>
          <w:docPartUnique/>
        </w:docPartObj>
      </w:sdtPr>
      <w:sdtEndPr>
        <w:rPr>
          <w:noProof/>
        </w:rPr>
      </w:sdtEndPr>
      <w:sdtContent>
        <w:r w:rsidR="002F7B70">
          <w:rPr>
            <w:rFonts w:asciiTheme="minorHAnsi" w:hAnsiTheme="minorHAnsi" w:cstheme="minorHAnsi"/>
            <w:b/>
            <w:color w:val="808080" w:themeColor="background1" w:themeShade="80"/>
          </w:rPr>
          <w:fldChar w:fldCharType="begin"/>
        </w:r>
        <w:r w:rsidR="002F7B70">
          <w:rPr>
            <w:rFonts w:asciiTheme="minorHAnsi" w:hAnsiTheme="minorHAnsi" w:cstheme="minorHAnsi"/>
            <w:b/>
            <w:color w:val="808080" w:themeColor="background1" w:themeShade="80"/>
          </w:rPr>
          <w:instrText xml:space="preserve"> PAGE   \* MERGEFORMAT </w:instrText>
        </w:r>
        <w:r w:rsidR="002F7B70">
          <w:rPr>
            <w:rFonts w:asciiTheme="minorHAnsi" w:hAnsiTheme="minorHAnsi" w:cstheme="minorHAnsi"/>
            <w:b/>
            <w:color w:val="808080" w:themeColor="background1" w:themeShade="80"/>
          </w:rPr>
          <w:fldChar w:fldCharType="separate"/>
        </w:r>
        <w:r>
          <w:rPr>
            <w:rFonts w:asciiTheme="minorHAnsi" w:hAnsiTheme="minorHAnsi" w:cstheme="minorHAnsi"/>
            <w:b/>
            <w:noProof/>
            <w:color w:val="808080" w:themeColor="background1" w:themeShade="80"/>
          </w:rPr>
          <w:t>7</w:t>
        </w:r>
        <w:r w:rsidR="002F7B70">
          <w:rPr>
            <w:rFonts w:asciiTheme="minorHAnsi" w:hAnsiTheme="minorHAnsi" w:cstheme="minorHAnsi"/>
            <w:b/>
            <w:noProof/>
            <w:color w:val="808080" w:themeColor="background1" w:themeShade="8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6E0308">
      <w:trPr>
        <w:trHeight w:val="151"/>
      </w:trPr>
      <w:tc>
        <w:tcPr>
          <w:tcW w:w="2250" w:type="pct"/>
          <w:tcBorders>
            <w:top w:val="nil"/>
            <w:left w:val="nil"/>
            <w:bottom w:val="single" w:sz="4" w:space="0" w:color="4F81BD"/>
            <w:right w:val="nil"/>
          </w:tcBorders>
        </w:tcPr>
        <w:p w:rsidR="006E0308" w:rsidRDefault="006E0308">
          <w:pPr>
            <w:pStyle w:val="Header"/>
            <w:spacing w:line="276" w:lineRule="auto"/>
            <w:rPr>
              <w:rFonts w:ascii="Calibri" w:eastAsia="MS Gothic" w:hAnsi="Calibri"/>
              <w:b/>
              <w:bCs/>
              <w:color w:val="4F81BD"/>
            </w:rPr>
          </w:pPr>
        </w:p>
      </w:tc>
      <w:tc>
        <w:tcPr>
          <w:tcW w:w="500" w:type="pct"/>
          <w:vMerge w:val="restart"/>
          <w:noWrap/>
          <w:vAlign w:val="center"/>
          <w:hideMark/>
        </w:tcPr>
        <w:p w:rsidR="006E0308" w:rsidRDefault="002F7B70">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6E0308" w:rsidRDefault="006E0308">
          <w:pPr>
            <w:pStyle w:val="Header"/>
            <w:spacing w:line="276" w:lineRule="auto"/>
            <w:rPr>
              <w:rFonts w:ascii="Calibri" w:eastAsia="MS Gothic" w:hAnsi="Calibri"/>
              <w:b/>
              <w:bCs/>
              <w:color w:val="4F81BD"/>
            </w:rPr>
          </w:pPr>
        </w:p>
      </w:tc>
    </w:tr>
    <w:tr w:rsidR="006E0308">
      <w:trPr>
        <w:trHeight w:val="150"/>
      </w:trPr>
      <w:tc>
        <w:tcPr>
          <w:tcW w:w="2250" w:type="pct"/>
          <w:tcBorders>
            <w:top w:val="single" w:sz="4" w:space="0" w:color="4F81BD"/>
            <w:left w:val="nil"/>
            <w:bottom w:val="nil"/>
            <w:right w:val="nil"/>
          </w:tcBorders>
        </w:tcPr>
        <w:p w:rsidR="006E0308" w:rsidRDefault="006E0308">
          <w:pPr>
            <w:pStyle w:val="Header"/>
            <w:spacing w:line="276" w:lineRule="auto"/>
            <w:rPr>
              <w:rFonts w:ascii="Calibri" w:eastAsia="MS Gothic" w:hAnsi="Calibri"/>
              <w:b/>
              <w:bCs/>
              <w:color w:val="4F81BD"/>
            </w:rPr>
          </w:pPr>
        </w:p>
      </w:tc>
      <w:tc>
        <w:tcPr>
          <w:tcW w:w="0" w:type="auto"/>
          <w:vMerge/>
          <w:vAlign w:val="center"/>
          <w:hideMark/>
        </w:tcPr>
        <w:p w:rsidR="006E0308" w:rsidRDefault="006E0308">
          <w:pPr>
            <w:rPr>
              <w:rFonts w:ascii="Calibri" w:hAnsi="Calibri"/>
              <w:color w:val="365F91"/>
              <w:sz w:val="22"/>
              <w:szCs w:val="22"/>
            </w:rPr>
          </w:pPr>
        </w:p>
      </w:tc>
      <w:tc>
        <w:tcPr>
          <w:tcW w:w="2250" w:type="pct"/>
          <w:tcBorders>
            <w:top w:val="single" w:sz="4" w:space="0" w:color="4F81BD"/>
            <w:left w:val="nil"/>
            <w:bottom w:val="nil"/>
            <w:right w:val="nil"/>
          </w:tcBorders>
        </w:tcPr>
        <w:p w:rsidR="006E0308" w:rsidRDefault="006E0308">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E0308">
      <w:trPr>
        <w:trHeight w:val="151"/>
      </w:trPr>
      <w:tc>
        <w:tcPr>
          <w:tcW w:w="2250" w:type="pct"/>
          <w:tcBorders>
            <w:top w:val="nil"/>
            <w:left w:val="nil"/>
            <w:bottom w:val="single" w:sz="4" w:space="0" w:color="4F81BD"/>
            <w:right w:val="nil"/>
          </w:tcBorders>
        </w:tcPr>
        <w:p w:rsidR="006E0308" w:rsidRDefault="006E0308">
          <w:pPr>
            <w:pStyle w:val="Header"/>
            <w:spacing w:line="276" w:lineRule="auto"/>
            <w:rPr>
              <w:rFonts w:ascii="Calibri" w:eastAsia="MS Gothic" w:hAnsi="Calibri"/>
              <w:b/>
              <w:bCs/>
              <w:color w:val="4F81BD"/>
            </w:rPr>
          </w:pPr>
        </w:p>
      </w:tc>
      <w:tc>
        <w:tcPr>
          <w:tcW w:w="500" w:type="pct"/>
          <w:vMerge w:val="restart"/>
          <w:noWrap/>
          <w:vAlign w:val="center"/>
          <w:hideMark/>
        </w:tcPr>
        <w:p w:rsidR="006E0308" w:rsidRDefault="002F7B70">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6E0308" w:rsidRDefault="006E0308">
          <w:pPr>
            <w:pStyle w:val="Header"/>
            <w:spacing w:line="276" w:lineRule="auto"/>
            <w:rPr>
              <w:rFonts w:ascii="Calibri" w:eastAsia="MS Gothic" w:hAnsi="Calibri"/>
              <w:b/>
              <w:bCs/>
              <w:color w:val="4F81BD"/>
            </w:rPr>
          </w:pPr>
        </w:p>
      </w:tc>
    </w:tr>
    <w:tr w:rsidR="006E0308">
      <w:trPr>
        <w:trHeight w:val="150"/>
      </w:trPr>
      <w:tc>
        <w:tcPr>
          <w:tcW w:w="2250" w:type="pct"/>
          <w:tcBorders>
            <w:top w:val="single" w:sz="4" w:space="0" w:color="4F81BD"/>
            <w:left w:val="nil"/>
            <w:bottom w:val="nil"/>
            <w:right w:val="nil"/>
          </w:tcBorders>
        </w:tcPr>
        <w:p w:rsidR="006E0308" w:rsidRDefault="006E0308">
          <w:pPr>
            <w:pStyle w:val="Header"/>
            <w:spacing w:line="276" w:lineRule="auto"/>
            <w:rPr>
              <w:rFonts w:ascii="Calibri" w:eastAsia="MS Gothic" w:hAnsi="Calibri"/>
              <w:b/>
              <w:bCs/>
              <w:color w:val="4F81BD"/>
            </w:rPr>
          </w:pPr>
        </w:p>
      </w:tc>
      <w:tc>
        <w:tcPr>
          <w:tcW w:w="0" w:type="auto"/>
          <w:vMerge/>
          <w:vAlign w:val="center"/>
          <w:hideMark/>
        </w:tcPr>
        <w:p w:rsidR="006E0308" w:rsidRDefault="006E0308">
          <w:pPr>
            <w:rPr>
              <w:rFonts w:ascii="Calibri" w:hAnsi="Calibri"/>
              <w:color w:val="365F91"/>
              <w:sz w:val="22"/>
              <w:szCs w:val="22"/>
            </w:rPr>
          </w:pPr>
        </w:p>
      </w:tc>
      <w:tc>
        <w:tcPr>
          <w:tcW w:w="2250" w:type="pct"/>
          <w:tcBorders>
            <w:top w:val="single" w:sz="4" w:space="0" w:color="4F81BD"/>
            <w:left w:val="nil"/>
            <w:bottom w:val="nil"/>
            <w:right w:val="nil"/>
          </w:tcBorders>
        </w:tcPr>
        <w:p w:rsidR="006E0308" w:rsidRDefault="006E0308">
          <w:pPr>
            <w:pStyle w:val="Header"/>
            <w:spacing w:line="276" w:lineRule="auto"/>
            <w:rPr>
              <w:rFonts w:ascii="Calibri" w:eastAsia="MS Gothic" w:hAnsi="Calibri"/>
              <w:b/>
              <w:bCs/>
              <w:color w:val="4F81BD"/>
            </w:rPr>
          </w:pPr>
        </w:p>
      </w:tc>
    </w:tr>
  </w:tbl>
  <w:p w:rsidR="006E0308" w:rsidRDefault="002F7B70">
    <w:pPr>
      <w:pStyle w:val="Footer"/>
      <w:jc w:val="center"/>
      <w:rPr>
        <w:b/>
        <w:i/>
        <w:sz w:val="20"/>
        <w:szCs w:val="20"/>
      </w:rPr>
    </w:pPr>
    <w:r>
      <w:rPr>
        <w:b/>
        <w:i/>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b/>
        <w:i/>
        <w:sz w:val="20"/>
        <w:szCs w:val="20"/>
      </w:rPr>
      <w:t>BAC Meeting</w:t>
    </w:r>
  </w:p>
  <w:p w:rsidR="006E0308" w:rsidRDefault="002F7B70">
    <w:pPr>
      <w:pStyle w:val="Footer"/>
      <w:jc w:val="center"/>
      <w:rPr>
        <w:b/>
        <w:i/>
        <w:sz w:val="20"/>
        <w:szCs w:val="20"/>
      </w:rPr>
    </w:pPr>
    <w:r>
      <w:rPr>
        <w:b/>
        <w:i/>
        <w:sz w:val="20"/>
        <w:szCs w:val="20"/>
      </w:rPr>
      <w:t>Commercial-in-Confidence</w:t>
    </w:r>
  </w:p>
  <w:p w:rsidR="006E0308" w:rsidRDefault="006E030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0C4" w:rsidRDefault="00FC30C4">
      <w:r>
        <w:separator/>
      </w:r>
    </w:p>
    <w:p w:rsidR="00FC30C4" w:rsidRDefault="00FC30C4"/>
  </w:footnote>
  <w:footnote w:type="continuationSeparator" w:id="0">
    <w:p w:rsidR="00FC30C4" w:rsidRDefault="00FC30C4">
      <w:r>
        <w:continuationSeparator/>
      </w:r>
    </w:p>
    <w:p w:rsidR="00FC30C4" w:rsidRDefault="00FC30C4"/>
  </w:footnote>
  <w:footnote w:id="1">
    <w:p w:rsidR="006E0308" w:rsidRDefault="002F7B70">
      <w:pPr>
        <w:pStyle w:val="tablenotes"/>
      </w:pPr>
      <w:r>
        <w:rPr>
          <w:rStyle w:val="FootnoteReference"/>
          <w:sz w:val="18"/>
        </w:rPr>
        <w:footnoteRef/>
      </w:r>
      <w:r w:rsidR="0043180F">
        <w:rPr>
          <w:sz w:val="18"/>
        </w:rPr>
        <w:t xml:space="preserve"> TGA</w:t>
      </w:r>
      <w:r>
        <w:rPr>
          <w:sz w:val="18"/>
        </w:rPr>
        <w:t xml:space="preserve"> Jan 2018, ‘Prescription strong (Schedule 8) opio</w:t>
      </w:r>
      <w:r w:rsidR="0043180F">
        <w:rPr>
          <w:sz w:val="18"/>
        </w:rPr>
        <w:t>id use and misuse in Australia’</w:t>
      </w:r>
      <w:r>
        <w:rPr>
          <w:sz w:val="18"/>
        </w:rPr>
        <w:t xml:space="preserve"> p11</w:t>
      </w:r>
    </w:p>
  </w:footnote>
  <w:footnote w:id="2">
    <w:p w:rsidR="006E0308" w:rsidRDefault="002F7B70">
      <w:pPr>
        <w:pStyle w:val="tablenotes"/>
        <w:rPr>
          <w:sz w:val="18"/>
        </w:rPr>
      </w:pPr>
      <w:r>
        <w:rPr>
          <w:rStyle w:val="FootnoteReference"/>
          <w:sz w:val="18"/>
        </w:rPr>
        <w:footnoteRef/>
      </w:r>
      <w:r>
        <w:rPr>
          <w:sz w:val="18"/>
        </w:rPr>
        <w:t xml:space="preserve"> Attachment to submission ‘SHPA Letter – Peter Fowler’.</w:t>
      </w:r>
    </w:p>
  </w:footnote>
  <w:footnote w:id="3">
    <w:p w:rsidR="006E0308" w:rsidRDefault="002F7B70">
      <w:pPr>
        <w:pStyle w:val="tablenotes"/>
        <w:rPr>
          <w:sz w:val="18"/>
        </w:rPr>
      </w:pPr>
      <w:r>
        <w:rPr>
          <w:rStyle w:val="FootnoteReference"/>
          <w:sz w:val="18"/>
        </w:rPr>
        <w:footnoteRef/>
      </w:r>
      <w:r>
        <w:rPr>
          <w:sz w:val="18"/>
        </w:rPr>
        <w:t xml:space="preserve"> </w:t>
      </w:r>
      <w:r>
        <w:rPr>
          <w:sz w:val="18"/>
        </w:rPr>
        <w:fldChar w:fldCharType="begin"/>
      </w:r>
      <w:r>
        <w:rPr>
          <w:sz w:val="18"/>
        </w:rPr>
        <w:instrText xml:space="preserve"> BIBLIOGRAPHY  \l 3081 </w:instrText>
      </w:r>
      <w:r>
        <w:rPr>
          <w:sz w:val="18"/>
        </w:rPr>
        <w:fldChar w:fldCharType="separate"/>
      </w:r>
      <w:r>
        <w:rPr>
          <w:sz w:val="18"/>
        </w:rPr>
        <w:t>Bicket MC, L. J. (2017, November 1). Prescription Opioid Analgesics Commo</w:t>
      </w:r>
      <w:r>
        <w:rPr>
          <w:noProof/>
          <w:sz w:val="18"/>
        </w:rPr>
        <w:t xml:space="preserve">nly Unused After Surgery: A Systematic Review. </w:t>
      </w:r>
      <w:r>
        <w:rPr>
          <w:sz w:val="18"/>
        </w:rPr>
        <w:t>JAMA Surg. 2017 November 01; 152(11): 1066–1071. doi:10.1001/jamasurg.2017.0831</w:t>
      </w:r>
      <w:r>
        <w:rPr>
          <w:noProof/>
          <w:sz w:val="18"/>
        </w:rPr>
        <w:t>.</w:t>
      </w:r>
    </w:p>
    <w:p w:rsidR="006E0308" w:rsidRDefault="002F7B70">
      <w:pPr>
        <w:pStyle w:val="tablenotes"/>
      </w:pPr>
      <w:r>
        <w:rPr>
          <w:sz w:val="18"/>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E0308">
      <w:trPr>
        <w:trHeight w:val="151"/>
      </w:trPr>
      <w:tc>
        <w:tcPr>
          <w:tcW w:w="2389" w:type="pct"/>
          <w:tcBorders>
            <w:top w:val="nil"/>
            <w:left w:val="nil"/>
            <w:bottom w:val="single" w:sz="4" w:space="0" w:color="4F81BD"/>
            <w:right w:val="nil"/>
          </w:tcBorders>
        </w:tcPr>
        <w:p w:rsidR="006E0308" w:rsidRDefault="006E0308">
          <w:pPr>
            <w:pStyle w:val="Header"/>
            <w:spacing w:line="276" w:lineRule="auto"/>
            <w:rPr>
              <w:rFonts w:ascii="Cambria" w:eastAsia="MS Gothic" w:hAnsi="Cambria"/>
              <w:b/>
              <w:bCs/>
              <w:color w:val="4F81BD"/>
            </w:rPr>
          </w:pPr>
        </w:p>
      </w:tc>
      <w:tc>
        <w:tcPr>
          <w:tcW w:w="333" w:type="pct"/>
          <w:vMerge w:val="restart"/>
          <w:noWrap/>
          <w:vAlign w:val="center"/>
          <w:hideMark/>
        </w:tcPr>
        <w:p w:rsidR="006E0308" w:rsidRDefault="002F7B70">
          <w:pPr>
            <w:pStyle w:val="MediumGrid21"/>
            <w:rPr>
              <w:rFonts w:ascii="Cambria" w:hAnsi="Cambria"/>
              <w:color w:val="4F81BD"/>
              <w:szCs w:val="20"/>
            </w:rPr>
          </w:pPr>
          <w:r>
            <w:rPr>
              <w:rFonts w:ascii="Cambria" w:hAnsi="Cambria"/>
              <w:color w:val="4F81BD"/>
            </w:rPr>
            <w:t>[Type text]</w:t>
          </w:r>
        </w:p>
      </w:tc>
      <w:tc>
        <w:tcPr>
          <w:tcW w:w="2278" w:type="pct"/>
          <w:tcBorders>
            <w:top w:val="nil"/>
            <w:left w:val="nil"/>
            <w:bottom w:val="single" w:sz="4" w:space="0" w:color="4F81BD"/>
            <w:right w:val="nil"/>
          </w:tcBorders>
        </w:tcPr>
        <w:p w:rsidR="006E0308" w:rsidRDefault="006E0308">
          <w:pPr>
            <w:pStyle w:val="Header"/>
            <w:spacing w:line="276" w:lineRule="auto"/>
            <w:rPr>
              <w:rFonts w:ascii="Cambria" w:eastAsia="MS Gothic" w:hAnsi="Cambria"/>
              <w:b/>
              <w:bCs/>
              <w:color w:val="4F81BD"/>
            </w:rPr>
          </w:pPr>
        </w:p>
      </w:tc>
    </w:tr>
    <w:tr w:rsidR="006E0308">
      <w:trPr>
        <w:trHeight w:val="150"/>
      </w:trPr>
      <w:tc>
        <w:tcPr>
          <w:tcW w:w="2389" w:type="pct"/>
          <w:tcBorders>
            <w:top w:val="single" w:sz="4" w:space="0" w:color="4F81BD"/>
            <w:left w:val="nil"/>
            <w:bottom w:val="nil"/>
            <w:right w:val="nil"/>
          </w:tcBorders>
        </w:tcPr>
        <w:p w:rsidR="006E0308" w:rsidRDefault="006E0308">
          <w:pPr>
            <w:pStyle w:val="Header"/>
            <w:spacing w:line="276" w:lineRule="auto"/>
            <w:rPr>
              <w:rFonts w:ascii="Cambria" w:eastAsia="MS Gothic" w:hAnsi="Cambria"/>
              <w:b/>
              <w:bCs/>
              <w:color w:val="4F81BD"/>
            </w:rPr>
          </w:pPr>
        </w:p>
      </w:tc>
      <w:tc>
        <w:tcPr>
          <w:tcW w:w="0" w:type="auto"/>
          <w:vMerge/>
          <w:vAlign w:val="center"/>
          <w:hideMark/>
        </w:tcPr>
        <w:p w:rsidR="006E0308" w:rsidRDefault="006E0308">
          <w:pPr>
            <w:rPr>
              <w:rFonts w:ascii="Cambria" w:hAnsi="Cambria"/>
              <w:color w:val="4F81BD"/>
              <w:sz w:val="22"/>
              <w:szCs w:val="22"/>
            </w:rPr>
          </w:pPr>
        </w:p>
      </w:tc>
      <w:tc>
        <w:tcPr>
          <w:tcW w:w="2278" w:type="pct"/>
          <w:tcBorders>
            <w:top w:val="single" w:sz="4" w:space="0" w:color="4F81BD"/>
            <w:left w:val="nil"/>
            <w:bottom w:val="nil"/>
            <w:right w:val="nil"/>
          </w:tcBorders>
        </w:tcPr>
        <w:p w:rsidR="006E0308" w:rsidRDefault="006E0308">
          <w:pPr>
            <w:pStyle w:val="Header"/>
            <w:spacing w:line="276" w:lineRule="auto"/>
            <w:rPr>
              <w:rFonts w:ascii="Cambria" w:eastAsia="MS Gothic" w:hAnsi="Cambria"/>
              <w:b/>
              <w:bCs/>
              <w:color w:val="4F81BD"/>
            </w:rPr>
          </w:pPr>
        </w:p>
      </w:tc>
    </w:tr>
  </w:tbl>
  <w:p w:rsidR="006E0308" w:rsidRDefault="006E0308">
    <w:pPr>
      <w:pStyle w:val="Header"/>
    </w:pPr>
  </w:p>
  <w:p w:rsidR="006E0308" w:rsidRDefault="006E030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308" w:rsidRDefault="002F7B70">
    <w:pPr>
      <w:pStyle w:val="NoSpacing"/>
      <w:jc w:val="center"/>
      <w:rPr>
        <w:rFonts w:asciiTheme="minorHAnsi" w:hAnsiTheme="minorHAnsi" w:cs="Arial"/>
        <w:i/>
        <w:color w:val="808080" w:themeColor="background1" w:themeShade="80"/>
        <w:sz w:val="24"/>
        <w:szCs w:val="24"/>
      </w:rPr>
    </w:pPr>
    <w:r>
      <w:rPr>
        <w:rFonts w:asciiTheme="minorHAnsi" w:hAnsiTheme="minorHAnsi" w:cs="Arial"/>
        <w:i/>
        <w:color w:val="808080" w:themeColor="background1" w:themeShade="80"/>
        <w:sz w:val="24"/>
        <w:szCs w:val="24"/>
      </w:rPr>
      <w:t xml:space="preserve">Public Summary Document - July 2019 PBAC Meeting </w:t>
    </w:r>
  </w:p>
  <w:p w:rsidR="006E0308" w:rsidRDefault="006E0308">
    <w:pPr>
      <w:pStyle w:val="NoSpacing"/>
      <w:jc w:val="center"/>
      <w:rPr>
        <w:i/>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A33" w:rsidRDefault="00B11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84D033C"/>
    <w:multiLevelType w:val="multilevel"/>
    <w:tmpl w:val="10F875B4"/>
    <w:lvl w:ilvl="0">
      <w:start w:val="1"/>
      <w:numFmt w:val="decimal"/>
      <w:pStyle w:val="2Sections"/>
      <w:lvlText w:val="%1"/>
      <w:lvlJc w:val="left"/>
      <w:pPr>
        <w:ind w:left="720" w:hanging="720"/>
      </w:pPr>
      <w:rPr>
        <w:rFonts w:hint="default"/>
        <w:b/>
        <w:i w:val="0"/>
      </w:rPr>
    </w:lvl>
    <w:lvl w:ilvl="1">
      <w:start w:val="1"/>
      <w:numFmt w:val="decimal"/>
      <w:pStyle w:val="3Bodytext"/>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0805A0"/>
    <w:multiLevelType w:val="hybridMultilevel"/>
    <w:tmpl w:val="1F041F22"/>
    <w:lvl w:ilvl="0" w:tplc="848A0F9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500591"/>
    <w:multiLevelType w:val="hybridMultilevel"/>
    <w:tmpl w:val="6E4485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A40E18"/>
    <w:multiLevelType w:val="hybridMultilevel"/>
    <w:tmpl w:val="79BEE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19"/>
  </w:num>
  <w:num w:numId="5">
    <w:abstractNumId w:val="23"/>
  </w:num>
  <w:num w:numId="6">
    <w:abstractNumId w:val="8"/>
  </w:num>
  <w:num w:numId="7">
    <w:abstractNumId w:val="17"/>
  </w:num>
  <w:num w:numId="8">
    <w:abstractNumId w:val="4"/>
  </w:num>
  <w:num w:numId="9">
    <w:abstractNumId w:val="16"/>
  </w:num>
  <w:num w:numId="10">
    <w:abstractNumId w:val="14"/>
  </w:num>
  <w:num w:numId="11">
    <w:abstractNumId w:val="12"/>
  </w:num>
  <w:num w:numId="12">
    <w:abstractNumId w:val="1"/>
  </w:num>
  <w:num w:numId="13">
    <w:abstractNumId w:val="0"/>
  </w:num>
  <w:num w:numId="14">
    <w:abstractNumId w:val="23"/>
  </w:num>
  <w:num w:numId="15">
    <w:abstractNumId w:val="23"/>
  </w:num>
  <w:num w:numId="16">
    <w:abstractNumId w:val="23"/>
  </w:num>
  <w:num w:numId="17">
    <w:abstractNumId w:val="22"/>
  </w:num>
  <w:num w:numId="18">
    <w:abstractNumId w:val="23"/>
  </w:num>
  <w:num w:numId="19">
    <w:abstractNumId w:val="18"/>
  </w:num>
  <w:num w:numId="20">
    <w:abstractNumId w:val="15"/>
  </w:num>
  <w:num w:numId="21">
    <w:abstractNumId w:val="23"/>
  </w:num>
  <w:num w:numId="22">
    <w:abstractNumId w:val="26"/>
  </w:num>
  <w:num w:numId="23">
    <w:abstractNumId w:val="25"/>
  </w:num>
  <w:num w:numId="24">
    <w:abstractNumId w:val="20"/>
  </w:num>
  <w:num w:numId="25">
    <w:abstractNumId w:val="23"/>
  </w:num>
  <w:num w:numId="26">
    <w:abstractNumId w:val="5"/>
  </w:num>
  <w:num w:numId="27">
    <w:abstractNumId w:val="21"/>
  </w:num>
  <w:num w:numId="28">
    <w:abstractNumId w:val="6"/>
  </w:num>
  <w:num w:numId="29">
    <w:abstractNumId w:val="2"/>
  </w:num>
  <w:num w:numId="30">
    <w:abstractNumId w:val="11"/>
  </w:num>
  <w:num w:numId="31">
    <w:abstractNumId w:val="13"/>
  </w:num>
  <w:num w:numId="32">
    <w:abstractNumId w:val="10"/>
  </w:num>
  <w:num w:numId="33">
    <w:abstractNumId w:val="24"/>
  </w:num>
  <w:num w:numId="34">
    <w:abstractNumId w:val="23"/>
  </w:num>
  <w:num w:numId="35">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308"/>
    <w:rsid w:val="00045F4C"/>
    <w:rsid w:val="00097525"/>
    <w:rsid w:val="00187B02"/>
    <w:rsid w:val="001E604D"/>
    <w:rsid w:val="00295050"/>
    <w:rsid w:val="002F7B70"/>
    <w:rsid w:val="003A2D34"/>
    <w:rsid w:val="0043180F"/>
    <w:rsid w:val="00462D0B"/>
    <w:rsid w:val="0047794B"/>
    <w:rsid w:val="004866C8"/>
    <w:rsid w:val="004E69E5"/>
    <w:rsid w:val="005E3615"/>
    <w:rsid w:val="006A03CD"/>
    <w:rsid w:val="006E0308"/>
    <w:rsid w:val="007E78C7"/>
    <w:rsid w:val="009239D3"/>
    <w:rsid w:val="00B11A33"/>
    <w:rsid w:val="00B63630"/>
    <w:rsid w:val="00B756AD"/>
    <w:rsid w:val="00CA6234"/>
    <w:rsid w:val="00D72FC2"/>
    <w:rsid w:val="00FC30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DA5A57FD-5702-4AC3-8F47-E80E6EF2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pPr>
      <w:ind w:left="0"/>
      <w:outlineLvl w:val="0"/>
    </w:pPr>
    <w:rPr>
      <w:b/>
      <w:szCs w:val="22"/>
    </w:rPr>
  </w:style>
  <w:style w:type="paragraph" w:styleId="Heading2">
    <w:name w:val="heading 2"/>
    <w:aliases w:val="Subsection Headings"/>
    <w:basedOn w:val="Normal"/>
    <w:next w:val="Normal"/>
    <w:link w:val="Heading2Char"/>
    <w:uiPriority w:val="1"/>
    <w:qFormat/>
    <w:pPr>
      <w:keepNext/>
      <w:outlineLvl w:val="1"/>
    </w:pPr>
    <w:rPr>
      <w:rFonts w:ascii="Arial" w:hAnsi="Arial"/>
      <w:b/>
      <w:i/>
      <w:sz w:val="22"/>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Pr>
      <w:sz w:val="24"/>
      <w:szCs w:val="24"/>
      <w:lang w:eastAsia="en-AU"/>
    </w:rPr>
  </w:style>
  <w:style w:type="paragraph" w:customStyle="1" w:styleId="MediumGrid21">
    <w:name w:val="Medium Grid 21"/>
    <w:link w:val="MediumGrid2Char"/>
    <w:rPr>
      <w:rFonts w:ascii="PMingLiU" w:eastAsia="MS Mincho" w:hAnsi="PMingLiU"/>
      <w:sz w:val="22"/>
      <w:szCs w:val="22"/>
      <w:lang w:val="en-US" w:eastAsia="en-US"/>
    </w:rPr>
  </w:style>
  <w:style w:type="character" w:customStyle="1" w:styleId="MediumGrid2Char">
    <w:name w:val="Medium Grid 2 Char"/>
    <w:link w:val="MediumGrid21"/>
    <w:rPr>
      <w:rFonts w:ascii="PMingLiU" w:eastAsia="MS Mincho" w:hAnsi="PMingLiU"/>
      <w:sz w:val="22"/>
      <w:szCs w:val="22"/>
      <w:lang w:val="en-US"/>
    </w:rPr>
  </w:style>
  <w:style w:type="table" w:customStyle="1" w:styleId="IntenseQuote1">
    <w:name w:val="Intense Quote1"/>
    <w:basedOn w:val="TableNormal"/>
    <w:uiPriority w:val="60"/>
    <w:qFormat/>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style>
  <w:style w:type="paragraph" w:styleId="NoSpacing">
    <w:name w:val="No Spacing"/>
    <w:basedOn w:val="Normal"/>
    <w:link w:val="NoSpacingChar"/>
    <w:uiPriority w:val="99"/>
    <w:qFormat/>
    <w:pPr>
      <w:jc w:val="both"/>
    </w:pPr>
    <w:rPr>
      <w:rFonts w:ascii="Arial" w:hAnsi="Arial"/>
      <w:sz w:val="22"/>
      <w:szCs w:val="22"/>
    </w:rPr>
  </w:style>
  <w:style w:type="character" w:styleId="Hyperlink">
    <w:name w:val="Hyperlink"/>
    <w:uiPriority w:val="99"/>
    <w:rPr>
      <w:color w:val="0000FF"/>
      <w:u w:val="single"/>
    </w:rPr>
  </w:style>
  <w:style w:type="paragraph" w:styleId="Title">
    <w:name w:val="Title"/>
    <w:basedOn w:val="Normal"/>
    <w:next w:val="Normal"/>
    <w:link w:val="TitleChar"/>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pPr>
      <w:numPr>
        <w:numId w:val="12"/>
      </w:numPr>
      <w:contextualSpacing/>
    </w:pPr>
  </w:style>
  <w:style w:type="paragraph" w:styleId="ListContinue2">
    <w:name w:val="List Continue 2"/>
    <w:basedOn w:val="Normal"/>
    <w:pPr>
      <w:spacing w:after="120"/>
      <w:ind w:left="566"/>
      <w:contextualSpacing/>
    </w:pPr>
  </w:style>
  <w:style w:type="paragraph" w:styleId="ListNumber2">
    <w:name w:val="List Number 2"/>
    <w:basedOn w:val="Normal"/>
    <w:pPr>
      <w:tabs>
        <w:tab w:val="num" w:pos="643"/>
      </w:tabs>
      <w:ind w:left="643" w:hanging="360"/>
      <w:contextualSpacing/>
    </w:pPr>
  </w:style>
  <w:style w:type="character" w:customStyle="1" w:styleId="TitleChar">
    <w:name w:val="Title Char"/>
    <w:basedOn w:val="DefaultParagraphFont"/>
    <w:link w:val="Title"/>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Pr>
      <w:rFonts w:ascii="Arial" w:hAnsi="Arial" w:cs="Arial"/>
      <w:snapToGrid w:val="0"/>
      <w:sz w:val="22"/>
      <w:lang w:eastAsia="en-US"/>
    </w:rPr>
  </w:style>
  <w:style w:type="paragraph" w:customStyle="1" w:styleId="2Sections">
    <w:name w:val="2. Sections"/>
    <w:qFormat/>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Pr>
      <w:rFonts w:ascii="Arial" w:hAnsi="Arial"/>
      <w:b/>
      <w:i/>
      <w:sz w:val="22"/>
      <w:szCs w:val="24"/>
    </w:rPr>
  </w:style>
  <w:style w:type="paragraph" w:customStyle="1" w:styleId="1MainTitle">
    <w:name w:val="1. Main Title"/>
    <w:basedOn w:val="Title"/>
    <w:link w:val="1MainTitleChar"/>
    <w:qFormat/>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pPr>
      <w:jc w:val="right"/>
    </w:pPr>
    <w:rPr>
      <w:rFonts w:asciiTheme="minorHAnsi" w:hAnsiTheme="minorHAnsi" w:cs="Arial"/>
    </w:rPr>
  </w:style>
  <w:style w:type="character" w:customStyle="1" w:styleId="1MainTitleChar">
    <w:name w:val="1. Main Title Char"/>
    <w:basedOn w:val="TitleChar"/>
    <w:link w:val="1MainTitle"/>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pPr>
      <w:spacing w:after="60"/>
    </w:pPr>
    <w:rPr>
      <w:rFonts w:ascii="Arial Narrow" w:hAnsi="Arial Narrow"/>
      <w:b/>
      <w:sz w:val="20"/>
    </w:rPr>
  </w:style>
  <w:style w:type="character" w:customStyle="1" w:styleId="MinorOVRHeaderChar">
    <w:name w:val="Minor OVR Header Char"/>
    <w:basedOn w:val="HeaderChar"/>
    <w:link w:val="MinorOVRHeader"/>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Pr>
      <w:rFonts w:ascii="Arial" w:hAnsi="Arial"/>
      <w:sz w:val="22"/>
      <w:szCs w:val="22"/>
    </w:rPr>
  </w:style>
  <w:style w:type="character" w:customStyle="1" w:styleId="TabletitlesChar">
    <w:name w:val="Table titles Char"/>
    <w:basedOn w:val="NoSpacingChar"/>
    <w:link w:val="Tabletitles"/>
    <w:rPr>
      <w:rFonts w:ascii="Arial Narrow" w:hAnsi="Arial Narrow"/>
      <w:b/>
      <w:sz w:val="22"/>
      <w:szCs w:val="22"/>
    </w:rPr>
  </w:style>
  <w:style w:type="paragraph" w:customStyle="1" w:styleId="3Bodytext">
    <w:name w:val="3. Body text"/>
    <w:basedOn w:val="ListParagraph"/>
    <w:link w:val="3BodytextChar"/>
    <w:qFormat/>
    <w:pPr>
      <w:widowControl/>
      <w:numPr>
        <w:ilvl w:val="1"/>
        <w:numId w:val="14"/>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pPr>
      <w:jc w:val="center"/>
    </w:pPr>
    <w:rPr>
      <w:rFonts w:ascii="Arial" w:hAnsi="Arial" w:cs="Arial"/>
      <w:b/>
      <w:sz w:val="20"/>
      <w:szCs w:val="20"/>
    </w:rPr>
  </w:style>
  <w:style w:type="character" w:customStyle="1" w:styleId="3BodytextChar">
    <w:name w:val="3. Body text Char"/>
    <w:basedOn w:val="ListParagraphChar"/>
    <w:link w:val="3Bodytext"/>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Pr>
      <w:rFonts w:ascii="Arial" w:hAnsi="Arial" w:cs="Arial"/>
      <w:b/>
      <w:sz w:val="24"/>
      <w:szCs w:val="24"/>
    </w:rPr>
  </w:style>
  <w:style w:type="paragraph" w:customStyle="1" w:styleId="PBACHeading1">
    <w:name w:val="PBAC Heading 1"/>
    <w:qFormat/>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Pr>
      <w:rFonts w:ascii="Arial Narrow" w:hAnsi="Arial Narrow"/>
      <w:sz w:val="20"/>
    </w:rPr>
  </w:style>
  <w:style w:type="paragraph" w:customStyle="1" w:styleId="Lists">
    <w:name w:val="Lists"/>
    <w:basedOn w:val="3Bodytext"/>
    <w:link w:val="ListsChar"/>
    <w:qFormat/>
    <w:pPr>
      <w:numPr>
        <w:ilvl w:val="0"/>
        <w:numId w:val="17"/>
      </w:numPr>
    </w:pPr>
  </w:style>
  <w:style w:type="character" w:customStyle="1" w:styleId="TableTextChar0">
    <w:name w:val="Table Text Char"/>
    <w:basedOn w:val="NoSpacingChar"/>
    <w:link w:val="TableText0"/>
    <w:rPr>
      <w:rFonts w:ascii="Arial Narrow" w:hAnsi="Arial Narrow"/>
      <w:sz w:val="22"/>
      <w:szCs w:val="22"/>
    </w:rPr>
  </w:style>
  <w:style w:type="character" w:styleId="FollowedHyperlink">
    <w:name w:val="FollowedHyperlink"/>
    <w:basedOn w:val="DefaultParagraphFont"/>
    <w:semiHidden/>
    <w:unhideWhenUsed/>
    <w:rPr>
      <w:color w:val="800080" w:themeColor="followedHyperlink"/>
      <w:u w:val="single"/>
    </w:rPr>
  </w:style>
  <w:style w:type="character" w:customStyle="1" w:styleId="ListsChar">
    <w:name w:val="Lists Char"/>
    <w:basedOn w:val="3BodytextChar"/>
    <w:link w:val="Lists"/>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pPr>
      <w:numPr>
        <w:numId w:val="19"/>
      </w:numPr>
      <w:ind w:left="425" w:hanging="425"/>
      <w:contextualSpacing w:val="0"/>
    </w:pPr>
    <w:rPr>
      <w:rFonts w:ascii="Calibri" w:hAnsi="Calibri"/>
      <w:sz w:val="24"/>
      <w:szCs w:val="24"/>
    </w:rPr>
  </w:style>
  <w:style w:type="paragraph" w:customStyle="1" w:styleId="TableFooter">
    <w:name w:val="Table Footer"/>
    <w:basedOn w:val="Normal"/>
    <w:link w:val="TableFooterChar"/>
    <w:qFormat/>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Pr>
      <w:rFonts w:ascii="Arial Narrow" w:hAnsi="Arial Narrow" w:cs="Arial"/>
      <w:snapToGrid w:val="0"/>
      <w:sz w:val="18"/>
      <w:szCs w:val="22"/>
      <w:lang w:eastAsia="en-US"/>
    </w:rPr>
  </w:style>
  <w:style w:type="character" w:customStyle="1" w:styleId="TabletextChar">
    <w:name w:val="Table text Char"/>
    <w:link w:val="Tabletext"/>
    <w:uiPriority w:val="2"/>
    <w:rPr>
      <w:rFonts w:ascii="Arial" w:hAnsi="Arial"/>
      <w:lang w:eastAsia="en-US"/>
    </w:rPr>
  </w:style>
  <w:style w:type="paragraph" w:styleId="FootnoteText">
    <w:name w:val="footnote text"/>
    <w:basedOn w:val="Normal"/>
    <w:link w:val="FootnoteTextChar"/>
    <w:unhideWhenUsed/>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semiHidden/>
    <w:unhideWhenUsed/>
    <w:rPr>
      <w:vertAlign w:val="superscript"/>
    </w:rPr>
  </w:style>
  <w:style w:type="paragraph" w:styleId="Bibliography">
    <w:name w:val="Bibliography"/>
    <w:basedOn w:val="Normal"/>
    <w:next w:val="Normal"/>
    <w:uiPriority w:val="70"/>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8934">
      <w:bodyDiv w:val="1"/>
      <w:marLeft w:val="0"/>
      <w:marRight w:val="0"/>
      <w:marTop w:val="0"/>
      <w:marBottom w:val="0"/>
      <w:divBdr>
        <w:top w:val="none" w:sz="0" w:space="0" w:color="auto"/>
        <w:left w:val="none" w:sz="0" w:space="0" w:color="auto"/>
        <w:bottom w:val="none" w:sz="0" w:space="0" w:color="auto"/>
        <w:right w:val="none" w:sz="0" w:space="0" w:color="auto"/>
      </w:divBdr>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47693139">
      <w:bodyDiv w:val="1"/>
      <w:marLeft w:val="0"/>
      <w:marRight w:val="0"/>
      <w:marTop w:val="0"/>
      <w:marBottom w:val="0"/>
      <w:divBdr>
        <w:top w:val="none" w:sz="0" w:space="0" w:color="auto"/>
        <w:left w:val="none" w:sz="0" w:space="0" w:color="auto"/>
        <w:bottom w:val="none" w:sz="0" w:space="0" w:color="auto"/>
        <w:right w:val="none" w:sz="0" w:space="0" w:color="auto"/>
      </w:divBdr>
    </w:div>
    <w:div w:id="266894334">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74534270">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6185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Bic17</b:Tag>
    <b:SourceType>JournalArticle</b:SourceType>
    <b:Guid>{0A2CA5E6-ED17-47A9-8324-AF6C11BD8871}</b:Guid>
    <b:Title>Prescription Opioid Analgesics Commonly Unused After Surgery: A Systematic Review</b:Title>
    <b:Year>2017</b:Year>
    <b:Month>November</b:Month>
    <b:Day>1</b:Day>
    <b:Author>
      <b:Author>
        <b:NameList>
          <b:Person>
            <b:Last>Bicket MC</b:Last>
            <b:First>Long</b:First>
            <b:Middle>JJ, Pronovost PJ, Alexander GC, Wu CL.</b:Middle>
          </b:Person>
        </b:NameList>
      </b:Author>
    </b:Author>
    <b:JournalName>JAMA Surgery</b:JournalName>
    <b:Pages>1066-1071</b:Pages>
    <b:RefOrder>1</b:RefOrder>
  </b:Source>
</b:Sources>
</file>

<file path=customXml/itemProps1.xml><?xml version="1.0" encoding="utf-8"?>
<ds:datastoreItem xmlns:ds="http://schemas.openxmlformats.org/officeDocument/2006/customXml" ds:itemID="{B51D7841-2A84-40E2-9C7A-0E2361667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2017</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Author</cp:lastModifiedBy>
  <cp:revision>2</cp:revision>
  <dcterms:created xsi:type="dcterms:W3CDTF">2019-10-17T00:48:00Z</dcterms:created>
  <dcterms:modified xsi:type="dcterms:W3CDTF">2019-10-25T01:08:00Z</dcterms:modified>
</cp:coreProperties>
</file>