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69C" w:rsidRDefault="00E82474">
      <w:pPr>
        <w:pStyle w:val="Title"/>
        <w:widowControl/>
        <w:ind w:left="720" w:hanging="720"/>
      </w:pPr>
      <w:r>
        <w:t>7.08</w:t>
      </w:r>
      <w:r>
        <w:tab/>
        <w:t xml:space="preserve">PEMBROLIZUMAB, </w:t>
      </w:r>
      <w:r>
        <w:br/>
        <w:t xml:space="preserve">Solution concentrate for I.V. infusion 100 mg in 4 mL, </w:t>
      </w:r>
      <w:r>
        <w:br/>
        <w:t xml:space="preserve">Keytruda®, </w:t>
      </w:r>
      <w:r>
        <w:br/>
        <w:t>Merck Sharp &amp; Dohme (Australia) Pty Ltd.</w:t>
      </w:r>
    </w:p>
    <w:p w:rsidR="00B6569C" w:rsidRDefault="00B6569C">
      <w:pPr>
        <w:pStyle w:val="BodyText"/>
        <w:widowControl/>
      </w:pPr>
    </w:p>
    <w:p w:rsidR="00B6569C" w:rsidRDefault="00E82474">
      <w:pPr>
        <w:pStyle w:val="PBACHeading1"/>
      </w:pPr>
      <w:bookmarkStart w:id="0" w:name="_Toc9330463"/>
      <w:r>
        <w:t>Purpose of Application</w:t>
      </w:r>
      <w:bookmarkEnd w:id="0"/>
    </w:p>
    <w:p w:rsidR="00B6569C" w:rsidRDefault="00E82474">
      <w:pPr>
        <w:pStyle w:val="ListParagraph"/>
        <w:widowControl/>
        <w:numPr>
          <w:ilvl w:val="1"/>
          <w:numId w:val="3"/>
        </w:numPr>
      </w:pPr>
      <w:r>
        <w:t>The resubmission requested a Section 100 (Streamlined), Efficient Funding of Chemotherapy listing for pembrolizumab as adjuvant treatment of patients with completely resected Stage III malignant melanoma, at high risk of recurrent disease. High risk was defined as Stage IIIA (&gt; 1 mm), IIIB, IIIC or IIID disease based on the 8</w:t>
      </w:r>
      <w:r>
        <w:rPr>
          <w:vertAlign w:val="superscript"/>
        </w:rPr>
        <w:t>th</w:t>
      </w:r>
      <w:r>
        <w:t xml:space="preserve"> edition of the American Joint Committee on Cancer (AJCC) melanoma staging system. The proposed patient population was updated in the pre-Sub-Committee Response (PSCR) to include those with Stage IIIB, IIIC or IIID disease only. </w:t>
      </w:r>
    </w:p>
    <w:p w:rsidR="00B6569C" w:rsidRDefault="00E82474">
      <w:pPr>
        <w:widowControl/>
        <w:numPr>
          <w:ilvl w:val="1"/>
          <w:numId w:val="3"/>
        </w:numPr>
        <w:spacing w:after="120"/>
        <w:rPr>
          <w:rFonts w:asciiTheme="minorHAnsi" w:hAnsiTheme="minorHAnsi"/>
          <w:bCs/>
          <w:lang w:val="en-GB"/>
        </w:rPr>
      </w:pPr>
      <w:r>
        <w:t xml:space="preserve">Pembrolizumab was previously considered for the adjuvant treatment of patients with completely resected Stage III malignant melanoma at the November 2018 PBAC meeting. The submission was rejected on the basis </w:t>
      </w:r>
      <w:r>
        <w:rPr>
          <w:rFonts w:asciiTheme="minorHAnsi" w:hAnsiTheme="minorHAnsi"/>
          <w:bCs/>
          <w:lang w:val="en-GB"/>
        </w:rPr>
        <w:t>of uncertainty in the magnitude of the clinical benefit and a highly uncertain incremental cost-effectiveness ratio (ICER). In addition, the estimated financial impact was very high and uncertain.</w:t>
      </w:r>
    </w:p>
    <w:p w:rsidR="00B6569C" w:rsidRDefault="00E82474">
      <w:pPr>
        <w:pStyle w:val="ListParagraph"/>
        <w:widowControl/>
        <w:numPr>
          <w:ilvl w:val="1"/>
          <w:numId w:val="3"/>
        </w:numPr>
        <w:spacing w:after="120"/>
      </w:pPr>
      <w:r>
        <w:t xml:space="preserve">The requested listing was based on a cost-utility analysis of pembrolizumab compared with placebo. </w:t>
      </w:r>
    </w:p>
    <w:p w:rsidR="00B6569C" w:rsidRDefault="00E82474">
      <w:pPr>
        <w:pStyle w:val="ListParagraph"/>
        <w:widowControl/>
        <w:numPr>
          <w:ilvl w:val="1"/>
          <w:numId w:val="3"/>
        </w:numPr>
        <w:spacing w:after="120"/>
      </w:pPr>
      <w:r>
        <w:t>The key components of the clinical issues addressed by the submission are summarised below.</w:t>
      </w:r>
    </w:p>
    <w:p w:rsidR="001F7C95" w:rsidRDefault="001F7C95" w:rsidP="001F7C95">
      <w:pPr>
        <w:pStyle w:val="TableHeading0"/>
      </w:pPr>
      <w:r>
        <w:t xml:space="preserve">Table </w:t>
      </w:r>
      <w:fldSimple w:instr=" SEQ Table \* ARABIC ">
        <w:r w:rsidR="00632FE3">
          <w:rPr>
            <w:noProof/>
          </w:rPr>
          <w:t>1</w:t>
        </w:r>
      </w:fldSimple>
      <w:r w:rsidRPr="00EC1584">
        <w:t>:  Key components of the clinical issue addressed by the 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129"/>
        <w:gridCol w:w="8051"/>
      </w:tblGrid>
      <w:tr w:rsidR="00B6569C">
        <w:trPr>
          <w:cantSplit/>
          <w:tblHeader/>
        </w:trPr>
        <w:tc>
          <w:tcPr>
            <w:tcW w:w="1129" w:type="dxa"/>
            <w:shd w:val="clear" w:color="auto" w:fill="auto"/>
            <w:tcMar>
              <w:left w:w="28" w:type="dxa"/>
              <w:right w:w="28" w:type="dxa"/>
            </w:tcMar>
          </w:tcPr>
          <w:p w:rsidR="00B6569C" w:rsidRDefault="00E82474">
            <w:pPr>
              <w:pStyle w:val="Tabletext"/>
              <w:keepNext/>
              <w:rPr>
                <w:b/>
                <w:szCs w:val="20"/>
              </w:rPr>
            </w:pPr>
            <w:r>
              <w:rPr>
                <w:b/>
              </w:rPr>
              <w:t>Component</w:t>
            </w:r>
          </w:p>
        </w:tc>
        <w:tc>
          <w:tcPr>
            <w:tcW w:w="8051" w:type="dxa"/>
            <w:shd w:val="clear" w:color="auto" w:fill="auto"/>
            <w:tcMar>
              <w:left w:w="28" w:type="dxa"/>
              <w:right w:w="28" w:type="dxa"/>
            </w:tcMar>
          </w:tcPr>
          <w:p w:rsidR="00B6569C" w:rsidRDefault="00E82474">
            <w:pPr>
              <w:pStyle w:val="Tabletext"/>
              <w:keepNext/>
              <w:jc w:val="center"/>
              <w:rPr>
                <w:b/>
              </w:rPr>
            </w:pPr>
            <w:r>
              <w:rPr>
                <w:b/>
              </w:rPr>
              <w:t>Description</w:t>
            </w:r>
          </w:p>
        </w:tc>
      </w:tr>
      <w:tr w:rsidR="00B6569C">
        <w:trPr>
          <w:cantSplit/>
        </w:trPr>
        <w:tc>
          <w:tcPr>
            <w:tcW w:w="1129" w:type="dxa"/>
            <w:shd w:val="clear" w:color="auto" w:fill="auto"/>
            <w:tcMar>
              <w:left w:w="28" w:type="dxa"/>
              <w:right w:w="28" w:type="dxa"/>
            </w:tcMar>
          </w:tcPr>
          <w:p w:rsidR="00B6569C" w:rsidRDefault="00E82474">
            <w:pPr>
              <w:pStyle w:val="Tabletext"/>
              <w:keepNext/>
            </w:pPr>
            <w:r>
              <w:t>Population</w:t>
            </w:r>
          </w:p>
        </w:tc>
        <w:tc>
          <w:tcPr>
            <w:tcW w:w="8051" w:type="dxa"/>
            <w:shd w:val="clear" w:color="auto" w:fill="auto"/>
            <w:tcMar>
              <w:left w:w="28" w:type="dxa"/>
              <w:right w:w="28" w:type="dxa"/>
            </w:tcMar>
            <w:vAlign w:val="center"/>
          </w:tcPr>
          <w:p w:rsidR="00B6569C" w:rsidRDefault="00E82474">
            <w:pPr>
              <w:pStyle w:val="Tabletext"/>
              <w:keepNext/>
            </w:pPr>
            <w:r>
              <w:t xml:space="preserve">Patients with completely resected Stage III malignant melanoma, at high risk of recurrent disease; </w:t>
            </w:r>
            <w:r>
              <w:br/>
              <w:t>defined as Stage IIIA (&gt;1 mm), IIIB, IIIC or IIID disease based on the 8th edition of the AJCC staging system. This was updated in the PSCR to exclude all patients with Stage IIIA disease.</w:t>
            </w:r>
          </w:p>
        </w:tc>
      </w:tr>
      <w:tr w:rsidR="00B6569C">
        <w:trPr>
          <w:cantSplit/>
        </w:trPr>
        <w:tc>
          <w:tcPr>
            <w:tcW w:w="1129" w:type="dxa"/>
            <w:shd w:val="clear" w:color="auto" w:fill="auto"/>
            <w:tcMar>
              <w:left w:w="28" w:type="dxa"/>
              <w:right w:w="28" w:type="dxa"/>
            </w:tcMar>
          </w:tcPr>
          <w:p w:rsidR="00B6569C" w:rsidRDefault="00E82474">
            <w:pPr>
              <w:pStyle w:val="Tabletext"/>
              <w:keepNext/>
            </w:pPr>
            <w:r>
              <w:t>Intervention</w:t>
            </w:r>
          </w:p>
        </w:tc>
        <w:tc>
          <w:tcPr>
            <w:tcW w:w="8051" w:type="dxa"/>
            <w:shd w:val="clear" w:color="auto" w:fill="auto"/>
            <w:tcMar>
              <w:left w:w="28" w:type="dxa"/>
              <w:right w:w="28" w:type="dxa"/>
            </w:tcMar>
            <w:vAlign w:val="center"/>
          </w:tcPr>
          <w:p w:rsidR="00B6569C" w:rsidRDefault="00E82474">
            <w:pPr>
              <w:pStyle w:val="Tabletext"/>
              <w:keepNext/>
            </w:pPr>
            <w:r>
              <w:t>Pembrolizumab 200 mg intravenous infusion every 3 weeks, maximum of 18 cycles (adjuvant therapy)</w:t>
            </w:r>
          </w:p>
        </w:tc>
      </w:tr>
      <w:tr w:rsidR="00B6569C">
        <w:trPr>
          <w:cantSplit/>
        </w:trPr>
        <w:tc>
          <w:tcPr>
            <w:tcW w:w="1129" w:type="dxa"/>
            <w:shd w:val="clear" w:color="auto" w:fill="auto"/>
            <w:tcMar>
              <w:left w:w="28" w:type="dxa"/>
              <w:right w:w="28" w:type="dxa"/>
            </w:tcMar>
          </w:tcPr>
          <w:p w:rsidR="00B6569C" w:rsidRDefault="00E82474">
            <w:pPr>
              <w:pStyle w:val="Tabletext"/>
              <w:keepNext/>
            </w:pPr>
            <w:r>
              <w:t>Comparator</w:t>
            </w:r>
          </w:p>
        </w:tc>
        <w:tc>
          <w:tcPr>
            <w:tcW w:w="8051" w:type="dxa"/>
            <w:shd w:val="clear" w:color="auto" w:fill="auto"/>
            <w:tcMar>
              <w:left w:w="28" w:type="dxa"/>
              <w:right w:w="28" w:type="dxa"/>
            </w:tcMar>
            <w:vAlign w:val="center"/>
          </w:tcPr>
          <w:p w:rsidR="00B6569C" w:rsidRDefault="00E82474">
            <w:pPr>
              <w:pStyle w:val="Tabletext"/>
              <w:keepNext/>
            </w:pPr>
            <w:r>
              <w:t>Main comparator: current standard of care (placebo)</w:t>
            </w:r>
          </w:p>
          <w:p w:rsidR="00B6569C" w:rsidRDefault="00E82474">
            <w:pPr>
              <w:pStyle w:val="Tabletext"/>
              <w:keepNext/>
            </w:pPr>
            <w:r>
              <w:t>Supplementary (near market) comparators: nivolumab; dabrafenib+trametinib (BRAF mutation positive)</w:t>
            </w:r>
          </w:p>
        </w:tc>
      </w:tr>
      <w:tr w:rsidR="00B6569C">
        <w:trPr>
          <w:cantSplit/>
        </w:trPr>
        <w:tc>
          <w:tcPr>
            <w:tcW w:w="1129" w:type="dxa"/>
            <w:shd w:val="clear" w:color="auto" w:fill="auto"/>
            <w:tcMar>
              <w:left w:w="28" w:type="dxa"/>
              <w:right w:w="28" w:type="dxa"/>
            </w:tcMar>
          </w:tcPr>
          <w:p w:rsidR="00B6569C" w:rsidRDefault="00E82474">
            <w:pPr>
              <w:pStyle w:val="Tabletext"/>
              <w:keepNext/>
            </w:pPr>
            <w:r>
              <w:t>Outcomes</w:t>
            </w:r>
          </w:p>
        </w:tc>
        <w:tc>
          <w:tcPr>
            <w:tcW w:w="8051" w:type="dxa"/>
            <w:shd w:val="clear" w:color="auto" w:fill="auto"/>
            <w:tcMar>
              <w:left w:w="28" w:type="dxa"/>
              <w:right w:w="28" w:type="dxa"/>
            </w:tcMar>
            <w:vAlign w:val="center"/>
          </w:tcPr>
          <w:p w:rsidR="00B6569C" w:rsidRDefault="00E82474">
            <w:pPr>
              <w:pStyle w:val="Tabletext"/>
              <w:keepNext/>
            </w:pPr>
            <w:r>
              <w:t>Primary outcome: recurrence free survival (RFS)</w:t>
            </w:r>
          </w:p>
          <w:p w:rsidR="00B6569C" w:rsidRDefault="00E82474">
            <w:pPr>
              <w:pStyle w:val="Tabletext"/>
              <w:keepNext/>
              <w:rPr>
                <w:i/>
              </w:rPr>
            </w:pPr>
            <w:r>
              <w:t xml:space="preserve">Secondary outcomes: distant metastasis free survival (DMFS), overall survival (OS) </w:t>
            </w:r>
          </w:p>
          <w:p w:rsidR="00B6569C" w:rsidRDefault="00E82474">
            <w:pPr>
              <w:pStyle w:val="Tabletext"/>
              <w:keepNext/>
            </w:pPr>
            <w:r>
              <w:t>Safety: all-cause and treatment-related adverse events</w:t>
            </w:r>
          </w:p>
        </w:tc>
      </w:tr>
      <w:tr w:rsidR="00B6569C">
        <w:trPr>
          <w:cantSplit/>
        </w:trPr>
        <w:tc>
          <w:tcPr>
            <w:tcW w:w="1129" w:type="dxa"/>
            <w:shd w:val="clear" w:color="auto" w:fill="auto"/>
            <w:tcMar>
              <w:left w:w="28" w:type="dxa"/>
              <w:right w:w="28" w:type="dxa"/>
            </w:tcMar>
          </w:tcPr>
          <w:p w:rsidR="00B6569C" w:rsidRDefault="00E82474">
            <w:pPr>
              <w:pStyle w:val="Tabletext"/>
              <w:keepNext/>
            </w:pPr>
            <w:r>
              <w:t>Clinical claim</w:t>
            </w:r>
          </w:p>
        </w:tc>
        <w:tc>
          <w:tcPr>
            <w:tcW w:w="8051" w:type="dxa"/>
            <w:shd w:val="clear" w:color="auto" w:fill="auto"/>
            <w:tcMar>
              <w:left w:w="28" w:type="dxa"/>
              <w:right w:w="28" w:type="dxa"/>
            </w:tcMar>
            <w:vAlign w:val="center"/>
          </w:tcPr>
          <w:p w:rsidR="00B6569C" w:rsidRDefault="00E82474">
            <w:pPr>
              <w:pStyle w:val="Tabletext"/>
              <w:keepNext/>
            </w:pPr>
            <w:r>
              <w:t>In patients with resected Stage III melanoma, pembrolizumab is superior to placebo in terms of efficacy. The resubmission claimed that the r</w:t>
            </w:r>
            <w:r>
              <w:rPr>
                <w:rFonts w:cstheme="minorHAnsi"/>
                <w:szCs w:val="20"/>
              </w:rPr>
              <w:t xml:space="preserve">educed risk of recurrence, reduced risk of distant metastasis and fewer deaths observed in the trial are expected to translate to an overall improvement in survival. </w:t>
            </w:r>
            <w:r>
              <w:t>In terms of safety, pembrolizumab has inferior but manageable safety.</w:t>
            </w:r>
          </w:p>
        </w:tc>
      </w:tr>
    </w:tbl>
    <w:p w:rsidR="00B6569C" w:rsidRDefault="00E82474">
      <w:pPr>
        <w:pStyle w:val="TableFooter"/>
        <w:widowControl/>
      </w:pPr>
      <w:r>
        <w:t>AJCC = American Joint Committee on Cancer; PSCR = pre-Sub-Committee response</w:t>
      </w:r>
    </w:p>
    <w:p w:rsidR="00B6569C" w:rsidRDefault="00E82474">
      <w:pPr>
        <w:pStyle w:val="TableFooter"/>
        <w:widowControl/>
      </w:pPr>
      <w:r>
        <w:t>Source: Table 1-1, pp11-12 of the resubmission</w:t>
      </w:r>
    </w:p>
    <w:p w:rsidR="00B6569C" w:rsidRDefault="00B6569C">
      <w:pPr>
        <w:widowControl/>
      </w:pPr>
    </w:p>
    <w:p w:rsidR="008C4C5B" w:rsidRDefault="008C4C5B">
      <w:pPr>
        <w:widowControl/>
        <w:jc w:val="left"/>
        <w:rPr>
          <w:b/>
          <w:sz w:val="32"/>
        </w:rPr>
      </w:pPr>
      <w:bookmarkStart w:id="1" w:name="_Toc9330464"/>
      <w:r>
        <w:br w:type="page"/>
      </w:r>
    </w:p>
    <w:p w:rsidR="00B6569C" w:rsidRDefault="00E82474">
      <w:pPr>
        <w:pStyle w:val="PBACHeading1"/>
      </w:pPr>
      <w:r>
        <w:lastRenderedPageBreak/>
        <w:t>Requested listing</w:t>
      </w:r>
      <w:bookmarkEnd w:id="1"/>
    </w:p>
    <w:p w:rsidR="00B6569C" w:rsidRDefault="00E82474">
      <w:r>
        <w:t>Suggested additions to the proposed restrictions are in italics, suggested deletions are in strikethrough.</w:t>
      </w:r>
    </w:p>
    <w:p w:rsidR="00B6569C" w:rsidRDefault="00B6569C">
      <w:pPr>
        <w:widowControl/>
        <w:rPr>
          <w:highlight w:val="yellow"/>
        </w:rPr>
      </w:pP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2835"/>
        <w:gridCol w:w="1452"/>
        <w:gridCol w:w="924"/>
        <w:gridCol w:w="2268"/>
        <w:gridCol w:w="1593"/>
      </w:tblGrid>
      <w:tr w:rsidR="00B6569C">
        <w:trPr>
          <w:tblHeader/>
        </w:trPr>
        <w:tc>
          <w:tcPr>
            <w:tcW w:w="2835" w:type="dxa"/>
          </w:tcPr>
          <w:p w:rsidR="00B6569C" w:rsidRDefault="00E82474">
            <w:pPr>
              <w:keepNext/>
              <w:keepLines/>
              <w:widowControl/>
              <w:jc w:val="left"/>
              <w:rPr>
                <w:rFonts w:ascii="Arial Narrow" w:hAnsi="Arial Narrow"/>
                <w:b/>
                <w:sz w:val="20"/>
                <w:szCs w:val="20"/>
              </w:rPr>
            </w:pPr>
            <w:r>
              <w:rPr>
                <w:rFonts w:ascii="Arial Narrow" w:hAnsi="Arial Narrow"/>
                <w:b/>
                <w:sz w:val="20"/>
                <w:szCs w:val="20"/>
              </w:rPr>
              <w:t>Name, restriction, manner of administration, form</w:t>
            </w:r>
          </w:p>
        </w:tc>
        <w:tc>
          <w:tcPr>
            <w:tcW w:w="1452" w:type="dxa"/>
          </w:tcPr>
          <w:p w:rsidR="00B6569C" w:rsidRDefault="00E82474">
            <w:pPr>
              <w:keepNext/>
              <w:keepLines/>
              <w:widowControl/>
              <w:jc w:val="center"/>
              <w:rPr>
                <w:rFonts w:ascii="Arial Narrow" w:hAnsi="Arial Narrow"/>
                <w:b/>
                <w:sz w:val="20"/>
                <w:szCs w:val="20"/>
              </w:rPr>
            </w:pPr>
            <w:r>
              <w:rPr>
                <w:rFonts w:ascii="Arial Narrow" w:hAnsi="Arial Narrow"/>
                <w:b/>
                <w:sz w:val="20"/>
                <w:szCs w:val="20"/>
              </w:rPr>
              <w:t>Maximum amount (units)</w:t>
            </w:r>
          </w:p>
        </w:tc>
        <w:tc>
          <w:tcPr>
            <w:tcW w:w="924" w:type="dxa"/>
          </w:tcPr>
          <w:p w:rsidR="00B6569C" w:rsidRDefault="00E82474">
            <w:pPr>
              <w:keepNext/>
              <w:keepLines/>
              <w:widowControl/>
              <w:jc w:val="center"/>
              <w:rPr>
                <w:rFonts w:ascii="Arial Narrow" w:hAnsi="Arial Narrow"/>
                <w:b/>
                <w:sz w:val="20"/>
                <w:szCs w:val="20"/>
              </w:rPr>
            </w:pPr>
            <w:r>
              <w:rPr>
                <w:rFonts w:ascii="Arial Narrow" w:hAnsi="Arial Narrow"/>
                <w:b/>
                <w:sz w:val="20"/>
                <w:szCs w:val="20"/>
              </w:rPr>
              <w:t>No. of repeats</w:t>
            </w:r>
          </w:p>
        </w:tc>
        <w:tc>
          <w:tcPr>
            <w:tcW w:w="2268" w:type="dxa"/>
          </w:tcPr>
          <w:p w:rsidR="00B6569C" w:rsidRDefault="00E82474">
            <w:pPr>
              <w:keepNext/>
              <w:keepLines/>
              <w:widowControl/>
              <w:jc w:val="left"/>
              <w:rPr>
                <w:rFonts w:ascii="Arial Narrow" w:hAnsi="Arial Narrow"/>
                <w:b/>
                <w:sz w:val="20"/>
                <w:szCs w:val="20"/>
              </w:rPr>
            </w:pPr>
            <w:r>
              <w:rPr>
                <w:rFonts w:ascii="Arial Narrow" w:hAnsi="Arial Narrow"/>
                <w:b/>
                <w:sz w:val="20"/>
                <w:szCs w:val="20"/>
              </w:rPr>
              <w:t>Dispensed price for maximum amount</w:t>
            </w:r>
          </w:p>
        </w:tc>
        <w:tc>
          <w:tcPr>
            <w:tcW w:w="1593" w:type="dxa"/>
          </w:tcPr>
          <w:p w:rsidR="00B6569C" w:rsidRDefault="00E82474">
            <w:pPr>
              <w:keepNext/>
              <w:keepLines/>
              <w:widowControl/>
              <w:rPr>
                <w:rFonts w:ascii="Arial Narrow" w:hAnsi="Arial Narrow"/>
                <w:b/>
                <w:sz w:val="20"/>
                <w:szCs w:val="20"/>
              </w:rPr>
            </w:pPr>
            <w:r>
              <w:rPr>
                <w:rFonts w:ascii="Arial Narrow" w:hAnsi="Arial Narrow"/>
                <w:b/>
                <w:sz w:val="20"/>
                <w:szCs w:val="20"/>
              </w:rPr>
              <w:t>Proprietary name and manufacturer</w:t>
            </w:r>
          </w:p>
        </w:tc>
      </w:tr>
      <w:tr w:rsidR="00B6569C">
        <w:tc>
          <w:tcPr>
            <w:tcW w:w="2835" w:type="dxa"/>
          </w:tcPr>
          <w:p w:rsidR="00B6569C" w:rsidRDefault="00E82474">
            <w:pPr>
              <w:pStyle w:val="Tabletext"/>
              <w:keepNext/>
              <w:keepLines/>
              <w:rPr>
                <w:smallCaps/>
              </w:rPr>
            </w:pPr>
            <w:r>
              <w:rPr>
                <w:smallCaps/>
              </w:rPr>
              <w:t>Pembrolizumab</w:t>
            </w:r>
          </w:p>
          <w:p w:rsidR="00B6569C" w:rsidRDefault="00E82474">
            <w:pPr>
              <w:pStyle w:val="Tabletext"/>
              <w:keepNext/>
              <w:keepLines/>
            </w:pPr>
            <w:r>
              <w:t>100 mg/4 mL infusion, 1 x 4 mL vial</w:t>
            </w:r>
          </w:p>
        </w:tc>
        <w:tc>
          <w:tcPr>
            <w:tcW w:w="1452" w:type="dxa"/>
          </w:tcPr>
          <w:p w:rsidR="00B6569C" w:rsidRDefault="00E82474">
            <w:pPr>
              <w:pStyle w:val="Tabletext"/>
              <w:keepNext/>
              <w:keepLines/>
              <w:jc w:val="center"/>
            </w:pPr>
            <w:r>
              <w:t>200 mg</w:t>
            </w:r>
          </w:p>
        </w:tc>
        <w:tc>
          <w:tcPr>
            <w:tcW w:w="924" w:type="dxa"/>
          </w:tcPr>
          <w:p w:rsidR="00B6569C" w:rsidRDefault="00E82474">
            <w:pPr>
              <w:pStyle w:val="Tabletext"/>
              <w:keepNext/>
              <w:keepLines/>
              <w:jc w:val="center"/>
            </w:pPr>
            <w:r>
              <w:t>5</w:t>
            </w:r>
          </w:p>
        </w:tc>
        <w:tc>
          <w:tcPr>
            <w:tcW w:w="2268" w:type="dxa"/>
            <w:shd w:val="clear" w:color="auto" w:fill="auto"/>
          </w:tcPr>
          <w:p w:rsidR="00B6569C" w:rsidRDefault="00E82474">
            <w:pPr>
              <w:pStyle w:val="Tabletext"/>
              <w:keepNext/>
              <w:keepLines/>
            </w:pPr>
            <w:r>
              <w:t>Published price:</w:t>
            </w:r>
          </w:p>
          <w:p w:rsidR="00B6569C" w:rsidRDefault="00E82474">
            <w:pPr>
              <w:pStyle w:val="Tabletext"/>
              <w:keepNext/>
              <w:keepLines/>
            </w:pPr>
            <w:r>
              <w:t>$9,024.44 (Public hospital)</w:t>
            </w:r>
          </w:p>
          <w:p w:rsidR="00B6569C" w:rsidRDefault="00E82474">
            <w:pPr>
              <w:pStyle w:val="Tabletext"/>
              <w:keepNext/>
              <w:keepLines/>
            </w:pPr>
            <w:r>
              <w:t>$9,185.54 (Private hospital)</w:t>
            </w:r>
          </w:p>
          <w:p w:rsidR="00B6569C" w:rsidRDefault="00B6569C">
            <w:pPr>
              <w:pStyle w:val="Tabletext"/>
              <w:keepNext/>
              <w:keepLines/>
            </w:pPr>
          </w:p>
          <w:p w:rsidR="00B6569C" w:rsidRDefault="00E82474">
            <w:pPr>
              <w:pStyle w:val="Tabletext"/>
              <w:keepNext/>
              <w:keepLines/>
            </w:pPr>
            <w:r>
              <w:t>Effective price:</w:t>
            </w:r>
          </w:p>
          <w:p w:rsidR="00B6569C" w:rsidRDefault="00E82474">
            <w:pPr>
              <w:pStyle w:val="Tabletext"/>
              <w:keepNext/>
              <w:keepLines/>
            </w:pPr>
            <w:r>
              <w:t>$</w:t>
            </w:r>
            <w:r w:rsidR="00277D7E">
              <w:rPr>
                <w:noProof/>
                <w:color w:val="000000"/>
                <w:highlight w:val="black"/>
              </w:rPr>
              <w:t>'''''''''''''''''''''''</w:t>
            </w:r>
            <w:r>
              <w:t xml:space="preserve"> (Public hospital)</w:t>
            </w:r>
          </w:p>
          <w:p w:rsidR="00B6569C" w:rsidRDefault="00E82474">
            <w:pPr>
              <w:pStyle w:val="Tabletext"/>
              <w:keepNext/>
              <w:keepLines/>
            </w:pPr>
            <w:r>
              <w:t>$</w:t>
            </w:r>
            <w:r w:rsidR="00277D7E">
              <w:rPr>
                <w:noProof/>
                <w:color w:val="000000"/>
                <w:highlight w:val="black"/>
              </w:rPr>
              <w:t>''''''''''''''''''''''</w:t>
            </w:r>
            <w:r>
              <w:t xml:space="preserve"> (Private hospital)</w:t>
            </w:r>
          </w:p>
        </w:tc>
        <w:tc>
          <w:tcPr>
            <w:tcW w:w="1593" w:type="dxa"/>
            <w:shd w:val="clear" w:color="auto" w:fill="auto"/>
          </w:tcPr>
          <w:p w:rsidR="00B6569C" w:rsidRDefault="00E82474">
            <w:pPr>
              <w:pStyle w:val="Tabletext"/>
              <w:keepNext/>
              <w:keepLines/>
              <w:rPr>
                <w:vertAlign w:val="superscript"/>
              </w:rPr>
            </w:pPr>
            <w:r>
              <w:t>KEYTRUDA</w:t>
            </w:r>
            <w:r>
              <w:rPr>
                <w:vertAlign w:val="superscript"/>
              </w:rPr>
              <w:t xml:space="preserve">® </w:t>
            </w:r>
            <w:r>
              <w:t>Merck Sharp &amp; Dohme (Australia) Pty Limited</w:t>
            </w:r>
          </w:p>
        </w:tc>
      </w:tr>
    </w:tbl>
    <w:p w:rsidR="00B6569C" w:rsidRDefault="00E82474">
      <w:pPr>
        <w:pStyle w:val="TableFooter"/>
        <w:keepNext/>
        <w:keepLines/>
        <w:widowControl/>
      </w:pPr>
      <w:r>
        <w:t>Source: Table 1.4-1, p.22 of the resubmission</w:t>
      </w:r>
    </w:p>
    <w:p w:rsidR="00B6569C" w:rsidRDefault="00B6569C">
      <w:pPr>
        <w:widowControl/>
      </w:pPr>
    </w:p>
    <w:tbl>
      <w:tblPr>
        <w:tblW w:w="5001" w:type="pct"/>
        <w:tblLook w:val="0000" w:firstRow="0" w:lastRow="0" w:firstColumn="0" w:lastColumn="0" w:noHBand="0" w:noVBand="0"/>
      </w:tblPr>
      <w:tblGrid>
        <w:gridCol w:w="1638"/>
        <w:gridCol w:w="7381"/>
      </w:tblGrid>
      <w:tr w:rsidR="00B6569C">
        <w:trPr>
          <w:trHeight w:val="169"/>
        </w:trPr>
        <w:tc>
          <w:tcPr>
            <w:tcW w:w="908"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Next/>
              <w:keepLines/>
              <w:widowControl/>
              <w:numPr>
                <w:ilvl w:val="0"/>
                <w:numId w:val="6"/>
              </w:numPr>
              <w:rPr>
                <w:rFonts w:ascii="Arial Narrow" w:hAnsi="Arial Narrow"/>
                <w:b/>
                <w:sz w:val="20"/>
                <w:szCs w:val="20"/>
              </w:rPr>
            </w:pPr>
            <w:r>
              <w:rPr>
                <w:rFonts w:ascii="Arial Narrow" w:hAnsi="Arial Narrow"/>
                <w:b/>
                <w:sz w:val="20"/>
                <w:szCs w:val="20"/>
              </w:rPr>
              <w:t>Category/program</w:t>
            </w:r>
          </w:p>
        </w:tc>
        <w:tc>
          <w:tcPr>
            <w:tcW w:w="4092"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Next/>
              <w:keepLines/>
              <w:widowControl/>
              <w:numPr>
                <w:ilvl w:val="0"/>
                <w:numId w:val="6"/>
              </w:numPr>
              <w:rPr>
                <w:rFonts w:ascii="Arial Narrow" w:hAnsi="Arial Narrow"/>
                <w:sz w:val="20"/>
                <w:szCs w:val="20"/>
              </w:rPr>
            </w:pPr>
            <w:r>
              <w:rPr>
                <w:rFonts w:ascii="Arial Narrow" w:hAnsi="Arial Narrow"/>
                <w:sz w:val="20"/>
                <w:szCs w:val="20"/>
              </w:rPr>
              <w:t>Section 100 (Public/Private), Efficient funding of Chemotherapy</w:t>
            </w:r>
          </w:p>
        </w:tc>
      </w:tr>
      <w:tr w:rsidR="00B656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20"/>
        </w:trPr>
        <w:tc>
          <w:tcPr>
            <w:tcW w:w="90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6569C" w:rsidRDefault="00E82474">
            <w:pPr>
              <w:pStyle w:val="Tabletext"/>
              <w:keepNext/>
              <w:rPr>
                <w:b/>
                <w:szCs w:val="20"/>
                <w:lang w:eastAsia="en-AU"/>
              </w:rPr>
            </w:pPr>
            <w:r>
              <w:rPr>
                <w:rFonts w:cs="Calibri"/>
                <w:b/>
                <w:szCs w:val="20"/>
              </w:rPr>
              <w:t>Prescriber type:</w:t>
            </w:r>
          </w:p>
        </w:tc>
        <w:tc>
          <w:tcPr>
            <w:tcW w:w="40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6569C" w:rsidRDefault="00E82474">
            <w:pPr>
              <w:pStyle w:val="Tabletext"/>
              <w:keepNext/>
              <w:rPr>
                <w:rFonts w:cs="Calibri"/>
                <w:szCs w:val="20"/>
              </w:rPr>
            </w:pPr>
            <w:r>
              <w:rPr>
                <w:rFonts w:cs="Calibri"/>
                <w:szCs w:val="20"/>
              </w:rPr>
              <w:fldChar w:fldCharType="begin">
                <w:ffData>
                  <w:name w:val=""/>
                  <w:enabled/>
                  <w:calcOnExit w:val="0"/>
                  <w:checkBox>
                    <w:sizeAuto/>
                    <w:default w:val="0"/>
                  </w:checkBox>
                </w:ffData>
              </w:fldChar>
            </w:r>
            <w:r>
              <w:rPr>
                <w:rFonts w:cs="Calibri"/>
                <w:szCs w:val="20"/>
              </w:rPr>
              <w:instrText xml:space="preserve"> FORMCHECKBOX </w:instrText>
            </w:r>
            <w:r w:rsidR="001F7C95">
              <w:rPr>
                <w:rFonts w:cs="Calibri"/>
                <w:szCs w:val="20"/>
              </w:rPr>
            </w:r>
            <w:r w:rsidR="001F7C95">
              <w:rPr>
                <w:rFonts w:cs="Calibri"/>
                <w:szCs w:val="20"/>
              </w:rPr>
              <w:fldChar w:fldCharType="separate"/>
            </w:r>
            <w:r>
              <w:rPr>
                <w:rFonts w:cs="Calibri"/>
                <w:szCs w:val="20"/>
              </w:rPr>
              <w:fldChar w:fldCharType="end"/>
            </w:r>
            <w:r>
              <w:rPr>
                <w:rFonts w:cs="Calibri"/>
                <w:szCs w:val="20"/>
              </w:rPr>
              <w:t xml:space="preserve">Dental  </w:t>
            </w:r>
            <w:r>
              <w:rPr>
                <w:rFonts w:cs="Calibri"/>
                <w:szCs w:val="20"/>
              </w:rPr>
              <w:fldChar w:fldCharType="begin">
                <w:ffData>
                  <w:name w:val=""/>
                  <w:enabled/>
                  <w:calcOnExit w:val="0"/>
                  <w:checkBox>
                    <w:sizeAuto/>
                    <w:default w:val="1"/>
                  </w:checkBox>
                </w:ffData>
              </w:fldChar>
            </w:r>
            <w:r>
              <w:rPr>
                <w:rFonts w:cs="Calibri"/>
                <w:szCs w:val="20"/>
              </w:rPr>
              <w:instrText xml:space="preserve"> FORMCHECKBOX </w:instrText>
            </w:r>
            <w:r w:rsidR="001F7C95">
              <w:rPr>
                <w:rFonts w:cs="Calibri"/>
                <w:szCs w:val="20"/>
              </w:rPr>
            </w:r>
            <w:r w:rsidR="001F7C95">
              <w:rPr>
                <w:rFonts w:cs="Calibri"/>
                <w:szCs w:val="20"/>
              </w:rPr>
              <w:fldChar w:fldCharType="separate"/>
            </w:r>
            <w:r>
              <w:rPr>
                <w:rFonts w:cs="Calibri"/>
                <w:szCs w:val="20"/>
              </w:rPr>
              <w:fldChar w:fldCharType="end"/>
            </w:r>
            <w:r>
              <w:rPr>
                <w:rFonts w:cs="Calibri"/>
                <w:szCs w:val="20"/>
              </w:rPr>
              <w:t xml:space="preserve">Medical Practitioners  </w:t>
            </w:r>
            <w:r>
              <w:rPr>
                <w:rFonts w:cs="Calibri"/>
                <w:szCs w:val="20"/>
              </w:rPr>
              <w:fldChar w:fldCharType="begin">
                <w:ffData>
                  <w:name w:val="Check3"/>
                  <w:enabled/>
                  <w:calcOnExit w:val="0"/>
                  <w:checkBox>
                    <w:sizeAuto/>
                    <w:default w:val="0"/>
                  </w:checkBox>
                </w:ffData>
              </w:fldChar>
            </w:r>
            <w:r>
              <w:rPr>
                <w:rFonts w:cs="Calibri"/>
                <w:szCs w:val="20"/>
              </w:rPr>
              <w:instrText xml:space="preserve"> FORMCHECKBOX </w:instrText>
            </w:r>
            <w:r w:rsidR="001F7C95">
              <w:rPr>
                <w:rFonts w:cs="Calibri"/>
                <w:szCs w:val="20"/>
              </w:rPr>
            </w:r>
            <w:r w:rsidR="001F7C95">
              <w:rPr>
                <w:rFonts w:cs="Calibri"/>
                <w:szCs w:val="20"/>
              </w:rPr>
              <w:fldChar w:fldCharType="separate"/>
            </w:r>
            <w:r>
              <w:rPr>
                <w:rFonts w:cs="Calibri"/>
                <w:szCs w:val="20"/>
              </w:rPr>
              <w:fldChar w:fldCharType="end"/>
            </w:r>
            <w:r>
              <w:rPr>
                <w:rFonts w:cs="Calibri"/>
                <w:szCs w:val="20"/>
              </w:rPr>
              <w:t xml:space="preserve">Nurse practitioners  </w:t>
            </w:r>
            <w:r>
              <w:rPr>
                <w:rFonts w:cs="Calibri"/>
                <w:szCs w:val="20"/>
              </w:rPr>
              <w:fldChar w:fldCharType="begin">
                <w:ffData>
                  <w:name w:val=""/>
                  <w:enabled/>
                  <w:calcOnExit w:val="0"/>
                  <w:checkBox>
                    <w:sizeAuto/>
                    <w:default w:val="0"/>
                  </w:checkBox>
                </w:ffData>
              </w:fldChar>
            </w:r>
            <w:r>
              <w:rPr>
                <w:rFonts w:cs="Calibri"/>
                <w:szCs w:val="20"/>
              </w:rPr>
              <w:instrText xml:space="preserve"> FORMCHECKBOX </w:instrText>
            </w:r>
            <w:r w:rsidR="001F7C95">
              <w:rPr>
                <w:rFonts w:cs="Calibri"/>
                <w:szCs w:val="20"/>
              </w:rPr>
            </w:r>
            <w:r w:rsidR="001F7C95">
              <w:rPr>
                <w:rFonts w:cs="Calibri"/>
                <w:szCs w:val="20"/>
              </w:rPr>
              <w:fldChar w:fldCharType="separate"/>
            </w:r>
            <w:r>
              <w:rPr>
                <w:rFonts w:cs="Calibri"/>
                <w:szCs w:val="20"/>
              </w:rPr>
              <w:fldChar w:fldCharType="end"/>
            </w:r>
            <w:r>
              <w:rPr>
                <w:rFonts w:cs="Calibri"/>
                <w:szCs w:val="20"/>
              </w:rPr>
              <w:t xml:space="preserve">Optometrists  </w:t>
            </w:r>
            <w:r>
              <w:rPr>
                <w:rFonts w:cs="Calibri"/>
                <w:szCs w:val="20"/>
              </w:rPr>
              <w:fldChar w:fldCharType="begin">
                <w:ffData>
                  <w:name w:val="Check5"/>
                  <w:enabled/>
                  <w:calcOnExit w:val="0"/>
                  <w:checkBox>
                    <w:sizeAuto/>
                    <w:default w:val="0"/>
                  </w:checkBox>
                </w:ffData>
              </w:fldChar>
            </w:r>
            <w:r>
              <w:rPr>
                <w:rFonts w:cs="Calibri"/>
                <w:szCs w:val="20"/>
              </w:rPr>
              <w:instrText xml:space="preserve"> FORMCHECKBOX </w:instrText>
            </w:r>
            <w:r w:rsidR="001F7C95">
              <w:rPr>
                <w:rFonts w:cs="Calibri"/>
                <w:szCs w:val="20"/>
              </w:rPr>
            </w:r>
            <w:r w:rsidR="001F7C95">
              <w:rPr>
                <w:rFonts w:cs="Calibri"/>
                <w:szCs w:val="20"/>
              </w:rPr>
              <w:fldChar w:fldCharType="separate"/>
            </w:r>
            <w:r>
              <w:rPr>
                <w:rFonts w:cs="Calibri"/>
                <w:szCs w:val="20"/>
              </w:rPr>
              <w:fldChar w:fldCharType="end"/>
            </w:r>
            <w:r>
              <w:rPr>
                <w:rFonts w:cs="Calibri"/>
                <w:szCs w:val="20"/>
              </w:rPr>
              <w:t>Midwives</w:t>
            </w:r>
          </w:p>
        </w:tc>
      </w:tr>
      <w:tr w:rsidR="00B6569C">
        <w:trPr>
          <w:trHeight w:val="60"/>
        </w:trPr>
        <w:tc>
          <w:tcPr>
            <w:tcW w:w="908"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b/>
                <w:sz w:val="20"/>
                <w:szCs w:val="20"/>
              </w:rPr>
            </w:pPr>
            <w:r>
              <w:rPr>
                <w:rFonts w:ascii="Arial Narrow" w:hAnsi="Arial Narrow"/>
                <w:b/>
                <w:sz w:val="20"/>
                <w:szCs w:val="20"/>
              </w:rPr>
              <w:t>Severity:</w:t>
            </w:r>
          </w:p>
        </w:tc>
        <w:tc>
          <w:tcPr>
            <w:tcW w:w="4092"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sz w:val="20"/>
                <w:szCs w:val="20"/>
              </w:rPr>
            </w:pPr>
            <w:r>
              <w:rPr>
                <w:rFonts w:ascii="Arial Narrow" w:hAnsi="Arial Narrow"/>
                <w:sz w:val="20"/>
                <w:szCs w:val="20"/>
              </w:rPr>
              <w:t xml:space="preserve">Resected Stage IIIB, Stage IIIC or Stage IIID </w:t>
            </w:r>
          </w:p>
        </w:tc>
      </w:tr>
      <w:tr w:rsidR="00B6569C">
        <w:trPr>
          <w:trHeight w:val="123"/>
        </w:trPr>
        <w:tc>
          <w:tcPr>
            <w:tcW w:w="908"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b/>
                <w:sz w:val="20"/>
                <w:szCs w:val="20"/>
              </w:rPr>
            </w:pPr>
            <w:r>
              <w:rPr>
                <w:rFonts w:ascii="Arial Narrow" w:hAnsi="Arial Narrow"/>
                <w:b/>
                <w:sz w:val="20"/>
                <w:szCs w:val="20"/>
              </w:rPr>
              <w:t>Condition:</w:t>
            </w:r>
          </w:p>
        </w:tc>
        <w:tc>
          <w:tcPr>
            <w:tcW w:w="4092"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sz w:val="20"/>
                <w:szCs w:val="20"/>
              </w:rPr>
            </w:pPr>
            <w:r>
              <w:rPr>
                <w:rFonts w:ascii="Arial Narrow" w:hAnsi="Arial Narrow"/>
                <w:sz w:val="20"/>
                <w:szCs w:val="20"/>
              </w:rPr>
              <w:t xml:space="preserve">Malignant melanoma </w:t>
            </w:r>
          </w:p>
        </w:tc>
      </w:tr>
      <w:tr w:rsidR="00B6569C">
        <w:trPr>
          <w:trHeight w:val="169"/>
        </w:trPr>
        <w:tc>
          <w:tcPr>
            <w:tcW w:w="908"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b/>
                <w:sz w:val="20"/>
                <w:szCs w:val="20"/>
              </w:rPr>
            </w:pPr>
            <w:r>
              <w:rPr>
                <w:rFonts w:ascii="Arial Narrow" w:hAnsi="Arial Narrow"/>
                <w:b/>
                <w:sz w:val="20"/>
                <w:szCs w:val="20"/>
              </w:rPr>
              <w:t>PBS Indication:</w:t>
            </w:r>
          </w:p>
        </w:tc>
        <w:tc>
          <w:tcPr>
            <w:tcW w:w="4092"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sz w:val="20"/>
                <w:szCs w:val="20"/>
              </w:rPr>
            </w:pPr>
            <w:r>
              <w:rPr>
                <w:rFonts w:ascii="Arial Narrow" w:hAnsi="Arial Narrow"/>
                <w:sz w:val="20"/>
                <w:szCs w:val="20"/>
              </w:rPr>
              <w:t xml:space="preserve">Resected Stage IIIB, Stage IIIC or Stage IIID malignant melanoma </w:t>
            </w:r>
          </w:p>
        </w:tc>
      </w:tr>
      <w:tr w:rsidR="00B6569C">
        <w:trPr>
          <w:trHeight w:val="215"/>
        </w:trPr>
        <w:tc>
          <w:tcPr>
            <w:tcW w:w="908"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b/>
                <w:sz w:val="20"/>
                <w:szCs w:val="20"/>
              </w:rPr>
            </w:pPr>
            <w:r>
              <w:rPr>
                <w:rFonts w:ascii="Arial Narrow" w:hAnsi="Arial Narrow"/>
                <w:b/>
                <w:sz w:val="20"/>
                <w:szCs w:val="20"/>
              </w:rPr>
              <w:t>Treatment phase:</w:t>
            </w:r>
          </w:p>
        </w:tc>
        <w:tc>
          <w:tcPr>
            <w:tcW w:w="4092"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sz w:val="20"/>
                <w:szCs w:val="20"/>
              </w:rPr>
            </w:pPr>
            <w:r>
              <w:rPr>
                <w:rFonts w:ascii="Arial Narrow" w:hAnsi="Arial Narrow"/>
                <w:sz w:val="20"/>
                <w:szCs w:val="20"/>
              </w:rPr>
              <w:t xml:space="preserve">Initial </w:t>
            </w:r>
          </w:p>
        </w:tc>
      </w:tr>
      <w:tr w:rsidR="00B6569C">
        <w:trPr>
          <w:trHeight w:val="60"/>
        </w:trPr>
        <w:tc>
          <w:tcPr>
            <w:tcW w:w="908"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b/>
                <w:sz w:val="20"/>
                <w:szCs w:val="20"/>
              </w:rPr>
            </w:pPr>
            <w:r>
              <w:rPr>
                <w:rFonts w:ascii="Arial Narrow" w:hAnsi="Arial Narrow"/>
                <w:b/>
                <w:sz w:val="20"/>
                <w:szCs w:val="20"/>
              </w:rPr>
              <w:t>Restriction:</w:t>
            </w:r>
          </w:p>
        </w:tc>
        <w:tc>
          <w:tcPr>
            <w:tcW w:w="4092"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strike/>
                <w:sz w:val="20"/>
                <w:szCs w:val="20"/>
              </w:rPr>
            </w:pPr>
            <w:r>
              <w:rPr>
                <w:rFonts w:ascii="Arial Narrow" w:hAnsi="Arial Narrow"/>
                <w:strike/>
                <w:sz w:val="20"/>
                <w:szCs w:val="20"/>
              </w:rPr>
              <w:fldChar w:fldCharType="begin">
                <w:ffData>
                  <w:name w:val="Check5"/>
                  <w:enabled/>
                  <w:calcOnExit w:val="0"/>
                  <w:checkBox>
                    <w:sizeAuto/>
                    <w:default w:val="1"/>
                  </w:checkBox>
                </w:ffData>
              </w:fldChar>
            </w:r>
            <w:r>
              <w:rPr>
                <w:rFonts w:ascii="Arial Narrow" w:hAnsi="Arial Narrow"/>
                <w:strike/>
                <w:sz w:val="20"/>
                <w:szCs w:val="20"/>
              </w:rPr>
              <w:instrText xml:space="preserve"> FORMCHECKBOX </w:instrText>
            </w:r>
            <w:r w:rsidR="001F7C95">
              <w:rPr>
                <w:rFonts w:ascii="Arial Narrow" w:hAnsi="Arial Narrow"/>
                <w:strike/>
                <w:sz w:val="20"/>
                <w:szCs w:val="20"/>
              </w:rPr>
            </w:r>
            <w:r w:rsidR="001F7C95">
              <w:rPr>
                <w:rFonts w:ascii="Arial Narrow" w:hAnsi="Arial Narrow"/>
                <w:strike/>
                <w:sz w:val="20"/>
                <w:szCs w:val="20"/>
              </w:rPr>
              <w:fldChar w:fldCharType="separate"/>
            </w:r>
            <w:r>
              <w:rPr>
                <w:rFonts w:ascii="Arial Narrow" w:hAnsi="Arial Narrow"/>
                <w:strike/>
                <w:sz w:val="20"/>
                <w:szCs w:val="20"/>
              </w:rPr>
              <w:fldChar w:fldCharType="end"/>
            </w:r>
            <w:r>
              <w:rPr>
                <w:rFonts w:ascii="Arial Narrow" w:hAnsi="Arial Narrow"/>
                <w:strike/>
                <w:sz w:val="20"/>
                <w:szCs w:val="20"/>
              </w:rPr>
              <w:t xml:space="preserve"> Authority Required (STREAMLINED)</w:t>
            </w:r>
          </w:p>
          <w:p w:rsidR="00B6569C" w:rsidRDefault="00E82474">
            <w:pPr>
              <w:keepLines/>
              <w:widowControl/>
              <w:numPr>
                <w:ilvl w:val="0"/>
                <w:numId w:val="6"/>
              </w:numPr>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1"/>
                  </w:checkBox>
                </w:ffData>
              </w:fldChar>
            </w:r>
            <w:r>
              <w:rPr>
                <w:rFonts w:ascii="Arial Narrow" w:hAnsi="Arial Narrow"/>
                <w:sz w:val="20"/>
                <w:szCs w:val="20"/>
              </w:rPr>
              <w:instrText xml:space="preserve"> FORMCHECKBOX </w:instrText>
            </w:r>
            <w:r w:rsidR="001F7C95">
              <w:rPr>
                <w:rFonts w:ascii="Arial Narrow" w:hAnsi="Arial Narrow"/>
                <w:sz w:val="20"/>
                <w:szCs w:val="20"/>
              </w:rPr>
            </w:r>
            <w:r w:rsidR="001F7C95">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Authority Required (Telephone)</w:t>
            </w:r>
          </w:p>
        </w:tc>
      </w:tr>
      <w:tr w:rsidR="00B6569C">
        <w:trPr>
          <w:trHeight w:val="360"/>
        </w:trPr>
        <w:tc>
          <w:tcPr>
            <w:tcW w:w="908"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spacing w:after="120"/>
              <w:rPr>
                <w:rFonts w:ascii="Arial Narrow" w:hAnsi="Arial Narrow"/>
                <w:b/>
                <w:sz w:val="20"/>
                <w:szCs w:val="20"/>
              </w:rPr>
            </w:pPr>
            <w:r>
              <w:rPr>
                <w:rFonts w:ascii="Arial Narrow" w:hAnsi="Arial Narrow"/>
                <w:b/>
                <w:sz w:val="20"/>
                <w:szCs w:val="20"/>
              </w:rPr>
              <w:t>Clinical criteria:</w:t>
            </w:r>
          </w:p>
          <w:p w:rsidR="00B6569C" w:rsidRDefault="00B6569C">
            <w:pPr>
              <w:keepLines/>
              <w:widowControl/>
              <w:numPr>
                <w:ilvl w:val="0"/>
                <w:numId w:val="6"/>
              </w:numPr>
              <w:spacing w:after="120"/>
              <w:rPr>
                <w:rFonts w:ascii="Arial Narrow" w:hAnsi="Arial Narrow"/>
                <w:b/>
                <w:sz w:val="20"/>
                <w:szCs w:val="20"/>
              </w:rPr>
            </w:pPr>
          </w:p>
          <w:p w:rsidR="00B6569C" w:rsidRDefault="00B6569C">
            <w:pPr>
              <w:keepLines/>
              <w:widowControl/>
              <w:numPr>
                <w:ilvl w:val="0"/>
                <w:numId w:val="6"/>
              </w:numPr>
              <w:spacing w:after="120"/>
              <w:rPr>
                <w:rFonts w:ascii="Arial Narrow" w:hAnsi="Arial Narrow"/>
                <w:b/>
                <w:sz w:val="20"/>
                <w:szCs w:val="20"/>
              </w:rPr>
            </w:pPr>
          </w:p>
        </w:tc>
        <w:tc>
          <w:tcPr>
            <w:tcW w:w="4092"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sz w:val="20"/>
                <w:szCs w:val="20"/>
              </w:rPr>
            </w:pPr>
            <w:r>
              <w:rPr>
                <w:rFonts w:ascii="Arial Narrow" w:hAnsi="Arial Narrow"/>
                <w:sz w:val="20"/>
                <w:szCs w:val="20"/>
              </w:rPr>
              <w:t xml:space="preserve">The treatment must be adjuvant to complete surgical resection, </w:t>
            </w:r>
          </w:p>
          <w:p w:rsidR="00B6569C" w:rsidRDefault="00E82474">
            <w:pPr>
              <w:keepLines/>
              <w:widowControl/>
              <w:numPr>
                <w:ilvl w:val="0"/>
                <w:numId w:val="6"/>
              </w:numPr>
              <w:rPr>
                <w:rFonts w:ascii="Arial Narrow" w:hAnsi="Arial Narrow"/>
                <w:sz w:val="20"/>
                <w:szCs w:val="20"/>
              </w:rPr>
            </w:pPr>
            <w:r>
              <w:rPr>
                <w:rFonts w:ascii="Arial Narrow" w:hAnsi="Arial Narrow"/>
                <w:sz w:val="20"/>
                <w:szCs w:val="20"/>
              </w:rPr>
              <w:t>AND</w:t>
            </w:r>
          </w:p>
          <w:p w:rsidR="00B6569C" w:rsidRDefault="00E82474">
            <w:pPr>
              <w:keepLines/>
              <w:widowControl/>
              <w:numPr>
                <w:ilvl w:val="0"/>
                <w:numId w:val="6"/>
              </w:numPr>
              <w:rPr>
                <w:rFonts w:ascii="Arial Narrow" w:hAnsi="Arial Narrow"/>
                <w:strike/>
                <w:sz w:val="20"/>
                <w:szCs w:val="20"/>
              </w:rPr>
            </w:pPr>
            <w:r>
              <w:rPr>
                <w:rFonts w:ascii="Arial Narrow" w:hAnsi="Arial Narrow"/>
                <w:strike/>
                <w:sz w:val="20"/>
                <w:szCs w:val="20"/>
              </w:rPr>
              <w:t xml:space="preserve">The patient must be at high risk of recurrence following complete surgical resection, </w:t>
            </w:r>
          </w:p>
          <w:p w:rsidR="00B6569C" w:rsidRDefault="00E82474">
            <w:pPr>
              <w:keepLines/>
              <w:widowControl/>
              <w:numPr>
                <w:ilvl w:val="0"/>
                <w:numId w:val="6"/>
              </w:numPr>
              <w:rPr>
                <w:rFonts w:ascii="Arial Narrow" w:hAnsi="Arial Narrow"/>
                <w:strike/>
                <w:sz w:val="20"/>
                <w:szCs w:val="20"/>
              </w:rPr>
            </w:pPr>
            <w:r>
              <w:rPr>
                <w:rFonts w:ascii="Arial Narrow" w:hAnsi="Arial Narrow"/>
                <w:strike/>
                <w:sz w:val="20"/>
                <w:szCs w:val="20"/>
              </w:rPr>
              <w:t>AND</w:t>
            </w:r>
          </w:p>
          <w:p w:rsidR="00B6569C" w:rsidRDefault="00E82474">
            <w:pPr>
              <w:keepLines/>
              <w:widowControl/>
              <w:numPr>
                <w:ilvl w:val="0"/>
                <w:numId w:val="6"/>
              </w:numPr>
              <w:rPr>
                <w:rFonts w:ascii="Arial Narrow" w:hAnsi="Arial Narrow"/>
                <w:sz w:val="20"/>
                <w:szCs w:val="20"/>
              </w:rPr>
            </w:pPr>
            <w:r>
              <w:rPr>
                <w:rFonts w:ascii="Arial Narrow" w:hAnsi="Arial Narrow"/>
                <w:sz w:val="20"/>
                <w:szCs w:val="20"/>
              </w:rPr>
              <w:t xml:space="preserve">The treatment must be the sole PBS-subsidised therapy for this condition, </w:t>
            </w:r>
          </w:p>
          <w:p w:rsidR="00B6569C" w:rsidRDefault="00E82474">
            <w:pPr>
              <w:keepLines/>
              <w:widowControl/>
              <w:numPr>
                <w:ilvl w:val="0"/>
                <w:numId w:val="6"/>
              </w:numPr>
              <w:rPr>
                <w:rFonts w:ascii="Arial Narrow" w:hAnsi="Arial Narrow"/>
                <w:sz w:val="20"/>
                <w:szCs w:val="20"/>
              </w:rPr>
            </w:pPr>
            <w:r>
              <w:rPr>
                <w:rFonts w:ascii="Arial Narrow" w:hAnsi="Arial Narrow"/>
                <w:sz w:val="20"/>
                <w:szCs w:val="20"/>
              </w:rPr>
              <w:t>AND</w:t>
            </w:r>
          </w:p>
          <w:p w:rsidR="00B6569C" w:rsidRDefault="00E82474">
            <w:pPr>
              <w:keepLines/>
              <w:widowControl/>
              <w:numPr>
                <w:ilvl w:val="0"/>
                <w:numId w:val="6"/>
              </w:numPr>
              <w:rPr>
                <w:rFonts w:ascii="Arial Narrow" w:hAnsi="Arial Narrow"/>
                <w:sz w:val="20"/>
                <w:szCs w:val="20"/>
              </w:rPr>
            </w:pPr>
            <w:r>
              <w:rPr>
                <w:rFonts w:ascii="Arial Narrow" w:hAnsi="Arial Narrow"/>
                <w:sz w:val="20"/>
                <w:szCs w:val="20"/>
              </w:rPr>
              <w:t xml:space="preserve">The patient must have a WHO performance status of 0 or 1, </w:t>
            </w:r>
          </w:p>
          <w:p w:rsidR="00B6569C" w:rsidRDefault="00E82474">
            <w:pPr>
              <w:keepLines/>
              <w:widowControl/>
              <w:numPr>
                <w:ilvl w:val="0"/>
                <w:numId w:val="6"/>
              </w:numPr>
              <w:rPr>
                <w:rFonts w:ascii="Arial Narrow" w:hAnsi="Arial Narrow"/>
                <w:sz w:val="20"/>
                <w:szCs w:val="20"/>
              </w:rPr>
            </w:pPr>
            <w:r>
              <w:rPr>
                <w:rFonts w:ascii="Arial Narrow" w:hAnsi="Arial Narrow"/>
                <w:sz w:val="20"/>
                <w:szCs w:val="20"/>
              </w:rPr>
              <w:t>AND</w:t>
            </w:r>
          </w:p>
          <w:p w:rsidR="00B6569C" w:rsidRDefault="00E82474">
            <w:pPr>
              <w:widowControl/>
              <w:numPr>
                <w:ilvl w:val="0"/>
                <w:numId w:val="6"/>
              </w:numPr>
              <w:rPr>
                <w:rFonts w:ascii="Arial Narrow" w:hAnsi="Arial Narrow"/>
                <w:i/>
                <w:sz w:val="20"/>
                <w:szCs w:val="20"/>
              </w:rPr>
            </w:pPr>
            <w:r>
              <w:rPr>
                <w:rFonts w:ascii="Arial Narrow" w:hAnsi="Arial Narrow"/>
                <w:sz w:val="20"/>
                <w:szCs w:val="20"/>
              </w:rPr>
              <w:t>The patient must not have received prior PBS-subsidised treatment with a programmed cell death-1 (PD-1) inhibitor for this condition</w:t>
            </w:r>
            <w:r>
              <w:rPr>
                <w:rFonts w:ascii="Arial Narrow" w:hAnsi="Arial Narrow"/>
                <w:i/>
                <w:sz w:val="20"/>
                <w:szCs w:val="20"/>
              </w:rPr>
              <w:t xml:space="preserve">. </w:t>
            </w:r>
          </w:p>
        </w:tc>
      </w:tr>
      <w:tr w:rsidR="00B6569C">
        <w:trPr>
          <w:trHeight w:val="360"/>
        </w:trPr>
        <w:tc>
          <w:tcPr>
            <w:tcW w:w="908"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spacing w:after="120"/>
              <w:rPr>
                <w:rFonts w:ascii="Arial Narrow" w:hAnsi="Arial Narrow"/>
                <w:b/>
                <w:sz w:val="20"/>
                <w:szCs w:val="20"/>
              </w:rPr>
            </w:pPr>
            <w:r>
              <w:rPr>
                <w:rFonts w:ascii="Arial Narrow" w:hAnsi="Arial Narrow"/>
                <w:b/>
                <w:sz w:val="20"/>
                <w:szCs w:val="20"/>
              </w:rPr>
              <w:t>Treatment criteria:</w:t>
            </w:r>
          </w:p>
        </w:tc>
        <w:tc>
          <w:tcPr>
            <w:tcW w:w="4092"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widowControl/>
              <w:numPr>
                <w:ilvl w:val="0"/>
                <w:numId w:val="6"/>
              </w:numPr>
              <w:rPr>
                <w:rFonts w:ascii="Arial Narrow" w:hAnsi="Arial Narrow"/>
                <w:i/>
                <w:sz w:val="20"/>
                <w:szCs w:val="20"/>
              </w:rPr>
            </w:pPr>
            <w:r>
              <w:rPr>
                <w:rFonts w:ascii="Arial Narrow" w:hAnsi="Arial Narrow"/>
                <w:sz w:val="20"/>
                <w:szCs w:val="20"/>
              </w:rPr>
              <w:t xml:space="preserve">The treatment must </w:t>
            </w:r>
            <w:r>
              <w:rPr>
                <w:rFonts w:ascii="Arial Narrow" w:hAnsi="Arial Narrow"/>
                <w:strike/>
                <w:sz w:val="20"/>
                <w:szCs w:val="20"/>
              </w:rPr>
              <w:t>be initiated</w:t>
            </w:r>
            <w:r>
              <w:rPr>
                <w:rFonts w:ascii="Arial Narrow" w:hAnsi="Arial Narrow"/>
                <w:sz w:val="20"/>
                <w:szCs w:val="20"/>
              </w:rPr>
              <w:t xml:space="preserve"> </w:t>
            </w:r>
            <w:r>
              <w:rPr>
                <w:rFonts w:ascii="Arial Narrow" w:hAnsi="Arial Narrow"/>
                <w:i/>
                <w:sz w:val="20"/>
                <w:szCs w:val="20"/>
              </w:rPr>
              <w:t xml:space="preserve">commence </w:t>
            </w:r>
            <w:r>
              <w:rPr>
                <w:rFonts w:ascii="Arial Narrow" w:hAnsi="Arial Narrow"/>
                <w:sz w:val="20"/>
                <w:szCs w:val="20"/>
              </w:rPr>
              <w:t xml:space="preserve">within </w:t>
            </w:r>
            <w:r>
              <w:rPr>
                <w:rFonts w:ascii="Arial Narrow" w:hAnsi="Arial Narrow"/>
                <w:strike/>
                <w:sz w:val="20"/>
                <w:szCs w:val="20"/>
              </w:rPr>
              <w:t>13</w:t>
            </w:r>
            <w:r>
              <w:rPr>
                <w:rFonts w:ascii="Arial Narrow" w:hAnsi="Arial Narrow"/>
                <w:sz w:val="20"/>
                <w:szCs w:val="20"/>
              </w:rPr>
              <w:t xml:space="preserve"> </w:t>
            </w:r>
            <w:r>
              <w:rPr>
                <w:rFonts w:ascii="Arial Narrow" w:hAnsi="Arial Narrow"/>
                <w:i/>
                <w:sz w:val="20"/>
                <w:szCs w:val="20"/>
              </w:rPr>
              <w:t>12</w:t>
            </w:r>
            <w:r>
              <w:rPr>
                <w:rFonts w:ascii="Arial Narrow" w:hAnsi="Arial Narrow"/>
                <w:sz w:val="20"/>
                <w:szCs w:val="20"/>
              </w:rPr>
              <w:t xml:space="preserve"> weeks of </w:t>
            </w:r>
            <w:r>
              <w:rPr>
                <w:rFonts w:ascii="Arial Narrow" w:hAnsi="Arial Narrow"/>
                <w:strike/>
                <w:sz w:val="20"/>
                <w:szCs w:val="20"/>
              </w:rPr>
              <w:t>surgical</w:t>
            </w:r>
            <w:r>
              <w:rPr>
                <w:rFonts w:ascii="Arial Narrow" w:hAnsi="Arial Narrow"/>
                <w:sz w:val="20"/>
                <w:szCs w:val="20"/>
              </w:rPr>
              <w:t xml:space="preserve"> </w:t>
            </w:r>
            <w:r>
              <w:rPr>
                <w:rFonts w:ascii="Arial Narrow" w:hAnsi="Arial Narrow"/>
                <w:i/>
                <w:sz w:val="20"/>
                <w:szCs w:val="20"/>
              </w:rPr>
              <w:t>complete</w:t>
            </w:r>
            <w:r>
              <w:rPr>
                <w:rFonts w:ascii="Arial Narrow" w:hAnsi="Arial Narrow"/>
                <w:sz w:val="20"/>
                <w:szCs w:val="20"/>
              </w:rPr>
              <w:t xml:space="preserve"> resection, unless delay is necessary due to post-surgery recovery;</w:t>
            </w:r>
          </w:p>
          <w:p w:rsidR="00B6569C" w:rsidRDefault="00E82474">
            <w:pPr>
              <w:widowControl/>
              <w:numPr>
                <w:ilvl w:val="0"/>
                <w:numId w:val="6"/>
              </w:numPr>
              <w:rPr>
                <w:rFonts w:ascii="Arial Narrow" w:hAnsi="Arial Narrow"/>
                <w:i/>
                <w:sz w:val="20"/>
                <w:szCs w:val="20"/>
              </w:rPr>
            </w:pPr>
            <w:r>
              <w:rPr>
                <w:rFonts w:ascii="Arial Narrow" w:hAnsi="Arial Narrow"/>
                <w:sz w:val="20"/>
                <w:szCs w:val="20"/>
              </w:rPr>
              <w:t>AND</w:t>
            </w:r>
          </w:p>
          <w:p w:rsidR="00B6569C" w:rsidRDefault="00E82474">
            <w:pPr>
              <w:widowControl/>
              <w:numPr>
                <w:ilvl w:val="0"/>
                <w:numId w:val="6"/>
              </w:numPr>
              <w:rPr>
                <w:rFonts w:ascii="Arial Narrow" w:hAnsi="Arial Narrow"/>
                <w:sz w:val="20"/>
                <w:szCs w:val="20"/>
              </w:rPr>
            </w:pPr>
            <w:r>
              <w:rPr>
                <w:rFonts w:ascii="Arial Narrow" w:hAnsi="Arial Narrow"/>
                <w:sz w:val="20"/>
                <w:szCs w:val="20"/>
              </w:rPr>
              <w:t>Treatment must not exceed a maximum duration of 12 months (18 cycles at a dose of 200 mg every 3 weeks) (initial and continuing therapy) under this restriction.</w:t>
            </w:r>
          </w:p>
          <w:p w:rsidR="00B6569C" w:rsidRDefault="00E82474">
            <w:pPr>
              <w:widowControl/>
              <w:numPr>
                <w:ilvl w:val="0"/>
                <w:numId w:val="6"/>
              </w:numPr>
              <w:rPr>
                <w:rFonts w:ascii="Arial Narrow" w:hAnsi="Arial Narrow"/>
                <w:i/>
                <w:strike/>
                <w:sz w:val="20"/>
                <w:szCs w:val="20"/>
              </w:rPr>
            </w:pPr>
            <w:r>
              <w:rPr>
                <w:rFonts w:ascii="Arial Narrow" w:hAnsi="Arial Narrow"/>
                <w:i/>
                <w:strike/>
                <w:sz w:val="20"/>
                <w:szCs w:val="20"/>
              </w:rPr>
              <w:t>The treatment is not PBS listed for mucosal or ocular melanoma</w:t>
            </w:r>
          </w:p>
        </w:tc>
      </w:tr>
      <w:tr w:rsidR="00B6569C">
        <w:trPr>
          <w:trHeight w:val="449"/>
        </w:trPr>
        <w:tc>
          <w:tcPr>
            <w:tcW w:w="908"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b/>
                <w:strike/>
                <w:sz w:val="20"/>
                <w:szCs w:val="20"/>
              </w:rPr>
            </w:pPr>
            <w:r>
              <w:rPr>
                <w:rFonts w:ascii="Arial Narrow" w:hAnsi="Arial Narrow"/>
                <w:b/>
                <w:i/>
                <w:sz w:val="20"/>
                <w:szCs w:val="20"/>
              </w:rPr>
              <w:t>Notes:</w:t>
            </w:r>
          </w:p>
        </w:tc>
        <w:tc>
          <w:tcPr>
            <w:tcW w:w="4092"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sz w:val="20"/>
                <w:szCs w:val="20"/>
              </w:rPr>
            </w:pPr>
            <w:r>
              <w:rPr>
                <w:rFonts w:ascii="Arial Narrow" w:hAnsi="Arial Narrow"/>
                <w:i/>
                <w:sz w:val="20"/>
                <w:szCs w:val="20"/>
              </w:rPr>
              <w:t>Complete resection of Stage III disease must be documented on the surgical and pathology reports</w:t>
            </w:r>
            <w:r>
              <w:rPr>
                <w:rFonts w:ascii="Arial Narrow" w:hAnsi="Arial Narrow"/>
                <w:sz w:val="20"/>
                <w:szCs w:val="20"/>
              </w:rPr>
              <w:t>.</w:t>
            </w:r>
          </w:p>
          <w:p w:rsidR="00B6569C" w:rsidRDefault="00E82474">
            <w:pPr>
              <w:keepLines/>
              <w:widowControl/>
              <w:numPr>
                <w:ilvl w:val="0"/>
                <w:numId w:val="6"/>
              </w:numPr>
              <w:rPr>
                <w:rFonts w:ascii="Arial Narrow" w:hAnsi="Arial Narrow"/>
                <w:sz w:val="20"/>
                <w:szCs w:val="20"/>
              </w:rPr>
            </w:pPr>
            <w:r>
              <w:rPr>
                <w:rFonts w:ascii="Arial Narrow" w:hAnsi="Arial Narrow"/>
                <w:sz w:val="20"/>
                <w:szCs w:val="20"/>
              </w:rPr>
              <w:t xml:space="preserve">No increase in the maximum quantity or number of units or number of repeats </w:t>
            </w:r>
            <w:r>
              <w:rPr>
                <w:rFonts w:ascii="Arial Narrow" w:hAnsi="Arial Narrow"/>
                <w:strike/>
                <w:sz w:val="20"/>
                <w:szCs w:val="20"/>
              </w:rPr>
              <w:t>will</w:t>
            </w:r>
            <w:r>
              <w:rPr>
                <w:rFonts w:ascii="Arial Narrow" w:hAnsi="Arial Narrow"/>
                <w:sz w:val="20"/>
                <w:szCs w:val="20"/>
              </w:rPr>
              <w:t xml:space="preserve"> </w:t>
            </w:r>
            <w:r>
              <w:rPr>
                <w:rFonts w:ascii="Arial Narrow" w:hAnsi="Arial Narrow"/>
                <w:i/>
                <w:sz w:val="20"/>
                <w:szCs w:val="20"/>
              </w:rPr>
              <w:t>may</w:t>
            </w:r>
            <w:r>
              <w:rPr>
                <w:rFonts w:ascii="Arial Narrow" w:hAnsi="Arial Narrow"/>
                <w:sz w:val="20"/>
                <w:szCs w:val="20"/>
              </w:rPr>
              <w:t xml:space="preserve"> be authorised.</w:t>
            </w:r>
          </w:p>
          <w:p w:rsidR="00B6569C" w:rsidRDefault="00E82474">
            <w:pPr>
              <w:keepLines/>
              <w:widowControl/>
              <w:numPr>
                <w:ilvl w:val="0"/>
                <w:numId w:val="6"/>
              </w:numPr>
              <w:rPr>
                <w:rFonts w:ascii="Arial Narrow" w:hAnsi="Arial Narrow"/>
                <w:i/>
                <w:sz w:val="20"/>
                <w:szCs w:val="20"/>
              </w:rPr>
            </w:pPr>
            <w:r>
              <w:rPr>
                <w:rFonts w:ascii="Arial Narrow" w:hAnsi="Arial Narrow"/>
                <w:i/>
                <w:sz w:val="20"/>
                <w:szCs w:val="20"/>
              </w:rPr>
              <w:t>Special Pricing Arrangements apply.</w:t>
            </w:r>
          </w:p>
        </w:tc>
      </w:tr>
    </w:tbl>
    <w:p w:rsidR="00B6569C" w:rsidRDefault="00B6569C">
      <w:pPr>
        <w:keepNext/>
        <w:widowControl/>
        <w:rPr>
          <w:rFonts w:ascii="Arial Narrow" w:hAnsi="Arial Narrow"/>
          <w:b/>
          <w:sz w:val="20"/>
          <w:szCs w:val="20"/>
        </w:rPr>
      </w:pPr>
    </w:p>
    <w:tbl>
      <w:tblPr>
        <w:tblW w:w="5001" w:type="pct"/>
        <w:tblLook w:val="0000" w:firstRow="0" w:lastRow="0" w:firstColumn="0" w:lastColumn="0" w:noHBand="0" w:noVBand="0"/>
      </w:tblPr>
      <w:tblGrid>
        <w:gridCol w:w="1577"/>
        <w:gridCol w:w="7442"/>
      </w:tblGrid>
      <w:tr w:rsidR="00B6569C">
        <w:trPr>
          <w:trHeight w:val="237"/>
        </w:trPr>
        <w:tc>
          <w:tcPr>
            <w:tcW w:w="874"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b/>
                <w:sz w:val="20"/>
                <w:szCs w:val="20"/>
              </w:rPr>
            </w:pPr>
            <w:r>
              <w:rPr>
                <w:rFonts w:ascii="Arial Narrow" w:hAnsi="Arial Narrow"/>
                <w:b/>
                <w:sz w:val="20"/>
                <w:szCs w:val="20"/>
              </w:rPr>
              <w:t>Category/program</w:t>
            </w:r>
          </w:p>
        </w:tc>
        <w:tc>
          <w:tcPr>
            <w:tcW w:w="4126"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sz w:val="20"/>
                <w:szCs w:val="20"/>
              </w:rPr>
            </w:pPr>
            <w:r>
              <w:rPr>
                <w:rFonts w:ascii="Arial Narrow" w:hAnsi="Arial Narrow"/>
                <w:sz w:val="20"/>
                <w:szCs w:val="20"/>
              </w:rPr>
              <w:t>Section 100 (Public/Private), Efficient funding of Chemotherapy</w:t>
            </w:r>
          </w:p>
        </w:tc>
      </w:tr>
      <w:tr w:rsidR="00B656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20"/>
        </w:trPr>
        <w:tc>
          <w:tcPr>
            <w:tcW w:w="87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6569C" w:rsidRDefault="00E82474">
            <w:pPr>
              <w:pStyle w:val="Tabletext"/>
              <w:keepNext/>
              <w:rPr>
                <w:b/>
                <w:szCs w:val="20"/>
                <w:lang w:eastAsia="en-AU"/>
              </w:rPr>
            </w:pPr>
            <w:r>
              <w:rPr>
                <w:rFonts w:cs="Calibri"/>
                <w:b/>
                <w:szCs w:val="20"/>
              </w:rPr>
              <w:t>Prescriber type:</w:t>
            </w:r>
          </w:p>
        </w:tc>
        <w:tc>
          <w:tcPr>
            <w:tcW w:w="412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6569C" w:rsidRDefault="00E82474">
            <w:pPr>
              <w:pStyle w:val="Tabletext"/>
              <w:keepNext/>
              <w:rPr>
                <w:rFonts w:cs="Calibri"/>
                <w:szCs w:val="20"/>
              </w:rPr>
            </w:pPr>
            <w:r>
              <w:rPr>
                <w:rFonts w:cs="Calibri"/>
                <w:szCs w:val="20"/>
              </w:rPr>
              <w:fldChar w:fldCharType="begin">
                <w:ffData>
                  <w:name w:val=""/>
                  <w:enabled/>
                  <w:calcOnExit w:val="0"/>
                  <w:checkBox>
                    <w:sizeAuto/>
                    <w:default w:val="0"/>
                  </w:checkBox>
                </w:ffData>
              </w:fldChar>
            </w:r>
            <w:r>
              <w:rPr>
                <w:rFonts w:cs="Calibri"/>
                <w:szCs w:val="20"/>
              </w:rPr>
              <w:instrText xml:space="preserve"> FORMCHECKBOX </w:instrText>
            </w:r>
            <w:r w:rsidR="001F7C95">
              <w:rPr>
                <w:rFonts w:cs="Calibri"/>
                <w:szCs w:val="20"/>
              </w:rPr>
            </w:r>
            <w:r w:rsidR="001F7C95">
              <w:rPr>
                <w:rFonts w:cs="Calibri"/>
                <w:szCs w:val="20"/>
              </w:rPr>
              <w:fldChar w:fldCharType="separate"/>
            </w:r>
            <w:r>
              <w:rPr>
                <w:rFonts w:cs="Calibri"/>
                <w:szCs w:val="20"/>
              </w:rPr>
              <w:fldChar w:fldCharType="end"/>
            </w:r>
            <w:r>
              <w:rPr>
                <w:rFonts w:cs="Calibri"/>
                <w:szCs w:val="20"/>
              </w:rPr>
              <w:t xml:space="preserve">Dental  </w:t>
            </w:r>
            <w:r>
              <w:rPr>
                <w:rFonts w:cs="Calibri"/>
                <w:szCs w:val="20"/>
              </w:rPr>
              <w:fldChar w:fldCharType="begin">
                <w:ffData>
                  <w:name w:val=""/>
                  <w:enabled/>
                  <w:calcOnExit w:val="0"/>
                  <w:checkBox>
                    <w:sizeAuto/>
                    <w:default w:val="1"/>
                  </w:checkBox>
                </w:ffData>
              </w:fldChar>
            </w:r>
            <w:r>
              <w:rPr>
                <w:rFonts w:cs="Calibri"/>
                <w:szCs w:val="20"/>
              </w:rPr>
              <w:instrText xml:space="preserve"> FORMCHECKBOX </w:instrText>
            </w:r>
            <w:r w:rsidR="001F7C95">
              <w:rPr>
                <w:rFonts w:cs="Calibri"/>
                <w:szCs w:val="20"/>
              </w:rPr>
            </w:r>
            <w:r w:rsidR="001F7C95">
              <w:rPr>
                <w:rFonts w:cs="Calibri"/>
                <w:szCs w:val="20"/>
              </w:rPr>
              <w:fldChar w:fldCharType="separate"/>
            </w:r>
            <w:r>
              <w:rPr>
                <w:rFonts w:cs="Calibri"/>
                <w:szCs w:val="20"/>
              </w:rPr>
              <w:fldChar w:fldCharType="end"/>
            </w:r>
            <w:r>
              <w:rPr>
                <w:rFonts w:cs="Calibri"/>
                <w:szCs w:val="20"/>
              </w:rPr>
              <w:t xml:space="preserve">Medical Practitioners  </w:t>
            </w:r>
            <w:r>
              <w:rPr>
                <w:rFonts w:cs="Calibri"/>
                <w:szCs w:val="20"/>
              </w:rPr>
              <w:fldChar w:fldCharType="begin">
                <w:ffData>
                  <w:name w:val="Check3"/>
                  <w:enabled/>
                  <w:calcOnExit w:val="0"/>
                  <w:checkBox>
                    <w:sizeAuto/>
                    <w:default w:val="0"/>
                  </w:checkBox>
                </w:ffData>
              </w:fldChar>
            </w:r>
            <w:r>
              <w:rPr>
                <w:rFonts w:cs="Calibri"/>
                <w:szCs w:val="20"/>
              </w:rPr>
              <w:instrText xml:space="preserve"> FORMCHECKBOX </w:instrText>
            </w:r>
            <w:r w:rsidR="001F7C95">
              <w:rPr>
                <w:rFonts w:cs="Calibri"/>
                <w:szCs w:val="20"/>
              </w:rPr>
            </w:r>
            <w:r w:rsidR="001F7C95">
              <w:rPr>
                <w:rFonts w:cs="Calibri"/>
                <w:szCs w:val="20"/>
              </w:rPr>
              <w:fldChar w:fldCharType="separate"/>
            </w:r>
            <w:r>
              <w:rPr>
                <w:rFonts w:cs="Calibri"/>
                <w:szCs w:val="20"/>
              </w:rPr>
              <w:fldChar w:fldCharType="end"/>
            </w:r>
            <w:r>
              <w:rPr>
                <w:rFonts w:cs="Calibri"/>
                <w:szCs w:val="20"/>
              </w:rPr>
              <w:t xml:space="preserve">Nurse practitioners  </w:t>
            </w:r>
            <w:r>
              <w:rPr>
                <w:rFonts w:cs="Calibri"/>
                <w:szCs w:val="20"/>
              </w:rPr>
              <w:fldChar w:fldCharType="begin">
                <w:ffData>
                  <w:name w:val=""/>
                  <w:enabled/>
                  <w:calcOnExit w:val="0"/>
                  <w:checkBox>
                    <w:sizeAuto/>
                    <w:default w:val="0"/>
                  </w:checkBox>
                </w:ffData>
              </w:fldChar>
            </w:r>
            <w:r>
              <w:rPr>
                <w:rFonts w:cs="Calibri"/>
                <w:szCs w:val="20"/>
              </w:rPr>
              <w:instrText xml:space="preserve"> FORMCHECKBOX </w:instrText>
            </w:r>
            <w:r w:rsidR="001F7C95">
              <w:rPr>
                <w:rFonts w:cs="Calibri"/>
                <w:szCs w:val="20"/>
              </w:rPr>
            </w:r>
            <w:r w:rsidR="001F7C95">
              <w:rPr>
                <w:rFonts w:cs="Calibri"/>
                <w:szCs w:val="20"/>
              </w:rPr>
              <w:fldChar w:fldCharType="separate"/>
            </w:r>
            <w:r>
              <w:rPr>
                <w:rFonts w:cs="Calibri"/>
                <w:szCs w:val="20"/>
              </w:rPr>
              <w:fldChar w:fldCharType="end"/>
            </w:r>
            <w:r>
              <w:rPr>
                <w:rFonts w:cs="Calibri"/>
                <w:szCs w:val="20"/>
              </w:rPr>
              <w:t xml:space="preserve">Optometrists  </w:t>
            </w:r>
            <w:r>
              <w:rPr>
                <w:rFonts w:cs="Calibri"/>
                <w:szCs w:val="20"/>
              </w:rPr>
              <w:fldChar w:fldCharType="begin">
                <w:ffData>
                  <w:name w:val="Check5"/>
                  <w:enabled/>
                  <w:calcOnExit w:val="0"/>
                  <w:checkBox>
                    <w:sizeAuto/>
                    <w:default w:val="0"/>
                  </w:checkBox>
                </w:ffData>
              </w:fldChar>
            </w:r>
            <w:r>
              <w:rPr>
                <w:rFonts w:cs="Calibri"/>
                <w:szCs w:val="20"/>
              </w:rPr>
              <w:instrText xml:space="preserve"> FORMCHECKBOX </w:instrText>
            </w:r>
            <w:r w:rsidR="001F7C95">
              <w:rPr>
                <w:rFonts w:cs="Calibri"/>
                <w:szCs w:val="20"/>
              </w:rPr>
            </w:r>
            <w:r w:rsidR="001F7C95">
              <w:rPr>
                <w:rFonts w:cs="Calibri"/>
                <w:szCs w:val="20"/>
              </w:rPr>
              <w:fldChar w:fldCharType="separate"/>
            </w:r>
            <w:r>
              <w:rPr>
                <w:rFonts w:cs="Calibri"/>
                <w:szCs w:val="20"/>
              </w:rPr>
              <w:fldChar w:fldCharType="end"/>
            </w:r>
            <w:r>
              <w:rPr>
                <w:rFonts w:cs="Calibri"/>
                <w:szCs w:val="20"/>
              </w:rPr>
              <w:t>Midwives</w:t>
            </w:r>
          </w:p>
        </w:tc>
      </w:tr>
      <w:tr w:rsidR="00B6569C">
        <w:trPr>
          <w:trHeight w:val="60"/>
        </w:trPr>
        <w:tc>
          <w:tcPr>
            <w:tcW w:w="874"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b/>
                <w:sz w:val="20"/>
                <w:szCs w:val="20"/>
              </w:rPr>
            </w:pPr>
            <w:r>
              <w:rPr>
                <w:rFonts w:ascii="Arial Narrow" w:hAnsi="Arial Narrow"/>
                <w:b/>
                <w:sz w:val="20"/>
                <w:szCs w:val="20"/>
              </w:rPr>
              <w:t>Severity:</w:t>
            </w:r>
          </w:p>
        </w:tc>
        <w:tc>
          <w:tcPr>
            <w:tcW w:w="4126"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sz w:val="20"/>
                <w:szCs w:val="20"/>
              </w:rPr>
            </w:pPr>
            <w:r>
              <w:rPr>
                <w:rFonts w:ascii="Arial Narrow" w:hAnsi="Arial Narrow"/>
                <w:sz w:val="20"/>
                <w:szCs w:val="20"/>
              </w:rPr>
              <w:t xml:space="preserve">Resected Stage IIIB, Stage IIIC or Stage IIID </w:t>
            </w:r>
          </w:p>
        </w:tc>
      </w:tr>
      <w:tr w:rsidR="00B6569C">
        <w:trPr>
          <w:trHeight w:val="78"/>
        </w:trPr>
        <w:tc>
          <w:tcPr>
            <w:tcW w:w="874"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b/>
                <w:sz w:val="20"/>
                <w:szCs w:val="20"/>
              </w:rPr>
            </w:pPr>
            <w:r>
              <w:rPr>
                <w:rFonts w:ascii="Arial Narrow" w:hAnsi="Arial Narrow"/>
                <w:b/>
                <w:sz w:val="20"/>
                <w:szCs w:val="20"/>
              </w:rPr>
              <w:t>Condition:</w:t>
            </w:r>
          </w:p>
        </w:tc>
        <w:tc>
          <w:tcPr>
            <w:tcW w:w="4126"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sz w:val="20"/>
                <w:szCs w:val="20"/>
              </w:rPr>
            </w:pPr>
            <w:r>
              <w:rPr>
                <w:rFonts w:ascii="Arial Narrow" w:hAnsi="Arial Narrow"/>
                <w:sz w:val="20"/>
                <w:szCs w:val="20"/>
              </w:rPr>
              <w:t xml:space="preserve">Malignant melanoma </w:t>
            </w:r>
          </w:p>
        </w:tc>
      </w:tr>
      <w:tr w:rsidR="00B6569C">
        <w:trPr>
          <w:trHeight w:val="123"/>
        </w:trPr>
        <w:tc>
          <w:tcPr>
            <w:tcW w:w="874"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b/>
                <w:sz w:val="20"/>
                <w:szCs w:val="20"/>
              </w:rPr>
            </w:pPr>
            <w:r>
              <w:rPr>
                <w:rFonts w:ascii="Arial Narrow" w:hAnsi="Arial Narrow"/>
                <w:b/>
                <w:sz w:val="20"/>
                <w:szCs w:val="20"/>
              </w:rPr>
              <w:t>PBS Indication:</w:t>
            </w:r>
          </w:p>
        </w:tc>
        <w:tc>
          <w:tcPr>
            <w:tcW w:w="4126"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sz w:val="20"/>
                <w:szCs w:val="20"/>
              </w:rPr>
            </w:pPr>
            <w:r>
              <w:rPr>
                <w:rFonts w:ascii="Arial Narrow" w:hAnsi="Arial Narrow"/>
                <w:sz w:val="20"/>
                <w:szCs w:val="20"/>
              </w:rPr>
              <w:t xml:space="preserve">Resected Stage IIIB, Stage IIIC or Stage IIID malignant melanoma </w:t>
            </w:r>
          </w:p>
        </w:tc>
      </w:tr>
      <w:tr w:rsidR="00B6569C">
        <w:trPr>
          <w:trHeight w:val="169"/>
        </w:trPr>
        <w:tc>
          <w:tcPr>
            <w:tcW w:w="874"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b/>
                <w:sz w:val="20"/>
                <w:szCs w:val="20"/>
              </w:rPr>
            </w:pPr>
            <w:r>
              <w:rPr>
                <w:rFonts w:ascii="Arial Narrow" w:hAnsi="Arial Narrow"/>
                <w:b/>
                <w:sz w:val="20"/>
                <w:szCs w:val="20"/>
              </w:rPr>
              <w:t>Treatment phase:</w:t>
            </w:r>
          </w:p>
        </w:tc>
        <w:tc>
          <w:tcPr>
            <w:tcW w:w="4126"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sz w:val="20"/>
                <w:szCs w:val="20"/>
              </w:rPr>
            </w:pPr>
            <w:r>
              <w:rPr>
                <w:rFonts w:ascii="Arial Narrow" w:hAnsi="Arial Narrow"/>
                <w:sz w:val="20"/>
                <w:szCs w:val="20"/>
              </w:rPr>
              <w:t xml:space="preserve">Continuing </w:t>
            </w:r>
          </w:p>
        </w:tc>
      </w:tr>
      <w:tr w:rsidR="00B6569C">
        <w:trPr>
          <w:trHeight w:val="74"/>
        </w:trPr>
        <w:tc>
          <w:tcPr>
            <w:tcW w:w="874"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b/>
                <w:sz w:val="20"/>
                <w:szCs w:val="20"/>
              </w:rPr>
            </w:pPr>
            <w:r>
              <w:rPr>
                <w:rFonts w:ascii="Arial Narrow" w:hAnsi="Arial Narrow"/>
                <w:b/>
                <w:sz w:val="20"/>
                <w:szCs w:val="20"/>
              </w:rPr>
              <w:t>Restriction:</w:t>
            </w:r>
          </w:p>
        </w:tc>
        <w:tc>
          <w:tcPr>
            <w:tcW w:w="4126"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strike/>
                <w:sz w:val="20"/>
                <w:szCs w:val="20"/>
              </w:rPr>
            </w:pPr>
            <w:r>
              <w:rPr>
                <w:rFonts w:ascii="Arial Narrow" w:hAnsi="Arial Narrow"/>
                <w:strike/>
                <w:sz w:val="20"/>
                <w:szCs w:val="20"/>
              </w:rPr>
              <w:fldChar w:fldCharType="begin">
                <w:ffData>
                  <w:name w:val="Check5"/>
                  <w:enabled/>
                  <w:calcOnExit w:val="0"/>
                  <w:checkBox>
                    <w:sizeAuto/>
                    <w:default w:val="1"/>
                  </w:checkBox>
                </w:ffData>
              </w:fldChar>
            </w:r>
            <w:r>
              <w:rPr>
                <w:rFonts w:ascii="Arial Narrow" w:hAnsi="Arial Narrow"/>
                <w:strike/>
                <w:sz w:val="20"/>
                <w:szCs w:val="20"/>
              </w:rPr>
              <w:instrText xml:space="preserve"> FORMCHECKBOX </w:instrText>
            </w:r>
            <w:r w:rsidR="001F7C95">
              <w:rPr>
                <w:rFonts w:ascii="Arial Narrow" w:hAnsi="Arial Narrow"/>
                <w:strike/>
                <w:sz w:val="20"/>
                <w:szCs w:val="20"/>
              </w:rPr>
            </w:r>
            <w:r w:rsidR="001F7C95">
              <w:rPr>
                <w:rFonts w:ascii="Arial Narrow" w:hAnsi="Arial Narrow"/>
                <w:strike/>
                <w:sz w:val="20"/>
                <w:szCs w:val="20"/>
              </w:rPr>
              <w:fldChar w:fldCharType="separate"/>
            </w:r>
            <w:r>
              <w:rPr>
                <w:rFonts w:ascii="Arial Narrow" w:hAnsi="Arial Narrow"/>
                <w:strike/>
                <w:sz w:val="20"/>
                <w:szCs w:val="20"/>
              </w:rPr>
              <w:fldChar w:fldCharType="end"/>
            </w:r>
            <w:r>
              <w:rPr>
                <w:rFonts w:ascii="Arial Narrow" w:hAnsi="Arial Narrow"/>
                <w:strike/>
                <w:sz w:val="20"/>
                <w:szCs w:val="20"/>
              </w:rPr>
              <w:t xml:space="preserve"> Authority Required (STREAMLINED)</w:t>
            </w:r>
          </w:p>
          <w:p w:rsidR="00B6569C" w:rsidRDefault="00E82474">
            <w:pPr>
              <w:keepLines/>
              <w:widowControl/>
              <w:numPr>
                <w:ilvl w:val="0"/>
                <w:numId w:val="6"/>
              </w:numPr>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1"/>
                  </w:checkBox>
                </w:ffData>
              </w:fldChar>
            </w:r>
            <w:r>
              <w:rPr>
                <w:rFonts w:ascii="Arial Narrow" w:hAnsi="Arial Narrow"/>
                <w:sz w:val="20"/>
                <w:szCs w:val="20"/>
              </w:rPr>
              <w:instrText xml:space="preserve"> FORMCHECKBOX </w:instrText>
            </w:r>
            <w:r w:rsidR="001F7C95">
              <w:rPr>
                <w:rFonts w:ascii="Arial Narrow" w:hAnsi="Arial Narrow"/>
                <w:sz w:val="20"/>
                <w:szCs w:val="20"/>
              </w:rPr>
            </w:r>
            <w:r w:rsidR="001F7C95">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Authority Required (Telephone)</w:t>
            </w:r>
          </w:p>
        </w:tc>
      </w:tr>
      <w:tr w:rsidR="00B6569C">
        <w:trPr>
          <w:trHeight w:val="1253"/>
        </w:trPr>
        <w:tc>
          <w:tcPr>
            <w:tcW w:w="874"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b/>
                <w:sz w:val="20"/>
                <w:szCs w:val="20"/>
              </w:rPr>
            </w:pPr>
            <w:r>
              <w:rPr>
                <w:rFonts w:ascii="Arial Narrow" w:hAnsi="Arial Narrow"/>
                <w:b/>
                <w:sz w:val="20"/>
                <w:szCs w:val="20"/>
              </w:rPr>
              <w:lastRenderedPageBreak/>
              <w:t>Clinical criteria:</w:t>
            </w:r>
          </w:p>
        </w:tc>
        <w:tc>
          <w:tcPr>
            <w:tcW w:w="4126"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sz w:val="20"/>
                <w:szCs w:val="20"/>
              </w:rPr>
            </w:pPr>
            <w:r>
              <w:rPr>
                <w:rFonts w:ascii="Arial Narrow" w:hAnsi="Arial Narrow"/>
                <w:sz w:val="20"/>
                <w:szCs w:val="20"/>
              </w:rPr>
              <w:t xml:space="preserve">The patient must have previously been issued with an authority prescription </w:t>
            </w:r>
            <w:r>
              <w:rPr>
                <w:rFonts w:ascii="Arial Narrow" w:hAnsi="Arial Narrow"/>
                <w:i/>
                <w:sz w:val="20"/>
                <w:szCs w:val="20"/>
              </w:rPr>
              <w:t>to receive</w:t>
            </w:r>
            <w:r>
              <w:rPr>
                <w:rFonts w:ascii="Arial Narrow" w:hAnsi="Arial Narrow"/>
                <w:sz w:val="20"/>
                <w:szCs w:val="20"/>
              </w:rPr>
              <w:t xml:space="preserve"> </w:t>
            </w:r>
            <w:r>
              <w:rPr>
                <w:rFonts w:ascii="Arial Narrow" w:hAnsi="Arial Narrow"/>
                <w:strike/>
                <w:sz w:val="20"/>
                <w:szCs w:val="20"/>
              </w:rPr>
              <w:t>for</w:t>
            </w:r>
            <w:r>
              <w:rPr>
                <w:rFonts w:ascii="Arial Narrow" w:hAnsi="Arial Narrow"/>
                <w:sz w:val="20"/>
                <w:szCs w:val="20"/>
              </w:rPr>
              <w:t xml:space="preserve"> this drug for </w:t>
            </w:r>
            <w:r>
              <w:rPr>
                <w:rFonts w:ascii="Arial Narrow" w:hAnsi="Arial Narrow"/>
                <w:strike/>
                <w:sz w:val="20"/>
                <w:szCs w:val="20"/>
              </w:rPr>
              <w:t>this condition in the adjuvant setting</w:t>
            </w:r>
            <w:r>
              <w:rPr>
                <w:rFonts w:ascii="Arial Narrow" w:hAnsi="Arial Narrow"/>
                <w:sz w:val="20"/>
                <w:szCs w:val="20"/>
              </w:rPr>
              <w:t xml:space="preserve"> </w:t>
            </w:r>
            <w:r>
              <w:rPr>
                <w:rFonts w:ascii="Arial Narrow" w:hAnsi="Arial Narrow"/>
                <w:i/>
                <w:sz w:val="20"/>
                <w:szCs w:val="20"/>
              </w:rPr>
              <w:t>adjuvant treatment following complete surgical resection</w:t>
            </w:r>
            <w:r>
              <w:rPr>
                <w:rFonts w:ascii="Arial Narrow" w:hAnsi="Arial Narrow"/>
                <w:sz w:val="20"/>
                <w:szCs w:val="20"/>
              </w:rPr>
              <w:t xml:space="preserve">, </w:t>
            </w:r>
          </w:p>
          <w:p w:rsidR="00B6569C" w:rsidRDefault="00E82474">
            <w:pPr>
              <w:keepLines/>
              <w:widowControl/>
              <w:numPr>
                <w:ilvl w:val="0"/>
                <w:numId w:val="6"/>
              </w:numPr>
              <w:rPr>
                <w:rFonts w:ascii="Arial Narrow" w:hAnsi="Arial Narrow"/>
                <w:sz w:val="20"/>
                <w:szCs w:val="20"/>
              </w:rPr>
            </w:pPr>
            <w:r>
              <w:rPr>
                <w:rFonts w:ascii="Arial Narrow" w:hAnsi="Arial Narrow"/>
                <w:sz w:val="20"/>
                <w:szCs w:val="20"/>
              </w:rPr>
              <w:t>AND</w:t>
            </w:r>
          </w:p>
          <w:p w:rsidR="00B6569C" w:rsidRDefault="00E82474">
            <w:pPr>
              <w:keepLines/>
              <w:widowControl/>
              <w:numPr>
                <w:ilvl w:val="0"/>
                <w:numId w:val="6"/>
              </w:numPr>
              <w:rPr>
                <w:rFonts w:ascii="Arial Narrow" w:hAnsi="Arial Narrow"/>
                <w:sz w:val="20"/>
                <w:szCs w:val="20"/>
              </w:rPr>
            </w:pPr>
            <w:r>
              <w:rPr>
                <w:rFonts w:ascii="Arial Narrow" w:hAnsi="Arial Narrow"/>
                <w:sz w:val="20"/>
                <w:szCs w:val="20"/>
              </w:rPr>
              <w:t xml:space="preserve">The treatment must be the sole PBS-subsidised therapy for this condition, </w:t>
            </w:r>
          </w:p>
          <w:p w:rsidR="00B6569C" w:rsidRDefault="00E82474">
            <w:pPr>
              <w:keepLines/>
              <w:widowControl/>
              <w:numPr>
                <w:ilvl w:val="0"/>
                <w:numId w:val="6"/>
              </w:numPr>
              <w:rPr>
                <w:rFonts w:ascii="Arial Narrow" w:hAnsi="Arial Narrow"/>
                <w:sz w:val="20"/>
                <w:szCs w:val="20"/>
              </w:rPr>
            </w:pPr>
            <w:r>
              <w:rPr>
                <w:rFonts w:ascii="Arial Narrow" w:hAnsi="Arial Narrow"/>
                <w:sz w:val="20"/>
                <w:szCs w:val="20"/>
              </w:rPr>
              <w:t>AND</w:t>
            </w:r>
          </w:p>
          <w:p w:rsidR="00B6569C" w:rsidRDefault="00E82474">
            <w:pPr>
              <w:keepLines/>
              <w:widowControl/>
              <w:numPr>
                <w:ilvl w:val="0"/>
                <w:numId w:val="6"/>
              </w:numPr>
              <w:rPr>
                <w:rFonts w:ascii="Arial Narrow" w:hAnsi="Arial Narrow"/>
                <w:strike/>
                <w:sz w:val="20"/>
                <w:szCs w:val="20"/>
              </w:rPr>
            </w:pPr>
            <w:r>
              <w:rPr>
                <w:rFonts w:ascii="Arial Narrow" w:hAnsi="Arial Narrow"/>
                <w:sz w:val="20"/>
                <w:szCs w:val="20"/>
              </w:rPr>
              <w:t xml:space="preserve">The patient must not have evidence of recurrence. </w:t>
            </w:r>
            <w:r>
              <w:rPr>
                <w:rFonts w:ascii="Arial Narrow" w:hAnsi="Arial Narrow"/>
                <w:strike/>
                <w:sz w:val="20"/>
                <w:szCs w:val="20"/>
              </w:rPr>
              <w:t>AND</w:t>
            </w:r>
          </w:p>
          <w:p w:rsidR="00B6569C" w:rsidRDefault="00B6569C">
            <w:pPr>
              <w:keepLines/>
              <w:widowControl/>
              <w:numPr>
                <w:ilvl w:val="0"/>
                <w:numId w:val="6"/>
              </w:numPr>
              <w:rPr>
                <w:rFonts w:ascii="Arial Narrow" w:hAnsi="Arial Narrow"/>
                <w:sz w:val="20"/>
                <w:szCs w:val="20"/>
              </w:rPr>
            </w:pPr>
          </w:p>
        </w:tc>
      </w:tr>
      <w:tr w:rsidR="00B6569C">
        <w:trPr>
          <w:trHeight w:val="360"/>
        </w:trPr>
        <w:tc>
          <w:tcPr>
            <w:tcW w:w="874"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b/>
                <w:sz w:val="20"/>
                <w:szCs w:val="20"/>
              </w:rPr>
            </w:pPr>
            <w:r>
              <w:rPr>
                <w:rFonts w:ascii="Arial Narrow" w:hAnsi="Arial Narrow"/>
                <w:b/>
                <w:sz w:val="20"/>
                <w:szCs w:val="20"/>
              </w:rPr>
              <w:t>Treatment criteria:</w:t>
            </w:r>
          </w:p>
        </w:tc>
        <w:tc>
          <w:tcPr>
            <w:tcW w:w="4126"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widowControl/>
              <w:numPr>
                <w:ilvl w:val="0"/>
                <w:numId w:val="6"/>
              </w:numPr>
              <w:rPr>
                <w:rFonts w:ascii="Arial Narrow" w:hAnsi="Arial Narrow"/>
                <w:i/>
                <w:strike/>
                <w:sz w:val="20"/>
                <w:szCs w:val="20"/>
              </w:rPr>
            </w:pPr>
            <w:r>
              <w:rPr>
                <w:rFonts w:ascii="Arial Narrow" w:hAnsi="Arial Narrow"/>
                <w:i/>
                <w:strike/>
                <w:sz w:val="20"/>
                <w:szCs w:val="20"/>
              </w:rPr>
              <w:t>The treatment is not PBS listed for mucosal or ocular melanoma</w:t>
            </w:r>
          </w:p>
          <w:p w:rsidR="00B6569C" w:rsidRDefault="00E82474">
            <w:pPr>
              <w:widowControl/>
              <w:numPr>
                <w:ilvl w:val="0"/>
                <w:numId w:val="6"/>
              </w:numPr>
              <w:rPr>
                <w:rFonts w:ascii="Arial Narrow" w:hAnsi="Arial Narrow"/>
                <w:sz w:val="20"/>
                <w:szCs w:val="20"/>
              </w:rPr>
            </w:pPr>
            <w:r>
              <w:rPr>
                <w:rFonts w:ascii="Arial Narrow" w:hAnsi="Arial Narrow"/>
                <w:sz w:val="20"/>
                <w:szCs w:val="20"/>
              </w:rPr>
              <w:t>Treatment must not exceed a maximum duration of 12 months (18 cycles at a dose of 200 mg every 3 weeks) (initial and continuing therapy) under this restriction.</w:t>
            </w:r>
          </w:p>
        </w:tc>
      </w:tr>
      <w:tr w:rsidR="00B6569C">
        <w:trPr>
          <w:trHeight w:val="360"/>
        </w:trPr>
        <w:tc>
          <w:tcPr>
            <w:tcW w:w="874"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b/>
                <w:strike/>
                <w:sz w:val="20"/>
                <w:szCs w:val="20"/>
              </w:rPr>
            </w:pPr>
            <w:r>
              <w:rPr>
                <w:rFonts w:ascii="Arial Narrow" w:hAnsi="Arial Narrow"/>
                <w:b/>
                <w:i/>
                <w:sz w:val="20"/>
                <w:szCs w:val="20"/>
              </w:rPr>
              <w:t>Notes:</w:t>
            </w:r>
          </w:p>
        </w:tc>
        <w:tc>
          <w:tcPr>
            <w:tcW w:w="4126"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sz w:val="20"/>
                <w:szCs w:val="20"/>
              </w:rPr>
            </w:pPr>
            <w:r>
              <w:rPr>
                <w:rFonts w:ascii="Arial Narrow" w:hAnsi="Arial Narrow"/>
                <w:sz w:val="20"/>
                <w:szCs w:val="20"/>
              </w:rPr>
              <w:t xml:space="preserve">No increase in the maximum quantity or number of units or number of repeats </w:t>
            </w:r>
            <w:r>
              <w:rPr>
                <w:rFonts w:ascii="Arial Narrow" w:hAnsi="Arial Narrow"/>
                <w:strike/>
                <w:sz w:val="20"/>
                <w:szCs w:val="20"/>
              </w:rPr>
              <w:t>will</w:t>
            </w:r>
            <w:r>
              <w:rPr>
                <w:rFonts w:ascii="Arial Narrow" w:hAnsi="Arial Narrow"/>
                <w:sz w:val="20"/>
                <w:szCs w:val="20"/>
              </w:rPr>
              <w:t xml:space="preserve"> </w:t>
            </w:r>
            <w:r>
              <w:rPr>
                <w:rFonts w:ascii="Arial Narrow" w:hAnsi="Arial Narrow"/>
                <w:i/>
                <w:sz w:val="20"/>
                <w:szCs w:val="20"/>
              </w:rPr>
              <w:t xml:space="preserve">may </w:t>
            </w:r>
            <w:r>
              <w:rPr>
                <w:rFonts w:ascii="Arial Narrow" w:hAnsi="Arial Narrow"/>
                <w:sz w:val="20"/>
                <w:szCs w:val="20"/>
              </w:rPr>
              <w:t>be authorised.</w:t>
            </w:r>
          </w:p>
          <w:p w:rsidR="00B6569C" w:rsidRDefault="00E82474">
            <w:pPr>
              <w:keepLines/>
              <w:widowControl/>
              <w:numPr>
                <w:ilvl w:val="0"/>
                <w:numId w:val="6"/>
              </w:numPr>
              <w:rPr>
                <w:rFonts w:ascii="Arial Narrow" w:hAnsi="Arial Narrow"/>
                <w:sz w:val="20"/>
                <w:szCs w:val="20"/>
              </w:rPr>
            </w:pPr>
            <w:r>
              <w:rPr>
                <w:rFonts w:ascii="Arial Narrow" w:hAnsi="Arial Narrow"/>
                <w:i/>
                <w:sz w:val="20"/>
                <w:szCs w:val="20"/>
              </w:rPr>
              <w:t>Special Pricing Arrangements apply</w:t>
            </w:r>
          </w:p>
        </w:tc>
      </w:tr>
    </w:tbl>
    <w:p w:rsidR="00B6569C" w:rsidRDefault="00B6569C">
      <w:pPr>
        <w:widowControl/>
        <w:rPr>
          <w:rFonts w:ascii="Arial Narrow" w:hAnsi="Arial Narrow"/>
          <w:sz w:val="20"/>
          <w:szCs w:val="20"/>
        </w:rPr>
      </w:pPr>
    </w:p>
    <w:tbl>
      <w:tblPr>
        <w:tblW w:w="5001" w:type="pct"/>
        <w:tblLook w:val="0000" w:firstRow="0" w:lastRow="0" w:firstColumn="0" w:lastColumn="0" w:noHBand="0" w:noVBand="0"/>
      </w:tblPr>
      <w:tblGrid>
        <w:gridCol w:w="1577"/>
        <w:gridCol w:w="7442"/>
      </w:tblGrid>
      <w:tr w:rsidR="00B6569C">
        <w:trPr>
          <w:trHeight w:val="153"/>
        </w:trPr>
        <w:tc>
          <w:tcPr>
            <w:tcW w:w="874"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b/>
                <w:sz w:val="20"/>
                <w:szCs w:val="20"/>
              </w:rPr>
            </w:pPr>
            <w:r>
              <w:rPr>
                <w:rFonts w:ascii="Arial Narrow" w:hAnsi="Arial Narrow"/>
                <w:b/>
                <w:sz w:val="20"/>
                <w:szCs w:val="20"/>
              </w:rPr>
              <w:t>Category/program</w:t>
            </w:r>
          </w:p>
        </w:tc>
        <w:tc>
          <w:tcPr>
            <w:tcW w:w="4126"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sz w:val="20"/>
                <w:szCs w:val="20"/>
              </w:rPr>
            </w:pPr>
            <w:r>
              <w:rPr>
                <w:rFonts w:ascii="Arial Narrow" w:hAnsi="Arial Narrow"/>
                <w:sz w:val="20"/>
                <w:szCs w:val="20"/>
              </w:rPr>
              <w:t>Section 100 (Public/Private), Efficient funding of Chemotherapy</w:t>
            </w:r>
          </w:p>
        </w:tc>
      </w:tr>
      <w:tr w:rsidR="00B656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20"/>
        </w:trPr>
        <w:tc>
          <w:tcPr>
            <w:tcW w:w="87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6569C" w:rsidRDefault="00E82474">
            <w:pPr>
              <w:pStyle w:val="Tabletext"/>
              <w:keepNext/>
              <w:rPr>
                <w:b/>
                <w:szCs w:val="20"/>
                <w:lang w:eastAsia="en-AU"/>
              </w:rPr>
            </w:pPr>
            <w:r>
              <w:rPr>
                <w:rFonts w:cs="Calibri"/>
                <w:b/>
                <w:szCs w:val="20"/>
              </w:rPr>
              <w:t>Prescriber type:</w:t>
            </w:r>
          </w:p>
        </w:tc>
        <w:tc>
          <w:tcPr>
            <w:tcW w:w="412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6569C" w:rsidRDefault="00E82474">
            <w:pPr>
              <w:pStyle w:val="Tabletext"/>
              <w:keepNext/>
              <w:rPr>
                <w:rFonts w:cs="Calibri"/>
                <w:szCs w:val="20"/>
              </w:rPr>
            </w:pPr>
            <w:r>
              <w:rPr>
                <w:rFonts w:cs="Calibri"/>
                <w:szCs w:val="20"/>
              </w:rPr>
              <w:fldChar w:fldCharType="begin">
                <w:ffData>
                  <w:name w:val=""/>
                  <w:enabled/>
                  <w:calcOnExit w:val="0"/>
                  <w:checkBox>
                    <w:sizeAuto/>
                    <w:default w:val="0"/>
                  </w:checkBox>
                </w:ffData>
              </w:fldChar>
            </w:r>
            <w:r>
              <w:rPr>
                <w:rFonts w:cs="Calibri"/>
                <w:szCs w:val="20"/>
              </w:rPr>
              <w:instrText xml:space="preserve"> FORMCHECKBOX </w:instrText>
            </w:r>
            <w:r w:rsidR="001F7C95">
              <w:rPr>
                <w:rFonts w:cs="Calibri"/>
                <w:szCs w:val="20"/>
              </w:rPr>
            </w:r>
            <w:r w:rsidR="001F7C95">
              <w:rPr>
                <w:rFonts w:cs="Calibri"/>
                <w:szCs w:val="20"/>
              </w:rPr>
              <w:fldChar w:fldCharType="separate"/>
            </w:r>
            <w:r>
              <w:rPr>
                <w:rFonts w:cs="Calibri"/>
                <w:szCs w:val="20"/>
              </w:rPr>
              <w:fldChar w:fldCharType="end"/>
            </w:r>
            <w:r>
              <w:rPr>
                <w:rFonts w:cs="Calibri"/>
                <w:szCs w:val="20"/>
              </w:rPr>
              <w:t xml:space="preserve">Dental  </w:t>
            </w:r>
            <w:r>
              <w:rPr>
                <w:rFonts w:cs="Calibri"/>
                <w:szCs w:val="20"/>
              </w:rPr>
              <w:fldChar w:fldCharType="begin">
                <w:ffData>
                  <w:name w:val=""/>
                  <w:enabled/>
                  <w:calcOnExit w:val="0"/>
                  <w:checkBox>
                    <w:sizeAuto/>
                    <w:default w:val="1"/>
                  </w:checkBox>
                </w:ffData>
              </w:fldChar>
            </w:r>
            <w:r>
              <w:rPr>
                <w:rFonts w:cs="Calibri"/>
                <w:szCs w:val="20"/>
              </w:rPr>
              <w:instrText xml:space="preserve"> FORMCHECKBOX </w:instrText>
            </w:r>
            <w:r w:rsidR="001F7C95">
              <w:rPr>
                <w:rFonts w:cs="Calibri"/>
                <w:szCs w:val="20"/>
              </w:rPr>
            </w:r>
            <w:r w:rsidR="001F7C95">
              <w:rPr>
                <w:rFonts w:cs="Calibri"/>
                <w:szCs w:val="20"/>
              </w:rPr>
              <w:fldChar w:fldCharType="separate"/>
            </w:r>
            <w:r>
              <w:rPr>
                <w:rFonts w:cs="Calibri"/>
                <w:szCs w:val="20"/>
              </w:rPr>
              <w:fldChar w:fldCharType="end"/>
            </w:r>
            <w:r>
              <w:rPr>
                <w:rFonts w:cs="Calibri"/>
                <w:szCs w:val="20"/>
              </w:rPr>
              <w:t xml:space="preserve">Medical Practitioners  </w:t>
            </w:r>
            <w:r>
              <w:rPr>
                <w:rFonts w:cs="Calibri"/>
                <w:szCs w:val="20"/>
              </w:rPr>
              <w:fldChar w:fldCharType="begin">
                <w:ffData>
                  <w:name w:val="Check3"/>
                  <w:enabled/>
                  <w:calcOnExit w:val="0"/>
                  <w:checkBox>
                    <w:sizeAuto/>
                    <w:default w:val="0"/>
                  </w:checkBox>
                </w:ffData>
              </w:fldChar>
            </w:r>
            <w:r>
              <w:rPr>
                <w:rFonts w:cs="Calibri"/>
                <w:szCs w:val="20"/>
              </w:rPr>
              <w:instrText xml:space="preserve"> FORMCHECKBOX </w:instrText>
            </w:r>
            <w:r w:rsidR="001F7C95">
              <w:rPr>
                <w:rFonts w:cs="Calibri"/>
                <w:szCs w:val="20"/>
              </w:rPr>
            </w:r>
            <w:r w:rsidR="001F7C95">
              <w:rPr>
                <w:rFonts w:cs="Calibri"/>
                <w:szCs w:val="20"/>
              </w:rPr>
              <w:fldChar w:fldCharType="separate"/>
            </w:r>
            <w:r>
              <w:rPr>
                <w:rFonts w:cs="Calibri"/>
                <w:szCs w:val="20"/>
              </w:rPr>
              <w:fldChar w:fldCharType="end"/>
            </w:r>
            <w:r>
              <w:rPr>
                <w:rFonts w:cs="Calibri"/>
                <w:szCs w:val="20"/>
              </w:rPr>
              <w:t xml:space="preserve">Nurse practitioners  </w:t>
            </w:r>
            <w:r>
              <w:rPr>
                <w:rFonts w:cs="Calibri"/>
                <w:szCs w:val="20"/>
              </w:rPr>
              <w:fldChar w:fldCharType="begin">
                <w:ffData>
                  <w:name w:val=""/>
                  <w:enabled/>
                  <w:calcOnExit w:val="0"/>
                  <w:checkBox>
                    <w:sizeAuto/>
                    <w:default w:val="0"/>
                  </w:checkBox>
                </w:ffData>
              </w:fldChar>
            </w:r>
            <w:r>
              <w:rPr>
                <w:rFonts w:cs="Calibri"/>
                <w:szCs w:val="20"/>
              </w:rPr>
              <w:instrText xml:space="preserve"> FORMCHECKBOX </w:instrText>
            </w:r>
            <w:r w:rsidR="001F7C95">
              <w:rPr>
                <w:rFonts w:cs="Calibri"/>
                <w:szCs w:val="20"/>
              </w:rPr>
            </w:r>
            <w:r w:rsidR="001F7C95">
              <w:rPr>
                <w:rFonts w:cs="Calibri"/>
                <w:szCs w:val="20"/>
              </w:rPr>
              <w:fldChar w:fldCharType="separate"/>
            </w:r>
            <w:r>
              <w:rPr>
                <w:rFonts w:cs="Calibri"/>
                <w:szCs w:val="20"/>
              </w:rPr>
              <w:fldChar w:fldCharType="end"/>
            </w:r>
            <w:r>
              <w:rPr>
                <w:rFonts w:cs="Calibri"/>
                <w:szCs w:val="20"/>
              </w:rPr>
              <w:t xml:space="preserve">Optometrists  </w:t>
            </w:r>
            <w:r>
              <w:rPr>
                <w:rFonts w:cs="Calibri"/>
                <w:szCs w:val="20"/>
              </w:rPr>
              <w:fldChar w:fldCharType="begin">
                <w:ffData>
                  <w:name w:val="Check5"/>
                  <w:enabled/>
                  <w:calcOnExit w:val="0"/>
                  <w:checkBox>
                    <w:sizeAuto/>
                    <w:default w:val="0"/>
                  </w:checkBox>
                </w:ffData>
              </w:fldChar>
            </w:r>
            <w:r>
              <w:rPr>
                <w:rFonts w:cs="Calibri"/>
                <w:szCs w:val="20"/>
              </w:rPr>
              <w:instrText xml:space="preserve"> FORMCHECKBOX </w:instrText>
            </w:r>
            <w:r w:rsidR="001F7C95">
              <w:rPr>
                <w:rFonts w:cs="Calibri"/>
                <w:szCs w:val="20"/>
              </w:rPr>
            </w:r>
            <w:r w:rsidR="001F7C95">
              <w:rPr>
                <w:rFonts w:cs="Calibri"/>
                <w:szCs w:val="20"/>
              </w:rPr>
              <w:fldChar w:fldCharType="separate"/>
            </w:r>
            <w:r>
              <w:rPr>
                <w:rFonts w:cs="Calibri"/>
                <w:szCs w:val="20"/>
              </w:rPr>
              <w:fldChar w:fldCharType="end"/>
            </w:r>
            <w:r>
              <w:rPr>
                <w:rFonts w:cs="Calibri"/>
                <w:szCs w:val="20"/>
              </w:rPr>
              <w:t>Midwives</w:t>
            </w:r>
          </w:p>
        </w:tc>
      </w:tr>
      <w:tr w:rsidR="00B6569C">
        <w:trPr>
          <w:trHeight w:val="103"/>
        </w:trPr>
        <w:tc>
          <w:tcPr>
            <w:tcW w:w="874"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b/>
                <w:sz w:val="20"/>
                <w:szCs w:val="20"/>
              </w:rPr>
            </w:pPr>
            <w:r>
              <w:rPr>
                <w:rFonts w:ascii="Arial Narrow" w:hAnsi="Arial Narrow"/>
                <w:b/>
                <w:sz w:val="20"/>
                <w:szCs w:val="20"/>
              </w:rPr>
              <w:t>Severity:</w:t>
            </w:r>
          </w:p>
        </w:tc>
        <w:tc>
          <w:tcPr>
            <w:tcW w:w="4126"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sz w:val="20"/>
                <w:szCs w:val="20"/>
              </w:rPr>
            </w:pPr>
            <w:r>
              <w:rPr>
                <w:rFonts w:ascii="Arial Narrow" w:hAnsi="Arial Narrow"/>
                <w:sz w:val="20"/>
                <w:szCs w:val="20"/>
              </w:rPr>
              <w:t xml:space="preserve">Resected Stage IIIB, Stage IIIC or Stage IIID </w:t>
            </w:r>
          </w:p>
        </w:tc>
      </w:tr>
      <w:tr w:rsidR="00B6569C">
        <w:trPr>
          <w:trHeight w:val="149"/>
        </w:trPr>
        <w:tc>
          <w:tcPr>
            <w:tcW w:w="874"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b/>
                <w:sz w:val="20"/>
                <w:szCs w:val="20"/>
              </w:rPr>
            </w:pPr>
            <w:r>
              <w:rPr>
                <w:rFonts w:ascii="Arial Narrow" w:hAnsi="Arial Narrow"/>
                <w:b/>
                <w:sz w:val="20"/>
                <w:szCs w:val="20"/>
              </w:rPr>
              <w:t>Condition:</w:t>
            </w:r>
          </w:p>
        </w:tc>
        <w:tc>
          <w:tcPr>
            <w:tcW w:w="4126"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sz w:val="20"/>
                <w:szCs w:val="20"/>
              </w:rPr>
            </w:pPr>
            <w:r>
              <w:rPr>
                <w:rFonts w:ascii="Arial Narrow" w:hAnsi="Arial Narrow"/>
                <w:sz w:val="20"/>
                <w:szCs w:val="20"/>
              </w:rPr>
              <w:t xml:space="preserve">Malignant melanoma </w:t>
            </w:r>
          </w:p>
        </w:tc>
      </w:tr>
      <w:tr w:rsidR="00B6569C">
        <w:trPr>
          <w:trHeight w:val="60"/>
        </w:trPr>
        <w:tc>
          <w:tcPr>
            <w:tcW w:w="874"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b/>
                <w:sz w:val="20"/>
                <w:szCs w:val="20"/>
              </w:rPr>
            </w:pPr>
            <w:r>
              <w:rPr>
                <w:rFonts w:ascii="Arial Narrow" w:hAnsi="Arial Narrow"/>
                <w:b/>
                <w:sz w:val="20"/>
                <w:szCs w:val="20"/>
              </w:rPr>
              <w:t>PBS Indication:</w:t>
            </w:r>
          </w:p>
        </w:tc>
        <w:tc>
          <w:tcPr>
            <w:tcW w:w="4126"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sz w:val="20"/>
                <w:szCs w:val="20"/>
              </w:rPr>
            </w:pPr>
            <w:r>
              <w:rPr>
                <w:rFonts w:ascii="Arial Narrow" w:hAnsi="Arial Narrow"/>
                <w:sz w:val="20"/>
                <w:szCs w:val="20"/>
              </w:rPr>
              <w:t xml:space="preserve">Resected Stage IIIB, Stage IIIC or Stage IIID malignant melanoma </w:t>
            </w:r>
          </w:p>
        </w:tc>
      </w:tr>
      <w:tr w:rsidR="00B6569C">
        <w:trPr>
          <w:trHeight w:val="85"/>
        </w:trPr>
        <w:tc>
          <w:tcPr>
            <w:tcW w:w="874"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b/>
                <w:sz w:val="20"/>
                <w:szCs w:val="20"/>
              </w:rPr>
            </w:pPr>
            <w:r>
              <w:rPr>
                <w:rFonts w:ascii="Arial Narrow" w:hAnsi="Arial Narrow"/>
                <w:b/>
                <w:sz w:val="20"/>
                <w:szCs w:val="20"/>
              </w:rPr>
              <w:t>Treatment phase:</w:t>
            </w:r>
          </w:p>
        </w:tc>
        <w:tc>
          <w:tcPr>
            <w:tcW w:w="4126"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sz w:val="20"/>
                <w:szCs w:val="20"/>
              </w:rPr>
            </w:pPr>
            <w:r>
              <w:rPr>
                <w:rFonts w:ascii="Arial Narrow" w:hAnsi="Arial Narrow"/>
                <w:sz w:val="20"/>
                <w:szCs w:val="20"/>
              </w:rPr>
              <w:t>Grandfathering treatment</w:t>
            </w:r>
          </w:p>
        </w:tc>
      </w:tr>
      <w:tr w:rsidR="00B6569C">
        <w:trPr>
          <w:trHeight w:val="360"/>
        </w:trPr>
        <w:tc>
          <w:tcPr>
            <w:tcW w:w="874"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b/>
                <w:sz w:val="20"/>
                <w:szCs w:val="20"/>
              </w:rPr>
            </w:pPr>
            <w:r>
              <w:rPr>
                <w:rFonts w:ascii="Arial Narrow" w:hAnsi="Arial Narrow"/>
                <w:b/>
                <w:sz w:val="20"/>
                <w:szCs w:val="20"/>
              </w:rPr>
              <w:t>Restriction:</w:t>
            </w:r>
          </w:p>
        </w:tc>
        <w:tc>
          <w:tcPr>
            <w:tcW w:w="4126"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strike/>
                <w:sz w:val="20"/>
                <w:szCs w:val="20"/>
              </w:rPr>
            </w:pPr>
            <w:r>
              <w:rPr>
                <w:rFonts w:ascii="Arial Narrow" w:hAnsi="Arial Narrow"/>
                <w:strike/>
                <w:sz w:val="20"/>
                <w:szCs w:val="20"/>
              </w:rPr>
              <w:fldChar w:fldCharType="begin">
                <w:ffData>
                  <w:name w:val="Check5"/>
                  <w:enabled/>
                  <w:calcOnExit w:val="0"/>
                  <w:checkBox>
                    <w:sizeAuto/>
                    <w:default w:val="1"/>
                  </w:checkBox>
                </w:ffData>
              </w:fldChar>
            </w:r>
            <w:r>
              <w:rPr>
                <w:rFonts w:ascii="Arial Narrow" w:hAnsi="Arial Narrow"/>
                <w:strike/>
                <w:sz w:val="20"/>
                <w:szCs w:val="20"/>
              </w:rPr>
              <w:instrText xml:space="preserve"> FORMCHECKBOX </w:instrText>
            </w:r>
            <w:r w:rsidR="001F7C95">
              <w:rPr>
                <w:rFonts w:ascii="Arial Narrow" w:hAnsi="Arial Narrow"/>
                <w:strike/>
                <w:sz w:val="20"/>
                <w:szCs w:val="20"/>
              </w:rPr>
            </w:r>
            <w:r w:rsidR="001F7C95">
              <w:rPr>
                <w:rFonts w:ascii="Arial Narrow" w:hAnsi="Arial Narrow"/>
                <w:strike/>
                <w:sz w:val="20"/>
                <w:szCs w:val="20"/>
              </w:rPr>
              <w:fldChar w:fldCharType="separate"/>
            </w:r>
            <w:r>
              <w:rPr>
                <w:rFonts w:ascii="Arial Narrow" w:hAnsi="Arial Narrow"/>
                <w:strike/>
                <w:sz w:val="20"/>
                <w:szCs w:val="20"/>
              </w:rPr>
              <w:fldChar w:fldCharType="end"/>
            </w:r>
            <w:r>
              <w:rPr>
                <w:rFonts w:ascii="Arial Narrow" w:hAnsi="Arial Narrow"/>
                <w:strike/>
                <w:sz w:val="20"/>
                <w:szCs w:val="20"/>
              </w:rPr>
              <w:t xml:space="preserve"> Authority Required (STREAMLINED)</w:t>
            </w:r>
          </w:p>
          <w:p w:rsidR="00B6569C" w:rsidRDefault="00E82474">
            <w:pPr>
              <w:keepLines/>
              <w:widowControl/>
              <w:numPr>
                <w:ilvl w:val="0"/>
                <w:numId w:val="6"/>
              </w:numPr>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1"/>
                  </w:checkBox>
                </w:ffData>
              </w:fldChar>
            </w:r>
            <w:r>
              <w:rPr>
                <w:rFonts w:ascii="Arial Narrow" w:hAnsi="Arial Narrow"/>
                <w:sz w:val="20"/>
                <w:szCs w:val="20"/>
              </w:rPr>
              <w:instrText xml:space="preserve"> FORMCHECKBOX </w:instrText>
            </w:r>
            <w:r w:rsidR="001F7C95">
              <w:rPr>
                <w:rFonts w:ascii="Arial Narrow" w:hAnsi="Arial Narrow"/>
                <w:sz w:val="20"/>
                <w:szCs w:val="20"/>
              </w:rPr>
            </w:r>
            <w:r w:rsidR="001F7C95">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Authority Required (Telephone)</w:t>
            </w:r>
          </w:p>
        </w:tc>
      </w:tr>
      <w:tr w:rsidR="00B6569C">
        <w:trPr>
          <w:trHeight w:val="360"/>
        </w:trPr>
        <w:tc>
          <w:tcPr>
            <w:tcW w:w="874"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b/>
                <w:sz w:val="20"/>
                <w:szCs w:val="20"/>
              </w:rPr>
            </w:pPr>
            <w:r>
              <w:rPr>
                <w:rFonts w:ascii="Arial Narrow" w:hAnsi="Arial Narrow"/>
                <w:b/>
                <w:sz w:val="20"/>
                <w:szCs w:val="20"/>
              </w:rPr>
              <w:t>Clinical criteria:</w:t>
            </w:r>
          </w:p>
        </w:tc>
        <w:tc>
          <w:tcPr>
            <w:tcW w:w="4126"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sz w:val="20"/>
                <w:szCs w:val="20"/>
              </w:rPr>
            </w:pPr>
            <w:r>
              <w:rPr>
                <w:rFonts w:ascii="Arial Narrow" w:hAnsi="Arial Narrow"/>
                <w:sz w:val="20"/>
                <w:szCs w:val="20"/>
              </w:rPr>
              <w:t xml:space="preserve">Patient must have </w:t>
            </w:r>
            <w:r>
              <w:rPr>
                <w:rFonts w:ascii="Arial Narrow" w:hAnsi="Arial Narrow"/>
                <w:i/>
                <w:sz w:val="20"/>
                <w:szCs w:val="20"/>
              </w:rPr>
              <w:t>previously</w:t>
            </w:r>
            <w:r>
              <w:rPr>
                <w:rFonts w:ascii="Arial Narrow" w:hAnsi="Arial Narrow"/>
                <w:sz w:val="20"/>
                <w:szCs w:val="20"/>
              </w:rPr>
              <w:t xml:space="preserve"> received non-PBS treatment with this drug for </w:t>
            </w:r>
            <w:r>
              <w:rPr>
                <w:rFonts w:ascii="Arial Narrow" w:hAnsi="Arial Narrow"/>
                <w:i/>
                <w:sz w:val="20"/>
                <w:szCs w:val="20"/>
              </w:rPr>
              <w:t>adjuvant treatment following complete surgical resection</w:t>
            </w:r>
            <w:r>
              <w:rPr>
                <w:rFonts w:ascii="Arial Narrow" w:hAnsi="Arial Narrow"/>
                <w:sz w:val="20"/>
                <w:szCs w:val="20"/>
              </w:rPr>
              <w:t xml:space="preserve"> </w:t>
            </w:r>
            <w:r>
              <w:rPr>
                <w:rFonts w:ascii="Arial Narrow" w:hAnsi="Arial Narrow"/>
                <w:strike/>
                <w:sz w:val="20"/>
                <w:szCs w:val="20"/>
              </w:rPr>
              <w:t>this condition in the adjuvant setting</w:t>
            </w:r>
            <w:r>
              <w:rPr>
                <w:rFonts w:ascii="Arial Narrow" w:hAnsi="Arial Narrow"/>
                <w:sz w:val="20"/>
                <w:szCs w:val="20"/>
              </w:rPr>
              <w:t xml:space="preserve"> prior to [date of PBS listing], AND</w:t>
            </w:r>
          </w:p>
          <w:p w:rsidR="00B6569C" w:rsidRDefault="00E82474">
            <w:pPr>
              <w:keepLines/>
              <w:widowControl/>
              <w:numPr>
                <w:ilvl w:val="0"/>
                <w:numId w:val="6"/>
              </w:numPr>
              <w:rPr>
                <w:rFonts w:ascii="Arial Narrow" w:hAnsi="Arial Narrow"/>
                <w:strike/>
                <w:sz w:val="20"/>
                <w:szCs w:val="20"/>
              </w:rPr>
            </w:pPr>
            <w:r>
              <w:rPr>
                <w:rFonts w:ascii="Arial Narrow" w:hAnsi="Arial Narrow"/>
                <w:i/>
                <w:strike/>
                <w:sz w:val="20"/>
                <w:szCs w:val="20"/>
              </w:rPr>
              <w:t>The patient must be at high risk of recurrence following complete surgical resection, AND</w:t>
            </w:r>
          </w:p>
          <w:p w:rsidR="00B6569C" w:rsidRDefault="00E82474">
            <w:pPr>
              <w:keepLines/>
              <w:widowControl/>
              <w:numPr>
                <w:ilvl w:val="0"/>
                <w:numId w:val="6"/>
              </w:numPr>
              <w:rPr>
                <w:rFonts w:ascii="Arial Narrow" w:hAnsi="Arial Narrow"/>
                <w:sz w:val="20"/>
                <w:szCs w:val="20"/>
              </w:rPr>
            </w:pPr>
            <w:r>
              <w:rPr>
                <w:rFonts w:ascii="Arial Narrow" w:hAnsi="Arial Narrow"/>
                <w:sz w:val="20"/>
                <w:szCs w:val="20"/>
              </w:rPr>
              <w:t xml:space="preserve">The treatment must be the sole PBS-subsidised therapy for this condition, </w:t>
            </w:r>
          </w:p>
          <w:p w:rsidR="00B6569C" w:rsidRDefault="00E82474">
            <w:pPr>
              <w:keepLines/>
              <w:widowControl/>
              <w:numPr>
                <w:ilvl w:val="0"/>
                <w:numId w:val="6"/>
              </w:numPr>
              <w:rPr>
                <w:rFonts w:ascii="Arial Narrow" w:hAnsi="Arial Narrow"/>
                <w:sz w:val="20"/>
                <w:szCs w:val="20"/>
              </w:rPr>
            </w:pPr>
            <w:r>
              <w:rPr>
                <w:rFonts w:ascii="Arial Narrow" w:hAnsi="Arial Narrow"/>
                <w:sz w:val="20"/>
                <w:szCs w:val="20"/>
              </w:rPr>
              <w:t>AND</w:t>
            </w:r>
          </w:p>
          <w:p w:rsidR="00B6569C" w:rsidRDefault="00E82474">
            <w:pPr>
              <w:keepLines/>
              <w:widowControl/>
              <w:numPr>
                <w:ilvl w:val="0"/>
                <w:numId w:val="6"/>
              </w:numPr>
              <w:rPr>
                <w:rFonts w:ascii="Arial Narrow" w:hAnsi="Arial Narrow"/>
                <w:sz w:val="20"/>
                <w:szCs w:val="20"/>
              </w:rPr>
            </w:pPr>
            <w:r>
              <w:rPr>
                <w:rFonts w:ascii="Arial Narrow" w:hAnsi="Arial Narrow"/>
                <w:i/>
                <w:sz w:val="20"/>
                <w:szCs w:val="20"/>
              </w:rPr>
              <w:t>The patient must have a WHO performance status of 0 or 1</w:t>
            </w:r>
            <w:r>
              <w:rPr>
                <w:rFonts w:ascii="Arial Narrow" w:hAnsi="Arial Narrow"/>
                <w:sz w:val="20"/>
                <w:szCs w:val="20"/>
              </w:rPr>
              <w:t>,</w:t>
            </w:r>
          </w:p>
          <w:p w:rsidR="00B6569C" w:rsidRDefault="00E82474">
            <w:pPr>
              <w:keepLines/>
              <w:widowControl/>
              <w:numPr>
                <w:ilvl w:val="0"/>
                <w:numId w:val="6"/>
              </w:numPr>
              <w:rPr>
                <w:rFonts w:ascii="Arial Narrow" w:hAnsi="Arial Narrow"/>
                <w:sz w:val="20"/>
                <w:szCs w:val="20"/>
              </w:rPr>
            </w:pPr>
            <w:r>
              <w:rPr>
                <w:rFonts w:ascii="Arial Narrow" w:hAnsi="Arial Narrow"/>
                <w:sz w:val="20"/>
                <w:szCs w:val="20"/>
              </w:rPr>
              <w:t>AND</w:t>
            </w:r>
          </w:p>
          <w:p w:rsidR="00B6569C" w:rsidRDefault="00E82474">
            <w:pPr>
              <w:keepLines/>
              <w:widowControl/>
              <w:numPr>
                <w:ilvl w:val="0"/>
                <w:numId w:val="6"/>
              </w:numPr>
              <w:rPr>
                <w:rFonts w:ascii="Arial Narrow" w:hAnsi="Arial Narrow"/>
                <w:sz w:val="20"/>
                <w:szCs w:val="20"/>
              </w:rPr>
            </w:pPr>
            <w:r>
              <w:rPr>
                <w:rFonts w:ascii="Arial Narrow" w:hAnsi="Arial Narrow"/>
                <w:sz w:val="20"/>
                <w:szCs w:val="20"/>
              </w:rPr>
              <w:t>The patient must not have evidence of recurrence.</w:t>
            </w:r>
          </w:p>
        </w:tc>
      </w:tr>
      <w:tr w:rsidR="00B6569C">
        <w:trPr>
          <w:trHeight w:val="360"/>
        </w:trPr>
        <w:tc>
          <w:tcPr>
            <w:tcW w:w="874"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b/>
                <w:sz w:val="20"/>
                <w:szCs w:val="20"/>
              </w:rPr>
            </w:pPr>
            <w:r>
              <w:rPr>
                <w:rFonts w:ascii="Arial Narrow" w:hAnsi="Arial Narrow"/>
                <w:b/>
                <w:sz w:val="20"/>
                <w:szCs w:val="20"/>
              </w:rPr>
              <w:t>Treatment criteria:</w:t>
            </w:r>
          </w:p>
        </w:tc>
        <w:tc>
          <w:tcPr>
            <w:tcW w:w="4126"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widowControl/>
              <w:numPr>
                <w:ilvl w:val="0"/>
                <w:numId w:val="6"/>
              </w:numPr>
              <w:rPr>
                <w:rFonts w:ascii="Arial Narrow" w:hAnsi="Arial Narrow"/>
                <w:i/>
                <w:strike/>
                <w:sz w:val="20"/>
                <w:szCs w:val="20"/>
              </w:rPr>
            </w:pPr>
            <w:r>
              <w:rPr>
                <w:rFonts w:ascii="Arial Narrow" w:hAnsi="Arial Narrow"/>
                <w:i/>
                <w:strike/>
                <w:sz w:val="20"/>
                <w:szCs w:val="20"/>
              </w:rPr>
              <w:t>The treatment is not PBS listed for mucosal or ocular melanoma</w:t>
            </w:r>
          </w:p>
          <w:p w:rsidR="00B6569C" w:rsidRDefault="00E82474">
            <w:pPr>
              <w:widowControl/>
              <w:numPr>
                <w:ilvl w:val="0"/>
                <w:numId w:val="6"/>
              </w:numPr>
              <w:rPr>
                <w:rFonts w:ascii="Arial Narrow" w:hAnsi="Arial Narrow"/>
                <w:strike/>
                <w:sz w:val="20"/>
                <w:szCs w:val="20"/>
              </w:rPr>
            </w:pPr>
            <w:r>
              <w:rPr>
                <w:rFonts w:ascii="Arial Narrow" w:hAnsi="Arial Narrow"/>
                <w:sz w:val="20"/>
                <w:szCs w:val="20"/>
              </w:rPr>
              <w:t>Treatment must not exceed a maximum duration of 12 months (18 cycles at a dose of 200 mg every 3 weeks) (initial and continuing therapy) under this restriction.</w:t>
            </w:r>
          </w:p>
        </w:tc>
      </w:tr>
      <w:tr w:rsidR="00B6569C">
        <w:trPr>
          <w:trHeight w:val="360"/>
        </w:trPr>
        <w:tc>
          <w:tcPr>
            <w:tcW w:w="874"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b/>
                <w:strike/>
                <w:sz w:val="20"/>
                <w:szCs w:val="20"/>
              </w:rPr>
            </w:pPr>
            <w:r>
              <w:rPr>
                <w:rFonts w:ascii="Arial Narrow" w:hAnsi="Arial Narrow"/>
                <w:b/>
                <w:i/>
                <w:sz w:val="20"/>
                <w:szCs w:val="20"/>
              </w:rPr>
              <w:t>Notes:</w:t>
            </w:r>
          </w:p>
        </w:tc>
        <w:tc>
          <w:tcPr>
            <w:tcW w:w="4126"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sz w:val="20"/>
                <w:szCs w:val="20"/>
              </w:rPr>
            </w:pPr>
            <w:r>
              <w:rPr>
                <w:rFonts w:ascii="Arial Narrow" w:hAnsi="Arial Narrow"/>
                <w:sz w:val="20"/>
                <w:szCs w:val="20"/>
              </w:rPr>
              <w:t xml:space="preserve">No increase in the maximum quantity or number of units or number of repeats </w:t>
            </w:r>
            <w:r>
              <w:rPr>
                <w:rFonts w:ascii="Arial Narrow" w:hAnsi="Arial Narrow"/>
                <w:strike/>
                <w:sz w:val="20"/>
                <w:szCs w:val="20"/>
              </w:rPr>
              <w:t>will</w:t>
            </w:r>
            <w:r>
              <w:rPr>
                <w:rFonts w:ascii="Arial Narrow" w:hAnsi="Arial Narrow"/>
                <w:sz w:val="20"/>
                <w:szCs w:val="20"/>
              </w:rPr>
              <w:t xml:space="preserve"> </w:t>
            </w:r>
            <w:r>
              <w:rPr>
                <w:rFonts w:ascii="Arial Narrow" w:hAnsi="Arial Narrow"/>
                <w:i/>
                <w:sz w:val="20"/>
                <w:szCs w:val="20"/>
              </w:rPr>
              <w:t>may</w:t>
            </w:r>
            <w:r>
              <w:rPr>
                <w:rFonts w:ascii="Arial Narrow" w:hAnsi="Arial Narrow"/>
                <w:sz w:val="20"/>
                <w:szCs w:val="20"/>
              </w:rPr>
              <w:t xml:space="preserve"> be authorised.</w:t>
            </w:r>
          </w:p>
          <w:p w:rsidR="00B6569C" w:rsidRDefault="00E82474">
            <w:pPr>
              <w:keepLines/>
              <w:widowControl/>
              <w:numPr>
                <w:ilvl w:val="0"/>
                <w:numId w:val="6"/>
              </w:numPr>
              <w:rPr>
                <w:rFonts w:ascii="Arial Narrow" w:hAnsi="Arial Narrow"/>
                <w:sz w:val="20"/>
                <w:szCs w:val="20"/>
              </w:rPr>
            </w:pPr>
            <w:r>
              <w:rPr>
                <w:rFonts w:ascii="Arial Narrow" w:hAnsi="Arial Narrow"/>
                <w:i/>
                <w:sz w:val="20"/>
                <w:szCs w:val="20"/>
              </w:rPr>
              <w:t>Special Pricing Arrangements apply</w:t>
            </w:r>
          </w:p>
        </w:tc>
      </w:tr>
    </w:tbl>
    <w:p w:rsidR="00B6569C" w:rsidRDefault="00B6569C">
      <w:pPr>
        <w:widowControl/>
        <w:rPr>
          <w:rFonts w:ascii="Arial Narrow" w:hAnsi="Arial Narrow" w:cstheme="minorHAnsi"/>
          <w:sz w:val="20"/>
          <w:szCs w:val="20"/>
        </w:rPr>
      </w:pPr>
    </w:p>
    <w:tbl>
      <w:tblPr>
        <w:tblW w:w="5001" w:type="pct"/>
        <w:tblLook w:val="0000" w:firstRow="0" w:lastRow="0" w:firstColumn="0" w:lastColumn="0" w:noHBand="0" w:noVBand="0"/>
      </w:tblPr>
      <w:tblGrid>
        <w:gridCol w:w="1577"/>
        <w:gridCol w:w="7442"/>
      </w:tblGrid>
      <w:tr w:rsidR="00B6569C">
        <w:trPr>
          <w:trHeight w:val="128"/>
        </w:trPr>
        <w:tc>
          <w:tcPr>
            <w:tcW w:w="500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rPr>
                <w:rFonts w:ascii="Arial Narrow" w:hAnsi="Arial Narrow"/>
                <w:b/>
                <w:sz w:val="20"/>
                <w:szCs w:val="20"/>
              </w:rPr>
            </w:pPr>
            <w:r>
              <w:rPr>
                <w:rFonts w:ascii="Arial Narrow" w:hAnsi="Arial Narrow"/>
                <w:b/>
                <w:sz w:val="20"/>
                <w:szCs w:val="20"/>
              </w:rPr>
              <w:t>Pembrolizumab/nivolumab</w:t>
            </w:r>
          </w:p>
        </w:tc>
      </w:tr>
      <w:tr w:rsidR="00B6569C">
        <w:trPr>
          <w:trHeight w:val="128"/>
        </w:trPr>
        <w:tc>
          <w:tcPr>
            <w:tcW w:w="874"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rPr>
                <w:rFonts w:ascii="Arial Narrow" w:hAnsi="Arial Narrow"/>
                <w:b/>
                <w:sz w:val="20"/>
                <w:szCs w:val="20"/>
              </w:rPr>
            </w:pPr>
            <w:r>
              <w:rPr>
                <w:rFonts w:ascii="Arial Narrow" w:hAnsi="Arial Narrow"/>
                <w:b/>
                <w:sz w:val="20"/>
                <w:szCs w:val="20"/>
              </w:rPr>
              <w:t>Category/program</w:t>
            </w:r>
          </w:p>
        </w:tc>
        <w:tc>
          <w:tcPr>
            <w:tcW w:w="4126"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rPr>
                <w:rFonts w:ascii="Arial Narrow" w:hAnsi="Arial Narrow"/>
                <w:sz w:val="20"/>
                <w:szCs w:val="20"/>
              </w:rPr>
            </w:pPr>
            <w:r>
              <w:rPr>
                <w:rFonts w:ascii="Arial Narrow" w:hAnsi="Arial Narrow"/>
                <w:sz w:val="20"/>
                <w:szCs w:val="20"/>
              </w:rPr>
              <w:t>Section 100 (Public/Private), Efficient funding of Chemotherapy</w:t>
            </w:r>
          </w:p>
        </w:tc>
      </w:tr>
      <w:tr w:rsidR="00B656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20"/>
        </w:trPr>
        <w:tc>
          <w:tcPr>
            <w:tcW w:w="87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6569C" w:rsidRDefault="00E82474">
            <w:pPr>
              <w:pStyle w:val="Tabletext"/>
              <w:keepNext/>
              <w:rPr>
                <w:b/>
                <w:szCs w:val="20"/>
                <w:lang w:eastAsia="en-AU"/>
              </w:rPr>
            </w:pPr>
            <w:r>
              <w:rPr>
                <w:rFonts w:cs="Calibri"/>
                <w:b/>
                <w:szCs w:val="20"/>
              </w:rPr>
              <w:t>Prescriber type:</w:t>
            </w:r>
          </w:p>
        </w:tc>
        <w:tc>
          <w:tcPr>
            <w:tcW w:w="412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6569C" w:rsidRDefault="00E82474">
            <w:pPr>
              <w:pStyle w:val="Tabletext"/>
              <w:keepNext/>
              <w:rPr>
                <w:rFonts w:cs="Calibri"/>
                <w:szCs w:val="20"/>
              </w:rPr>
            </w:pPr>
            <w:r>
              <w:rPr>
                <w:rFonts w:cs="Calibri"/>
                <w:szCs w:val="20"/>
              </w:rPr>
              <w:fldChar w:fldCharType="begin">
                <w:ffData>
                  <w:name w:val=""/>
                  <w:enabled/>
                  <w:calcOnExit w:val="0"/>
                  <w:checkBox>
                    <w:sizeAuto/>
                    <w:default w:val="0"/>
                  </w:checkBox>
                </w:ffData>
              </w:fldChar>
            </w:r>
            <w:r>
              <w:rPr>
                <w:rFonts w:cs="Calibri"/>
                <w:szCs w:val="20"/>
              </w:rPr>
              <w:instrText xml:space="preserve"> FORMCHECKBOX </w:instrText>
            </w:r>
            <w:r w:rsidR="001F7C95">
              <w:rPr>
                <w:rFonts w:cs="Calibri"/>
                <w:szCs w:val="20"/>
              </w:rPr>
            </w:r>
            <w:r w:rsidR="001F7C95">
              <w:rPr>
                <w:rFonts w:cs="Calibri"/>
                <w:szCs w:val="20"/>
              </w:rPr>
              <w:fldChar w:fldCharType="separate"/>
            </w:r>
            <w:r>
              <w:rPr>
                <w:rFonts w:cs="Calibri"/>
                <w:szCs w:val="20"/>
              </w:rPr>
              <w:fldChar w:fldCharType="end"/>
            </w:r>
            <w:r>
              <w:rPr>
                <w:rFonts w:cs="Calibri"/>
                <w:szCs w:val="20"/>
              </w:rPr>
              <w:t xml:space="preserve">Dental  </w:t>
            </w:r>
            <w:r>
              <w:rPr>
                <w:rFonts w:cs="Calibri"/>
                <w:szCs w:val="20"/>
              </w:rPr>
              <w:fldChar w:fldCharType="begin">
                <w:ffData>
                  <w:name w:val=""/>
                  <w:enabled/>
                  <w:calcOnExit w:val="0"/>
                  <w:checkBox>
                    <w:sizeAuto/>
                    <w:default w:val="1"/>
                  </w:checkBox>
                </w:ffData>
              </w:fldChar>
            </w:r>
            <w:r>
              <w:rPr>
                <w:rFonts w:cs="Calibri"/>
                <w:szCs w:val="20"/>
              </w:rPr>
              <w:instrText xml:space="preserve"> FORMCHECKBOX </w:instrText>
            </w:r>
            <w:r w:rsidR="001F7C95">
              <w:rPr>
                <w:rFonts w:cs="Calibri"/>
                <w:szCs w:val="20"/>
              </w:rPr>
            </w:r>
            <w:r w:rsidR="001F7C95">
              <w:rPr>
                <w:rFonts w:cs="Calibri"/>
                <w:szCs w:val="20"/>
              </w:rPr>
              <w:fldChar w:fldCharType="separate"/>
            </w:r>
            <w:r>
              <w:rPr>
                <w:rFonts w:cs="Calibri"/>
                <w:szCs w:val="20"/>
              </w:rPr>
              <w:fldChar w:fldCharType="end"/>
            </w:r>
            <w:r>
              <w:rPr>
                <w:rFonts w:cs="Calibri"/>
                <w:szCs w:val="20"/>
              </w:rPr>
              <w:t xml:space="preserve">Medical Practitioners  </w:t>
            </w:r>
            <w:r>
              <w:rPr>
                <w:rFonts w:cs="Calibri"/>
                <w:szCs w:val="20"/>
              </w:rPr>
              <w:fldChar w:fldCharType="begin">
                <w:ffData>
                  <w:name w:val="Check3"/>
                  <w:enabled/>
                  <w:calcOnExit w:val="0"/>
                  <w:checkBox>
                    <w:sizeAuto/>
                    <w:default w:val="0"/>
                  </w:checkBox>
                </w:ffData>
              </w:fldChar>
            </w:r>
            <w:r>
              <w:rPr>
                <w:rFonts w:cs="Calibri"/>
                <w:szCs w:val="20"/>
              </w:rPr>
              <w:instrText xml:space="preserve"> FORMCHECKBOX </w:instrText>
            </w:r>
            <w:r w:rsidR="001F7C95">
              <w:rPr>
                <w:rFonts w:cs="Calibri"/>
                <w:szCs w:val="20"/>
              </w:rPr>
            </w:r>
            <w:r w:rsidR="001F7C95">
              <w:rPr>
                <w:rFonts w:cs="Calibri"/>
                <w:szCs w:val="20"/>
              </w:rPr>
              <w:fldChar w:fldCharType="separate"/>
            </w:r>
            <w:r>
              <w:rPr>
                <w:rFonts w:cs="Calibri"/>
                <w:szCs w:val="20"/>
              </w:rPr>
              <w:fldChar w:fldCharType="end"/>
            </w:r>
            <w:r>
              <w:rPr>
                <w:rFonts w:cs="Calibri"/>
                <w:szCs w:val="20"/>
              </w:rPr>
              <w:t xml:space="preserve">Nurse practitioners  </w:t>
            </w:r>
            <w:r>
              <w:rPr>
                <w:rFonts w:cs="Calibri"/>
                <w:szCs w:val="20"/>
              </w:rPr>
              <w:fldChar w:fldCharType="begin">
                <w:ffData>
                  <w:name w:val=""/>
                  <w:enabled/>
                  <w:calcOnExit w:val="0"/>
                  <w:checkBox>
                    <w:sizeAuto/>
                    <w:default w:val="0"/>
                  </w:checkBox>
                </w:ffData>
              </w:fldChar>
            </w:r>
            <w:r>
              <w:rPr>
                <w:rFonts w:cs="Calibri"/>
                <w:szCs w:val="20"/>
              </w:rPr>
              <w:instrText xml:space="preserve"> FORMCHECKBOX </w:instrText>
            </w:r>
            <w:r w:rsidR="001F7C95">
              <w:rPr>
                <w:rFonts w:cs="Calibri"/>
                <w:szCs w:val="20"/>
              </w:rPr>
            </w:r>
            <w:r w:rsidR="001F7C95">
              <w:rPr>
                <w:rFonts w:cs="Calibri"/>
                <w:szCs w:val="20"/>
              </w:rPr>
              <w:fldChar w:fldCharType="separate"/>
            </w:r>
            <w:r>
              <w:rPr>
                <w:rFonts w:cs="Calibri"/>
                <w:szCs w:val="20"/>
              </w:rPr>
              <w:fldChar w:fldCharType="end"/>
            </w:r>
            <w:r>
              <w:rPr>
                <w:rFonts w:cs="Calibri"/>
                <w:szCs w:val="20"/>
              </w:rPr>
              <w:t xml:space="preserve">Optometrists  </w:t>
            </w:r>
            <w:r>
              <w:rPr>
                <w:rFonts w:cs="Calibri"/>
                <w:szCs w:val="20"/>
              </w:rPr>
              <w:fldChar w:fldCharType="begin">
                <w:ffData>
                  <w:name w:val="Check5"/>
                  <w:enabled/>
                  <w:calcOnExit w:val="0"/>
                  <w:checkBox>
                    <w:sizeAuto/>
                    <w:default w:val="0"/>
                  </w:checkBox>
                </w:ffData>
              </w:fldChar>
            </w:r>
            <w:r>
              <w:rPr>
                <w:rFonts w:cs="Calibri"/>
                <w:szCs w:val="20"/>
              </w:rPr>
              <w:instrText xml:space="preserve"> FORMCHECKBOX </w:instrText>
            </w:r>
            <w:r w:rsidR="001F7C95">
              <w:rPr>
                <w:rFonts w:cs="Calibri"/>
                <w:szCs w:val="20"/>
              </w:rPr>
            </w:r>
            <w:r w:rsidR="001F7C95">
              <w:rPr>
                <w:rFonts w:cs="Calibri"/>
                <w:szCs w:val="20"/>
              </w:rPr>
              <w:fldChar w:fldCharType="separate"/>
            </w:r>
            <w:r>
              <w:rPr>
                <w:rFonts w:cs="Calibri"/>
                <w:szCs w:val="20"/>
              </w:rPr>
              <w:fldChar w:fldCharType="end"/>
            </w:r>
            <w:r>
              <w:rPr>
                <w:rFonts w:cs="Calibri"/>
                <w:szCs w:val="20"/>
              </w:rPr>
              <w:t>Midwives</w:t>
            </w:r>
          </w:p>
        </w:tc>
      </w:tr>
      <w:tr w:rsidR="00B6569C">
        <w:trPr>
          <w:trHeight w:val="78"/>
        </w:trPr>
        <w:tc>
          <w:tcPr>
            <w:tcW w:w="874"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rPr>
                <w:rFonts w:ascii="Arial Narrow" w:hAnsi="Arial Narrow"/>
                <w:b/>
                <w:sz w:val="20"/>
                <w:szCs w:val="20"/>
              </w:rPr>
            </w:pPr>
            <w:r>
              <w:rPr>
                <w:rFonts w:ascii="Arial Narrow" w:hAnsi="Arial Narrow"/>
                <w:b/>
                <w:sz w:val="20"/>
                <w:szCs w:val="20"/>
              </w:rPr>
              <w:t>Severity:</w:t>
            </w:r>
          </w:p>
        </w:tc>
        <w:tc>
          <w:tcPr>
            <w:tcW w:w="4126"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rPr>
                <w:rFonts w:ascii="Arial Narrow" w:hAnsi="Arial Narrow"/>
                <w:sz w:val="20"/>
                <w:szCs w:val="20"/>
              </w:rPr>
            </w:pPr>
            <w:r>
              <w:rPr>
                <w:rFonts w:ascii="Arial Narrow" w:hAnsi="Arial Narrow"/>
                <w:sz w:val="20"/>
                <w:szCs w:val="20"/>
              </w:rPr>
              <w:t xml:space="preserve">Unresectable Stage III or Stage IV </w:t>
            </w:r>
          </w:p>
        </w:tc>
      </w:tr>
      <w:tr w:rsidR="00B6569C">
        <w:trPr>
          <w:trHeight w:val="124"/>
        </w:trPr>
        <w:tc>
          <w:tcPr>
            <w:tcW w:w="874"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rPr>
                <w:rFonts w:ascii="Arial Narrow" w:hAnsi="Arial Narrow"/>
                <w:b/>
                <w:sz w:val="20"/>
                <w:szCs w:val="20"/>
              </w:rPr>
            </w:pPr>
            <w:r>
              <w:rPr>
                <w:rFonts w:ascii="Arial Narrow" w:hAnsi="Arial Narrow"/>
                <w:b/>
                <w:sz w:val="20"/>
                <w:szCs w:val="20"/>
              </w:rPr>
              <w:t>Condition:</w:t>
            </w:r>
          </w:p>
        </w:tc>
        <w:tc>
          <w:tcPr>
            <w:tcW w:w="4126"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rPr>
                <w:rFonts w:ascii="Arial Narrow" w:hAnsi="Arial Narrow"/>
                <w:sz w:val="20"/>
                <w:szCs w:val="20"/>
              </w:rPr>
            </w:pPr>
            <w:r>
              <w:rPr>
                <w:rFonts w:ascii="Arial Narrow" w:hAnsi="Arial Narrow"/>
                <w:sz w:val="20"/>
                <w:szCs w:val="20"/>
              </w:rPr>
              <w:t xml:space="preserve">Malignant melanoma </w:t>
            </w:r>
          </w:p>
        </w:tc>
      </w:tr>
      <w:tr w:rsidR="00B6569C">
        <w:trPr>
          <w:trHeight w:val="60"/>
        </w:trPr>
        <w:tc>
          <w:tcPr>
            <w:tcW w:w="874"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rPr>
                <w:rFonts w:ascii="Arial Narrow" w:hAnsi="Arial Narrow"/>
                <w:b/>
                <w:sz w:val="20"/>
                <w:szCs w:val="20"/>
              </w:rPr>
            </w:pPr>
            <w:r>
              <w:rPr>
                <w:rFonts w:ascii="Arial Narrow" w:hAnsi="Arial Narrow"/>
                <w:b/>
                <w:sz w:val="20"/>
                <w:szCs w:val="20"/>
              </w:rPr>
              <w:t>PBS Indication:</w:t>
            </w:r>
          </w:p>
        </w:tc>
        <w:tc>
          <w:tcPr>
            <w:tcW w:w="4126"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rPr>
                <w:rFonts w:ascii="Arial Narrow" w:hAnsi="Arial Narrow"/>
                <w:sz w:val="20"/>
                <w:szCs w:val="20"/>
              </w:rPr>
            </w:pPr>
            <w:r>
              <w:rPr>
                <w:rFonts w:ascii="Arial Narrow" w:hAnsi="Arial Narrow"/>
                <w:sz w:val="20"/>
                <w:szCs w:val="20"/>
              </w:rPr>
              <w:t xml:space="preserve">Unresectable Stage III or Stage IV malignant melanoma </w:t>
            </w:r>
          </w:p>
        </w:tc>
      </w:tr>
      <w:tr w:rsidR="00B6569C">
        <w:trPr>
          <w:trHeight w:val="201"/>
        </w:trPr>
        <w:tc>
          <w:tcPr>
            <w:tcW w:w="874"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rPr>
                <w:rFonts w:ascii="Arial Narrow" w:hAnsi="Arial Narrow"/>
                <w:b/>
                <w:sz w:val="20"/>
                <w:szCs w:val="20"/>
              </w:rPr>
            </w:pPr>
            <w:r>
              <w:rPr>
                <w:rFonts w:ascii="Arial Narrow" w:hAnsi="Arial Narrow"/>
                <w:b/>
                <w:sz w:val="20"/>
                <w:szCs w:val="20"/>
              </w:rPr>
              <w:t>Treatment phase:</w:t>
            </w:r>
          </w:p>
        </w:tc>
        <w:tc>
          <w:tcPr>
            <w:tcW w:w="4126"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rPr>
                <w:rFonts w:ascii="Arial Narrow" w:hAnsi="Arial Narrow"/>
                <w:sz w:val="20"/>
                <w:szCs w:val="20"/>
              </w:rPr>
            </w:pPr>
            <w:r>
              <w:rPr>
                <w:rFonts w:ascii="Arial Narrow" w:hAnsi="Arial Narrow"/>
                <w:sz w:val="20"/>
                <w:szCs w:val="20"/>
              </w:rPr>
              <w:t>Initial treatment 3</w:t>
            </w:r>
          </w:p>
        </w:tc>
      </w:tr>
      <w:tr w:rsidR="00B6569C">
        <w:trPr>
          <w:trHeight w:val="247"/>
        </w:trPr>
        <w:tc>
          <w:tcPr>
            <w:tcW w:w="874"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rPr>
                <w:rFonts w:ascii="Arial Narrow" w:hAnsi="Arial Narrow"/>
                <w:b/>
                <w:sz w:val="20"/>
                <w:szCs w:val="20"/>
              </w:rPr>
            </w:pPr>
            <w:r>
              <w:rPr>
                <w:rFonts w:ascii="Arial Narrow" w:hAnsi="Arial Narrow"/>
                <w:b/>
                <w:sz w:val="20"/>
                <w:szCs w:val="20"/>
              </w:rPr>
              <w:t>Restriction:</w:t>
            </w:r>
          </w:p>
        </w:tc>
        <w:tc>
          <w:tcPr>
            <w:tcW w:w="4126"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1"/>
                  </w:checkBox>
                </w:ffData>
              </w:fldChar>
            </w:r>
            <w:r>
              <w:rPr>
                <w:rFonts w:ascii="Arial Narrow" w:hAnsi="Arial Narrow"/>
                <w:sz w:val="20"/>
                <w:szCs w:val="20"/>
              </w:rPr>
              <w:instrText xml:space="preserve"> FORMCHECKBOX </w:instrText>
            </w:r>
            <w:r w:rsidR="001F7C95">
              <w:rPr>
                <w:rFonts w:ascii="Arial Narrow" w:hAnsi="Arial Narrow"/>
                <w:sz w:val="20"/>
                <w:szCs w:val="20"/>
              </w:rPr>
            </w:r>
            <w:r w:rsidR="001F7C95">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Streamlined</w:t>
            </w:r>
          </w:p>
        </w:tc>
      </w:tr>
      <w:tr w:rsidR="00B6569C">
        <w:trPr>
          <w:trHeight w:val="360"/>
        </w:trPr>
        <w:tc>
          <w:tcPr>
            <w:tcW w:w="874"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rPr>
                <w:rFonts w:ascii="Arial Narrow" w:hAnsi="Arial Narrow"/>
                <w:b/>
                <w:sz w:val="20"/>
                <w:szCs w:val="20"/>
              </w:rPr>
            </w:pPr>
            <w:r>
              <w:rPr>
                <w:rFonts w:ascii="Arial Narrow" w:hAnsi="Arial Narrow"/>
                <w:b/>
                <w:sz w:val="20"/>
                <w:szCs w:val="20"/>
              </w:rPr>
              <w:t>Clinical criteria:</w:t>
            </w:r>
          </w:p>
          <w:p w:rsidR="00B6569C" w:rsidRDefault="00B6569C">
            <w:pPr>
              <w:keepLines/>
              <w:widowControl/>
              <w:rPr>
                <w:rFonts w:ascii="Arial Narrow" w:hAnsi="Arial Narrow"/>
                <w:b/>
                <w:sz w:val="20"/>
                <w:szCs w:val="20"/>
              </w:rPr>
            </w:pPr>
          </w:p>
          <w:p w:rsidR="00B6569C" w:rsidRDefault="00B6569C">
            <w:pPr>
              <w:keepLines/>
              <w:widowControl/>
              <w:rPr>
                <w:rFonts w:ascii="Arial Narrow" w:hAnsi="Arial Narrow"/>
                <w:b/>
                <w:sz w:val="20"/>
                <w:szCs w:val="20"/>
              </w:rPr>
            </w:pPr>
          </w:p>
        </w:tc>
        <w:tc>
          <w:tcPr>
            <w:tcW w:w="4126"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rPr>
                <w:rFonts w:ascii="Arial Narrow" w:hAnsi="Arial Narrow"/>
                <w:sz w:val="20"/>
                <w:szCs w:val="20"/>
              </w:rPr>
            </w:pPr>
            <w:r>
              <w:rPr>
                <w:rFonts w:ascii="Arial Narrow" w:hAnsi="Arial Narrow"/>
                <w:sz w:val="20"/>
                <w:szCs w:val="20"/>
              </w:rPr>
              <w:t xml:space="preserve">Patient must not have received prior treatment with ipilimumab or a PD-1 (programmed cell death-1) inhibitor for this condition in the unresectable Stage III or Stage IV setting; </w:t>
            </w:r>
          </w:p>
          <w:p w:rsidR="00B6569C" w:rsidRDefault="00E82474">
            <w:pPr>
              <w:keepLines/>
              <w:widowControl/>
              <w:rPr>
                <w:rFonts w:ascii="Arial Narrow" w:hAnsi="Arial Narrow"/>
                <w:sz w:val="20"/>
                <w:szCs w:val="20"/>
              </w:rPr>
            </w:pPr>
            <w:r>
              <w:rPr>
                <w:rFonts w:ascii="Arial Narrow" w:hAnsi="Arial Narrow"/>
                <w:sz w:val="20"/>
                <w:szCs w:val="20"/>
              </w:rPr>
              <w:t>AND</w:t>
            </w:r>
          </w:p>
          <w:p w:rsidR="00B6569C" w:rsidRDefault="00E82474">
            <w:pPr>
              <w:keepLines/>
              <w:widowControl/>
              <w:rPr>
                <w:rFonts w:ascii="Arial Narrow" w:hAnsi="Arial Narrow"/>
                <w:sz w:val="20"/>
                <w:szCs w:val="20"/>
              </w:rPr>
            </w:pPr>
            <w:r>
              <w:rPr>
                <w:rFonts w:ascii="Arial Narrow" w:hAnsi="Arial Narrow"/>
                <w:sz w:val="20"/>
                <w:szCs w:val="20"/>
              </w:rPr>
              <w:t xml:space="preserve">Patient must have completed 12 months of prior therapy with a PD-1 inhibitor for this condition in the </w:t>
            </w:r>
            <w:r>
              <w:rPr>
                <w:rFonts w:ascii="Arial Narrow" w:hAnsi="Arial Narrow"/>
                <w:strike/>
                <w:sz w:val="20"/>
                <w:szCs w:val="20"/>
              </w:rPr>
              <w:t>resected stage III</w:t>
            </w:r>
            <w:r>
              <w:rPr>
                <w:rFonts w:ascii="Arial Narrow" w:hAnsi="Arial Narrow"/>
                <w:sz w:val="20"/>
                <w:szCs w:val="20"/>
              </w:rPr>
              <w:t xml:space="preserve"> </w:t>
            </w:r>
            <w:r>
              <w:rPr>
                <w:rFonts w:ascii="Arial Narrow" w:hAnsi="Arial Narrow"/>
                <w:i/>
                <w:sz w:val="20"/>
                <w:szCs w:val="20"/>
              </w:rPr>
              <w:t xml:space="preserve">adjuvant </w:t>
            </w:r>
            <w:r>
              <w:rPr>
                <w:rFonts w:ascii="Arial Narrow" w:hAnsi="Arial Narrow"/>
                <w:sz w:val="20"/>
                <w:szCs w:val="20"/>
              </w:rPr>
              <w:t xml:space="preserve">setting without a recurrence while on treatment; </w:t>
            </w:r>
          </w:p>
          <w:p w:rsidR="00B6569C" w:rsidRDefault="00E82474">
            <w:pPr>
              <w:keepLines/>
              <w:widowControl/>
              <w:rPr>
                <w:rFonts w:ascii="Arial Narrow" w:hAnsi="Arial Narrow"/>
                <w:sz w:val="20"/>
                <w:szCs w:val="20"/>
              </w:rPr>
            </w:pPr>
            <w:r>
              <w:rPr>
                <w:rFonts w:ascii="Arial Narrow" w:hAnsi="Arial Narrow"/>
                <w:sz w:val="20"/>
                <w:szCs w:val="20"/>
              </w:rPr>
              <w:t>AND</w:t>
            </w:r>
          </w:p>
          <w:p w:rsidR="00B6569C" w:rsidRDefault="00E82474">
            <w:pPr>
              <w:keepLines/>
              <w:widowControl/>
              <w:rPr>
                <w:rFonts w:ascii="Arial Narrow" w:hAnsi="Arial Narrow"/>
                <w:sz w:val="20"/>
                <w:szCs w:val="20"/>
              </w:rPr>
            </w:pPr>
            <w:r>
              <w:rPr>
                <w:rFonts w:ascii="Arial Narrow" w:hAnsi="Arial Narrow"/>
                <w:sz w:val="20"/>
                <w:szCs w:val="20"/>
              </w:rPr>
              <w:t>Patient must not have experienced a recurrence within 6 months of completing prior therapy with a PD-1 inhibitor in the resected stage III setting; AND</w:t>
            </w:r>
          </w:p>
          <w:p w:rsidR="00B6569C" w:rsidRDefault="00E82474">
            <w:pPr>
              <w:keepLines/>
              <w:widowControl/>
              <w:rPr>
                <w:rFonts w:ascii="Arial Narrow" w:hAnsi="Arial Narrow"/>
                <w:sz w:val="20"/>
                <w:szCs w:val="20"/>
              </w:rPr>
            </w:pPr>
            <w:r>
              <w:rPr>
                <w:rFonts w:ascii="Arial Narrow" w:hAnsi="Arial Narrow"/>
                <w:sz w:val="20"/>
                <w:szCs w:val="20"/>
              </w:rPr>
              <w:t xml:space="preserve">The treatment must be the sole PBS-subsidised therapy for this condition; </w:t>
            </w:r>
          </w:p>
          <w:p w:rsidR="00B6569C" w:rsidRDefault="00E82474">
            <w:pPr>
              <w:keepLines/>
              <w:widowControl/>
              <w:rPr>
                <w:rFonts w:ascii="Arial Narrow" w:hAnsi="Arial Narrow"/>
                <w:sz w:val="20"/>
                <w:szCs w:val="20"/>
              </w:rPr>
            </w:pPr>
            <w:r>
              <w:rPr>
                <w:rFonts w:ascii="Arial Narrow" w:hAnsi="Arial Narrow"/>
                <w:sz w:val="20"/>
                <w:szCs w:val="20"/>
              </w:rPr>
              <w:t>AND</w:t>
            </w:r>
          </w:p>
          <w:p w:rsidR="00B6569C" w:rsidRDefault="00E82474">
            <w:pPr>
              <w:keepLines/>
              <w:widowControl/>
              <w:rPr>
                <w:rFonts w:ascii="Arial Narrow" w:hAnsi="Arial Narrow"/>
                <w:strike/>
                <w:sz w:val="20"/>
                <w:szCs w:val="20"/>
              </w:rPr>
            </w:pPr>
            <w:r>
              <w:rPr>
                <w:rFonts w:ascii="Arial Narrow" w:hAnsi="Arial Narrow"/>
                <w:strike/>
                <w:sz w:val="20"/>
                <w:szCs w:val="20"/>
              </w:rPr>
              <w:lastRenderedPageBreak/>
              <w:t>The patient must have a WHO performance status of 0 or 1</w:t>
            </w:r>
          </w:p>
          <w:p w:rsidR="00B6569C" w:rsidRDefault="00E82474">
            <w:pPr>
              <w:keepLines/>
              <w:widowControl/>
              <w:rPr>
                <w:rFonts w:ascii="Arial Narrow" w:hAnsi="Arial Narrow"/>
                <w:i/>
                <w:sz w:val="20"/>
                <w:szCs w:val="20"/>
              </w:rPr>
            </w:pPr>
            <w:r>
              <w:rPr>
                <w:rFonts w:ascii="Arial Narrow" w:hAnsi="Arial Narrow"/>
                <w:i/>
                <w:sz w:val="20"/>
                <w:szCs w:val="20"/>
              </w:rPr>
              <w:t>The treatment must not exceed a total of 6 doses at a maximum dose of 2 mg per kg every 3 weeks.</w:t>
            </w:r>
          </w:p>
          <w:p w:rsidR="00B6569C" w:rsidRDefault="00E82474">
            <w:pPr>
              <w:keepLines/>
              <w:widowControl/>
              <w:rPr>
                <w:rFonts w:ascii="Arial Narrow" w:hAnsi="Arial Narrow"/>
                <w:sz w:val="20"/>
                <w:szCs w:val="20"/>
              </w:rPr>
            </w:pPr>
            <w:r>
              <w:rPr>
                <w:rFonts w:ascii="Arial Narrow" w:hAnsi="Arial Narrow"/>
                <w:i/>
                <w:sz w:val="20"/>
                <w:szCs w:val="20"/>
              </w:rPr>
              <w:t>The patient’s body weight must be documented in the patient’s medical records at the time treatment is initiated.</w:t>
            </w:r>
          </w:p>
        </w:tc>
      </w:tr>
      <w:tr w:rsidR="00B6569C">
        <w:trPr>
          <w:trHeight w:val="360"/>
        </w:trPr>
        <w:tc>
          <w:tcPr>
            <w:tcW w:w="874"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b/>
                <w:strike/>
                <w:sz w:val="20"/>
                <w:szCs w:val="20"/>
              </w:rPr>
            </w:pPr>
            <w:r>
              <w:rPr>
                <w:rFonts w:ascii="Arial Narrow" w:hAnsi="Arial Narrow"/>
                <w:b/>
                <w:i/>
                <w:sz w:val="20"/>
                <w:szCs w:val="20"/>
              </w:rPr>
              <w:lastRenderedPageBreak/>
              <w:t>Notes:</w:t>
            </w:r>
          </w:p>
        </w:tc>
        <w:tc>
          <w:tcPr>
            <w:tcW w:w="4126" w:type="pct"/>
            <w:tcBorders>
              <w:top w:val="single" w:sz="4" w:space="0" w:color="auto"/>
              <w:left w:val="single" w:sz="4" w:space="0" w:color="auto"/>
              <w:bottom w:val="single" w:sz="4" w:space="0" w:color="auto"/>
              <w:right w:val="single" w:sz="4" w:space="0" w:color="auto"/>
            </w:tcBorders>
            <w:tcMar>
              <w:left w:w="28" w:type="dxa"/>
              <w:right w:w="28" w:type="dxa"/>
            </w:tcMar>
          </w:tcPr>
          <w:p w:rsidR="00B6569C" w:rsidRDefault="00E82474">
            <w:pPr>
              <w:keepLines/>
              <w:widowControl/>
              <w:numPr>
                <w:ilvl w:val="0"/>
                <w:numId w:val="6"/>
              </w:numPr>
              <w:rPr>
                <w:rFonts w:ascii="Arial Narrow" w:hAnsi="Arial Narrow"/>
                <w:sz w:val="20"/>
                <w:szCs w:val="20"/>
              </w:rPr>
            </w:pPr>
            <w:r>
              <w:rPr>
                <w:rFonts w:ascii="Arial Narrow" w:hAnsi="Arial Narrow"/>
                <w:sz w:val="20"/>
                <w:szCs w:val="20"/>
              </w:rPr>
              <w:t>No increase in the maximum quantity repeats may</w:t>
            </w:r>
            <w:r>
              <w:rPr>
                <w:rFonts w:ascii="Arial Narrow" w:hAnsi="Arial Narrow"/>
                <w:i/>
                <w:sz w:val="20"/>
                <w:szCs w:val="20"/>
              </w:rPr>
              <w:t xml:space="preserve"> </w:t>
            </w:r>
            <w:r>
              <w:rPr>
                <w:rFonts w:ascii="Arial Narrow" w:hAnsi="Arial Narrow"/>
                <w:sz w:val="20"/>
                <w:szCs w:val="20"/>
              </w:rPr>
              <w:t>be authorised.</w:t>
            </w:r>
          </w:p>
          <w:p w:rsidR="00B6569C" w:rsidRDefault="00E82474">
            <w:pPr>
              <w:keepLines/>
              <w:widowControl/>
              <w:numPr>
                <w:ilvl w:val="0"/>
                <w:numId w:val="6"/>
              </w:numPr>
              <w:rPr>
                <w:rFonts w:ascii="Arial Narrow" w:hAnsi="Arial Narrow"/>
                <w:sz w:val="20"/>
                <w:szCs w:val="20"/>
              </w:rPr>
            </w:pPr>
            <w:r>
              <w:rPr>
                <w:rFonts w:ascii="Arial Narrow" w:hAnsi="Arial Narrow"/>
                <w:i/>
                <w:sz w:val="20"/>
                <w:szCs w:val="20"/>
              </w:rPr>
              <w:t>Special Pricing Arrangements apply</w:t>
            </w:r>
          </w:p>
        </w:tc>
      </w:tr>
    </w:tbl>
    <w:p w:rsidR="00B6569C" w:rsidRDefault="00B6569C">
      <w:pPr>
        <w:widowControl/>
      </w:pPr>
    </w:p>
    <w:p w:rsidR="00B6569C" w:rsidRDefault="00E82474">
      <w:pPr>
        <w:pStyle w:val="ListParagraph"/>
        <w:widowControl/>
        <w:numPr>
          <w:ilvl w:val="1"/>
          <w:numId w:val="3"/>
        </w:numPr>
      </w:pPr>
      <w:r>
        <w:t xml:space="preserve">The proposed Special Pricing Arrangement (SPA) for pembrolizumab in the adjuvant melanoma setting </w:t>
      </w:r>
      <w:r>
        <w:rPr>
          <w:color w:val="000000" w:themeColor="text1"/>
        </w:rPr>
        <w:t>(</w:t>
      </w:r>
      <w:r w:rsidR="00277D7E">
        <w:rPr>
          <w:noProof/>
          <w:color w:val="000000"/>
          <w:highlight w:val="black"/>
        </w:rPr>
        <w:t>'''''''''</w:t>
      </w:r>
      <w:r>
        <w:rPr>
          <w:color w:val="000000" w:themeColor="text1"/>
        </w:rPr>
        <w:t>% discount applied to the published ex-manufacturer price) is unchanged from the November 2018 submission</w:t>
      </w:r>
      <w:r>
        <w:t>. In addition, the resubmission proposed a Risk-Sharing Arrangement (RSA) for the use of pembrolizumab in the adjuvant setting (see paragraphs 6.75 to 6.77).</w:t>
      </w:r>
    </w:p>
    <w:p w:rsidR="00B6569C" w:rsidRDefault="00E82474">
      <w:pPr>
        <w:pStyle w:val="ListParagraph"/>
        <w:widowControl/>
        <w:numPr>
          <w:ilvl w:val="1"/>
          <w:numId w:val="3"/>
        </w:numPr>
      </w:pPr>
      <w:r>
        <w:t xml:space="preserve">The PBAC has indicated that restrictions for adjuvant therapies for completely resected Stage III melanoma should exclude patients with Stage IIIA disease as classified using the 8th edition of the AJCC staging system (Correspondence from the PBAC to the MSAC, 29 April 2019).  </w:t>
      </w:r>
      <w:r>
        <w:rPr>
          <w:rFonts w:asciiTheme="minorHAnsi" w:hAnsiTheme="minorHAnsi" w:cstheme="minorHAnsi"/>
        </w:rPr>
        <w:t>The PSCR agreed with the proposed change to the PBS indication to limit treatment to patients with Stage IIIB, IIIC or IIID disease only. The PBAC considered this change was reasonable.</w:t>
      </w:r>
    </w:p>
    <w:p w:rsidR="00B6569C" w:rsidRDefault="00E82474">
      <w:pPr>
        <w:pStyle w:val="ListParagraph"/>
        <w:widowControl/>
        <w:numPr>
          <w:ilvl w:val="1"/>
          <w:numId w:val="3"/>
        </w:numPr>
      </w:pPr>
      <w:r>
        <w:t xml:space="preserve">In previous considerations of melanoma treatments in the adjuvant setting, the PBAC has indicated that exclusion of patients with ocular melanoma was inappropriate. </w:t>
      </w:r>
    </w:p>
    <w:p w:rsidR="00B6569C" w:rsidRDefault="00E82474">
      <w:pPr>
        <w:pStyle w:val="ListParagraph"/>
        <w:widowControl/>
        <w:numPr>
          <w:ilvl w:val="1"/>
          <w:numId w:val="3"/>
        </w:numPr>
      </w:pPr>
      <w:r>
        <w:t xml:space="preserve">The resubmission proposed a restriction for retreatment with pembrolizumab for patients who progress to unresectable Stage III or Stage IV malignant melanoma after completing twelve months of treatment with pembrolizumab and remaining recurrence free for at least six month following completion of treatment. The PBAC considered that this was appropriate. As in the November 2018 submission, no clinical evidence was presented supporting retreatment with pembrolizumab. </w:t>
      </w:r>
    </w:p>
    <w:p w:rsidR="00B6569C" w:rsidRDefault="00E82474">
      <w:pPr>
        <w:pStyle w:val="ListParagraph"/>
        <w:widowControl/>
        <w:numPr>
          <w:ilvl w:val="1"/>
          <w:numId w:val="3"/>
        </w:numPr>
      </w:pPr>
      <w:r>
        <w:t>The PBAC advised that an Authority Required (Telephone) listing would be appropriate for both the initial and continuing treatment phases to prevent leakage to patients with Stage IIIA disease and to ensure treatment was capped at 12 months.</w:t>
      </w:r>
    </w:p>
    <w:p w:rsidR="00B6569C" w:rsidRDefault="00E82474">
      <w:pPr>
        <w:pStyle w:val="ListParagraph"/>
        <w:widowControl/>
        <w:rPr>
          <w:i/>
        </w:rPr>
      </w:pPr>
      <w:r>
        <w:rPr>
          <w:i/>
        </w:rPr>
        <w:t>For more detail on the PBAC’s view, see Section 7 PBAC outcome.</w:t>
      </w:r>
    </w:p>
    <w:p w:rsidR="00B6569C" w:rsidRDefault="00E82474">
      <w:pPr>
        <w:pStyle w:val="PBACHeading1"/>
        <w:keepNext/>
      </w:pPr>
      <w:bookmarkStart w:id="2" w:name="_Toc9330465"/>
      <w:r>
        <w:t>Background</w:t>
      </w:r>
      <w:bookmarkEnd w:id="2"/>
    </w:p>
    <w:p w:rsidR="00B6569C" w:rsidRDefault="00E82474">
      <w:pPr>
        <w:keepNext/>
        <w:widowControl/>
        <w:rPr>
          <w:b/>
          <w:i/>
          <w:sz w:val="28"/>
          <w:szCs w:val="28"/>
        </w:rPr>
      </w:pPr>
      <w:r>
        <w:rPr>
          <w:b/>
          <w:i/>
          <w:sz w:val="28"/>
          <w:szCs w:val="28"/>
        </w:rPr>
        <w:t>Registration status</w:t>
      </w:r>
    </w:p>
    <w:p w:rsidR="00B6569C" w:rsidRDefault="00B6569C">
      <w:pPr>
        <w:keepNext/>
        <w:widowControl/>
      </w:pPr>
    </w:p>
    <w:p w:rsidR="00B6569C" w:rsidRDefault="00E82474">
      <w:pPr>
        <w:pStyle w:val="ListParagraph"/>
        <w:keepNext/>
        <w:widowControl/>
        <w:numPr>
          <w:ilvl w:val="1"/>
          <w:numId w:val="3"/>
        </w:numPr>
      </w:pPr>
      <w:r>
        <w:t xml:space="preserve">Pembrolizumab was approved for registration by the TGA on 17 December 2018 as: </w:t>
      </w:r>
    </w:p>
    <w:p w:rsidR="00B6569C" w:rsidRDefault="00E82474">
      <w:pPr>
        <w:pStyle w:val="ListParagraph"/>
        <w:keepNext/>
        <w:widowControl/>
        <w:ind w:left="1080"/>
      </w:pPr>
      <w:r>
        <w:t>“Monotherapy for the adjuvant treatment of patients with melanoma with lymph node involvement who have undergone complete resection.”</w:t>
      </w:r>
    </w:p>
    <w:p w:rsidR="00B6569C" w:rsidRDefault="00E82474">
      <w:pPr>
        <w:pStyle w:val="ListParagraph"/>
        <w:widowControl/>
        <w:numPr>
          <w:ilvl w:val="1"/>
          <w:numId w:val="3"/>
        </w:numPr>
      </w:pPr>
      <w:r>
        <w:t xml:space="preserve">Pembrolizumab is also listed on the Australian Register of Therapeutic Goods (ARTG) as monotherapy for unresectable or metastatic melanoma (Stage III, Stage IV), monotherapy and combination therapy with methotrexate for non-small cell lung </w:t>
      </w:r>
      <w:r>
        <w:lastRenderedPageBreak/>
        <w:t>carcinoma (NSCLC), recurrent or metastatic head and neck cancer, relapsed or refractory classical Hodgkin Lymphoma (cHL), refractory primary mediastinal B-cell lymphoma (PMBCL), and locally advanced or metastatic urothelial carcinoma.</w:t>
      </w:r>
    </w:p>
    <w:p w:rsidR="00B6569C" w:rsidRDefault="00E82474">
      <w:pPr>
        <w:widowControl/>
        <w:rPr>
          <w:b/>
          <w:i/>
          <w:sz w:val="28"/>
          <w:szCs w:val="28"/>
        </w:rPr>
      </w:pPr>
      <w:r>
        <w:rPr>
          <w:b/>
          <w:i/>
          <w:sz w:val="28"/>
          <w:szCs w:val="28"/>
        </w:rPr>
        <w:t>Previous PBAC consideration</w:t>
      </w:r>
    </w:p>
    <w:p w:rsidR="001F7C95" w:rsidRDefault="001F7C95">
      <w:pPr>
        <w:widowControl/>
        <w:rPr>
          <w:rFonts w:ascii="Arial Narrow" w:hAnsi="Arial Narrow"/>
          <w:b/>
          <w:sz w:val="20"/>
          <w:szCs w:val="20"/>
        </w:rPr>
      </w:pPr>
    </w:p>
    <w:p w:rsidR="001F7C95" w:rsidRDefault="001F7C95" w:rsidP="001F7C95">
      <w:pPr>
        <w:pStyle w:val="TableHeading0"/>
      </w:pPr>
      <w:r>
        <w:t xml:space="preserve">Table </w:t>
      </w:r>
      <w:fldSimple w:instr=" SEQ Table \* ARABIC ">
        <w:r w:rsidR="00632FE3">
          <w:rPr>
            <w:noProof/>
          </w:rPr>
          <w:t>2</w:t>
        </w:r>
      </w:fldSimple>
      <w:r w:rsidRPr="001E5B55">
        <w:t>: Summary of outstanding matters of concern</w:t>
      </w:r>
    </w:p>
    <w:tbl>
      <w:tblPr>
        <w:tblStyle w:val="TableGrid"/>
        <w:tblW w:w="0" w:type="auto"/>
        <w:tblLook w:val="04A0" w:firstRow="1" w:lastRow="0" w:firstColumn="1" w:lastColumn="0" w:noHBand="0" w:noVBand="1"/>
        <w:tblCaption w:val="Table 2: Summary of outstanding matters of concern"/>
      </w:tblPr>
      <w:tblGrid>
        <w:gridCol w:w="1555"/>
        <w:gridCol w:w="3543"/>
        <w:gridCol w:w="3918"/>
      </w:tblGrid>
      <w:tr w:rsidR="00B6569C">
        <w:trPr>
          <w:cantSplit/>
          <w:tblHeader/>
        </w:trPr>
        <w:tc>
          <w:tcPr>
            <w:tcW w:w="1555" w:type="dxa"/>
            <w:tcMar>
              <w:left w:w="28" w:type="dxa"/>
              <w:right w:w="28" w:type="dxa"/>
            </w:tcMar>
          </w:tcPr>
          <w:p w:rsidR="00B6569C" w:rsidRDefault="00E82474">
            <w:pPr>
              <w:widowControl/>
              <w:jc w:val="left"/>
              <w:rPr>
                <w:rFonts w:ascii="Arial Narrow" w:hAnsi="Arial Narrow"/>
                <w:b/>
                <w:sz w:val="20"/>
                <w:szCs w:val="20"/>
              </w:rPr>
            </w:pPr>
            <w:r>
              <w:rPr>
                <w:rFonts w:ascii="Arial Narrow" w:hAnsi="Arial Narrow"/>
                <w:b/>
                <w:sz w:val="20"/>
                <w:szCs w:val="20"/>
              </w:rPr>
              <w:t>Component</w:t>
            </w:r>
          </w:p>
        </w:tc>
        <w:tc>
          <w:tcPr>
            <w:tcW w:w="3543" w:type="dxa"/>
            <w:tcMar>
              <w:left w:w="28" w:type="dxa"/>
              <w:right w:w="28" w:type="dxa"/>
            </w:tcMar>
          </w:tcPr>
          <w:p w:rsidR="00B6569C" w:rsidRDefault="00E82474">
            <w:pPr>
              <w:widowControl/>
              <w:jc w:val="center"/>
              <w:rPr>
                <w:rFonts w:ascii="Arial Narrow" w:hAnsi="Arial Narrow"/>
                <w:b/>
                <w:sz w:val="20"/>
                <w:szCs w:val="20"/>
              </w:rPr>
            </w:pPr>
            <w:r>
              <w:rPr>
                <w:rFonts w:ascii="Arial Narrow" w:hAnsi="Arial Narrow"/>
                <w:b/>
                <w:sz w:val="20"/>
                <w:szCs w:val="20"/>
              </w:rPr>
              <w:t>Matter of Concern to the PBAC Nov 2018</w:t>
            </w:r>
          </w:p>
        </w:tc>
        <w:tc>
          <w:tcPr>
            <w:tcW w:w="3918" w:type="dxa"/>
            <w:tcMar>
              <w:left w:w="28" w:type="dxa"/>
              <w:right w:w="28" w:type="dxa"/>
            </w:tcMar>
          </w:tcPr>
          <w:p w:rsidR="00B6569C" w:rsidRDefault="00E82474">
            <w:pPr>
              <w:widowControl/>
              <w:jc w:val="center"/>
              <w:rPr>
                <w:rFonts w:ascii="Arial Narrow" w:hAnsi="Arial Narrow"/>
                <w:b/>
                <w:sz w:val="20"/>
                <w:szCs w:val="20"/>
              </w:rPr>
            </w:pPr>
            <w:r>
              <w:rPr>
                <w:rFonts w:ascii="Arial Narrow" w:hAnsi="Arial Narrow"/>
                <w:b/>
                <w:sz w:val="20"/>
                <w:szCs w:val="20"/>
              </w:rPr>
              <w:t>Approach in the resubmission</w:t>
            </w:r>
          </w:p>
        </w:tc>
      </w:tr>
      <w:tr w:rsidR="00B6569C">
        <w:trPr>
          <w:cantSplit/>
        </w:trPr>
        <w:tc>
          <w:tcPr>
            <w:tcW w:w="9016" w:type="dxa"/>
            <w:gridSpan w:val="3"/>
            <w:tcMar>
              <w:left w:w="28" w:type="dxa"/>
              <w:right w:w="28" w:type="dxa"/>
            </w:tcMar>
          </w:tcPr>
          <w:p w:rsidR="00B6569C" w:rsidRDefault="00E82474">
            <w:pPr>
              <w:widowControl/>
              <w:jc w:val="left"/>
              <w:rPr>
                <w:rFonts w:ascii="Arial Narrow" w:hAnsi="Arial Narrow"/>
                <w:b/>
                <w:sz w:val="20"/>
                <w:szCs w:val="20"/>
              </w:rPr>
            </w:pPr>
            <w:r>
              <w:rPr>
                <w:rFonts w:ascii="Arial Narrow" w:hAnsi="Arial Narrow"/>
                <w:b/>
                <w:sz w:val="20"/>
                <w:szCs w:val="20"/>
              </w:rPr>
              <w:t>Clinical issues</w:t>
            </w:r>
          </w:p>
        </w:tc>
      </w:tr>
      <w:tr w:rsidR="00B6569C">
        <w:trPr>
          <w:cantSplit/>
        </w:trPr>
        <w:tc>
          <w:tcPr>
            <w:tcW w:w="1555" w:type="dxa"/>
            <w:tcMar>
              <w:left w:w="28" w:type="dxa"/>
              <w:right w:w="28" w:type="dxa"/>
            </w:tcMar>
          </w:tcPr>
          <w:p w:rsidR="00B6569C" w:rsidRDefault="00E82474">
            <w:pPr>
              <w:widowControl/>
              <w:jc w:val="left"/>
              <w:rPr>
                <w:rFonts w:ascii="Arial Narrow" w:hAnsi="Arial Narrow"/>
                <w:sz w:val="20"/>
                <w:szCs w:val="20"/>
              </w:rPr>
            </w:pPr>
            <w:r>
              <w:rPr>
                <w:rFonts w:ascii="Arial Narrow" w:hAnsi="Arial Narrow"/>
                <w:sz w:val="20"/>
                <w:szCs w:val="20"/>
              </w:rPr>
              <w:t>Requested restriction</w:t>
            </w:r>
          </w:p>
          <w:p w:rsidR="00B6569C" w:rsidRDefault="00E82474">
            <w:pPr>
              <w:widowControl/>
              <w:jc w:val="left"/>
              <w:rPr>
                <w:rFonts w:ascii="Arial Narrow" w:hAnsi="Arial Narrow"/>
                <w:sz w:val="20"/>
                <w:szCs w:val="20"/>
              </w:rPr>
            </w:pPr>
            <w:r>
              <w:rPr>
                <w:rFonts w:ascii="Arial Narrow" w:hAnsi="Arial Narrow"/>
                <w:sz w:val="20"/>
                <w:szCs w:val="20"/>
              </w:rPr>
              <w:t>(Stage IIIA patients)</w:t>
            </w:r>
          </w:p>
        </w:tc>
        <w:tc>
          <w:tcPr>
            <w:tcW w:w="3543" w:type="dxa"/>
            <w:tcMar>
              <w:left w:w="28" w:type="dxa"/>
              <w:right w:w="28" w:type="dxa"/>
            </w:tcMar>
          </w:tcPr>
          <w:p w:rsidR="00B6569C" w:rsidRDefault="00E82474">
            <w:pPr>
              <w:widowControl/>
              <w:jc w:val="left"/>
              <w:rPr>
                <w:rFonts w:ascii="Arial Narrow" w:hAnsi="Arial Narrow"/>
                <w:sz w:val="20"/>
                <w:szCs w:val="20"/>
              </w:rPr>
            </w:pPr>
            <w:r>
              <w:rPr>
                <w:rFonts w:ascii="Arial Narrow" w:hAnsi="Arial Narrow"/>
                <w:sz w:val="20"/>
                <w:szCs w:val="20"/>
              </w:rPr>
              <w:t>The proposed PBS listing included all resected Stage III patients, but Stage IIIA ≤ 1 mm patients were not represented in the clinical trial population [para.7.6].</w:t>
            </w:r>
          </w:p>
        </w:tc>
        <w:tc>
          <w:tcPr>
            <w:tcW w:w="3918" w:type="dxa"/>
            <w:tcMar>
              <w:left w:w="28" w:type="dxa"/>
              <w:right w:w="28" w:type="dxa"/>
            </w:tcMar>
          </w:tcPr>
          <w:p w:rsidR="00B6569C" w:rsidRDefault="00E82474">
            <w:pPr>
              <w:widowControl/>
              <w:jc w:val="left"/>
              <w:rPr>
                <w:rFonts w:ascii="Arial Narrow" w:hAnsi="Arial Narrow"/>
                <w:sz w:val="20"/>
                <w:szCs w:val="20"/>
              </w:rPr>
            </w:pPr>
            <w:r>
              <w:rPr>
                <w:rFonts w:ascii="Arial Narrow" w:hAnsi="Arial Narrow"/>
                <w:sz w:val="20"/>
                <w:szCs w:val="20"/>
              </w:rPr>
              <w:t>Proposed PBS listing restricted to high risk Stage III patients; i.e. excluding Stage IIIA ≤ 1 mm. This was updated in the PSCR to exclude all Stage IIIA patients.</w:t>
            </w:r>
          </w:p>
        </w:tc>
      </w:tr>
      <w:tr w:rsidR="00B6569C">
        <w:trPr>
          <w:cantSplit/>
        </w:trPr>
        <w:tc>
          <w:tcPr>
            <w:tcW w:w="1555" w:type="dxa"/>
            <w:tcMar>
              <w:left w:w="28" w:type="dxa"/>
              <w:right w:w="28" w:type="dxa"/>
            </w:tcMar>
          </w:tcPr>
          <w:p w:rsidR="00B6569C" w:rsidRDefault="00E82474">
            <w:pPr>
              <w:widowControl/>
              <w:jc w:val="left"/>
              <w:rPr>
                <w:rFonts w:ascii="Arial Narrow" w:hAnsi="Arial Narrow"/>
                <w:sz w:val="20"/>
                <w:szCs w:val="20"/>
              </w:rPr>
            </w:pPr>
            <w:r>
              <w:rPr>
                <w:rFonts w:ascii="Arial Narrow" w:hAnsi="Arial Narrow"/>
                <w:sz w:val="20"/>
                <w:szCs w:val="20"/>
              </w:rPr>
              <w:t>Staging subgroups</w:t>
            </w:r>
          </w:p>
        </w:tc>
        <w:tc>
          <w:tcPr>
            <w:tcW w:w="3543" w:type="dxa"/>
            <w:tcMar>
              <w:left w:w="28" w:type="dxa"/>
              <w:right w:w="28" w:type="dxa"/>
            </w:tcMar>
          </w:tcPr>
          <w:p w:rsidR="00B6569C" w:rsidRDefault="00E82474">
            <w:pPr>
              <w:widowControl/>
              <w:jc w:val="left"/>
              <w:rPr>
                <w:rFonts w:ascii="Arial Narrow" w:hAnsi="Arial Narrow"/>
                <w:sz w:val="20"/>
                <w:szCs w:val="20"/>
              </w:rPr>
            </w:pPr>
            <w:r>
              <w:rPr>
                <w:rFonts w:ascii="Arial Narrow" w:hAnsi="Arial Narrow"/>
                <w:sz w:val="20"/>
                <w:szCs w:val="20"/>
              </w:rPr>
              <w:t>The prognosis for Stage III patients varied widely by staging subgroups and the appropriate population for treatment had not been identified [para.7.1].</w:t>
            </w:r>
          </w:p>
        </w:tc>
        <w:tc>
          <w:tcPr>
            <w:tcW w:w="3918" w:type="dxa"/>
            <w:tcMar>
              <w:left w:w="28" w:type="dxa"/>
              <w:right w:w="28" w:type="dxa"/>
            </w:tcMar>
          </w:tcPr>
          <w:p w:rsidR="00B6569C" w:rsidRDefault="00E82474">
            <w:pPr>
              <w:widowControl/>
              <w:jc w:val="left"/>
              <w:rPr>
                <w:rFonts w:ascii="Arial Narrow" w:hAnsi="Arial Narrow"/>
                <w:sz w:val="20"/>
                <w:szCs w:val="20"/>
              </w:rPr>
            </w:pPr>
            <w:r>
              <w:rPr>
                <w:rFonts w:ascii="Arial Narrow" w:hAnsi="Arial Narrow"/>
                <w:sz w:val="20"/>
                <w:szCs w:val="20"/>
              </w:rPr>
              <w:t>Results were presented for the AJCC 8th edition staging system subgroups (Stage IIIA &gt; 1 mm to Stage IIID).</w:t>
            </w:r>
          </w:p>
        </w:tc>
      </w:tr>
      <w:tr w:rsidR="00B6569C">
        <w:trPr>
          <w:cantSplit/>
        </w:trPr>
        <w:tc>
          <w:tcPr>
            <w:tcW w:w="1555" w:type="dxa"/>
            <w:tcMar>
              <w:left w:w="28" w:type="dxa"/>
              <w:right w:w="28" w:type="dxa"/>
            </w:tcMar>
          </w:tcPr>
          <w:p w:rsidR="00B6569C" w:rsidRDefault="00E82474">
            <w:pPr>
              <w:widowControl/>
              <w:jc w:val="left"/>
              <w:rPr>
                <w:rFonts w:ascii="Arial Narrow" w:hAnsi="Arial Narrow"/>
                <w:sz w:val="20"/>
                <w:szCs w:val="20"/>
              </w:rPr>
            </w:pPr>
            <w:r>
              <w:rPr>
                <w:rFonts w:ascii="Arial Narrow" w:hAnsi="Arial Narrow"/>
                <w:sz w:val="20"/>
                <w:szCs w:val="20"/>
              </w:rPr>
              <w:t>AJCC staging criteria</w:t>
            </w:r>
          </w:p>
        </w:tc>
        <w:tc>
          <w:tcPr>
            <w:tcW w:w="3543" w:type="dxa"/>
            <w:tcMar>
              <w:left w:w="28" w:type="dxa"/>
              <w:right w:w="28" w:type="dxa"/>
            </w:tcMar>
          </w:tcPr>
          <w:p w:rsidR="00B6569C" w:rsidRDefault="00E82474">
            <w:pPr>
              <w:widowControl/>
              <w:jc w:val="left"/>
              <w:rPr>
                <w:rFonts w:ascii="Arial Narrow" w:hAnsi="Arial Narrow"/>
                <w:sz w:val="20"/>
                <w:szCs w:val="20"/>
              </w:rPr>
            </w:pPr>
            <w:r>
              <w:rPr>
                <w:rFonts w:ascii="Arial Narrow" w:hAnsi="Arial Narrow"/>
                <w:sz w:val="20"/>
                <w:szCs w:val="20"/>
              </w:rPr>
              <w:t>Patients categorised using the AJCC 8th edition criteria (current clinical practice) may have a more favourable survival profile across Stages IIIA, IIIB, and IIIC disease compared with patients with similar stage groupings in the AJCC 7th edition (used in the clinical trial and November 2018 submission). The appropriate patient population for treatment with adjuvant pembrolizumab remained unclear [para.7.7].</w:t>
            </w:r>
          </w:p>
        </w:tc>
        <w:tc>
          <w:tcPr>
            <w:tcW w:w="3918" w:type="dxa"/>
            <w:tcMar>
              <w:left w:w="28" w:type="dxa"/>
              <w:right w:w="28" w:type="dxa"/>
            </w:tcMar>
          </w:tcPr>
          <w:p w:rsidR="00B6569C" w:rsidRDefault="00E82474">
            <w:pPr>
              <w:widowControl/>
              <w:jc w:val="left"/>
              <w:rPr>
                <w:rFonts w:ascii="Arial Narrow" w:hAnsi="Arial Narrow"/>
                <w:sz w:val="20"/>
                <w:szCs w:val="20"/>
              </w:rPr>
            </w:pPr>
            <w:r>
              <w:rPr>
                <w:rFonts w:ascii="Arial Narrow" w:hAnsi="Arial Narrow"/>
                <w:sz w:val="20"/>
                <w:szCs w:val="20"/>
              </w:rPr>
              <w:t>Results were presented using the AJCC 8th edition staging system for the total trial population and Stage III subgroup analyses.</w:t>
            </w:r>
          </w:p>
          <w:p w:rsidR="00B6569C" w:rsidRDefault="00B6569C">
            <w:pPr>
              <w:widowControl/>
              <w:jc w:val="left"/>
              <w:rPr>
                <w:rFonts w:ascii="Arial Narrow" w:hAnsi="Arial Narrow"/>
                <w:sz w:val="20"/>
                <w:szCs w:val="20"/>
              </w:rPr>
            </w:pPr>
          </w:p>
        </w:tc>
      </w:tr>
      <w:tr w:rsidR="00B6569C">
        <w:trPr>
          <w:cantSplit/>
        </w:trPr>
        <w:tc>
          <w:tcPr>
            <w:tcW w:w="1555" w:type="dxa"/>
            <w:tcMar>
              <w:left w:w="28" w:type="dxa"/>
              <w:right w:w="28" w:type="dxa"/>
            </w:tcMar>
          </w:tcPr>
          <w:p w:rsidR="00B6569C" w:rsidRDefault="00E82474">
            <w:pPr>
              <w:widowControl/>
              <w:jc w:val="left"/>
              <w:rPr>
                <w:rFonts w:ascii="Arial Narrow" w:hAnsi="Arial Narrow"/>
                <w:sz w:val="20"/>
                <w:szCs w:val="20"/>
              </w:rPr>
            </w:pPr>
            <w:r>
              <w:rPr>
                <w:rFonts w:ascii="Arial Narrow" w:hAnsi="Arial Narrow"/>
                <w:sz w:val="20"/>
                <w:szCs w:val="20"/>
              </w:rPr>
              <w:t xml:space="preserve">Treatment effect </w:t>
            </w:r>
          </w:p>
        </w:tc>
        <w:tc>
          <w:tcPr>
            <w:tcW w:w="3543" w:type="dxa"/>
            <w:tcMar>
              <w:left w:w="28" w:type="dxa"/>
              <w:right w:w="28" w:type="dxa"/>
            </w:tcMar>
          </w:tcPr>
          <w:p w:rsidR="00B6569C" w:rsidRDefault="00E82474">
            <w:pPr>
              <w:widowControl/>
              <w:jc w:val="left"/>
              <w:rPr>
                <w:rFonts w:ascii="Arial Narrow" w:hAnsi="Arial Narrow"/>
                <w:sz w:val="20"/>
                <w:szCs w:val="20"/>
              </w:rPr>
            </w:pPr>
            <w:r>
              <w:rPr>
                <w:rFonts w:ascii="Arial Narrow" w:hAnsi="Arial Narrow"/>
                <w:sz w:val="20"/>
                <w:szCs w:val="20"/>
              </w:rPr>
              <w:t>The magnitude of the recurrence free survival treatment effect was highly uncertain and the impact on overall survival was unknown due to immaturity of the clinical trial data (median recurrence free survival for pembrolizumab had not been reached) [para.7.8].</w:t>
            </w:r>
          </w:p>
        </w:tc>
        <w:tc>
          <w:tcPr>
            <w:tcW w:w="3918" w:type="dxa"/>
            <w:tcMar>
              <w:left w:w="28" w:type="dxa"/>
              <w:right w:w="28" w:type="dxa"/>
            </w:tcMar>
          </w:tcPr>
          <w:p w:rsidR="00B6569C" w:rsidRDefault="00E82474">
            <w:pPr>
              <w:widowControl/>
              <w:jc w:val="left"/>
              <w:rPr>
                <w:rFonts w:ascii="Arial Narrow" w:hAnsi="Arial Narrow"/>
                <w:sz w:val="20"/>
                <w:szCs w:val="20"/>
              </w:rPr>
            </w:pPr>
            <w:r>
              <w:rPr>
                <w:rFonts w:ascii="Arial Narrow" w:hAnsi="Arial Narrow"/>
                <w:sz w:val="20"/>
                <w:szCs w:val="20"/>
              </w:rPr>
              <w:t xml:space="preserve">Unchanged. The resubmission used the same trial data considered at the November 2018 meeting. Results for overall survival not expected </w:t>
            </w:r>
            <w:r w:rsidR="00277D7E">
              <w:rPr>
                <w:rFonts w:ascii="Arial Narrow" w:hAnsi="Arial Narrow"/>
                <w:noProof/>
                <w:color w:val="000000"/>
                <w:sz w:val="20"/>
                <w:szCs w:val="20"/>
                <w:highlight w:val="black"/>
              </w:rPr>
              <w:t>'''''''''' ''''''''''''</w:t>
            </w:r>
            <w:r>
              <w:rPr>
                <w:rFonts w:ascii="Arial Narrow" w:hAnsi="Arial Narrow"/>
                <w:sz w:val="20"/>
                <w:szCs w:val="20"/>
              </w:rPr>
              <w:t>.</w:t>
            </w:r>
          </w:p>
        </w:tc>
      </w:tr>
      <w:tr w:rsidR="00B6569C">
        <w:trPr>
          <w:cantSplit/>
        </w:trPr>
        <w:tc>
          <w:tcPr>
            <w:tcW w:w="1555" w:type="dxa"/>
            <w:tcMar>
              <w:left w:w="28" w:type="dxa"/>
              <w:right w:w="28" w:type="dxa"/>
            </w:tcMar>
          </w:tcPr>
          <w:p w:rsidR="00B6569C" w:rsidRDefault="00E82474">
            <w:pPr>
              <w:widowControl/>
              <w:jc w:val="left"/>
              <w:rPr>
                <w:rFonts w:ascii="Arial Narrow" w:hAnsi="Arial Narrow"/>
                <w:sz w:val="20"/>
                <w:szCs w:val="20"/>
              </w:rPr>
            </w:pPr>
            <w:r>
              <w:rPr>
                <w:rFonts w:ascii="Arial Narrow" w:hAnsi="Arial Narrow"/>
                <w:sz w:val="20"/>
                <w:szCs w:val="20"/>
              </w:rPr>
              <w:t>Safety</w:t>
            </w:r>
          </w:p>
        </w:tc>
        <w:tc>
          <w:tcPr>
            <w:tcW w:w="3543" w:type="dxa"/>
            <w:tcMar>
              <w:left w:w="28" w:type="dxa"/>
              <w:right w:w="28" w:type="dxa"/>
            </w:tcMar>
          </w:tcPr>
          <w:p w:rsidR="00B6569C" w:rsidRDefault="00E82474">
            <w:pPr>
              <w:widowControl/>
              <w:jc w:val="left"/>
              <w:rPr>
                <w:rFonts w:ascii="Arial Narrow" w:hAnsi="Arial Narrow"/>
                <w:sz w:val="20"/>
                <w:szCs w:val="20"/>
              </w:rPr>
            </w:pPr>
            <w:r>
              <w:rPr>
                <w:rFonts w:ascii="Arial Narrow" w:hAnsi="Arial Narrow"/>
                <w:sz w:val="20"/>
                <w:szCs w:val="20"/>
              </w:rPr>
              <w:t>The submission did not make a safety claim. The PBAC considered pembrolizumab was inferior to placebo in terms of safety in the adjuvant treatment of completely resected Stage III melanoma [para.7.9].</w:t>
            </w:r>
          </w:p>
        </w:tc>
        <w:tc>
          <w:tcPr>
            <w:tcW w:w="3918" w:type="dxa"/>
            <w:tcMar>
              <w:left w:w="28" w:type="dxa"/>
              <w:right w:w="28" w:type="dxa"/>
            </w:tcMar>
          </w:tcPr>
          <w:p w:rsidR="00B6569C" w:rsidRDefault="00E82474">
            <w:pPr>
              <w:widowControl/>
              <w:jc w:val="left"/>
              <w:rPr>
                <w:rFonts w:ascii="Arial Narrow" w:hAnsi="Arial Narrow"/>
                <w:sz w:val="20"/>
                <w:szCs w:val="20"/>
              </w:rPr>
            </w:pPr>
            <w:r>
              <w:rPr>
                <w:rFonts w:ascii="Arial Narrow" w:hAnsi="Arial Narrow"/>
                <w:sz w:val="20"/>
                <w:szCs w:val="20"/>
              </w:rPr>
              <w:t>The clinical claim was amended to inferior but manageable safety.</w:t>
            </w:r>
          </w:p>
        </w:tc>
      </w:tr>
      <w:tr w:rsidR="00B6569C">
        <w:trPr>
          <w:cantSplit/>
        </w:trPr>
        <w:tc>
          <w:tcPr>
            <w:tcW w:w="1555" w:type="dxa"/>
            <w:tcMar>
              <w:left w:w="28" w:type="dxa"/>
              <w:right w:w="28" w:type="dxa"/>
            </w:tcMar>
          </w:tcPr>
          <w:p w:rsidR="00B6569C" w:rsidRDefault="00E82474">
            <w:pPr>
              <w:widowControl/>
              <w:jc w:val="left"/>
              <w:rPr>
                <w:rFonts w:ascii="Arial Narrow" w:hAnsi="Arial Narrow"/>
                <w:sz w:val="20"/>
                <w:szCs w:val="20"/>
              </w:rPr>
            </w:pPr>
            <w:r>
              <w:rPr>
                <w:rFonts w:ascii="Arial Narrow" w:hAnsi="Arial Narrow"/>
                <w:sz w:val="20"/>
                <w:szCs w:val="20"/>
              </w:rPr>
              <w:t>Retreatment</w:t>
            </w:r>
          </w:p>
        </w:tc>
        <w:tc>
          <w:tcPr>
            <w:tcW w:w="3543" w:type="dxa"/>
            <w:tcMar>
              <w:left w:w="28" w:type="dxa"/>
              <w:right w:w="28" w:type="dxa"/>
            </w:tcMar>
          </w:tcPr>
          <w:p w:rsidR="00B6569C" w:rsidRDefault="00E82474">
            <w:pPr>
              <w:widowControl/>
              <w:jc w:val="left"/>
              <w:rPr>
                <w:rFonts w:ascii="Arial Narrow" w:hAnsi="Arial Narrow"/>
                <w:sz w:val="20"/>
                <w:szCs w:val="20"/>
              </w:rPr>
            </w:pPr>
            <w:r>
              <w:rPr>
                <w:rFonts w:ascii="Arial Narrow" w:hAnsi="Arial Narrow"/>
                <w:sz w:val="20"/>
                <w:szCs w:val="20"/>
              </w:rPr>
              <w:t>The submission proposed retreatment with pembrolizumab in the unresectable setting. The PBAC was concerned by lack of comparative evidence for, and the potential unknown downstream consequences of, retreatment with anti-PD-1 therapies in terms of efficacy, safety and cost-effectiveness [para.7.4].</w:t>
            </w:r>
          </w:p>
        </w:tc>
        <w:tc>
          <w:tcPr>
            <w:tcW w:w="3918" w:type="dxa"/>
            <w:tcMar>
              <w:left w:w="28" w:type="dxa"/>
              <w:right w:w="28" w:type="dxa"/>
            </w:tcMar>
          </w:tcPr>
          <w:p w:rsidR="00B6569C" w:rsidRDefault="00E82474">
            <w:pPr>
              <w:widowControl/>
              <w:jc w:val="left"/>
              <w:rPr>
                <w:rFonts w:ascii="Arial Narrow" w:hAnsi="Arial Narrow"/>
                <w:sz w:val="20"/>
                <w:szCs w:val="20"/>
                <w:lang w:val="en-US"/>
              </w:rPr>
            </w:pPr>
            <w:r>
              <w:rPr>
                <w:rFonts w:ascii="Arial Narrow" w:hAnsi="Arial Narrow"/>
                <w:sz w:val="20"/>
                <w:szCs w:val="20"/>
              </w:rPr>
              <w:t xml:space="preserve">The resubmission claimed that retreatment is anticipated in a small proportion of patients (approximately 6%). Retreatment data are expected in </w:t>
            </w:r>
            <w:r w:rsidR="00277D7E">
              <w:rPr>
                <w:rFonts w:ascii="Arial Narrow" w:hAnsi="Arial Narrow"/>
                <w:noProof/>
                <w:color w:val="000000"/>
                <w:sz w:val="20"/>
                <w:szCs w:val="20"/>
                <w:highlight w:val="black"/>
              </w:rPr>
              <w:t>'''''''' '''''''''''''</w:t>
            </w:r>
            <w:r>
              <w:rPr>
                <w:rFonts w:ascii="Arial Narrow" w:hAnsi="Arial Narrow"/>
                <w:sz w:val="20"/>
                <w:szCs w:val="20"/>
              </w:rPr>
              <w:t xml:space="preserve">. </w:t>
            </w:r>
          </w:p>
          <w:p w:rsidR="00B6569C" w:rsidRDefault="00B6569C">
            <w:pPr>
              <w:widowControl/>
              <w:jc w:val="left"/>
              <w:rPr>
                <w:rFonts w:ascii="Arial Narrow" w:hAnsi="Arial Narrow"/>
                <w:sz w:val="20"/>
                <w:szCs w:val="20"/>
              </w:rPr>
            </w:pPr>
          </w:p>
        </w:tc>
      </w:tr>
      <w:tr w:rsidR="00B6569C">
        <w:trPr>
          <w:cantSplit/>
        </w:trPr>
        <w:tc>
          <w:tcPr>
            <w:tcW w:w="9016" w:type="dxa"/>
            <w:gridSpan w:val="3"/>
            <w:tcMar>
              <w:left w:w="28" w:type="dxa"/>
              <w:right w:w="28" w:type="dxa"/>
            </w:tcMar>
          </w:tcPr>
          <w:p w:rsidR="00B6569C" w:rsidRDefault="00E82474">
            <w:pPr>
              <w:widowControl/>
              <w:jc w:val="left"/>
              <w:rPr>
                <w:rFonts w:ascii="Arial Narrow" w:hAnsi="Arial Narrow"/>
                <w:b/>
                <w:sz w:val="20"/>
                <w:szCs w:val="20"/>
              </w:rPr>
            </w:pPr>
            <w:r>
              <w:rPr>
                <w:rFonts w:ascii="Arial Narrow" w:hAnsi="Arial Narrow"/>
                <w:b/>
                <w:sz w:val="20"/>
                <w:szCs w:val="20"/>
              </w:rPr>
              <w:t>Economic issues</w:t>
            </w:r>
          </w:p>
        </w:tc>
      </w:tr>
      <w:tr w:rsidR="00B6569C">
        <w:trPr>
          <w:cantSplit/>
        </w:trPr>
        <w:tc>
          <w:tcPr>
            <w:tcW w:w="1555" w:type="dxa"/>
            <w:shd w:val="clear" w:color="auto" w:fill="auto"/>
            <w:tcMar>
              <w:left w:w="28" w:type="dxa"/>
              <w:right w:w="28" w:type="dxa"/>
            </w:tcMar>
          </w:tcPr>
          <w:p w:rsidR="00B6569C" w:rsidRDefault="00E82474">
            <w:pPr>
              <w:widowControl/>
              <w:jc w:val="left"/>
              <w:rPr>
                <w:rFonts w:ascii="Arial Narrow" w:hAnsi="Arial Narrow"/>
                <w:sz w:val="20"/>
                <w:szCs w:val="20"/>
                <w:highlight w:val="yellow"/>
              </w:rPr>
            </w:pPr>
            <w:r>
              <w:rPr>
                <w:rFonts w:ascii="Arial Narrow" w:hAnsi="Arial Narrow"/>
                <w:sz w:val="20"/>
                <w:szCs w:val="20"/>
              </w:rPr>
              <w:t>Population</w:t>
            </w:r>
          </w:p>
        </w:tc>
        <w:tc>
          <w:tcPr>
            <w:tcW w:w="3543" w:type="dxa"/>
            <w:shd w:val="clear" w:color="auto" w:fill="auto"/>
            <w:tcMar>
              <w:left w:w="28" w:type="dxa"/>
              <w:right w:w="28" w:type="dxa"/>
            </w:tcMar>
          </w:tcPr>
          <w:p w:rsidR="00B6569C" w:rsidRDefault="00E82474">
            <w:pPr>
              <w:widowControl/>
              <w:jc w:val="left"/>
              <w:rPr>
                <w:rFonts w:ascii="Arial Narrow" w:hAnsi="Arial Narrow"/>
                <w:sz w:val="20"/>
                <w:szCs w:val="20"/>
                <w:highlight w:val="yellow"/>
              </w:rPr>
            </w:pPr>
            <w:r>
              <w:rPr>
                <w:rFonts w:ascii="Arial Narrow" w:hAnsi="Arial Narrow"/>
                <w:sz w:val="20"/>
                <w:szCs w:val="20"/>
              </w:rPr>
              <w:t>The model population, which was informed by the trial population, had a poorer prognosis than the likely PBS population [para.7.10].</w:t>
            </w:r>
          </w:p>
        </w:tc>
        <w:tc>
          <w:tcPr>
            <w:tcW w:w="3918" w:type="dxa"/>
            <w:shd w:val="clear" w:color="auto" w:fill="auto"/>
            <w:tcMar>
              <w:left w:w="28" w:type="dxa"/>
              <w:right w:w="28" w:type="dxa"/>
            </w:tcMar>
          </w:tcPr>
          <w:p w:rsidR="00B6569C" w:rsidRDefault="00E82474">
            <w:pPr>
              <w:widowControl/>
              <w:jc w:val="left"/>
              <w:rPr>
                <w:rFonts w:ascii="Arial Narrow" w:hAnsi="Arial Narrow"/>
                <w:sz w:val="20"/>
                <w:szCs w:val="20"/>
                <w:highlight w:val="yellow"/>
              </w:rPr>
            </w:pPr>
            <w:r>
              <w:rPr>
                <w:rFonts w:ascii="Arial Narrow" w:hAnsi="Arial Narrow"/>
                <w:sz w:val="20"/>
                <w:szCs w:val="20"/>
              </w:rPr>
              <w:t>The population was reanalysed using the AJCC 8th edition staging system, and includes separate analyses by stage subgroup (Stage IIIA &gt; 1 mm, IIIB, IIIC and IIID).</w:t>
            </w:r>
          </w:p>
        </w:tc>
      </w:tr>
      <w:tr w:rsidR="00B6569C">
        <w:trPr>
          <w:cantSplit/>
        </w:trPr>
        <w:tc>
          <w:tcPr>
            <w:tcW w:w="1555" w:type="dxa"/>
            <w:shd w:val="clear" w:color="auto" w:fill="auto"/>
            <w:tcMar>
              <w:left w:w="28" w:type="dxa"/>
              <w:right w:w="28" w:type="dxa"/>
            </w:tcMar>
          </w:tcPr>
          <w:p w:rsidR="00B6569C" w:rsidRDefault="00E82474">
            <w:pPr>
              <w:widowControl/>
              <w:jc w:val="left"/>
              <w:rPr>
                <w:rFonts w:ascii="Arial Narrow" w:hAnsi="Arial Narrow"/>
                <w:sz w:val="20"/>
                <w:szCs w:val="20"/>
                <w:highlight w:val="yellow"/>
              </w:rPr>
            </w:pPr>
            <w:r>
              <w:rPr>
                <w:rFonts w:ascii="Arial Narrow" w:hAnsi="Arial Narrow"/>
                <w:sz w:val="20"/>
                <w:szCs w:val="20"/>
              </w:rPr>
              <w:lastRenderedPageBreak/>
              <w:t>Modelled OS</w:t>
            </w:r>
          </w:p>
        </w:tc>
        <w:tc>
          <w:tcPr>
            <w:tcW w:w="3543" w:type="dxa"/>
            <w:shd w:val="clear" w:color="auto" w:fill="auto"/>
            <w:tcMar>
              <w:left w:w="28" w:type="dxa"/>
              <w:right w:w="28" w:type="dxa"/>
            </w:tcMar>
          </w:tcPr>
          <w:p w:rsidR="00B6569C" w:rsidRDefault="00E82474">
            <w:pPr>
              <w:widowControl/>
              <w:jc w:val="left"/>
              <w:rPr>
                <w:rFonts w:ascii="Arial Narrow" w:hAnsi="Arial Narrow"/>
                <w:sz w:val="20"/>
                <w:szCs w:val="20"/>
                <w:highlight w:val="yellow"/>
              </w:rPr>
            </w:pPr>
            <w:r>
              <w:rPr>
                <w:rFonts w:ascii="Arial Narrow" w:hAnsi="Arial Narrow"/>
                <w:sz w:val="20"/>
                <w:szCs w:val="20"/>
              </w:rPr>
              <w:t>Overall survival in both arms of the model was low when compared to melanoma specific survival probabilities presented in the AJCC 8th edition [para.7.10].</w:t>
            </w:r>
          </w:p>
        </w:tc>
        <w:tc>
          <w:tcPr>
            <w:tcW w:w="3918" w:type="dxa"/>
            <w:shd w:val="clear" w:color="auto" w:fill="auto"/>
            <w:tcMar>
              <w:left w:w="28" w:type="dxa"/>
              <w:right w:w="28" w:type="dxa"/>
            </w:tcMar>
          </w:tcPr>
          <w:p w:rsidR="00B6569C" w:rsidRDefault="00E82474">
            <w:pPr>
              <w:widowControl/>
              <w:jc w:val="left"/>
              <w:rPr>
                <w:rFonts w:ascii="Arial Narrow" w:hAnsi="Arial Narrow"/>
                <w:sz w:val="20"/>
                <w:szCs w:val="20"/>
                <w:highlight w:val="yellow"/>
              </w:rPr>
            </w:pPr>
            <w:r>
              <w:rPr>
                <w:rFonts w:ascii="Arial Narrow" w:hAnsi="Arial Narrow"/>
                <w:sz w:val="20"/>
                <w:szCs w:val="20"/>
              </w:rPr>
              <w:t>The resubmission provided additional analyses comparing modelled outcomes with comparable published outcomes, including a comparison with melanoma specific survival by substage presented in the AJCC 8th edition, based on the International Melanoma Database.  The ESC considered that modelled overall survival estimates not only remained underestimated, but were clinically implausible.</w:t>
            </w:r>
          </w:p>
        </w:tc>
      </w:tr>
      <w:tr w:rsidR="00B6569C">
        <w:trPr>
          <w:cantSplit/>
        </w:trPr>
        <w:tc>
          <w:tcPr>
            <w:tcW w:w="1555" w:type="dxa"/>
            <w:shd w:val="clear" w:color="auto" w:fill="auto"/>
            <w:tcMar>
              <w:left w:w="28" w:type="dxa"/>
              <w:right w:w="28" w:type="dxa"/>
            </w:tcMar>
          </w:tcPr>
          <w:p w:rsidR="00B6569C" w:rsidRDefault="00E82474">
            <w:pPr>
              <w:widowControl/>
              <w:jc w:val="left"/>
              <w:rPr>
                <w:rFonts w:ascii="Arial Narrow" w:hAnsi="Arial Narrow"/>
                <w:sz w:val="20"/>
                <w:szCs w:val="20"/>
                <w:highlight w:val="yellow"/>
              </w:rPr>
            </w:pPr>
            <w:r>
              <w:rPr>
                <w:rFonts w:ascii="Arial Narrow" w:hAnsi="Arial Narrow"/>
                <w:sz w:val="20"/>
                <w:szCs w:val="20"/>
              </w:rPr>
              <w:t>Data maturity</w:t>
            </w:r>
          </w:p>
        </w:tc>
        <w:tc>
          <w:tcPr>
            <w:tcW w:w="3543" w:type="dxa"/>
            <w:shd w:val="clear" w:color="auto" w:fill="auto"/>
            <w:tcMar>
              <w:left w:w="28" w:type="dxa"/>
              <w:right w:w="28" w:type="dxa"/>
            </w:tcMar>
          </w:tcPr>
          <w:p w:rsidR="00B6569C" w:rsidRDefault="00E82474">
            <w:pPr>
              <w:widowControl/>
              <w:jc w:val="left"/>
              <w:rPr>
                <w:rFonts w:ascii="Arial Narrow" w:hAnsi="Arial Narrow"/>
                <w:sz w:val="20"/>
                <w:szCs w:val="20"/>
                <w:highlight w:val="yellow"/>
              </w:rPr>
            </w:pPr>
            <w:r>
              <w:rPr>
                <w:rFonts w:ascii="Arial Narrow" w:hAnsi="Arial Narrow"/>
                <w:sz w:val="20"/>
                <w:szCs w:val="20"/>
              </w:rPr>
              <w:t>The modelled data were based on immature RFS trial evidence (median RFS for pembrolizumab had not yet been reached); no overall survival data were available [para.7.10].</w:t>
            </w:r>
          </w:p>
        </w:tc>
        <w:tc>
          <w:tcPr>
            <w:tcW w:w="3918" w:type="dxa"/>
            <w:shd w:val="clear" w:color="auto" w:fill="auto"/>
            <w:tcMar>
              <w:left w:w="28" w:type="dxa"/>
              <w:right w:w="28" w:type="dxa"/>
            </w:tcMar>
          </w:tcPr>
          <w:p w:rsidR="00B6569C" w:rsidRDefault="00E82474">
            <w:pPr>
              <w:widowControl/>
              <w:jc w:val="left"/>
              <w:rPr>
                <w:rFonts w:ascii="Arial Narrow" w:hAnsi="Arial Narrow"/>
                <w:sz w:val="20"/>
                <w:szCs w:val="20"/>
                <w:highlight w:val="yellow"/>
              </w:rPr>
            </w:pPr>
            <w:r>
              <w:rPr>
                <w:rFonts w:ascii="Arial Narrow" w:hAnsi="Arial Narrow"/>
                <w:sz w:val="20"/>
                <w:szCs w:val="20"/>
              </w:rPr>
              <w:t>No change. No additional follow up data are available.</w:t>
            </w:r>
          </w:p>
        </w:tc>
      </w:tr>
      <w:tr w:rsidR="00B6569C">
        <w:trPr>
          <w:cantSplit/>
        </w:trPr>
        <w:tc>
          <w:tcPr>
            <w:tcW w:w="1555" w:type="dxa"/>
            <w:shd w:val="clear" w:color="auto" w:fill="auto"/>
            <w:tcMar>
              <w:left w:w="28" w:type="dxa"/>
              <w:right w:w="28" w:type="dxa"/>
            </w:tcMar>
          </w:tcPr>
          <w:p w:rsidR="00B6569C" w:rsidRDefault="00E82474">
            <w:pPr>
              <w:widowControl/>
              <w:jc w:val="left"/>
              <w:rPr>
                <w:rFonts w:ascii="Arial Narrow" w:hAnsi="Arial Narrow"/>
                <w:sz w:val="20"/>
                <w:szCs w:val="20"/>
                <w:highlight w:val="yellow"/>
              </w:rPr>
            </w:pPr>
            <w:r>
              <w:rPr>
                <w:rFonts w:ascii="Arial Narrow" w:hAnsi="Arial Narrow"/>
                <w:sz w:val="20"/>
                <w:szCs w:val="20"/>
              </w:rPr>
              <w:t>RFS to OS surrogacy</w:t>
            </w:r>
          </w:p>
        </w:tc>
        <w:tc>
          <w:tcPr>
            <w:tcW w:w="3543" w:type="dxa"/>
            <w:shd w:val="clear" w:color="auto" w:fill="auto"/>
            <w:tcMar>
              <w:left w:w="28" w:type="dxa"/>
              <w:right w:w="28" w:type="dxa"/>
            </w:tcMar>
          </w:tcPr>
          <w:p w:rsidR="00B6569C" w:rsidRDefault="00E82474">
            <w:pPr>
              <w:widowControl/>
              <w:jc w:val="left"/>
              <w:rPr>
                <w:rFonts w:ascii="Arial Narrow" w:hAnsi="Arial Narrow"/>
                <w:sz w:val="20"/>
                <w:szCs w:val="20"/>
                <w:highlight w:val="yellow"/>
              </w:rPr>
            </w:pPr>
            <w:r>
              <w:rPr>
                <w:rFonts w:ascii="Arial Narrow" w:hAnsi="Arial Narrow"/>
                <w:sz w:val="20"/>
                <w:szCs w:val="20"/>
              </w:rPr>
              <w:t xml:space="preserve">Quantification of the relationship between RFS and overall survival was uncertain, and the impact of treatment for recurrence on this relationship unknown [para.7.10]. </w:t>
            </w:r>
          </w:p>
        </w:tc>
        <w:tc>
          <w:tcPr>
            <w:tcW w:w="3918" w:type="dxa"/>
            <w:shd w:val="clear" w:color="auto" w:fill="auto"/>
            <w:tcMar>
              <w:left w:w="28" w:type="dxa"/>
              <w:right w:w="28" w:type="dxa"/>
            </w:tcMar>
          </w:tcPr>
          <w:p w:rsidR="00B6569C" w:rsidRDefault="00E82474">
            <w:pPr>
              <w:widowControl/>
              <w:jc w:val="left"/>
              <w:rPr>
                <w:rFonts w:ascii="Arial Narrow" w:hAnsi="Arial Narrow"/>
                <w:sz w:val="20"/>
                <w:szCs w:val="20"/>
                <w:highlight w:val="yellow"/>
              </w:rPr>
            </w:pPr>
            <w:r>
              <w:rPr>
                <w:rFonts w:ascii="Arial Narrow" w:hAnsi="Arial Narrow"/>
                <w:sz w:val="20"/>
                <w:szCs w:val="20"/>
              </w:rPr>
              <w:t xml:space="preserve">No changes made to the economic model. No additional follow up data are available. A rationale supporting the relationship of RFS to OS in the current adjuvant melanoma context was provided. The pre-PBAC response stated that every available source was presented, and that there was a very clear biological basis for the relationship, including that RFS and DMFS always precede OS. </w:t>
            </w:r>
          </w:p>
        </w:tc>
      </w:tr>
      <w:tr w:rsidR="00B6569C">
        <w:trPr>
          <w:cantSplit/>
        </w:trPr>
        <w:tc>
          <w:tcPr>
            <w:tcW w:w="1555" w:type="dxa"/>
            <w:shd w:val="clear" w:color="auto" w:fill="auto"/>
            <w:tcMar>
              <w:left w:w="28" w:type="dxa"/>
              <w:right w:w="28" w:type="dxa"/>
            </w:tcMar>
          </w:tcPr>
          <w:p w:rsidR="00B6569C" w:rsidRDefault="00E82474">
            <w:pPr>
              <w:widowControl/>
              <w:jc w:val="left"/>
              <w:rPr>
                <w:rFonts w:ascii="Arial Narrow" w:hAnsi="Arial Narrow"/>
                <w:sz w:val="20"/>
                <w:szCs w:val="20"/>
                <w:highlight w:val="yellow"/>
              </w:rPr>
            </w:pPr>
            <w:r>
              <w:rPr>
                <w:rFonts w:ascii="Arial Narrow" w:hAnsi="Arial Narrow"/>
                <w:sz w:val="20"/>
                <w:szCs w:val="20"/>
              </w:rPr>
              <w:t>Post-progression inputs</w:t>
            </w:r>
          </w:p>
        </w:tc>
        <w:tc>
          <w:tcPr>
            <w:tcW w:w="3543" w:type="dxa"/>
            <w:shd w:val="clear" w:color="auto" w:fill="auto"/>
            <w:tcMar>
              <w:left w:w="28" w:type="dxa"/>
              <w:right w:w="28" w:type="dxa"/>
            </w:tcMar>
          </w:tcPr>
          <w:p w:rsidR="00B6569C" w:rsidRDefault="00E82474">
            <w:pPr>
              <w:widowControl/>
              <w:jc w:val="left"/>
              <w:rPr>
                <w:rFonts w:ascii="Arial Narrow" w:hAnsi="Arial Narrow"/>
                <w:sz w:val="20"/>
                <w:szCs w:val="20"/>
              </w:rPr>
            </w:pPr>
            <w:r>
              <w:rPr>
                <w:rFonts w:ascii="Arial Narrow" w:hAnsi="Arial Narrow"/>
                <w:sz w:val="20"/>
                <w:szCs w:val="20"/>
              </w:rPr>
              <w:t>Relevance of post-recurrence inputs for the adjuvant pembrolizumab arm, given that there was no efficacy or safety data for patients who received a PD-1 inhibitor in both the adjuvant and unresectable settings [para.7.10].</w:t>
            </w:r>
          </w:p>
          <w:p w:rsidR="00B6569C" w:rsidRDefault="00B6569C">
            <w:pPr>
              <w:widowControl/>
              <w:jc w:val="left"/>
              <w:rPr>
                <w:rFonts w:ascii="Arial Narrow" w:hAnsi="Arial Narrow"/>
                <w:sz w:val="20"/>
                <w:szCs w:val="20"/>
              </w:rPr>
            </w:pPr>
          </w:p>
          <w:p w:rsidR="00B6569C" w:rsidRDefault="00E82474">
            <w:pPr>
              <w:widowControl/>
              <w:jc w:val="left"/>
              <w:rPr>
                <w:rFonts w:ascii="Arial Narrow" w:hAnsi="Arial Narrow"/>
                <w:sz w:val="20"/>
                <w:szCs w:val="20"/>
                <w:highlight w:val="yellow"/>
              </w:rPr>
            </w:pPr>
            <w:r>
              <w:rPr>
                <w:rFonts w:ascii="Arial Narrow" w:hAnsi="Arial Narrow"/>
                <w:sz w:val="20"/>
                <w:szCs w:val="20"/>
              </w:rPr>
              <w:t>In addition, the cost and effectiveness of treatments post-progression were based on progression free survival and overall survival curves derived from external evidence (KN006 and a network meta-analysis).</w:t>
            </w:r>
          </w:p>
        </w:tc>
        <w:tc>
          <w:tcPr>
            <w:tcW w:w="3918" w:type="dxa"/>
            <w:shd w:val="clear" w:color="auto" w:fill="auto"/>
            <w:tcMar>
              <w:left w:w="28" w:type="dxa"/>
              <w:right w:w="28" w:type="dxa"/>
            </w:tcMar>
          </w:tcPr>
          <w:p w:rsidR="00B6569C" w:rsidRDefault="00E82474">
            <w:pPr>
              <w:widowControl/>
              <w:jc w:val="left"/>
              <w:rPr>
                <w:rFonts w:ascii="Arial Narrow" w:hAnsi="Arial Narrow"/>
                <w:sz w:val="20"/>
                <w:szCs w:val="20"/>
              </w:rPr>
            </w:pPr>
            <w:r>
              <w:rPr>
                <w:rFonts w:ascii="Arial Narrow" w:hAnsi="Arial Narrow"/>
                <w:sz w:val="20"/>
                <w:szCs w:val="20"/>
              </w:rPr>
              <w:t xml:space="preserve">No major changes were made to the economic model. No additional follow up data are available. </w:t>
            </w:r>
          </w:p>
          <w:p w:rsidR="00B6569C" w:rsidRDefault="00E82474">
            <w:pPr>
              <w:widowControl/>
              <w:jc w:val="left"/>
              <w:rPr>
                <w:rFonts w:ascii="Arial Narrow" w:hAnsi="Arial Narrow"/>
                <w:sz w:val="20"/>
                <w:szCs w:val="20"/>
              </w:rPr>
            </w:pPr>
            <w:r>
              <w:rPr>
                <w:rFonts w:ascii="Arial Narrow" w:hAnsi="Arial Narrow"/>
                <w:sz w:val="20"/>
                <w:szCs w:val="20"/>
              </w:rPr>
              <w:t xml:space="preserve">Part 2 of KN054 will provide direct evidence of effectiveness in this clinical scenario (PD-1 inhibitor in both settings). </w:t>
            </w:r>
          </w:p>
          <w:p w:rsidR="00B6569C" w:rsidRDefault="00E82474">
            <w:pPr>
              <w:widowControl/>
              <w:jc w:val="left"/>
              <w:rPr>
                <w:rFonts w:ascii="Arial Narrow" w:hAnsi="Arial Narrow"/>
                <w:sz w:val="20"/>
                <w:szCs w:val="20"/>
                <w:highlight w:val="yellow"/>
              </w:rPr>
            </w:pPr>
            <w:r>
              <w:rPr>
                <w:rFonts w:ascii="Arial Narrow" w:hAnsi="Arial Narrow"/>
                <w:sz w:val="20"/>
                <w:szCs w:val="20"/>
              </w:rPr>
              <w:t xml:space="preserve">The resubmission included sub-states within the distant metastases health state in order to explore the impact of treatments for advanced melanoma. New modelled substates were designed according to the patient’s eligibility for treatment in the advanced setting: rechallenge-eligible (can receive pembrolizumab in the advanced setting, subject to specific criteria for retreatment in line with proposed restriction); immunotherapy-eligible (no restriction on receiving treatment in the advanced setting) or immunotherapy-ineligible (cannot receive pembrolizumab or nivolumab in the advanced setting).  </w:t>
            </w:r>
          </w:p>
        </w:tc>
      </w:tr>
      <w:tr w:rsidR="00B6569C">
        <w:trPr>
          <w:cantSplit/>
        </w:trPr>
        <w:tc>
          <w:tcPr>
            <w:tcW w:w="9016" w:type="dxa"/>
            <w:gridSpan w:val="3"/>
            <w:tcMar>
              <w:left w:w="28" w:type="dxa"/>
              <w:right w:w="28" w:type="dxa"/>
            </w:tcMar>
          </w:tcPr>
          <w:p w:rsidR="00B6569C" w:rsidRDefault="00E82474">
            <w:pPr>
              <w:widowControl/>
              <w:jc w:val="left"/>
              <w:rPr>
                <w:rFonts w:ascii="Arial Narrow" w:hAnsi="Arial Narrow"/>
                <w:b/>
                <w:sz w:val="20"/>
                <w:szCs w:val="20"/>
              </w:rPr>
            </w:pPr>
            <w:r>
              <w:rPr>
                <w:rFonts w:ascii="Arial Narrow" w:hAnsi="Arial Narrow"/>
                <w:b/>
                <w:sz w:val="20"/>
                <w:szCs w:val="20"/>
              </w:rPr>
              <w:t>Financial issues</w:t>
            </w:r>
          </w:p>
        </w:tc>
      </w:tr>
      <w:tr w:rsidR="00B6569C">
        <w:trPr>
          <w:cantSplit/>
        </w:trPr>
        <w:tc>
          <w:tcPr>
            <w:tcW w:w="1555" w:type="dxa"/>
            <w:tcMar>
              <w:left w:w="28" w:type="dxa"/>
              <w:right w:w="28" w:type="dxa"/>
            </w:tcMar>
          </w:tcPr>
          <w:p w:rsidR="00B6569C" w:rsidRDefault="00E82474">
            <w:pPr>
              <w:widowControl/>
              <w:jc w:val="left"/>
              <w:rPr>
                <w:rFonts w:ascii="Arial Narrow" w:hAnsi="Arial Narrow"/>
                <w:sz w:val="20"/>
                <w:szCs w:val="20"/>
                <w:highlight w:val="yellow"/>
              </w:rPr>
            </w:pPr>
            <w:r>
              <w:rPr>
                <w:rFonts w:ascii="Arial Narrow" w:hAnsi="Arial Narrow"/>
                <w:sz w:val="20"/>
                <w:szCs w:val="20"/>
              </w:rPr>
              <w:t>Incident Population</w:t>
            </w:r>
          </w:p>
        </w:tc>
        <w:tc>
          <w:tcPr>
            <w:tcW w:w="3543" w:type="dxa"/>
            <w:tcMar>
              <w:left w:w="28" w:type="dxa"/>
              <w:right w:w="28" w:type="dxa"/>
            </w:tcMar>
          </w:tcPr>
          <w:p w:rsidR="00B6569C" w:rsidRDefault="00E82474">
            <w:pPr>
              <w:widowControl/>
              <w:jc w:val="left"/>
              <w:rPr>
                <w:rFonts w:ascii="Arial Narrow" w:hAnsi="Arial Narrow"/>
                <w:sz w:val="20"/>
                <w:szCs w:val="20"/>
                <w:highlight w:val="yellow"/>
              </w:rPr>
            </w:pPr>
            <w:r>
              <w:rPr>
                <w:rFonts w:ascii="Arial Narrow" w:hAnsi="Arial Narrow"/>
                <w:sz w:val="20"/>
                <w:szCs w:val="20"/>
              </w:rPr>
              <w:t>The estimated incident population was based on an old data source [para.6.58].</w:t>
            </w:r>
          </w:p>
        </w:tc>
        <w:tc>
          <w:tcPr>
            <w:tcW w:w="3918" w:type="dxa"/>
            <w:tcMar>
              <w:left w:w="28" w:type="dxa"/>
              <w:right w:w="28" w:type="dxa"/>
            </w:tcMar>
          </w:tcPr>
          <w:p w:rsidR="00B6569C" w:rsidRDefault="00E82474">
            <w:pPr>
              <w:widowControl/>
              <w:jc w:val="left"/>
              <w:rPr>
                <w:rFonts w:ascii="Arial Narrow" w:hAnsi="Arial Narrow"/>
                <w:sz w:val="20"/>
                <w:szCs w:val="20"/>
                <w:highlight w:val="yellow"/>
              </w:rPr>
            </w:pPr>
            <w:r>
              <w:rPr>
                <w:rFonts w:ascii="Arial Narrow" w:hAnsi="Arial Narrow"/>
                <w:sz w:val="20"/>
                <w:szCs w:val="20"/>
              </w:rPr>
              <w:t xml:space="preserve">The financial model used a more recent data source to estimate the proportion of incident melanoma patients diagnosed with Stage III melanoma (8.5%; NSW Cancer Registry 2010). </w:t>
            </w:r>
          </w:p>
        </w:tc>
      </w:tr>
      <w:tr w:rsidR="00B6569C">
        <w:trPr>
          <w:cantSplit/>
        </w:trPr>
        <w:tc>
          <w:tcPr>
            <w:tcW w:w="1555" w:type="dxa"/>
            <w:tcMar>
              <w:left w:w="28" w:type="dxa"/>
              <w:right w:w="28" w:type="dxa"/>
            </w:tcMar>
          </w:tcPr>
          <w:p w:rsidR="00B6569C" w:rsidRDefault="00E82474">
            <w:pPr>
              <w:widowControl/>
              <w:jc w:val="left"/>
              <w:rPr>
                <w:rFonts w:ascii="Arial Narrow" w:hAnsi="Arial Narrow"/>
                <w:sz w:val="20"/>
                <w:szCs w:val="20"/>
                <w:highlight w:val="yellow"/>
              </w:rPr>
            </w:pPr>
            <w:r>
              <w:rPr>
                <w:rFonts w:ascii="Arial Narrow" w:hAnsi="Arial Narrow"/>
                <w:sz w:val="20"/>
                <w:szCs w:val="20"/>
              </w:rPr>
              <w:t xml:space="preserve">Cost-offsets </w:t>
            </w:r>
          </w:p>
        </w:tc>
        <w:tc>
          <w:tcPr>
            <w:tcW w:w="3543" w:type="dxa"/>
            <w:tcMar>
              <w:left w:w="28" w:type="dxa"/>
              <w:right w:w="28" w:type="dxa"/>
            </w:tcMar>
          </w:tcPr>
          <w:p w:rsidR="00B6569C" w:rsidRDefault="00E82474">
            <w:pPr>
              <w:widowControl/>
              <w:jc w:val="left"/>
              <w:rPr>
                <w:rFonts w:ascii="Arial Narrow" w:hAnsi="Arial Narrow"/>
                <w:sz w:val="20"/>
                <w:szCs w:val="20"/>
                <w:highlight w:val="yellow"/>
              </w:rPr>
            </w:pPr>
            <w:r>
              <w:rPr>
                <w:rFonts w:ascii="Arial Narrow" w:hAnsi="Arial Narrow"/>
                <w:sz w:val="20"/>
                <w:szCs w:val="20"/>
              </w:rPr>
              <w:t>Cost-offsets for post-progression treatment applied in the economic model were not applied in the financial estimates [para.7.11].</w:t>
            </w:r>
          </w:p>
        </w:tc>
        <w:tc>
          <w:tcPr>
            <w:tcW w:w="3918" w:type="dxa"/>
            <w:tcMar>
              <w:left w:w="28" w:type="dxa"/>
              <w:right w:w="28" w:type="dxa"/>
            </w:tcMar>
          </w:tcPr>
          <w:p w:rsidR="00B6569C" w:rsidRDefault="00E82474">
            <w:pPr>
              <w:widowControl/>
              <w:jc w:val="left"/>
              <w:rPr>
                <w:rFonts w:ascii="Arial Narrow" w:hAnsi="Arial Narrow"/>
                <w:sz w:val="20"/>
                <w:szCs w:val="20"/>
                <w:highlight w:val="yellow"/>
              </w:rPr>
            </w:pPr>
            <w:r>
              <w:rPr>
                <w:rFonts w:ascii="Arial Narrow" w:hAnsi="Arial Narrow"/>
                <w:sz w:val="20"/>
                <w:szCs w:val="20"/>
              </w:rPr>
              <w:t>Cost offsets were included in the financial model. The extent of cost offsets expected for adjuvant patients was calculated by estimating the proportion of patients who no longer receive anti-PD1 therapy in the metastatic setting and the proportion of patients who no longer progress to Stage IV and receive treatment because of pembrolizumab treatment in the adjuvant setting.</w:t>
            </w:r>
            <w:r>
              <w:rPr>
                <w:rFonts w:ascii="Arial Narrow" w:hAnsi="Arial Narrow"/>
                <w:sz w:val="20"/>
                <w:szCs w:val="20"/>
                <w:highlight w:val="yellow"/>
              </w:rPr>
              <w:t xml:space="preserve"> </w:t>
            </w:r>
          </w:p>
        </w:tc>
      </w:tr>
      <w:tr w:rsidR="00B6569C">
        <w:trPr>
          <w:cantSplit/>
        </w:trPr>
        <w:tc>
          <w:tcPr>
            <w:tcW w:w="1555" w:type="dxa"/>
            <w:tcMar>
              <w:left w:w="28" w:type="dxa"/>
              <w:right w:w="28" w:type="dxa"/>
            </w:tcMar>
          </w:tcPr>
          <w:p w:rsidR="00B6569C" w:rsidRDefault="00E82474">
            <w:pPr>
              <w:widowControl/>
              <w:jc w:val="left"/>
              <w:rPr>
                <w:rFonts w:ascii="Arial Narrow" w:hAnsi="Arial Narrow"/>
                <w:sz w:val="20"/>
                <w:szCs w:val="20"/>
                <w:highlight w:val="yellow"/>
              </w:rPr>
            </w:pPr>
            <w:r>
              <w:rPr>
                <w:rFonts w:ascii="Arial Narrow" w:hAnsi="Arial Narrow"/>
                <w:sz w:val="20"/>
                <w:szCs w:val="20"/>
              </w:rPr>
              <w:lastRenderedPageBreak/>
              <w:t>Administrations per patient</w:t>
            </w:r>
          </w:p>
        </w:tc>
        <w:tc>
          <w:tcPr>
            <w:tcW w:w="3543" w:type="dxa"/>
            <w:tcMar>
              <w:left w:w="28" w:type="dxa"/>
              <w:right w:w="28" w:type="dxa"/>
            </w:tcMar>
          </w:tcPr>
          <w:p w:rsidR="00B6569C" w:rsidRDefault="00E82474">
            <w:pPr>
              <w:widowControl/>
              <w:jc w:val="left"/>
              <w:rPr>
                <w:rFonts w:ascii="Arial Narrow" w:hAnsi="Arial Narrow"/>
                <w:sz w:val="20"/>
                <w:szCs w:val="20"/>
                <w:highlight w:val="yellow"/>
              </w:rPr>
            </w:pPr>
            <w:r>
              <w:rPr>
                <w:rFonts w:ascii="Arial Narrow" w:hAnsi="Arial Narrow"/>
                <w:sz w:val="20"/>
                <w:szCs w:val="20"/>
              </w:rPr>
              <w:t>The average number of administrations per patient (</w:t>
            </w:r>
            <w:r w:rsidR="00277D7E">
              <w:rPr>
                <w:rFonts w:ascii="Arial Narrow" w:hAnsi="Arial Narrow"/>
                <w:noProof/>
                <w:color w:val="000000"/>
                <w:sz w:val="20"/>
                <w:szCs w:val="20"/>
                <w:highlight w:val="black"/>
              </w:rPr>
              <w:t>''''''''''''</w:t>
            </w:r>
            <w:r>
              <w:rPr>
                <w:rFonts w:ascii="Arial Narrow" w:hAnsi="Arial Narrow"/>
                <w:sz w:val="20"/>
                <w:szCs w:val="20"/>
              </w:rPr>
              <w:t xml:space="preserve"> per year) overestimated dose intensity and cost per patient [para.7.12].</w:t>
            </w:r>
          </w:p>
        </w:tc>
        <w:tc>
          <w:tcPr>
            <w:tcW w:w="3918" w:type="dxa"/>
            <w:tcMar>
              <w:left w:w="28" w:type="dxa"/>
              <w:right w:w="28" w:type="dxa"/>
            </w:tcMar>
          </w:tcPr>
          <w:p w:rsidR="00B6569C" w:rsidRDefault="00E82474">
            <w:pPr>
              <w:widowControl/>
              <w:jc w:val="left"/>
              <w:rPr>
                <w:rFonts w:ascii="Arial Narrow" w:hAnsi="Arial Narrow"/>
                <w:sz w:val="20"/>
                <w:szCs w:val="20"/>
                <w:highlight w:val="yellow"/>
              </w:rPr>
            </w:pPr>
            <w:r>
              <w:rPr>
                <w:rFonts w:ascii="Arial Narrow" w:hAnsi="Arial Narrow"/>
                <w:sz w:val="20"/>
                <w:szCs w:val="20"/>
              </w:rPr>
              <w:t>The relative dose intensity in KEYNOTE-054 was 99.7%. The resubmission stated that applying this factor to the estimates would not materially affect the treatment duration assumptions and so dose intensity was not included in the modelled financial estimates.</w:t>
            </w:r>
          </w:p>
        </w:tc>
      </w:tr>
      <w:tr w:rsidR="00B6569C">
        <w:trPr>
          <w:cantSplit/>
        </w:trPr>
        <w:tc>
          <w:tcPr>
            <w:tcW w:w="1555" w:type="dxa"/>
            <w:tcMar>
              <w:left w:w="28" w:type="dxa"/>
              <w:right w:w="28" w:type="dxa"/>
            </w:tcMar>
          </w:tcPr>
          <w:p w:rsidR="00B6569C" w:rsidRDefault="00E82474">
            <w:pPr>
              <w:widowControl/>
              <w:jc w:val="left"/>
              <w:rPr>
                <w:rFonts w:ascii="Arial Narrow" w:hAnsi="Arial Narrow"/>
                <w:sz w:val="20"/>
                <w:szCs w:val="20"/>
                <w:highlight w:val="yellow"/>
              </w:rPr>
            </w:pPr>
            <w:r>
              <w:rPr>
                <w:rFonts w:ascii="Arial Narrow" w:hAnsi="Arial Narrow"/>
                <w:sz w:val="20"/>
                <w:szCs w:val="20"/>
              </w:rPr>
              <w:t>Uptake rate</w:t>
            </w:r>
          </w:p>
        </w:tc>
        <w:tc>
          <w:tcPr>
            <w:tcW w:w="3543" w:type="dxa"/>
            <w:tcMar>
              <w:left w:w="28" w:type="dxa"/>
              <w:right w:w="28" w:type="dxa"/>
            </w:tcMar>
          </w:tcPr>
          <w:p w:rsidR="00B6569C" w:rsidRDefault="00E82474">
            <w:pPr>
              <w:widowControl/>
              <w:jc w:val="left"/>
              <w:rPr>
                <w:rFonts w:ascii="Arial Narrow" w:hAnsi="Arial Narrow"/>
                <w:sz w:val="20"/>
                <w:szCs w:val="20"/>
                <w:highlight w:val="yellow"/>
              </w:rPr>
            </w:pPr>
            <w:r>
              <w:rPr>
                <w:rFonts w:ascii="Arial Narrow" w:hAnsi="Arial Narrow"/>
                <w:sz w:val="20"/>
                <w:szCs w:val="20"/>
              </w:rPr>
              <w:t>Uptake rate of 85% was considered high [para.7.12].</w:t>
            </w:r>
          </w:p>
        </w:tc>
        <w:tc>
          <w:tcPr>
            <w:tcW w:w="3918" w:type="dxa"/>
            <w:tcMar>
              <w:left w:w="28" w:type="dxa"/>
              <w:right w:w="28" w:type="dxa"/>
            </w:tcMar>
          </w:tcPr>
          <w:p w:rsidR="00B6569C" w:rsidRDefault="00E82474">
            <w:pPr>
              <w:widowControl/>
              <w:jc w:val="left"/>
              <w:rPr>
                <w:rFonts w:ascii="Arial Narrow" w:hAnsi="Arial Narrow"/>
                <w:sz w:val="20"/>
                <w:szCs w:val="20"/>
                <w:highlight w:val="yellow"/>
              </w:rPr>
            </w:pPr>
            <w:r>
              <w:rPr>
                <w:rFonts w:ascii="Arial Narrow" w:hAnsi="Arial Narrow"/>
                <w:sz w:val="20"/>
                <w:szCs w:val="20"/>
              </w:rPr>
              <w:t>The resubmission applied a lower uptake rate for Stage IIIA patients (50%) based on prognosis and in order to exclude patients with tumour size ≤1 mm, however maintained that the 85% uptake rate was appropriate for the other stages given that the population are typically young and otherwise healthy but with a high risk of recurrence.</w:t>
            </w:r>
          </w:p>
        </w:tc>
      </w:tr>
    </w:tbl>
    <w:p w:rsidR="00B6569C" w:rsidRDefault="00E82474">
      <w:pPr>
        <w:widowControl/>
        <w:rPr>
          <w:rFonts w:ascii="Arial Narrow" w:hAnsi="Arial Narrow"/>
          <w:sz w:val="18"/>
          <w:szCs w:val="18"/>
        </w:rPr>
      </w:pPr>
      <w:r>
        <w:rPr>
          <w:rFonts w:ascii="Arial Narrow" w:hAnsi="Arial Narrow"/>
          <w:sz w:val="18"/>
          <w:szCs w:val="18"/>
        </w:rPr>
        <w:t>AJCC = American Joint Committee on Cancer; DMFS = distant metastases free survival; OS = overall survival; PD-1 = programmed cell death-1; RFS = recurrence free survival</w:t>
      </w:r>
    </w:p>
    <w:p w:rsidR="00B6569C" w:rsidRDefault="00E82474">
      <w:pPr>
        <w:widowControl/>
        <w:rPr>
          <w:rFonts w:ascii="Arial Narrow" w:hAnsi="Arial Narrow"/>
          <w:sz w:val="18"/>
          <w:szCs w:val="18"/>
        </w:rPr>
      </w:pPr>
      <w:r>
        <w:rPr>
          <w:rFonts w:ascii="Arial Narrow" w:hAnsi="Arial Narrow"/>
          <w:sz w:val="18"/>
          <w:szCs w:val="18"/>
        </w:rPr>
        <w:t>Source: Table 1.1-1, pp.1-3 of the resubmission</w:t>
      </w:r>
    </w:p>
    <w:p w:rsidR="00B6569C" w:rsidRDefault="00B6569C"/>
    <w:p w:rsidR="00B6569C" w:rsidRDefault="00E82474">
      <w:pPr>
        <w:rPr>
          <w:i/>
        </w:rPr>
      </w:pPr>
      <w:r>
        <w:tab/>
      </w:r>
      <w:r>
        <w:rPr>
          <w:i/>
        </w:rPr>
        <w:t>For more detail on the PBAC’s view, see Section 7 PBAC outcome.</w:t>
      </w:r>
    </w:p>
    <w:p w:rsidR="00B6569C" w:rsidRDefault="00B6569C">
      <w:pPr>
        <w:widowControl/>
        <w:jc w:val="left"/>
        <w:rPr>
          <w:rFonts w:asciiTheme="minorHAnsi" w:hAnsiTheme="minorHAnsi" w:cstheme="minorHAnsi"/>
          <w:szCs w:val="24"/>
        </w:rPr>
      </w:pPr>
    </w:p>
    <w:p w:rsidR="00B6569C" w:rsidRDefault="00E82474">
      <w:pPr>
        <w:pStyle w:val="PBACHeading1"/>
      </w:pPr>
      <w:bookmarkStart w:id="3" w:name="_Toc9330466"/>
      <w:r>
        <w:t>Population and disease</w:t>
      </w:r>
      <w:bookmarkEnd w:id="3"/>
    </w:p>
    <w:p w:rsidR="00B6569C" w:rsidRDefault="00E82474">
      <w:pPr>
        <w:pStyle w:val="ListParagraph"/>
        <w:widowControl/>
        <w:numPr>
          <w:ilvl w:val="1"/>
          <w:numId w:val="3"/>
        </w:numPr>
      </w:pPr>
      <w:r>
        <w:t xml:space="preserve">Melanoma is a skin cancer originating in pigment-producing melanocytes as a result of unrepaired DNA damage and/or other genetic mutation. Stage III disease includes patients with involvement of regional lymph nodes and/or the presence of in transit, satellite and/or micro satellite metastases. </w:t>
      </w:r>
    </w:p>
    <w:p w:rsidR="00B6569C" w:rsidRDefault="00E82474">
      <w:pPr>
        <w:pStyle w:val="ListParagraph"/>
        <w:widowControl/>
        <w:numPr>
          <w:ilvl w:val="1"/>
          <w:numId w:val="3"/>
        </w:numPr>
      </w:pPr>
      <w:r>
        <w:t>The proposed eligible population in the resubmission is limited to patients with Stage III malignant melanoma at high risk of recurrence following complete surgical resection (i.e. Stage IIIA &gt; 1 mm, Stage IIIB, Stage IIIC or Stage IIID, AJCC 8</w:t>
      </w:r>
      <w:r>
        <w:rPr>
          <w:vertAlign w:val="superscript"/>
        </w:rPr>
        <w:t>th</w:t>
      </w:r>
      <w:r>
        <w:t xml:space="preserve"> edition). The exclusion of patients with Stage IIIA disease ≤ 1 mm (i.e. maximum diameter of largest metastatic deposit in sentinel node ≤ 1 mm) is consistent with the clinical trial population (Trial KN054). The use of the 8th edition of the AJCC melanoma staging system is consistent with Australian clinical practice.</w:t>
      </w:r>
    </w:p>
    <w:p w:rsidR="00B6569C" w:rsidRDefault="00E82474">
      <w:pPr>
        <w:pStyle w:val="ListParagraph"/>
        <w:widowControl/>
        <w:numPr>
          <w:ilvl w:val="1"/>
          <w:numId w:val="3"/>
        </w:numPr>
      </w:pPr>
      <w:r>
        <w:t>The five year and ten year melanoma specific survival rates for Stage III disease, based on database analyses conducted for the AJCC 8</w:t>
      </w:r>
      <w:r>
        <w:rPr>
          <w:vertAlign w:val="superscript"/>
        </w:rPr>
        <w:t>th</w:t>
      </w:r>
      <w:r>
        <w:t xml:space="preserve"> edition international melanoma database, are presented in Figure 1 below. </w:t>
      </w:r>
    </w:p>
    <w:p w:rsidR="001F7C95" w:rsidRDefault="001F7C95" w:rsidP="001F7C95">
      <w:pPr>
        <w:pStyle w:val="TableHeading0"/>
      </w:pPr>
      <w:r>
        <w:lastRenderedPageBreak/>
        <w:t xml:space="preserve">Figure </w:t>
      </w:r>
      <w:fldSimple w:instr=" SEQ Figure \* ARABIC ">
        <w:r w:rsidR="00632FE3">
          <w:rPr>
            <w:noProof/>
          </w:rPr>
          <w:t>1</w:t>
        </w:r>
      </w:fldSimple>
      <w:r w:rsidRPr="00822201">
        <w:t>: Survival probability for melanoma as reported by the AJCC 8th edition Stage III system</w:t>
      </w:r>
    </w:p>
    <w:p w:rsidR="00B6569C" w:rsidRDefault="00B6569C">
      <w:pPr>
        <w:keepNext/>
        <w:keepLines/>
        <w:widowControl/>
        <w:rPr>
          <w:rStyle w:val="CommentReference"/>
        </w:rPr>
      </w:pPr>
    </w:p>
    <w:p w:rsidR="001F7C95" w:rsidRDefault="00E82474" w:rsidP="001F7C95">
      <w:pPr>
        <w:keepNext/>
        <w:keepLines/>
        <w:widowControl/>
      </w:pPr>
      <w:r>
        <w:rPr>
          <w:noProof/>
          <w:snapToGrid/>
          <w:lang w:eastAsia="en-AU"/>
        </w:rPr>
        <w:drawing>
          <wp:inline distT="0" distB="0" distL="0" distR="0" wp14:anchorId="646926BB" wp14:editId="30FFBAF6">
            <wp:extent cx="4668707" cy="2794407"/>
            <wp:effectExtent l="0" t="0" r="0" b="6350"/>
            <wp:docPr id="6" name="Picture 6" title="Figure 1: Survival probability for melanoma as reported by the AJCC 8th edition Stage III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50097" t="49508" r="37773" b="20551"/>
                    <a:stretch/>
                  </pic:blipFill>
                  <pic:spPr bwMode="auto">
                    <a:xfrm>
                      <a:off x="0" y="0"/>
                      <a:ext cx="4691352" cy="2807961"/>
                    </a:xfrm>
                    <a:prstGeom prst="rect">
                      <a:avLst/>
                    </a:prstGeom>
                    <a:ln>
                      <a:noFill/>
                    </a:ln>
                    <a:extLst>
                      <a:ext uri="{53640926-AAD7-44D8-BBD7-CCE9431645EC}">
                        <a14:shadowObscured xmlns:a14="http://schemas.microsoft.com/office/drawing/2010/main"/>
                      </a:ext>
                    </a:extLst>
                  </pic:spPr>
                </pic:pic>
              </a:graphicData>
            </a:graphic>
          </wp:inline>
        </w:drawing>
      </w:r>
    </w:p>
    <w:p w:rsidR="00B6569C" w:rsidRDefault="00E82474">
      <w:pPr>
        <w:widowControl/>
        <w:rPr>
          <w:rFonts w:ascii="Arial Narrow" w:hAnsi="Arial Narrow"/>
          <w:sz w:val="18"/>
          <w:szCs w:val="18"/>
        </w:rPr>
      </w:pPr>
      <w:r>
        <w:rPr>
          <w:rFonts w:ascii="Arial Narrow" w:hAnsi="Arial Narrow"/>
          <w:sz w:val="18"/>
          <w:szCs w:val="18"/>
        </w:rPr>
        <w:t>AJCC = American Joint Committee on Cancer; YR = year</w:t>
      </w:r>
    </w:p>
    <w:p w:rsidR="00B6569C" w:rsidRDefault="00E82474">
      <w:pPr>
        <w:widowControl/>
        <w:rPr>
          <w:rFonts w:ascii="Arial Narrow" w:hAnsi="Arial Narrow"/>
          <w:sz w:val="18"/>
          <w:szCs w:val="18"/>
        </w:rPr>
      </w:pPr>
      <w:r>
        <w:rPr>
          <w:rFonts w:ascii="Arial Narrow" w:hAnsi="Arial Narrow"/>
          <w:sz w:val="18"/>
          <w:szCs w:val="18"/>
        </w:rPr>
        <w:t>Source: Gershenwald et al. (2018)</w:t>
      </w:r>
    </w:p>
    <w:p w:rsidR="00B6569C" w:rsidRDefault="00B6569C">
      <w:pPr>
        <w:widowControl/>
      </w:pPr>
    </w:p>
    <w:p w:rsidR="00B6569C" w:rsidRDefault="00E82474">
      <w:pPr>
        <w:pStyle w:val="ListParagraph"/>
        <w:widowControl/>
        <w:numPr>
          <w:ilvl w:val="1"/>
          <w:numId w:val="3"/>
        </w:numPr>
      </w:pPr>
      <w:r>
        <w:t xml:space="preserve">The ESC again noted the low risk of recurrence for patients with Stage IIIA disease. </w:t>
      </w:r>
    </w:p>
    <w:p w:rsidR="00B6569C" w:rsidRDefault="00E82474">
      <w:pPr>
        <w:pStyle w:val="ListParagraph"/>
        <w:widowControl/>
        <w:rPr>
          <w:i/>
        </w:rPr>
      </w:pPr>
      <w:r>
        <w:rPr>
          <w:i/>
        </w:rPr>
        <w:t>For more detail on the PBAC’s view, see Section 7 PBAC outcome.</w:t>
      </w:r>
    </w:p>
    <w:p w:rsidR="00B6569C" w:rsidRDefault="00E82474">
      <w:pPr>
        <w:pStyle w:val="PBACHeading1"/>
      </w:pPr>
      <w:bookmarkStart w:id="4" w:name="_Toc9330467"/>
      <w:r>
        <w:t>Comparator</w:t>
      </w:r>
      <w:bookmarkEnd w:id="4"/>
    </w:p>
    <w:p w:rsidR="00B6569C" w:rsidRDefault="00E82474">
      <w:pPr>
        <w:pStyle w:val="ListParagraph"/>
        <w:widowControl/>
        <w:numPr>
          <w:ilvl w:val="1"/>
          <w:numId w:val="3"/>
        </w:numPr>
        <w:rPr>
          <w:rFonts w:cs="Calibri"/>
          <w:snapToGrid/>
          <w:szCs w:val="24"/>
          <w:lang w:val="en-US" w:eastAsia="en-AU"/>
        </w:rPr>
      </w:pPr>
      <w:r>
        <w:rPr>
          <w:rFonts w:cs="Calibri"/>
          <w:snapToGrid/>
          <w:szCs w:val="24"/>
          <w:lang w:val="en-US" w:eastAsia="en-AU"/>
        </w:rPr>
        <w:t xml:space="preserve">The PBAC accepted observation (placebo) as the appropriate main comparator at the November 2018 meeting (paragraph 7.3, Pembrolizumab Minutes, November 2018). </w:t>
      </w:r>
    </w:p>
    <w:p w:rsidR="00B6569C" w:rsidRDefault="00E82474">
      <w:pPr>
        <w:pStyle w:val="ListParagraph"/>
        <w:widowControl/>
        <w:numPr>
          <w:ilvl w:val="1"/>
          <w:numId w:val="3"/>
        </w:numPr>
        <w:rPr>
          <w:rFonts w:cs="Calibri"/>
          <w:snapToGrid/>
          <w:szCs w:val="24"/>
          <w:lang w:val="en-US" w:eastAsia="en-AU"/>
        </w:rPr>
      </w:pPr>
      <w:r>
        <w:rPr>
          <w:rFonts w:cs="Calibri"/>
          <w:snapToGrid/>
          <w:szCs w:val="24"/>
          <w:lang w:val="en-US" w:eastAsia="en-AU"/>
        </w:rPr>
        <w:t xml:space="preserve">The resubmission also nominated nivolumab and dabrafenib/trametinib as near market comparators (unchanged from the November 2018 submission). Nivolumab (second submission) and dabrafenib/trametinib (first submission) were considered at the March 2019 PBAC meeting for adjuvant therapy to complete resected Stage III malignant melanoma, and minor submissions for both treatments were considered at the July 2019 PBAC meeting. </w:t>
      </w:r>
    </w:p>
    <w:p w:rsidR="00B6569C" w:rsidRDefault="00E82474">
      <w:pPr>
        <w:pStyle w:val="ListParagraph"/>
        <w:widowControl/>
        <w:rPr>
          <w:rFonts w:cs="Calibri"/>
          <w:i/>
          <w:snapToGrid/>
          <w:szCs w:val="24"/>
          <w:lang w:val="en-US" w:eastAsia="en-AU"/>
        </w:rPr>
      </w:pPr>
      <w:r>
        <w:rPr>
          <w:rFonts w:cs="Calibri"/>
          <w:i/>
          <w:snapToGrid/>
          <w:szCs w:val="24"/>
          <w:lang w:val="en-US" w:eastAsia="en-AU"/>
        </w:rPr>
        <w:t>For more detail on the PBAC’s view, see Section 7 PBAC outcome.</w:t>
      </w:r>
    </w:p>
    <w:p w:rsidR="00B6569C" w:rsidRDefault="00E82474">
      <w:pPr>
        <w:pStyle w:val="PBACHeading1"/>
        <w:keepNext/>
      </w:pPr>
      <w:bookmarkStart w:id="5" w:name="_Toc9330468"/>
      <w:r>
        <w:t>Consideration of the evidence</w:t>
      </w:r>
      <w:bookmarkEnd w:id="5"/>
    </w:p>
    <w:p w:rsidR="00B6569C" w:rsidRDefault="00E82474">
      <w:pPr>
        <w:pStyle w:val="Heading2"/>
        <w:spacing w:before="120"/>
      </w:pPr>
      <w:bookmarkStart w:id="6" w:name="_Toc9330469"/>
      <w:r>
        <w:t>Sponsor hearing</w:t>
      </w:r>
    </w:p>
    <w:p w:rsidR="00B6569C" w:rsidRDefault="00B6569C"/>
    <w:p w:rsidR="00B6569C" w:rsidRDefault="00E82474">
      <w:pPr>
        <w:numPr>
          <w:ilvl w:val="1"/>
          <w:numId w:val="3"/>
        </w:numPr>
        <w:spacing w:after="120"/>
        <w:rPr>
          <w:rFonts w:asciiTheme="minorHAnsi" w:hAnsiTheme="minorHAnsi"/>
          <w:bCs/>
        </w:rPr>
      </w:pPr>
      <w:r>
        <w:rPr>
          <w:rFonts w:asciiTheme="minorHAnsi" w:hAnsiTheme="minorHAnsi"/>
          <w:bCs/>
        </w:rPr>
        <w:t>There was no hearing for this item.</w:t>
      </w:r>
    </w:p>
    <w:p w:rsidR="00B6569C" w:rsidRDefault="00E82474">
      <w:pPr>
        <w:pStyle w:val="Heading2"/>
      </w:pPr>
      <w:r>
        <w:t>Consumer comments</w:t>
      </w:r>
    </w:p>
    <w:p w:rsidR="00B6569C" w:rsidRDefault="00B6569C"/>
    <w:p w:rsidR="00B6569C" w:rsidRDefault="00E82474">
      <w:pPr>
        <w:numPr>
          <w:ilvl w:val="1"/>
          <w:numId w:val="3"/>
        </w:numPr>
        <w:spacing w:after="120"/>
        <w:rPr>
          <w:rFonts w:asciiTheme="minorHAnsi" w:hAnsiTheme="minorHAnsi"/>
          <w:bCs/>
        </w:rPr>
      </w:pPr>
      <w:r>
        <w:rPr>
          <w:rFonts w:asciiTheme="minorHAnsi" w:hAnsiTheme="minorHAnsi"/>
          <w:bCs/>
        </w:rPr>
        <w:t xml:space="preserve">The PBAC noted and welcomed the input from individuals (2), health care professionals (17) and organisations (4) via the Consumer Comments facility on the </w:t>
      </w:r>
      <w:r>
        <w:rPr>
          <w:rFonts w:asciiTheme="minorHAnsi" w:hAnsiTheme="minorHAnsi"/>
          <w:bCs/>
        </w:rPr>
        <w:lastRenderedPageBreak/>
        <w:t xml:space="preserve">PBS website.  The individual and health care professional comments described a range of benefits of treatment with adjuvant pembrolizumab including prolonged life, improved quality of life and few side effects.  </w:t>
      </w:r>
    </w:p>
    <w:p w:rsidR="00B6569C" w:rsidRDefault="00E82474">
      <w:pPr>
        <w:numPr>
          <w:ilvl w:val="1"/>
          <w:numId w:val="3"/>
        </w:numPr>
        <w:spacing w:after="120"/>
        <w:rPr>
          <w:rFonts w:asciiTheme="minorHAnsi" w:hAnsiTheme="minorHAnsi"/>
          <w:bCs/>
        </w:rPr>
      </w:pPr>
      <w:r>
        <w:rPr>
          <w:rFonts w:asciiTheme="minorHAnsi" w:hAnsiTheme="minorHAnsi"/>
          <w:bCs/>
        </w:rPr>
        <w:t xml:space="preserve">The PBAC noted the advice received from i) Melanoma Tasmania, ii) Melanoma Patients Australia, and iii) Australian Melanoma Consumer Alliance and the Melanoma Research Victoria Consumer Reference Group, all which supported the listing of pembrolizumab for Stage III resected melanoma on the PBS. </w:t>
      </w:r>
    </w:p>
    <w:p w:rsidR="00B6569C" w:rsidRDefault="00E82474">
      <w:pPr>
        <w:keepNext/>
        <w:widowControl/>
        <w:numPr>
          <w:ilvl w:val="1"/>
          <w:numId w:val="3"/>
        </w:numPr>
        <w:spacing w:after="120"/>
        <w:rPr>
          <w:szCs w:val="24"/>
        </w:rPr>
      </w:pPr>
      <w:r>
        <w:rPr>
          <w:rFonts w:asciiTheme="minorHAnsi" w:hAnsiTheme="minorHAnsi"/>
          <w:bCs/>
        </w:rPr>
        <w:t>The Medical Oncology Group of Australia (MOGA) also expressed its strong support for the adjuvant pembrolizumab in Stage III melanoma submission, categorising it as one of the therapies of “highest priority for PBAC listing” on the basis of the Phase III clinical evidence provided by the KN054 trial. The PBAC noted that the MOGA presented the European Society for Medical Oncology Magnitude of Clinical Benefit Scale (ESMO-MCBS) for pembrolizumab, which was a Grade A, which is the highest grade (out of C, and where A and B represent the grades with substantial improvement for new approaches to adjuvant therapy or new potentially curative therapies), based on a comparison with placebo in the KN054 trial.</w:t>
      </w:r>
      <w:r>
        <w:rPr>
          <w:rStyle w:val="FootnoteReference"/>
          <w:rFonts w:asciiTheme="minorHAnsi" w:hAnsiTheme="minorHAnsi"/>
          <w:bCs/>
        </w:rPr>
        <w:footnoteReference w:id="1"/>
      </w:r>
    </w:p>
    <w:p w:rsidR="00B6569C" w:rsidRDefault="00E82474">
      <w:pPr>
        <w:pStyle w:val="Heading2"/>
      </w:pPr>
      <w:r>
        <w:t>Clinical trials</w:t>
      </w:r>
      <w:bookmarkEnd w:id="6"/>
    </w:p>
    <w:p w:rsidR="00B6569C" w:rsidRDefault="00B6569C">
      <w:pPr>
        <w:widowControl/>
      </w:pPr>
    </w:p>
    <w:p w:rsidR="00B6569C" w:rsidRDefault="00E82474">
      <w:pPr>
        <w:pStyle w:val="ListParagraph"/>
        <w:widowControl/>
        <w:numPr>
          <w:ilvl w:val="1"/>
          <w:numId w:val="3"/>
        </w:numPr>
      </w:pPr>
      <w:r>
        <w:t xml:space="preserve">The resubmission was based on Trial KN054 comparing pembrolizumab to placebo as adjuvant therapy in patients with complete resection of Stage III melanoma, the key study considered by the PBAC at the November 2018 meeting. The ESC noted that no new clinical evidence relevant to adjuvant therapy for Stage III melanoma was identified in the resubmission. The resubmission did present new </w:t>
      </w:r>
      <w:r>
        <w:rPr>
          <w:i/>
        </w:rPr>
        <w:t>post hoc</w:t>
      </w:r>
      <w:r>
        <w:t xml:space="preserve"> overall (ITT) and Stage III subgroup analyses of the Trial KN054 patient data re-graded using the AJCC 8th edition staging system. </w:t>
      </w:r>
    </w:p>
    <w:p w:rsidR="00B6569C" w:rsidRDefault="00E82474">
      <w:pPr>
        <w:pStyle w:val="ListParagraph"/>
        <w:widowControl/>
        <w:numPr>
          <w:ilvl w:val="1"/>
          <w:numId w:val="3"/>
        </w:numPr>
      </w:pPr>
      <w:r>
        <w:t xml:space="preserve">Supportive indirect comparisons between pembrolizumab (Trial KN054) and the near market comparators, nivolumab (CA238, Hemstock et al. 2019) and </w:t>
      </w:r>
      <w:r>
        <w:rPr>
          <w:rStyle w:val="CommentReference"/>
          <w:rFonts w:asciiTheme="minorHAnsi" w:hAnsiTheme="minorHAnsi" w:cstheme="minorHAnsi"/>
          <w:b w:val="0"/>
          <w:sz w:val="24"/>
          <w:szCs w:val="24"/>
        </w:rPr>
        <w:t>dabrafenib+trametinib (BRAF V600 positive; Study COMBI-AD, Hauschild et al. 2018), and one network meta-analysis of medicines used in the treatment of malignant melanoma (</w:t>
      </w:r>
      <w:r>
        <w:t>Lorenzi et al. 2018)</w:t>
      </w:r>
      <w:r>
        <w:rPr>
          <w:rStyle w:val="CommentReference"/>
          <w:rFonts w:asciiTheme="minorHAnsi" w:hAnsiTheme="minorHAnsi" w:cstheme="minorHAnsi"/>
          <w:b w:val="0"/>
          <w:sz w:val="24"/>
          <w:szCs w:val="24"/>
        </w:rPr>
        <w:t>, were presented as attachments to the resubmission. The supportive indirect comparisons were updated from the November 2018 submission.</w:t>
      </w:r>
      <w:r>
        <w:rPr>
          <w:color w:val="3366FF"/>
        </w:rPr>
        <w:t xml:space="preserve"> </w:t>
      </w:r>
    </w:p>
    <w:p w:rsidR="00B6569C" w:rsidRDefault="00E82474">
      <w:pPr>
        <w:pStyle w:val="ListParagraph"/>
        <w:widowControl/>
        <w:numPr>
          <w:ilvl w:val="1"/>
          <w:numId w:val="3"/>
        </w:numPr>
      </w:pPr>
      <w:r>
        <w:rPr>
          <w:rFonts w:cs="Calibri"/>
          <w:snapToGrid/>
          <w:szCs w:val="24"/>
          <w:lang w:val="en-US" w:eastAsia="en-AU"/>
        </w:rPr>
        <w:t xml:space="preserve">Details of the trials presented in the submission are provided in the table below.  </w:t>
      </w:r>
    </w:p>
    <w:p w:rsidR="001F7C95" w:rsidRDefault="001F7C95" w:rsidP="001F7C95">
      <w:pPr>
        <w:pStyle w:val="TableHeading0"/>
      </w:pPr>
      <w:r>
        <w:lastRenderedPageBreak/>
        <w:t xml:space="preserve">Table </w:t>
      </w:r>
      <w:fldSimple w:instr=" SEQ Table \* ARABIC ">
        <w:r w:rsidR="00632FE3">
          <w:rPr>
            <w:noProof/>
          </w:rPr>
          <w:t>3</w:t>
        </w:r>
      </w:fldSimple>
      <w:r>
        <w:t>:</w:t>
      </w:r>
      <w:r w:rsidRPr="00E81122">
        <w:t xml:space="preserve">  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resubmission"/>
      </w:tblPr>
      <w:tblGrid>
        <w:gridCol w:w="1271"/>
        <w:gridCol w:w="5387"/>
        <w:gridCol w:w="2359"/>
      </w:tblGrid>
      <w:tr w:rsidR="00B6569C">
        <w:tc>
          <w:tcPr>
            <w:tcW w:w="705" w:type="pct"/>
            <w:tcBorders>
              <w:top w:val="single" w:sz="4" w:space="0" w:color="auto"/>
              <w:left w:val="single" w:sz="4" w:space="0" w:color="auto"/>
              <w:bottom w:val="single" w:sz="4" w:space="0" w:color="auto"/>
              <w:right w:val="single" w:sz="4" w:space="0" w:color="auto"/>
            </w:tcBorders>
          </w:tcPr>
          <w:p w:rsidR="00B6569C" w:rsidRDefault="00E82474">
            <w:pPr>
              <w:pStyle w:val="Tabletext"/>
              <w:keepNext/>
              <w:rPr>
                <w:b/>
              </w:rPr>
            </w:pPr>
            <w:r>
              <w:rPr>
                <w:b/>
              </w:rPr>
              <w:t>Trial ID</w:t>
            </w:r>
          </w:p>
        </w:tc>
        <w:tc>
          <w:tcPr>
            <w:tcW w:w="2987" w:type="pct"/>
            <w:tcBorders>
              <w:top w:val="single" w:sz="4" w:space="0" w:color="auto"/>
              <w:left w:val="single" w:sz="4" w:space="0" w:color="auto"/>
              <w:bottom w:val="single" w:sz="4" w:space="0" w:color="auto"/>
              <w:right w:val="single" w:sz="4" w:space="0" w:color="auto"/>
            </w:tcBorders>
            <w:vAlign w:val="center"/>
          </w:tcPr>
          <w:p w:rsidR="00B6569C" w:rsidRDefault="00E82474">
            <w:pPr>
              <w:pStyle w:val="Tabletext"/>
              <w:keepNext/>
              <w:rPr>
                <w:b/>
                <w:szCs w:val="18"/>
                <w:lang w:val="en-US" w:eastAsia="en-AU"/>
              </w:rPr>
            </w:pPr>
            <w:r>
              <w:rPr>
                <w:b/>
                <w:szCs w:val="18"/>
                <w:lang w:val="en-US" w:eastAsia="en-AU"/>
              </w:rPr>
              <w:t>Protocol title/ Publication title</w:t>
            </w:r>
          </w:p>
        </w:tc>
        <w:tc>
          <w:tcPr>
            <w:tcW w:w="1308" w:type="pct"/>
            <w:tcBorders>
              <w:top w:val="single" w:sz="4" w:space="0" w:color="auto"/>
              <w:left w:val="single" w:sz="4" w:space="0" w:color="auto"/>
              <w:bottom w:val="single" w:sz="4" w:space="0" w:color="auto"/>
              <w:right w:val="single" w:sz="4" w:space="0" w:color="auto"/>
            </w:tcBorders>
          </w:tcPr>
          <w:p w:rsidR="00B6569C" w:rsidRDefault="00E82474">
            <w:pPr>
              <w:pStyle w:val="Tabletext"/>
              <w:keepNext/>
              <w:rPr>
                <w:b/>
                <w:szCs w:val="18"/>
                <w:lang w:val="en-US" w:eastAsia="en-AU"/>
              </w:rPr>
            </w:pPr>
            <w:r>
              <w:rPr>
                <w:b/>
                <w:szCs w:val="18"/>
                <w:lang w:val="en-US" w:eastAsia="en-AU"/>
              </w:rPr>
              <w:t>Publication citation</w:t>
            </w:r>
          </w:p>
        </w:tc>
      </w:tr>
      <w:tr w:rsidR="00B6569C">
        <w:tc>
          <w:tcPr>
            <w:tcW w:w="5000" w:type="pct"/>
            <w:gridSpan w:val="3"/>
            <w:tcBorders>
              <w:top w:val="single" w:sz="4" w:space="0" w:color="auto"/>
              <w:left w:val="single" w:sz="4" w:space="0" w:color="auto"/>
              <w:bottom w:val="single" w:sz="4" w:space="0" w:color="auto"/>
              <w:right w:val="single" w:sz="4" w:space="0" w:color="auto"/>
            </w:tcBorders>
          </w:tcPr>
          <w:p w:rsidR="00B6569C" w:rsidRDefault="00E82474">
            <w:pPr>
              <w:pStyle w:val="Tabletext"/>
              <w:keepNext/>
              <w:rPr>
                <w:b/>
                <w:szCs w:val="18"/>
                <w:lang w:val="en-US" w:eastAsia="en-AU"/>
              </w:rPr>
            </w:pPr>
            <w:r>
              <w:rPr>
                <w:b/>
                <w:szCs w:val="18"/>
                <w:lang w:val="en-US" w:eastAsia="en-AU"/>
              </w:rPr>
              <w:t xml:space="preserve">Direct randomised trials presented in the resubmission </w:t>
            </w:r>
          </w:p>
        </w:tc>
      </w:tr>
      <w:tr w:rsidR="00B6569C">
        <w:tc>
          <w:tcPr>
            <w:tcW w:w="705" w:type="pct"/>
            <w:tcBorders>
              <w:top w:val="single" w:sz="4" w:space="0" w:color="auto"/>
              <w:left w:val="single" w:sz="4" w:space="0" w:color="auto"/>
              <w:bottom w:val="nil"/>
              <w:right w:val="single" w:sz="4" w:space="0" w:color="auto"/>
            </w:tcBorders>
          </w:tcPr>
          <w:p w:rsidR="00B6569C" w:rsidRDefault="00E82474">
            <w:pPr>
              <w:pStyle w:val="Tabletext"/>
              <w:keepNext/>
            </w:pPr>
            <w:r>
              <w:t>KN054</w:t>
            </w:r>
          </w:p>
          <w:p w:rsidR="00B6569C" w:rsidRDefault="00E82474">
            <w:pPr>
              <w:pStyle w:val="Tabletext"/>
              <w:keepNext/>
            </w:pPr>
            <w:r>
              <w:t>(NCT02362594)</w:t>
            </w:r>
          </w:p>
        </w:tc>
        <w:tc>
          <w:tcPr>
            <w:tcW w:w="2987" w:type="pct"/>
            <w:tcBorders>
              <w:top w:val="single" w:sz="4" w:space="0" w:color="auto"/>
              <w:left w:val="single" w:sz="4" w:space="0" w:color="auto"/>
              <w:bottom w:val="nil"/>
              <w:right w:val="single" w:sz="4" w:space="0" w:color="auto"/>
            </w:tcBorders>
          </w:tcPr>
          <w:p w:rsidR="00B6569C" w:rsidRDefault="00E82474">
            <w:pPr>
              <w:pStyle w:val="Tabletext"/>
              <w:keepNext/>
              <w:rPr>
                <w:szCs w:val="18"/>
                <w:lang w:val="en-US" w:eastAsia="en-AU"/>
              </w:rPr>
            </w:pPr>
            <w:r>
              <w:rPr>
                <w:szCs w:val="18"/>
                <w:lang w:val="en-US" w:eastAsia="en-AU"/>
              </w:rPr>
              <w:t>Adjuvant immunotherapy with anti-PD-1 monoclonal antibody Pembrolizumab (MK-3475) versus placebo after complete resection of high-risk Stage III melanoma: A randomized, double-blind Phase 3 trial of the EORTC Melanoma Group</w:t>
            </w:r>
          </w:p>
        </w:tc>
        <w:tc>
          <w:tcPr>
            <w:tcW w:w="1308" w:type="pct"/>
            <w:tcBorders>
              <w:top w:val="single" w:sz="4" w:space="0" w:color="auto"/>
              <w:left w:val="single" w:sz="4" w:space="0" w:color="auto"/>
              <w:bottom w:val="nil"/>
              <w:right w:val="single" w:sz="4" w:space="0" w:color="auto"/>
            </w:tcBorders>
          </w:tcPr>
          <w:p w:rsidR="00B6569C" w:rsidRDefault="00E82474">
            <w:pPr>
              <w:pStyle w:val="Tabletext"/>
              <w:keepNext/>
              <w:rPr>
                <w:szCs w:val="18"/>
                <w:lang w:val="en-US" w:eastAsia="en-AU"/>
              </w:rPr>
            </w:pPr>
            <w:r>
              <w:rPr>
                <w:szCs w:val="18"/>
                <w:lang w:val="en-US" w:eastAsia="en-AU"/>
              </w:rPr>
              <w:t>Report date: March 2018</w:t>
            </w:r>
          </w:p>
        </w:tc>
      </w:tr>
      <w:tr w:rsidR="00B6569C">
        <w:tc>
          <w:tcPr>
            <w:tcW w:w="705" w:type="pct"/>
            <w:tcBorders>
              <w:top w:val="nil"/>
              <w:left w:val="single" w:sz="4" w:space="0" w:color="auto"/>
              <w:bottom w:val="nil"/>
              <w:right w:val="single" w:sz="4" w:space="0" w:color="auto"/>
            </w:tcBorders>
          </w:tcPr>
          <w:p w:rsidR="00B6569C" w:rsidRDefault="00B6569C">
            <w:pPr>
              <w:pStyle w:val="Tabletext"/>
              <w:keepNext/>
            </w:pPr>
          </w:p>
        </w:tc>
        <w:tc>
          <w:tcPr>
            <w:tcW w:w="2987" w:type="pct"/>
            <w:tcBorders>
              <w:top w:val="nil"/>
              <w:left w:val="single" w:sz="4" w:space="0" w:color="auto"/>
              <w:bottom w:val="nil"/>
              <w:right w:val="single" w:sz="4" w:space="0" w:color="auto"/>
            </w:tcBorders>
          </w:tcPr>
          <w:p w:rsidR="00B6569C" w:rsidRDefault="00E82474">
            <w:pPr>
              <w:pStyle w:val="Tabletext"/>
              <w:keepNext/>
              <w:rPr>
                <w:szCs w:val="18"/>
                <w:lang w:val="en-US" w:eastAsia="en-AU"/>
              </w:rPr>
            </w:pPr>
            <w:r>
              <w:rPr>
                <w:szCs w:val="18"/>
                <w:lang w:val="en-US" w:eastAsia="en-AU"/>
              </w:rPr>
              <w:t xml:space="preserve">Eggermont, A, Blank C, Mandala M, et al. Adjuvant pembrolizumab versus placebo in resected Stage III melanoma. </w:t>
            </w:r>
          </w:p>
        </w:tc>
        <w:tc>
          <w:tcPr>
            <w:tcW w:w="1308" w:type="pct"/>
            <w:tcBorders>
              <w:top w:val="nil"/>
              <w:left w:val="single" w:sz="4" w:space="0" w:color="auto"/>
              <w:bottom w:val="nil"/>
              <w:right w:val="single" w:sz="4" w:space="0" w:color="auto"/>
            </w:tcBorders>
          </w:tcPr>
          <w:p w:rsidR="00B6569C" w:rsidRDefault="00E82474">
            <w:pPr>
              <w:pStyle w:val="Tabletext"/>
              <w:keepNext/>
              <w:rPr>
                <w:szCs w:val="18"/>
                <w:lang w:val="en-US" w:eastAsia="en-AU"/>
              </w:rPr>
            </w:pPr>
            <w:r>
              <w:rPr>
                <w:i/>
                <w:szCs w:val="18"/>
                <w:lang w:val="en-US" w:eastAsia="en-AU"/>
              </w:rPr>
              <w:t>New England Journal of Medicine</w:t>
            </w:r>
            <w:r>
              <w:rPr>
                <w:szCs w:val="18"/>
                <w:lang w:val="en-US" w:eastAsia="en-AU"/>
              </w:rPr>
              <w:t xml:space="preserve"> 2018; 378:1789-1801</w:t>
            </w:r>
          </w:p>
        </w:tc>
      </w:tr>
      <w:tr w:rsidR="00B6569C">
        <w:tc>
          <w:tcPr>
            <w:tcW w:w="705" w:type="pct"/>
            <w:tcBorders>
              <w:top w:val="nil"/>
              <w:left w:val="single" w:sz="4" w:space="0" w:color="auto"/>
              <w:bottom w:val="single" w:sz="4" w:space="0" w:color="auto"/>
              <w:right w:val="single" w:sz="4" w:space="0" w:color="auto"/>
            </w:tcBorders>
          </w:tcPr>
          <w:p w:rsidR="00B6569C" w:rsidRDefault="00B6569C">
            <w:pPr>
              <w:pStyle w:val="Tabletext"/>
              <w:keepNext/>
            </w:pPr>
          </w:p>
        </w:tc>
        <w:tc>
          <w:tcPr>
            <w:tcW w:w="2987" w:type="pct"/>
            <w:tcBorders>
              <w:top w:val="nil"/>
              <w:left w:val="single" w:sz="4" w:space="0" w:color="auto"/>
              <w:bottom w:val="single" w:sz="4" w:space="0" w:color="auto"/>
              <w:right w:val="single" w:sz="4" w:space="0" w:color="auto"/>
            </w:tcBorders>
          </w:tcPr>
          <w:p w:rsidR="00B6569C" w:rsidRDefault="00E82474">
            <w:pPr>
              <w:pStyle w:val="Tabletext"/>
              <w:keepNext/>
              <w:rPr>
                <w:szCs w:val="18"/>
                <w:lang w:val="en-US" w:eastAsia="en-AU"/>
              </w:rPr>
            </w:pPr>
            <w:r>
              <w:rPr>
                <w:szCs w:val="18"/>
                <w:lang w:val="en-US" w:eastAsia="en-AU"/>
              </w:rPr>
              <w:t>Bottomley A., Coens C., Blank C., Mandala M., Long G.V. et al. HRQoL results for pembrolizumab versus placebo after complete resection of high-risk Stage III melanoma from the EORTC 1325-MG/ Keynote 054 trial: An international randomized double-blind phase 3 trial (Abstract)</w:t>
            </w:r>
          </w:p>
        </w:tc>
        <w:tc>
          <w:tcPr>
            <w:tcW w:w="1308" w:type="pct"/>
            <w:tcBorders>
              <w:top w:val="nil"/>
              <w:left w:val="single" w:sz="4" w:space="0" w:color="auto"/>
              <w:bottom w:val="single" w:sz="4" w:space="0" w:color="auto"/>
              <w:right w:val="single" w:sz="4" w:space="0" w:color="auto"/>
            </w:tcBorders>
          </w:tcPr>
          <w:p w:rsidR="00B6569C" w:rsidRDefault="00E82474">
            <w:pPr>
              <w:pStyle w:val="Tabletext"/>
              <w:keepNext/>
              <w:rPr>
                <w:szCs w:val="18"/>
                <w:lang w:val="en-US" w:eastAsia="en-AU"/>
              </w:rPr>
            </w:pPr>
            <w:r>
              <w:rPr>
                <w:i/>
                <w:szCs w:val="18"/>
                <w:lang w:val="en-US" w:eastAsia="en-AU"/>
              </w:rPr>
              <w:t>Pigment Cell and Melanoma Research</w:t>
            </w:r>
            <w:r>
              <w:rPr>
                <w:szCs w:val="18"/>
                <w:lang w:val="en-US" w:eastAsia="en-AU"/>
              </w:rPr>
              <w:t xml:space="preserve"> 2019; 32(1):102</w:t>
            </w:r>
          </w:p>
        </w:tc>
      </w:tr>
      <w:tr w:rsidR="00B6569C">
        <w:tc>
          <w:tcPr>
            <w:tcW w:w="5000" w:type="pct"/>
            <w:gridSpan w:val="3"/>
            <w:tcBorders>
              <w:top w:val="single" w:sz="4" w:space="0" w:color="auto"/>
              <w:left w:val="single" w:sz="4" w:space="0" w:color="auto"/>
              <w:bottom w:val="single" w:sz="4" w:space="0" w:color="auto"/>
              <w:right w:val="single" w:sz="4" w:space="0" w:color="auto"/>
            </w:tcBorders>
          </w:tcPr>
          <w:p w:rsidR="00B6569C" w:rsidRDefault="00E82474">
            <w:pPr>
              <w:pStyle w:val="Tabletext"/>
              <w:keepNext/>
              <w:rPr>
                <w:b/>
                <w:szCs w:val="18"/>
                <w:lang w:val="en-US" w:eastAsia="en-AU"/>
              </w:rPr>
            </w:pPr>
            <w:r>
              <w:rPr>
                <w:b/>
                <w:szCs w:val="18"/>
                <w:lang w:val="en-US" w:eastAsia="en-AU"/>
              </w:rPr>
              <w:t xml:space="preserve">Randomised trials presented in supportive indirect comparisons in the resubmission </w:t>
            </w:r>
          </w:p>
        </w:tc>
      </w:tr>
      <w:tr w:rsidR="00B6569C">
        <w:tc>
          <w:tcPr>
            <w:tcW w:w="705" w:type="pct"/>
            <w:tcBorders>
              <w:top w:val="single" w:sz="4" w:space="0" w:color="auto"/>
              <w:left w:val="single" w:sz="4" w:space="0" w:color="auto"/>
              <w:bottom w:val="nil"/>
              <w:right w:val="single" w:sz="4" w:space="0" w:color="auto"/>
            </w:tcBorders>
          </w:tcPr>
          <w:p w:rsidR="00B6569C" w:rsidRDefault="00E82474">
            <w:pPr>
              <w:pStyle w:val="Tabletext"/>
              <w:keepNext/>
            </w:pPr>
            <w:r>
              <w:t>CheckMate 238/ CA238</w:t>
            </w:r>
          </w:p>
        </w:tc>
        <w:tc>
          <w:tcPr>
            <w:tcW w:w="2987" w:type="pct"/>
            <w:tcBorders>
              <w:top w:val="single" w:sz="4" w:space="0" w:color="auto"/>
              <w:left w:val="single" w:sz="4" w:space="0" w:color="auto"/>
              <w:bottom w:val="nil"/>
              <w:right w:val="single" w:sz="4" w:space="0" w:color="auto"/>
            </w:tcBorders>
          </w:tcPr>
          <w:p w:rsidR="00B6569C" w:rsidRDefault="00E82474">
            <w:pPr>
              <w:pStyle w:val="Tabletext"/>
              <w:keepNext/>
              <w:rPr>
                <w:szCs w:val="18"/>
                <w:lang w:val="en-US" w:eastAsia="en-AU"/>
              </w:rPr>
            </w:pPr>
            <w:r>
              <w:t>Weber, J., et al. Adjuvant nivolumab versus ipilimumab in resected stage III or IV melanoma.</w:t>
            </w:r>
          </w:p>
          <w:p w:rsidR="00B6569C" w:rsidRDefault="00B6569C">
            <w:pPr>
              <w:pStyle w:val="Tabletext"/>
              <w:keepNext/>
              <w:rPr>
                <w:szCs w:val="18"/>
                <w:lang w:val="en-US" w:eastAsia="en-AU"/>
              </w:rPr>
            </w:pPr>
          </w:p>
        </w:tc>
        <w:tc>
          <w:tcPr>
            <w:tcW w:w="1308" w:type="pct"/>
            <w:tcBorders>
              <w:top w:val="single" w:sz="4" w:space="0" w:color="auto"/>
              <w:left w:val="single" w:sz="4" w:space="0" w:color="auto"/>
              <w:bottom w:val="nil"/>
              <w:right w:val="single" w:sz="4" w:space="0" w:color="auto"/>
            </w:tcBorders>
          </w:tcPr>
          <w:p w:rsidR="00B6569C" w:rsidRDefault="00E82474">
            <w:pPr>
              <w:pStyle w:val="Tabletext"/>
              <w:keepNext/>
              <w:rPr>
                <w:szCs w:val="18"/>
                <w:lang w:val="en-US" w:eastAsia="en-AU"/>
              </w:rPr>
            </w:pPr>
            <w:r>
              <w:rPr>
                <w:i/>
                <w:szCs w:val="18"/>
                <w:lang w:val="en-US" w:eastAsia="en-AU"/>
              </w:rPr>
              <w:t>New England Journal of Medicine</w:t>
            </w:r>
            <w:r>
              <w:rPr>
                <w:szCs w:val="18"/>
                <w:lang w:val="en-US" w:eastAsia="en-AU"/>
              </w:rPr>
              <w:t xml:space="preserve"> 2017; 377(19): 1824-1835</w:t>
            </w:r>
          </w:p>
        </w:tc>
      </w:tr>
      <w:tr w:rsidR="00B6569C">
        <w:tc>
          <w:tcPr>
            <w:tcW w:w="705" w:type="pct"/>
            <w:tcBorders>
              <w:top w:val="nil"/>
              <w:left w:val="single" w:sz="4" w:space="0" w:color="auto"/>
              <w:bottom w:val="single" w:sz="4" w:space="0" w:color="auto"/>
              <w:right w:val="single" w:sz="4" w:space="0" w:color="auto"/>
            </w:tcBorders>
          </w:tcPr>
          <w:p w:rsidR="00B6569C" w:rsidRDefault="00B6569C">
            <w:pPr>
              <w:pStyle w:val="Tabletext"/>
              <w:keepNext/>
            </w:pPr>
          </w:p>
        </w:tc>
        <w:tc>
          <w:tcPr>
            <w:tcW w:w="2987" w:type="pct"/>
            <w:tcBorders>
              <w:top w:val="nil"/>
              <w:left w:val="single" w:sz="4" w:space="0" w:color="auto"/>
              <w:bottom w:val="single" w:sz="4" w:space="0" w:color="auto"/>
              <w:right w:val="single" w:sz="4" w:space="0" w:color="auto"/>
            </w:tcBorders>
          </w:tcPr>
          <w:p w:rsidR="00B6569C" w:rsidRDefault="00E82474">
            <w:pPr>
              <w:pStyle w:val="Tabletext"/>
              <w:keepNext/>
            </w:pPr>
            <w:r>
              <w:t>Hemstock M, et al. Evaluating the relative efficacy of nivolumab versus placebo as adjuvant treatment for melanoma using multiple methods of indirect treatment comparison.</w:t>
            </w:r>
          </w:p>
        </w:tc>
        <w:tc>
          <w:tcPr>
            <w:tcW w:w="1308" w:type="pct"/>
            <w:tcBorders>
              <w:top w:val="nil"/>
              <w:left w:val="single" w:sz="4" w:space="0" w:color="auto"/>
              <w:bottom w:val="single" w:sz="4" w:space="0" w:color="auto"/>
              <w:right w:val="single" w:sz="4" w:space="0" w:color="auto"/>
            </w:tcBorders>
          </w:tcPr>
          <w:p w:rsidR="00B6569C" w:rsidRDefault="00E82474">
            <w:pPr>
              <w:pStyle w:val="Tabletext"/>
              <w:keepNext/>
              <w:rPr>
                <w:i/>
                <w:szCs w:val="18"/>
                <w:lang w:val="en-US" w:eastAsia="en-AU"/>
              </w:rPr>
            </w:pPr>
            <w:r>
              <w:rPr>
                <w:i/>
                <w:szCs w:val="18"/>
                <w:lang w:val="en-US" w:eastAsia="en-AU"/>
              </w:rPr>
              <w:t xml:space="preserve">Pigment Cell and Melanoma Research </w:t>
            </w:r>
            <w:r>
              <w:rPr>
                <w:szCs w:val="18"/>
                <w:lang w:val="en-US" w:eastAsia="en-AU"/>
              </w:rPr>
              <w:t>2019; 32(1):94</w:t>
            </w:r>
          </w:p>
        </w:tc>
      </w:tr>
      <w:tr w:rsidR="00B6569C">
        <w:tc>
          <w:tcPr>
            <w:tcW w:w="705" w:type="pct"/>
            <w:tcBorders>
              <w:top w:val="single" w:sz="4" w:space="0" w:color="auto"/>
              <w:left w:val="single" w:sz="4" w:space="0" w:color="auto"/>
              <w:bottom w:val="single" w:sz="4" w:space="0" w:color="auto"/>
              <w:right w:val="single" w:sz="4" w:space="0" w:color="auto"/>
            </w:tcBorders>
          </w:tcPr>
          <w:p w:rsidR="00B6569C" w:rsidRDefault="00E82474">
            <w:pPr>
              <w:pStyle w:val="Tabletext"/>
              <w:keepNext/>
            </w:pPr>
            <w:r>
              <w:t>EORTC 18071/</w:t>
            </w:r>
            <w:r>
              <w:br/>
              <w:t>CA029</w:t>
            </w:r>
          </w:p>
        </w:tc>
        <w:tc>
          <w:tcPr>
            <w:tcW w:w="2987" w:type="pct"/>
            <w:tcBorders>
              <w:top w:val="single" w:sz="4" w:space="0" w:color="auto"/>
              <w:left w:val="single" w:sz="4" w:space="0" w:color="auto"/>
              <w:bottom w:val="single" w:sz="4" w:space="0" w:color="auto"/>
              <w:right w:val="single" w:sz="4" w:space="0" w:color="auto"/>
            </w:tcBorders>
          </w:tcPr>
          <w:p w:rsidR="00B6569C" w:rsidRDefault="00E82474">
            <w:pPr>
              <w:pStyle w:val="Tabletext"/>
              <w:keepNext/>
              <w:rPr>
                <w:szCs w:val="18"/>
                <w:lang w:val="en-US" w:eastAsia="en-AU"/>
              </w:rPr>
            </w:pPr>
            <w:r>
              <w:rPr>
                <w:szCs w:val="18"/>
                <w:lang w:val="en-US" w:eastAsia="en-AU"/>
              </w:rPr>
              <w:t xml:space="preserve">Eggermont, A, et al. Adjuvant ipilimumab versus placebo after complete resection of high-risk stage III melanoma (EORTC 18071): a randomised, double-blind, phase 3 trial.  </w:t>
            </w:r>
          </w:p>
        </w:tc>
        <w:tc>
          <w:tcPr>
            <w:tcW w:w="1308" w:type="pct"/>
            <w:tcBorders>
              <w:top w:val="single" w:sz="4" w:space="0" w:color="auto"/>
              <w:left w:val="single" w:sz="4" w:space="0" w:color="auto"/>
              <w:bottom w:val="single" w:sz="4" w:space="0" w:color="auto"/>
              <w:right w:val="single" w:sz="4" w:space="0" w:color="auto"/>
            </w:tcBorders>
          </w:tcPr>
          <w:p w:rsidR="00B6569C" w:rsidRDefault="00E82474">
            <w:pPr>
              <w:pStyle w:val="Tabletext"/>
              <w:keepNext/>
              <w:rPr>
                <w:szCs w:val="18"/>
                <w:lang w:val="en-US" w:eastAsia="en-AU"/>
              </w:rPr>
            </w:pPr>
            <w:r>
              <w:rPr>
                <w:i/>
                <w:szCs w:val="18"/>
                <w:lang w:val="en-US" w:eastAsia="en-AU"/>
              </w:rPr>
              <w:t>The Lancet Oncology</w:t>
            </w:r>
            <w:r>
              <w:rPr>
                <w:szCs w:val="18"/>
                <w:lang w:val="en-US" w:eastAsia="en-AU"/>
              </w:rPr>
              <w:t xml:space="preserve"> 2015; 16(5):522-530</w:t>
            </w:r>
          </w:p>
        </w:tc>
      </w:tr>
      <w:tr w:rsidR="00B6569C">
        <w:tc>
          <w:tcPr>
            <w:tcW w:w="705" w:type="pct"/>
            <w:tcBorders>
              <w:top w:val="single" w:sz="4" w:space="0" w:color="auto"/>
              <w:left w:val="single" w:sz="4" w:space="0" w:color="auto"/>
              <w:bottom w:val="nil"/>
              <w:right w:val="single" w:sz="4" w:space="0" w:color="auto"/>
            </w:tcBorders>
          </w:tcPr>
          <w:p w:rsidR="00B6569C" w:rsidRDefault="00E82474">
            <w:pPr>
              <w:pStyle w:val="Tabletext"/>
              <w:keepNext/>
            </w:pPr>
            <w:r>
              <w:t>COMBI-AD</w:t>
            </w:r>
          </w:p>
        </w:tc>
        <w:tc>
          <w:tcPr>
            <w:tcW w:w="2987" w:type="pct"/>
            <w:tcBorders>
              <w:top w:val="single" w:sz="4" w:space="0" w:color="auto"/>
              <w:left w:val="single" w:sz="4" w:space="0" w:color="auto"/>
              <w:bottom w:val="nil"/>
              <w:right w:val="single" w:sz="4" w:space="0" w:color="auto"/>
            </w:tcBorders>
          </w:tcPr>
          <w:p w:rsidR="00B6569C" w:rsidRDefault="00E82474">
            <w:pPr>
              <w:pStyle w:val="Tabletext"/>
              <w:keepNext/>
              <w:rPr>
                <w:szCs w:val="18"/>
                <w:lang w:val="en-US" w:eastAsia="en-AU"/>
              </w:rPr>
            </w:pPr>
            <w:r>
              <w:rPr>
                <w:rFonts w:eastAsia="Arial"/>
              </w:rPr>
              <w:t xml:space="preserve">Long, G., et al. </w:t>
            </w:r>
            <w:r>
              <w:rPr>
                <w:rFonts w:eastAsia="Arial"/>
                <w:lang w:val="en"/>
              </w:rPr>
              <w:t>Adjuvant Dabrafenib plus Trametinib in Stage III BRAF-Mutated Melanoma.</w:t>
            </w:r>
          </w:p>
        </w:tc>
        <w:tc>
          <w:tcPr>
            <w:tcW w:w="1308" w:type="pct"/>
            <w:tcBorders>
              <w:top w:val="single" w:sz="4" w:space="0" w:color="auto"/>
              <w:left w:val="single" w:sz="4" w:space="0" w:color="auto"/>
              <w:bottom w:val="nil"/>
              <w:right w:val="single" w:sz="4" w:space="0" w:color="auto"/>
            </w:tcBorders>
          </w:tcPr>
          <w:p w:rsidR="00B6569C" w:rsidRDefault="00E82474">
            <w:pPr>
              <w:pStyle w:val="Tabletext"/>
              <w:keepNext/>
              <w:rPr>
                <w:szCs w:val="18"/>
                <w:lang w:val="en-US" w:eastAsia="en-AU"/>
              </w:rPr>
            </w:pPr>
            <w:r>
              <w:rPr>
                <w:rFonts w:eastAsia="Arial"/>
                <w:i/>
              </w:rPr>
              <w:t>New England Journal of Medicine</w:t>
            </w:r>
            <w:r>
              <w:rPr>
                <w:rFonts w:eastAsia="Arial"/>
              </w:rPr>
              <w:t xml:space="preserve"> 2017; 377:1813-1823</w:t>
            </w:r>
          </w:p>
        </w:tc>
      </w:tr>
      <w:tr w:rsidR="00B6569C">
        <w:tc>
          <w:tcPr>
            <w:tcW w:w="705" w:type="pct"/>
            <w:tcBorders>
              <w:top w:val="nil"/>
              <w:left w:val="single" w:sz="4" w:space="0" w:color="auto"/>
              <w:bottom w:val="single" w:sz="4" w:space="0" w:color="auto"/>
              <w:right w:val="single" w:sz="4" w:space="0" w:color="auto"/>
            </w:tcBorders>
          </w:tcPr>
          <w:p w:rsidR="00B6569C" w:rsidRDefault="00B6569C">
            <w:pPr>
              <w:pStyle w:val="Tabletext"/>
              <w:keepNext/>
            </w:pPr>
          </w:p>
        </w:tc>
        <w:tc>
          <w:tcPr>
            <w:tcW w:w="2987" w:type="pct"/>
            <w:tcBorders>
              <w:top w:val="nil"/>
              <w:left w:val="single" w:sz="4" w:space="0" w:color="auto"/>
              <w:bottom w:val="single" w:sz="4" w:space="0" w:color="auto"/>
              <w:right w:val="single" w:sz="4" w:space="0" w:color="auto"/>
            </w:tcBorders>
          </w:tcPr>
          <w:p w:rsidR="00B6569C" w:rsidRDefault="00E82474">
            <w:pPr>
              <w:pStyle w:val="Tabletext"/>
              <w:keepNext/>
              <w:rPr>
                <w:rFonts w:eastAsia="Arial"/>
              </w:rPr>
            </w:pPr>
            <w:r>
              <w:t>Hauschild A, et al. Longer follow-up confirms relapse-free survival benefit with adjuvant dabrafenib plus trametinib in patients with resected BRAF V600–mutant Stage III melanoma.</w:t>
            </w:r>
          </w:p>
        </w:tc>
        <w:tc>
          <w:tcPr>
            <w:tcW w:w="1308" w:type="pct"/>
            <w:tcBorders>
              <w:top w:val="nil"/>
              <w:left w:val="single" w:sz="4" w:space="0" w:color="auto"/>
              <w:bottom w:val="single" w:sz="4" w:space="0" w:color="auto"/>
              <w:right w:val="single" w:sz="4" w:space="0" w:color="auto"/>
            </w:tcBorders>
          </w:tcPr>
          <w:p w:rsidR="00B6569C" w:rsidRDefault="00E82474">
            <w:pPr>
              <w:pStyle w:val="Tabletext"/>
              <w:keepNext/>
              <w:rPr>
                <w:rFonts w:eastAsia="Arial"/>
                <w:i/>
              </w:rPr>
            </w:pPr>
            <w:r>
              <w:rPr>
                <w:i/>
              </w:rPr>
              <w:t>Journal of Clinical Oncology</w:t>
            </w:r>
            <w:r>
              <w:t xml:space="preserve"> 10 Dec 2018; 36(35):3441–3449</w:t>
            </w:r>
          </w:p>
        </w:tc>
      </w:tr>
      <w:tr w:rsidR="00B6569C">
        <w:tc>
          <w:tcPr>
            <w:tcW w:w="5000" w:type="pct"/>
            <w:gridSpan w:val="3"/>
            <w:tcBorders>
              <w:top w:val="single" w:sz="4" w:space="0" w:color="auto"/>
              <w:left w:val="single" w:sz="4" w:space="0" w:color="auto"/>
              <w:bottom w:val="single" w:sz="4" w:space="0" w:color="auto"/>
              <w:right w:val="single" w:sz="4" w:space="0" w:color="auto"/>
            </w:tcBorders>
          </w:tcPr>
          <w:p w:rsidR="00B6569C" w:rsidRDefault="00E82474">
            <w:pPr>
              <w:pStyle w:val="Tabletext"/>
              <w:keepNext/>
              <w:rPr>
                <w:b/>
                <w:szCs w:val="18"/>
                <w:lang w:val="en-US" w:eastAsia="en-AU"/>
              </w:rPr>
            </w:pPr>
            <w:r>
              <w:rPr>
                <w:b/>
                <w:szCs w:val="18"/>
                <w:lang w:val="en-US" w:eastAsia="en-AU"/>
              </w:rPr>
              <w:t xml:space="preserve">Meta-analyses presented as supportive evidence in the resubmission </w:t>
            </w:r>
          </w:p>
        </w:tc>
      </w:tr>
      <w:tr w:rsidR="00B6569C">
        <w:tc>
          <w:tcPr>
            <w:tcW w:w="705" w:type="pct"/>
            <w:tcBorders>
              <w:top w:val="single" w:sz="4" w:space="0" w:color="auto"/>
              <w:left w:val="single" w:sz="4" w:space="0" w:color="auto"/>
              <w:bottom w:val="single" w:sz="4" w:space="0" w:color="auto"/>
              <w:right w:val="single" w:sz="4" w:space="0" w:color="auto"/>
            </w:tcBorders>
          </w:tcPr>
          <w:p w:rsidR="00B6569C" w:rsidRDefault="00E82474">
            <w:pPr>
              <w:pStyle w:val="Tabletext"/>
              <w:keepNext/>
            </w:pPr>
            <w:r>
              <w:t>Lorenzi et al. (2018)</w:t>
            </w:r>
          </w:p>
        </w:tc>
        <w:tc>
          <w:tcPr>
            <w:tcW w:w="2987" w:type="pct"/>
            <w:tcBorders>
              <w:top w:val="single" w:sz="4" w:space="0" w:color="auto"/>
              <w:left w:val="single" w:sz="4" w:space="0" w:color="auto"/>
              <w:bottom w:val="single" w:sz="4" w:space="0" w:color="auto"/>
              <w:right w:val="single" w:sz="4" w:space="0" w:color="auto"/>
            </w:tcBorders>
          </w:tcPr>
          <w:p w:rsidR="00B6569C" w:rsidRDefault="00E82474">
            <w:pPr>
              <w:pStyle w:val="Tabletext"/>
              <w:keepNext/>
              <w:rPr>
                <w:szCs w:val="18"/>
                <w:lang w:val="en-US" w:eastAsia="en-AU"/>
              </w:rPr>
            </w:pPr>
            <w:r>
              <w:t>Lorenzi M, et al. Systematic literature review and network meta-analysis of Pembrolizumab for the treatment of stage III melanoma: Technical report (2).</w:t>
            </w:r>
          </w:p>
        </w:tc>
        <w:tc>
          <w:tcPr>
            <w:tcW w:w="1308" w:type="pct"/>
            <w:tcBorders>
              <w:top w:val="single" w:sz="4" w:space="0" w:color="auto"/>
              <w:left w:val="single" w:sz="4" w:space="0" w:color="auto"/>
              <w:bottom w:val="single" w:sz="4" w:space="0" w:color="auto"/>
              <w:right w:val="single" w:sz="4" w:space="0" w:color="auto"/>
            </w:tcBorders>
          </w:tcPr>
          <w:p w:rsidR="00B6569C" w:rsidRDefault="00E82474">
            <w:pPr>
              <w:pStyle w:val="Tabletext"/>
              <w:keepNext/>
              <w:rPr>
                <w:szCs w:val="18"/>
                <w:lang w:val="en-US" w:eastAsia="en-AU"/>
              </w:rPr>
            </w:pPr>
            <w:r>
              <w:t>Precision Xtract, 2 June 2018</w:t>
            </w:r>
          </w:p>
        </w:tc>
      </w:tr>
    </w:tbl>
    <w:p w:rsidR="00B6569C" w:rsidRDefault="00E82474">
      <w:pPr>
        <w:pStyle w:val="TableFooter"/>
        <w:widowControl/>
        <w:rPr>
          <w:sz w:val="20"/>
        </w:rPr>
      </w:pPr>
      <w:r>
        <w:t>Source: Table 2.2-1, p.37 of the resubmission</w:t>
      </w:r>
    </w:p>
    <w:p w:rsidR="00B6569C" w:rsidRDefault="00B6569C">
      <w:pPr>
        <w:widowControl/>
      </w:pPr>
    </w:p>
    <w:p w:rsidR="00B6569C" w:rsidRDefault="00E82474">
      <w:pPr>
        <w:pStyle w:val="ListParagraph"/>
        <w:widowControl/>
        <w:numPr>
          <w:ilvl w:val="1"/>
          <w:numId w:val="3"/>
        </w:numPr>
      </w:pPr>
      <w:r>
        <w:t xml:space="preserve">The key features of the trials presented in the resubmission are summarised in the table below.  </w:t>
      </w:r>
    </w:p>
    <w:p w:rsidR="001F7C95" w:rsidRDefault="001F7C95" w:rsidP="001F7C95">
      <w:pPr>
        <w:pStyle w:val="TableHeading0"/>
      </w:pPr>
      <w:r>
        <w:lastRenderedPageBreak/>
        <w:t xml:space="preserve">Table </w:t>
      </w:r>
      <w:fldSimple w:instr=" SEQ Table \* ARABIC ">
        <w:r w:rsidR="00632FE3">
          <w:rPr>
            <w:noProof/>
          </w:rPr>
          <w:t>4</w:t>
        </w:r>
      </w:fldSimple>
      <w:r w:rsidRPr="00326003">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Pr>
      <w:tblGrid>
        <w:gridCol w:w="989"/>
        <w:gridCol w:w="566"/>
        <w:gridCol w:w="1843"/>
        <w:gridCol w:w="709"/>
        <w:gridCol w:w="2409"/>
        <w:gridCol w:w="1134"/>
        <w:gridCol w:w="1367"/>
      </w:tblGrid>
      <w:tr w:rsidR="00B6569C" w:rsidTr="001F7C95">
        <w:trPr>
          <w:tblHeader/>
        </w:trPr>
        <w:tc>
          <w:tcPr>
            <w:tcW w:w="548" w:type="pct"/>
            <w:shd w:val="clear" w:color="auto" w:fill="auto"/>
            <w:vAlign w:val="center"/>
          </w:tcPr>
          <w:p w:rsidR="00B6569C" w:rsidRDefault="00E82474">
            <w:pPr>
              <w:pStyle w:val="Tabletext"/>
              <w:keepNext/>
              <w:rPr>
                <w:b/>
                <w:lang w:val="en-US"/>
              </w:rPr>
            </w:pPr>
            <w:r>
              <w:rPr>
                <w:b/>
                <w:lang w:val="en-US"/>
              </w:rPr>
              <w:t>Trial</w:t>
            </w:r>
          </w:p>
        </w:tc>
        <w:tc>
          <w:tcPr>
            <w:tcW w:w="314" w:type="pct"/>
            <w:shd w:val="clear" w:color="auto" w:fill="auto"/>
            <w:vAlign w:val="center"/>
          </w:tcPr>
          <w:p w:rsidR="00B6569C" w:rsidRDefault="00E82474">
            <w:pPr>
              <w:pStyle w:val="Tabletext"/>
              <w:keepNext/>
              <w:jc w:val="center"/>
              <w:rPr>
                <w:b/>
                <w:lang w:val="en-US"/>
              </w:rPr>
            </w:pPr>
            <w:r>
              <w:rPr>
                <w:b/>
                <w:lang w:val="en-US"/>
              </w:rPr>
              <w:t>N</w:t>
            </w:r>
          </w:p>
        </w:tc>
        <w:tc>
          <w:tcPr>
            <w:tcW w:w="1022" w:type="pct"/>
            <w:shd w:val="clear" w:color="auto" w:fill="auto"/>
            <w:vAlign w:val="center"/>
          </w:tcPr>
          <w:p w:rsidR="00B6569C" w:rsidRDefault="00E82474">
            <w:pPr>
              <w:pStyle w:val="Tabletext"/>
              <w:keepNext/>
              <w:jc w:val="center"/>
              <w:rPr>
                <w:b/>
                <w:lang w:val="en-US"/>
              </w:rPr>
            </w:pPr>
            <w:r>
              <w:rPr>
                <w:b/>
                <w:lang w:val="en-US"/>
              </w:rPr>
              <w:t xml:space="preserve">Design/ </w:t>
            </w:r>
            <w:r>
              <w:rPr>
                <w:b/>
                <w:lang w:val="en-US"/>
              </w:rPr>
              <w:br/>
              <w:t>duration</w:t>
            </w:r>
          </w:p>
        </w:tc>
        <w:tc>
          <w:tcPr>
            <w:tcW w:w="393" w:type="pct"/>
            <w:shd w:val="clear" w:color="auto" w:fill="auto"/>
            <w:vAlign w:val="center"/>
          </w:tcPr>
          <w:p w:rsidR="00B6569C" w:rsidRDefault="00E82474">
            <w:pPr>
              <w:pStyle w:val="Tabletext"/>
              <w:keepNext/>
              <w:jc w:val="center"/>
              <w:rPr>
                <w:b/>
                <w:lang w:val="en-US"/>
              </w:rPr>
            </w:pPr>
            <w:r>
              <w:rPr>
                <w:b/>
                <w:lang w:val="en-US"/>
              </w:rPr>
              <w:t>Risk of bias</w:t>
            </w:r>
          </w:p>
        </w:tc>
        <w:tc>
          <w:tcPr>
            <w:tcW w:w="1336" w:type="pct"/>
            <w:shd w:val="clear" w:color="auto" w:fill="auto"/>
            <w:vAlign w:val="center"/>
          </w:tcPr>
          <w:p w:rsidR="00B6569C" w:rsidRDefault="00E82474">
            <w:pPr>
              <w:pStyle w:val="Tabletext"/>
              <w:keepNext/>
              <w:jc w:val="center"/>
              <w:rPr>
                <w:b/>
                <w:lang w:val="en-US"/>
              </w:rPr>
            </w:pPr>
            <w:r>
              <w:rPr>
                <w:b/>
                <w:lang w:val="en-US"/>
              </w:rPr>
              <w:t>Patient population</w:t>
            </w:r>
          </w:p>
        </w:tc>
        <w:tc>
          <w:tcPr>
            <w:tcW w:w="629" w:type="pct"/>
            <w:shd w:val="clear" w:color="auto" w:fill="auto"/>
            <w:vAlign w:val="center"/>
          </w:tcPr>
          <w:p w:rsidR="00B6569C" w:rsidRDefault="00E82474">
            <w:pPr>
              <w:pStyle w:val="Tabletext"/>
              <w:keepNext/>
              <w:jc w:val="center"/>
              <w:rPr>
                <w:b/>
                <w:lang w:val="en-US"/>
              </w:rPr>
            </w:pPr>
            <w:r>
              <w:rPr>
                <w:b/>
                <w:lang w:val="en-US"/>
              </w:rPr>
              <w:t>Outcomes</w:t>
            </w:r>
          </w:p>
        </w:tc>
        <w:tc>
          <w:tcPr>
            <w:tcW w:w="758" w:type="pct"/>
            <w:shd w:val="clear" w:color="auto" w:fill="auto"/>
            <w:vAlign w:val="center"/>
          </w:tcPr>
          <w:p w:rsidR="00B6569C" w:rsidRDefault="00E82474">
            <w:pPr>
              <w:pStyle w:val="Tabletext"/>
              <w:keepNext/>
              <w:jc w:val="center"/>
              <w:rPr>
                <w:b/>
                <w:lang w:val="en-US"/>
              </w:rPr>
            </w:pPr>
            <w:r>
              <w:rPr>
                <w:b/>
                <w:lang w:val="en-US"/>
              </w:rPr>
              <w:t>Use in modelled evaluation</w:t>
            </w:r>
          </w:p>
        </w:tc>
      </w:tr>
      <w:tr w:rsidR="00B6569C" w:rsidTr="001F7C95">
        <w:tc>
          <w:tcPr>
            <w:tcW w:w="5000" w:type="pct"/>
            <w:gridSpan w:val="7"/>
            <w:shd w:val="clear" w:color="auto" w:fill="auto"/>
            <w:vAlign w:val="center"/>
          </w:tcPr>
          <w:p w:rsidR="00B6569C" w:rsidRDefault="00E82474">
            <w:pPr>
              <w:pStyle w:val="Tabletext"/>
              <w:keepNext/>
              <w:rPr>
                <w:b/>
                <w:lang w:val="en-US"/>
              </w:rPr>
            </w:pPr>
            <w:r>
              <w:rPr>
                <w:b/>
                <w:lang w:val="en-US"/>
              </w:rPr>
              <w:t>Pembrolizumab vs placebo</w:t>
            </w:r>
          </w:p>
        </w:tc>
      </w:tr>
      <w:tr w:rsidR="00B6569C" w:rsidTr="001F7C95">
        <w:tc>
          <w:tcPr>
            <w:tcW w:w="548" w:type="pct"/>
            <w:shd w:val="clear" w:color="auto" w:fill="auto"/>
          </w:tcPr>
          <w:p w:rsidR="00B6569C" w:rsidRDefault="00E82474">
            <w:pPr>
              <w:pStyle w:val="Tabletext"/>
              <w:keepNext/>
              <w:rPr>
                <w:lang w:val="en-US"/>
              </w:rPr>
            </w:pPr>
            <w:r>
              <w:rPr>
                <w:lang w:val="en-US"/>
              </w:rPr>
              <w:t>KN054</w:t>
            </w:r>
          </w:p>
        </w:tc>
        <w:tc>
          <w:tcPr>
            <w:tcW w:w="314" w:type="pct"/>
            <w:shd w:val="clear" w:color="auto" w:fill="auto"/>
          </w:tcPr>
          <w:p w:rsidR="00B6569C" w:rsidRDefault="00E82474">
            <w:pPr>
              <w:pStyle w:val="Tabletext"/>
              <w:keepNext/>
              <w:jc w:val="center"/>
              <w:rPr>
                <w:lang w:val="en-US"/>
              </w:rPr>
            </w:pPr>
            <w:r>
              <w:rPr>
                <w:lang w:val="en-US"/>
              </w:rPr>
              <w:t>1,019</w:t>
            </w:r>
          </w:p>
        </w:tc>
        <w:tc>
          <w:tcPr>
            <w:tcW w:w="1022" w:type="pct"/>
            <w:shd w:val="clear" w:color="auto" w:fill="auto"/>
          </w:tcPr>
          <w:p w:rsidR="00B6569C" w:rsidRDefault="00E82474">
            <w:pPr>
              <w:pStyle w:val="Tabletext"/>
              <w:keepNext/>
              <w:jc w:val="center"/>
              <w:rPr>
                <w:lang w:val="en-US"/>
              </w:rPr>
            </w:pPr>
            <w:r>
              <w:rPr>
                <w:lang w:val="en-US"/>
              </w:rPr>
              <w:t>R, DB, MC, Phase III;</w:t>
            </w:r>
          </w:p>
          <w:p w:rsidR="00B6569C" w:rsidRDefault="00E82474">
            <w:pPr>
              <w:pStyle w:val="Tabletext"/>
              <w:keepNext/>
              <w:jc w:val="center"/>
              <w:rPr>
                <w:lang w:val="en-US"/>
              </w:rPr>
            </w:pPr>
            <w:r>
              <w:rPr>
                <w:lang w:val="en-US"/>
              </w:rPr>
              <w:t>16 months follow up</w:t>
            </w:r>
          </w:p>
        </w:tc>
        <w:tc>
          <w:tcPr>
            <w:tcW w:w="393" w:type="pct"/>
            <w:shd w:val="clear" w:color="auto" w:fill="auto"/>
          </w:tcPr>
          <w:p w:rsidR="00B6569C" w:rsidRDefault="00E82474">
            <w:pPr>
              <w:pStyle w:val="Tabletext"/>
              <w:keepNext/>
              <w:jc w:val="center"/>
              <w:rPr>
                <w:lang w:val="en-US"/>
              </w:rPr>
            </w:pPr>
            <w:r>
              <w:rPr>
                <w:lang w:val="en-US"/>
              </w:rPr>
              <w:t>Low</w:t>
            </w:r>
          </w:p>
        </w:tc>
        <w:tc>
          <w:tcPr>
            <w:tcW w:w="1336" w:type="pct"/>
            <w:shd w:val="clear" w:color="auto" w:fill="auto"/>
          </w:tcPr>
          <w:p w:rsidR="00B6569C" w:rsidRDefault="00E82474">
            <w:pPr>
              <w:pStyle w:val="Tabletext"/>
              <w:keepNext/>
              <w:jc w:val="center"/>
              <w:rPr>
                <w:lang w:val="en-US"/>
              </w:rPr>
            </w:pPr>
            <w:r>
              <w:rPr>
                <w:lang w:val="en-US"/>
              </w:rPr>
              <w:t>≥ 18 years</w:t>
            </w:r>
          </w:p>
          <w:p w:rsidR="00B6569C" w:rsidRDefault="00E82474">
            <w:pPr>
              <w:pStyle w:val="Tabletext"/>
              <w:keepNext/>
              <w:jc w:val="center"/>
              <w:rPr>
                <w:lang w:val="en-US"/>
              </w:rPr>
            </w:pPr>
            <w:r>
              <w:rPr>
                <w:lang w:val="en-US"/>
              </w:rPr>
              <w:t>Completely resected Stage III (&gt;1 mm), IIIB, IIIC melanoma (AJCC 7</w:t>
            </w:r>
            <w:r>
              <w:rPr>
                <w:vertAlign w:val="superscript"/>
                <w:lang w:val="en-US"/>
              </w:rPr>
              <w:t>th</w:t>
            </w:r>
            <w:r>
              <w:rPr>
                <w:lang w:val="en-US"/>
              </w:rPr>
              <w:t>)</w:t>
            </w:r>
          </w:p>
        </w:tc>
        <w:tc>
          <w:tcPr>
            <w:tcW w:w="629" w:type="pct"/>
            <w:shd w:val="clear" w:color="auto" w:fill="auto"/>
          </w:tcPr>
          <w:p w:rsidR="00B6569C" w:rsidRDefault="00E82474">
            <w:pPr>
              <w:pStyle w:val="Tabletext"/>
              <w:keepNext/>
              <w:jc w:val="center"/>
              <w:rPr>
                <w:vertAlign w:val="superscript"/>
                <w:lang w:val="en-US"/>
              </w:rPr>
            </w:pPr>
            <w:r>
              <w:rPr>
                <w:lang w:val="en-US"/>
              </w:rPr>
              <w:t xml:space="preserve">RFS </w:t>
            </w:r>
            <w:r>
              <w:rPr>
                <w:lang w:val="en-US"/>
              </w:rPr>
              <w:br/>
              <w:t>(DMFS, OS, QoL)</w:t>
            </w:r>
            <w:r>
              <w:rPr>
                <w:vertAlign w:val="superscript"/>
                <w:lang w:val="en-US"/>
              </w:rPr>
              <w:t>a</w:t>
            </w:r>
          </w:p>
        </w:tc>
        <w:tc>
          <w:tcPr>
            <w:tcW w:w="758" w:type="pct"/>
            <w:shd w:val="clear" w:color="auto" w:fill="auto"/>
          </w:tcPr>
          <w:p w:rsidR="00B6569C" w:rsidRDefault="00E82474">
            <w:pPr>
              <w:pStyle w:val="Tabletext"/>
              <w:keepNext/>
              <w:jc w:val="center"/>
              <w:rPr>
                <w:lang w:val="en-US"/>
              </w:rPr>
            </w:pPr>
            <w:r>
              <w:rPr>
                <w:lang w:val="en-US"/>
              </w:rPr>
              <w:t>Parametric functions fit to trial based transitions from recurrence free</w:t>
            </w:r>
          </w:p>
        </w:tc>
      </w:tr>
      <w:tr w:rsidR="00B6569C" w:rsidTr="001F7C95">
        <w:tc>
          <w:tcPr>
            <w:tcW w:w="5000" w:type="pct"/>
            <w:gridSpan w:val="7"/>
            <w:shd w:val="clear" w:color="auto" w:fill="auto"/>
          </w:tcPr>
          <w:p w:rsidR="00B6569C" w:rsidRDefault="00E82474">
            <w:pPr>
              <w:pStyle w:val="Tabletext"/>
              <w:keepNext/>
              <w:rPr>
                <w:b/>
                <w:lang w:val="en-US"/>
              </w:rPr>
            </w:pPr>
            <w:r>
              <w:rPr>
                <w:b/>
                <w:lang w:val="en-US"/>
              </w:rPr>
              <w:t>Pembrolizumab vs nivolumab (supportive)</w:t>
            </w:r>
          </w:p>
        </w:tc>
      </w:tr>
      <w:tr w:rsidR="00B6569C" w:rsidTr="001F7C95">
        <w:tc>
          <w:tcPr>
            <w:tcW w:w="548" w:type="pct"/>
            <w:shd w:val="clear" w:color="auto" w:fill="auto"/>
          </w:tcPr>
          <w:p w:rsidR="00B6569C" w:rsidRDefault="00E82474">
            <w:pPr>
              <w:pStyle w:val="Tabletext"/>
              <w:keepNext/>
              <w:rPr>
                <w:lang w:val="en-US"/>
              </w:rPr>
            </w:pPr>
            <w:r>
              <w:rPr>
                <w:lang w:val="en-US"/>
              </w:rPr>
              <w:t>CA238</w:t>
            </w:r>
          </w:p>
        </w:tc>
        <w:tc>
          <w:tcPr>
            <w:tcW w:w="314" w:type="pct"/>
            <w:shd w:val="clear" w:color="auto" w:fill="auto"/>
          </w:tcPr>
          <w:p w:rsidR="00B6569C" w:rsidRDefault="00E82474">
            <w:pPr>
              <w:pStyle w:val="Tabletext"/>
              <w:keepNext/>
              <w:jc w:val="center"/>
              <w:rPr>
                <w:lang w:val="en-US"/>
              </w:rPr>
            </w:pPr>
            <w:r>
              <w:rPr>
                <w:lang w:val="en-US"/>
              </w:rPr>
              <w:t>906</w:t>
            </w:r>
          </w:p>
        </w:tc>
        <w:tc>
          <w:tcPr>
            <w:tcW w:w="1022" w:type="pct"/>
            <w:shd w:val="clear" w:color="auto" w:fill="auto"/>
          </w:tcPr>
          <w:p w:rsidR="00B6569C" w:rsidRDefault="00E82474">
            <w:pPr>
              <w:pStyle w:val="Tabletext"/>
              <w:keepNext/>
              <w:jc w:val="center"/>
              <w:rPr>
                <w:lang w:val="en-US"/>
              </w:rPr>
            </w:pPr>
            <w:r>
              <w:rPr>
                <w:lang w:val="en-US"/>
              </w:rPr>
              <w:t>R, DB, MC, Phase III;</w:t>
            </w:r>
          </w:p>
          <w:p w:rsidR="00B6569C" w:rsidRDefault="00E82474">
            <w:pPr>
              <w:pStyle w:val="Tabletext"/>
              <w:keepNext/>
              <w:jc w:val="center"/>
              <w:rPr>
                <w:lang w:val="en-US"/>
              </w:rPr>
            </w:pPr>
            <w:r>
              <w:rPr>
                <w:lang w:val="en-US"/>
              </w:rPr>
              <w:t>NIVO v IPI,</w:t>
            </w:r>
          </w:p>
          <w:p w:rsidR="00B6569C" w:rsidRDefault="00E82474">
            <w:pPr>
              <w:pStyle w:val="Tabletext"/>
              <w:keepNext/>
              <w:jc w:val="center"/>
              <w:rPr>
                <w:lang w:val="en-US"/>
              </w:rPr>
            </w:pPr>
            <w:r>
              <w:rPr>
                <w:lang w:val="en-US"/>
              </w:rPr>
              <w:t>18 months follow up (minimum)</w:t>
            </w:r>
          </w:p>
        </w:tc>
        <w:tc>
          <w:tcPr>
            <w:tcW w:w="393" w:type="pct"/>
            <w:shd w:val="clear" w:color="auto" w:fill="auto"/>
          </w:tcPr>
          <w:p w:rsidR="00B6569C" w:rsidRDefault="00E82474">
            <w:pPr>
              <w:pStyle w:val="Tabletext"/>
              <w:keepNext/>
              <w:jc w:val="center"/>
              <w:rPr>
                <w:lang w:val="en-US"/>
              </w:rPr>
            </w:pPr>
            <w:r>
              <w:rPr>
                <w:lang w:val="en-US"/>
              </w:rPr>
              <w:t>Low</w:t>
            </w:r>
          </w:p>
        </w:tc>
        <w:tc>
          <w:tcPr>
            <w:tcW w:w="1336" w:type="pct"/>
            <w:shd w:val="clear" w:color="auto" w:fill="auto"/>
          </w:tcPr>
          <w:p w:rsidR="00B6569C" w:rsidRDefault="00E82474">
            <w:pPr>
              <w:pStyle w:val="Tabletext"/>
              <w:keepNext/>
              <w:jc w:val="center"/>
              <w:rPr>
                <w:lang w:val="en-US"/>
              </w:rPr>
            </w:pPr>
            <w:r>
              <w:rPr>
                <w:lang w:val="en-US"/>
              </w:rPr>
              <w:t>≥ 15 years</w:t>
            </w:r>
          </w:p>
          <w:p w:rsidR="00B6569C" w:rsidRDefault="00E82474">
            <w:pPr>
              <w:pStyle w:val="Tabletext"/>
              <w:keepNext/>
              <w:jc w:val="center"/>
              <w:rPr>
                <w:lang w:val="en-US"/>
              </w:rPr>
            </w:pPr>
            <w:r>
              <w:rPr>
                <w:lang w:val="en-US"/>
              </w:rPr>
              <w:t>Completely resected Stage IIIB, IIIC and IV (AJCC 7</w:t>
            </w:r>
            <w:r>
              <w:rPr>
                <w:vertAlign w:val="superscript"/>
                <w:lang w:val="en-US"/>
              </w:rPr>
              <w:t>th</w:t>
            </w:r>
            <w:r>
              <w:rPr>
                <w:lang w:val="en-US"/>
              </w:rPr>
              <w:t>)</w:t>
            </w:r>
          </w:p>
        </w:tc>
        <w:tc>
          <w:tcPr>
            <w:tcW w:w="629" w:type="pct"/>
            <w:shd w:val="clear" w:color="auto" w:fill="auto"/>
          </w:tcPr>
          <w:p w:rsidR="00B6569C" w:rsidRDefault="00E82474">
            <w:pPr>
              <w:pStyle w:val="Tabletext"/>
              <w:keepNext/>
              <w:jc w:val="center"/>
              <w:rPr>
                <w:lang w:val="en-US"/>
              </w:rPr>
            </w:pPr>
            <w:r>
              <w:rPr>
                <w:lang w:val="en-US"/>
              </w:rPr>
              <w:t>RFS</w:t>
            </w:r>
          </w:p>
          <w:p w:rsidR="00B6569C" w:rsidRDefault="00E82474">
            <w:pPr>
              <w:pStyle w:val="Tabletext"/>
              <w:keepNext/>
              <w:jc w:val="center"/>
              <w:rPr>
                <w:lang w:val="en-US"/>
              </w:rPr>
            </w:pPr>
            <w:r>
              <w:rPr>
                <w:lang w:val="en-US"/>
              </w:rPr>
              <w:t>(</w:t>
            </w:r>
            <w:r>
              <w:t>DMFS, QoL)</w:t>
            </w:r>
          </w:p>
        </w:tc>
        <w:tc>
          <w:tcPr>
            <w:tcW w:w="758" w:type="pct"/>
            <w:shd w:val="clear" w:color="auto" w:fill="auto"/>
          </w:tcPr>
          <w:p w:rsidR="00B6569C" w:rsidRDefault="00E82474">
            <w:pPr>
              <w:pStyle w:val="Tabletext"/>
              <w:keepNext/>
              <w:jc w:val="center"/>
              <w:rPr>
                <w:lang w:val="en-US"/>
              </w:rPr>
            </w:pPr>
            <w:r>
              <w:rPr>
                <w:lang w:val="en-US"/>
              </w:rPr>
              <w:t>Not used</w:t>
            </w:r>
          </w:p>
        </w:tc>
      </w:tr>
      <w:tr w:rsidR="00B6569C" w:rsidTr="001F7C95">
        <w:tc>
          <w:tcPr>
            <w:tcW w:w="548" w:type="pct"/>
            <w:shd w:val="clear" w:color="auto" w:fill="auto"/>
          </w:tcPr>
          <w:p w:rsidR="00B6569C" w:rsidRDefault="00E82474">
            <w:pPr>
              <w:pStyle w:val="Tabletext"/>
              <w:keepNext/>
              <w:rPr>
                <w:lang w:val="en-US"/>
              </w:rPr>
            </w:pPr>
            <w:r>
              <w:rPr>
                <w:lang w:val="en-US"/>
              </w:rPr>
              <w:t>CA029</w:t>
            </w:r>
          </w:p>
        </w:tc>
        <w:tc>
          <w:tcPr>
            <w:tcW w:w="314" w:type="pct"/>
            <w:shd w:val="clear" w:color="auto" w:fill="auto"/>
          </w:tcPr>
          <w:p w:rsidR="00B6569C" w:rsidRDefault="00E82474">
            <w:pPr>
              <w:pStyle w:val="Tabletext"/>
              <w:keepNext/>
              <w:jc w:val="center"/>
              <w:rPr>
                <w:lang w:val="en-US"/>
              </w:rPr>
            </w:pPr>
            <w:r>
              <w:rPr>
                <w:lang w:val="en-US"/>
              </w:rPr>
              <w:t>951</w:t>
            </w:r>
          </w:p>
        </w:tc>
        <w:tc>
          <w:tcPr>
            <w:tcW w:w="1022" w:type="pct"/>
            <w:shd w:val="clear" w:color="auto" w:fill="auto"/>
          </w:tcPr>
          <w:p w:rsidR="00B6569C" w:rsidRDefault="00E82474">
            <w:pPr>
              <w:pStyle w:val="Tabletext"/>
              <w:keepNext/>
              <w:jc w:val="center"/>
              <w:rPr>
                <w:lang w:val="en-US"/>
              </w:rPr>
            </w:pPr>
            <w:r>
              <w:rPr>
                <w:lang w:val="en-US"/>
              </w:rPr>
              <w:t>R, DB, MC, Phase III;</w:t>
            </w:r>
          </w:p>
          <w:p w:rsidR="00B6569C" w:rsidRDefault="00E82474">
            <w:pPr>
              <w:pStyle w:val="Tabletext"/>
              <w:keepNext/>
              <w:jc w:val="center"/>
              <w:rPr>
                <w:lang w:val="en-US"/>
              </w:rPr>
            </w:pPr>
            <w:r>
              <w:rPr>
                <w:lang w:val="en-US"/>
              </w:rPr>
              <w:t>IPI v PBO,</w:t>
            </w:r>
          </w:p>
          <w:p w:rsidR="00B6569C" w:rsidRDefault="00E82474">
            <w:pPr>
              <w:pStyle w:val="Tabletext"/>
              <w:keepNext/>
              <w:jc w:val="center"/>
              <w:rPr>
                <w:lang w:val="en-US"/>
              </w:rPr>
            </w:pPr>
            <w:r>
              <w:rPr>
                <w:lang w:val="en-US"/>
              </w:rPr>
              <w:t>2.7 years follow up</w:t>
            </w:r>
          </w:p>
        </w:tc>
        <w:tc>
          <w:tcPr>
            <w:tcW w:w="393" w:type="pct"/>
            <w:shd w:val="clear" w:color="auto" w:fill="auto"/>
          </w:tcPr>
          <w:p w:rsidR="00B6569C" w:rsidRDefault="00E82474">
            <w:pPr>
              <w:pStyle w:val="Tabletext"/>
              <w:keepNext/>
              <w:jc w:val="center"/>
              <w:rPr>
                <w:lang w:val="en-US"/>
              </w:rPr>
            </w:pPr>
            <w:r>
              <w:rPr>
                <w:lang w:val="en-US"/>
              </w:rPr>
              <w:t>Low</w:t>
            </w:r>
          </w:p>
        </w:tc>
        <w:tc>
          <w:tcPr>
            <w:tcW w:w="1336" w:type="pct"/>
            <w:shd w:val="clear" w:color="auto" w:fill="auto"/>
          </w:tcPr>
          <w:p w:rsidR="00B6569C" w:rsidRDefault="00E82474">
            <w:pPr>
              <w:pStyle w:val="Tabletext"/>
              <w:keepNext/>
              <w:jc w:val="center"/>
              <w:rPr>
                <w:lang w:val="en-US"/>
              </w:rPr>
            </w:pPr>
            <w:r>
              <w:rPr>
                <w:lang w:val="en-US"/>
              </w:rPr>
              <w:t>≥ 18 years</w:t>
            </w:r>
          </w:p>
          <w:p w:rsidR="00B6569C" w:rsidRDefault="00E82474">
            <w:pPr>
              <w:pStyle w:val="Tabletext"/>
              <w:keepNext/>
              <w:jc w:val="center"/>
              <w:rPr>
                <w:lang w:val="en-US"/>
              </w:rPr>
            </w:pPr>
            <w:r>
              <w:rPr>
                <w:lang w:val="en-US"/>
              </w:rPr>
              <w:t>Completely resected Stage IIIA (&gt;1 mm), IIIB, IIIC melanoma (AJCC 7</w:t>
            </w:r>
            <w:r>
              <w:rPr>
                <w:vertAlign w:val="superscript"/>
                <w:lang w:val="en-US"/>
              </w:rPr>
              <w:t>th</w:t>
            </w:r>
            <w:r>
              <w:rPr>
                <w:lang w:val="en-US"/>
              </w:rPr>
              <w:t>)</w:t>
            </w:r>
          </w:p>
        </w:tc>
        <w:tc>
          <w:tcPr>
            <w:tcW w:w="629" w:type="pct"/>
            <w:shd w:val="clear" w:color="auto" w:fill="auto"/>
          </w:tcPr>
          <w:p w:rsidR="00B6569C" w:rsidRDefault="00E82474">
            <w:pPr>
              <w:pStyle w:val="Tabletext"/>
              <w:keepNext/>
              <w:jc w:val="center"/>
              <w:rPr>
                <w:lang w:val="en-US"/>
              </w:rPr>
            </w:pPr>
            <w:r>
              <w:rPr>
                <w:lang w:val="en-US"/>
              </w:rPr>
              <w:t>RFS</w:t>
            </w:r>
          </w:p>
          <w:p w:rsidR="00B6569C" w:rsidRDefault="00E82474">
            <w:pPr>
              <w:pStyle w:val="Tabletext"/>
              <w:keepNext/>
              <w:jc w:val="center"/>
              <w:rPr>
                <w:lang w:val="en-US"/>
              </w:rPr>
            </w:pPr>
            <w:r>
              <w:rPr>
                <w:lang w:val="en-US"/>
              </w:rPr>
              <w:t>(DMFS, OS, QoL)</w:t>
            </w:r>
          </w:p>
        </w:tc>
        <w:tc>
          <w:tcPr>
            <w:tcW w:w="758" w:type="pct"/>
            <w:shd w:val="clear" w:color="auto" w:fill="auto"/>
          </w:tcPr>
          <w:p w:rsidR="00B6569C" w:rsidRDefault="00E82474">
            <w:pPr>
              <w:pStyle w:val="Tabletext"/>
              <w:keepNext/>
              <w:jc w:val="center"/>
              <w:rPr>
                <w:lang w:val="en-US"/>
              </w:rPr>
            </w:pPr>
            <w:r>
              <w:rPr>
                <w:lang w:val="en-US"/>
              </w:rPr>
              <w:t>Not used</w:t>
            </w:r>
          </w:p>
        </w:tc>
      </w:tr>
      <w:tr w:rsidR="00B6569C" w:rsidTr="001F7C95">
        <w:tc>
          <w:tcPr>
            <w:tcW w:w="5000" w:type="pct"/>
            <w:gridSpan w:val="7"/>
            <w:shd w:val="clear" w:color="auto" w:fill="auto"/>
          </w:tcPr>
          <w:p w:rsidR="00B6569C" w:rsidRDefault="00E82474">
            <w:pPr>
              <w:pStyle w:val="Tabletext"/>
              <w:keepNext/>
              <w:rPr>
                <w:b/>
                <w:lang w:val="en-US"/>
              </w:rPr>
            </w:pPr>
            <w:r>
              <w:rPr>
                <w:b/>
                <w:lang w:val="en-US"/>
              </w:rPr>
              <w:t xml:space="preserve">Pembrolizumab vs </w:t>
            </w:r>
            <w:r>
              <w:rPr>
                <w:b/>
              </w:rPr>
              <w:t xml:space="preserve">dabrafenib+trametinib </w:t>
            </w:r>
            <w:r>
              <w:rPr>
                <w:b/>
                <w:lang w:val="en-US"/>
              </w:rPr>
              <w:t>(supportive)</w:t>
            </w:r>
          </w:p>
        </w:tc>
      </w:tr>
      <w:tr w:rsidR="00B6569C" w:rsidTr="001F7C95">
        <w:tc>
          <w:tcPr>
            <w:tcW w:w="548" w:type="pct"/>
            <w:shd w:val="clear" w:color="auto" w:fill="auto"/>
          </w:tcPr>
          <w:p w:rsidR="00B6569C" w:rsidRDefault="00E82474">
            <w:pPr>
              <w:pStyle w:val="Tabletext"/>
              <w:keepNext/>
              <w:rPr>
                <w:lang w:val="en-US"/>
              </w:rPr>
            </w:pPr>
            <w:r>
              <w:rPr>
                <w:lang w:val="en-US"/>
              </w:rPr>
              <w:t>COMBI-AD</w:t>
            </w:r>
          </w:p>
        </w:tc>
        <w:tc>
          <w:tcPr>
            <w:tcW w:w="314" w:type="pct"/>
            <w:shd w:val="clear" w:color="auto" w:fill="auto"/>
          </w:tcPr>
          <w:p w:rsidR="00B6569C" w:rsidRDefault="00E82474">
            <w:pPr>
              <w:pStyle w:val="Tabletext"/>
              <w:keepNext/>
              <w:jc w:val="center"/>
              <w:rPr>
                <w:lang w:val="en-US"/>
              </w:rPr>
            </w:pPr>
            <w:r>
              <w:rPr>
                <w:lang w:val="en-US"/>
              </w:rPr>
              <w:t>870</w:t>
            </w:r>
          </w:p>
        </w:tc>
        <w:tc>
          <w:tcPr>
            <w:tcW w:w="1022" w:type="pct"/>
            <w:shd w:val="clear" w:color="auto" w:fill="auto"/>
          </w:tcPr>
          <w:p w:rsidR="00B6569C" w:rsidRDefault="00E82474">
            <w:pPr>
              <w:pStyle w:val="Tabletext"/>
              <w:keepNext/>
              <w:jc w:val="center"/>
              <w:rPr>
                <w:lang w:val="en-US"/>
              </w:rPr>
            </w:pPr>
            <w:r>
              <w:rPr>
                <w:lang w:val="en-US"/>
              </w:rPr>
              <w:t>R, DB, MC, Phase III;</w:t>
            </w:r>
          </w:p>
          <w:p w:rsidR="00B6569C" w:rsidRDefault="00E82474">
            <w:pPr>
              <w:pStyle w:val="Tabletext"/>
              <w:keepNext/>
              <w:jc w:val="center"/>
              <w:rPr>
                <w:lang w:val="en-US"/>
              </w:rPr>
            </w:pPr>
            <w:r>
              <w:rPr>
                <w:lang w:val="en-US"/>
              </w:rPr>
              <w:t>DAB+TRAM v PBO</w:t>
            </w:r>
          </w:p>
          <w:p w:rsidR="00B6569C" w:rsidRDefault="00E82474">
            <w:pPr>
              <w:pStyle w:val="Tabletext"/>
              <w:keepNext/>
              <w:jc w:val="center"/>
              <w:rPr>
                <w:lang w:val="en-US"/>
              </w:rPr>
            </w:pPr>
            <w:r>
              <w:rPr>
                <w:lang w:val="en-US"/>
              </w:rPr>
              <w:t>2.8 years follow up</w:t>
            </w:r>
          </w:p>
        </w:tc>
        <w:tc>
          <w:tcPr>
            <w:tcW w:w="393" w:type="pct"/>
            <w:shd w:val="clear" w:color="auto" w:fill="auto"/>
          </w:tcPr>
          <w:p w:rsidR="00B6569C" w:rsidRDefault="00E82474">
            <w:pPr>
              <w:pStyle w:val="Tabletext"/>
              <w:keepNext/>
              <w:jc w:val="center"/>
              <w:rPr>
                <w:lang w:val="en-US"/>
              </w:rPr>
            </w:pPr>
            <w:r>
              <w:rPr>
                <w:lang w:val="en-US"/>
              </w:rPr>
              <w:t>Low</w:t>
            </w:r>
          </w:p>
        </w:tc>
        <w:tc>
          <w:tcPr>
            <w:tcW w:w="1336" w:type="pct"/>
            <w:shd w:val="clear" w:color="auto" w:fill="auto"/>
          </w:tcPr>
          <w:p w:rsidR="00B6569C" w:rsidRDefault="00E82474">
            <w:pPr>
              <w:pStyle w:val="Tabletext"/>
              <w:keepNext/>
              <w:jc w:val="center"/>
              <w:rPr>
                <w:lang w:val="en-US"/>
              </w:rPr>
            </w:pPr>
            <w:r>
              <w:rPr>
                <w:lang w:val="en-US"/>
              </w:rPr>
              <w:t>≥ 18 years</w:t>
            </w:r>
          </w:p>
          <w:p w:rsidR="00B6569C" w:rsidRDefault="00E82474">
            <w:pPr>
              <w:pStyle w:val="Tabletext"/>
              <w:keepNext/>
              <w:jc w:val="center"/>
              <w:rPr>
                <w:lang w:val="en-US"/>
              </w:rPr>
            </w:pPr>
            <w:r>
              <w:rPr>
                <w:lang w:val="en-US"/>
              </w:rPr>
              <w:t>Completely resected Stage IIIA, IIIB, IIIC melanoma (AJCC 7</w:t>
            </w:r>
            <w:r>
              <w:rPr>
                <w:vertAlign w:val="superscript"/>
                <w:lang w:val="en-US"/>
              </w:rPr>
              <w:t>t</w:t>
            </w:r>
            <w:r>
              <w:rPr>
                <w:lang w:val="en-US"/>
              </w:rPr>
              <w:t>h)</w:t>
            </w:r>
          </w:p>
          <w:p w:rsidR="00B6569C" w:rsidRDefault="00E82474">
            <w:pPr>
              <w:pStyle w:val="Tabletext"/>
              <w:keepNext/>
              <w:jc w:val="center"/>
              <w:rPr>
                <w:lang w:val="en-US"/>
              </w:rPr>
            </w:pPr>
            <w:r>
              <w:rPr>
                <w:lang w:val="en-US"/>
              </w:rPr>
              <w:t>BRAF V600 mutation positive</w:t>
            </w:r>
          </w:p>
        </w:tc>
        <w:tc>
          <w:tcPr>
            <w:tcW w:w="629" w:type="pct"/>
            <w:shd w:val="clear" w:color="auto" w:fill="auto"/>
          </w:tcPr>
          <w:p w:rsidR="00B6569C" w:rsidRDefault="00E82474">
            <w:pPr>
              <w:pStyle w:val="Tabletext"/>
              <w:keepNext/>
              <w:jc w:val="center"/>
              <w:rPr>
                <w:lang w:val="en-US"/>
              </w:rPr>
            </w:pPr>
            <w:r>
              <w:rPr>
                <w:lang w:val="en-US"/>
              </w:rPr>
              <w:t>RFS</w:t>
            </w:r>
          </w:p>
          <w:p w:rsidR="00B6569C" w:rsidRDefault="00E82474">
            <w:pPr>
              <w:pStyle w:val="Tabletext"/>
              <w:keepNext/>
              <w:jc w:val="center"/>
              <w:rPr>
                <w:lang w:val="en-US"/>
              </w:rPr>
            </w:pPr>
            <w:r>
              <w:rPr>
                <w:lang w:val="en-US"/>
              </w:rPr>
              <w:t>(OS, DMFS)</w:t>
            </w:r>
          </w:p>
        </w:tc>
        <w:tc>
          <w:tcPr>
            <w:tcW w:w="758" w:type="pct"/>
            <w:shd w:val="clear" w:color="auto" w:fill="auto"/>
          </w:tcPr>
          <w:p w:rsidR="00B6569C" w:rsidRDefault="00E82474">
            <w:pPr>
              <w:pStyle w:val="Tabletext"/>
              <w:keepNext/>
              <w:jc w:val="center"/>
              <w:rPr>
                <w:lang w:val="en-US"/>
              </w:rPr>
            </w:pPr>
            <w:r>
              <w:rPr>
                <w:lang w:val="en-US"/>
              </w:rPr>
              <w:t>Not used</w:t>
            </w:r>
          </w:p>
        </w:tc>
      </w:tr>
    </w:tbl>
    <w:p w:rsidR="00B6569C" w:rsidRDefault="00E82474">
      <w:pPr>
        <w:pStyle w:val="TableFooter"/>
        <w:widowControl/>
      </w:pPr>
      <w:r>
        <w:t>DB = double blind; DAB+TRAM = dabrafenib+trametinib; DMFS = distant metastasis-free survival; IPI = ipilimumab; MC = multi-centre; NIVO = nivolumab; OS = overall survival; PBO = placebo; R = randomised; RFS = recurrence free survival</w:t>
      </w:r>
    </w:p>
    <w:p w:rsidR="00B6569C" w:rsidRDefault="00E82474">
      <w:pPr>
        <w:pStyle w:val="TableFooter"/>
        <w:widowControl/>
      </w:pPr>
      <w:r>
        <w:rPr>
          <w:vertAlign w:val="superscript"/>
        </w:rPr>
        <w:t>a</w:t>
      </w:r>
      <w:r>
        <w:t xml:space="preserve"> DMFS and OS outcome data were immature for formal survival analysis, but were presented for the October 2017 data cut-off</w:t>
      </w:r>
    </w:p>
    <w:p w:rsidR="00B6569C" w:rsidRDefault="00E82474">
      <w:pPr>
        <w:pStyle w:val="TableFooter"/>
        <w:widowControl/>
        <w:rPr>
          <w:sz w:val="20"/>
        </w:rPr>
      </w:pPr>
      <w:r>
        <w:t>Source: Compiled during the evaluation</w:t>
      </w:r>
    </w:p>
    <w:p w:rsidR="00B6569C" w:rsidRDefault="00B6569C">
      <w:pPr>
        <w:widowControl/>
        <w:rPr>
          <w:color w:val="3366FF"/>
        </w:rPr>
      </w:pPr>
    </w:p>
    <w:p w:rsidR="00B6569C" w:rsidRDefault="00E82474">
      <w:pPr>
        <w:pStyle w:val="ListParagraph"/>
        <w:widowControl/>
        <w:numPr>
          <w:ilvl w:val="1"/>
          <w:numId w:val="3"/>
        </w:numPr>
      </w:pPr>
      <w:r>
        <w:t xml:space="preserve">The redistribution of patients across substages in Trial KN054 after re-grading from the 7th to the 8th AJCC staging system is summarised in the table below.  </w:t>
      </w:r>
    </w:p>
    <w:p w:rsidR="001F7C95" w:rsidRDefault="001F7C95" w:rsidP="001F7C95">
      <w:pPr>
        <w:pStyle w:val="TableHeading0"/>
      </w:pPr>
      <w:r>
        <w:t xml:space="preserve">Table </w:t>
      </w:r>
      <w:fldSimple w:instr=" SEQ Table \* ARABIC ">
        <w:r w:rsidR="00632FE3">
          <w:rPr>
            <w:noProof/>
          </w:rPr>
          <w:t>5</w:t>
        </w:r>
      </w:fldSimple>
      <w:r w:rsidRPr="00597DE7">
        <w:t>: Trial KN054 post-hoc regrading of patients from AJCC 7th edition to AJCC 8th edition staging system</w:t>
      </w:r>
    </w:p>
    <w:tbl>
      <w:tblPr>
        <w:tblStyle w:val="TableGrid"/>
        <w:tblW w:w="5000" w:type="pct"/>
        <w:tblInd w:w="-5" w:type="dxa"/>
        <w:tblLayout w:type="fixed"/>
        <w:tblLook w:val="04A0" w:firstRow="1" w:lastRow="0" w:firstColumn="1" w:lastColumn="0" w:noHBand="0" w:noVBand="1"/>
        <w:tblCaption w:val="Table 5: Trial KN054 post-hoc regrading of patients from AJCC 7th edition to AJCC 8th edition staging system "/>
      </w:tblPr>
      <w:tblGrid>
        <w:gridCol w:w="1700"/>
        <w:gridCol w:w="1336"/>
        <w:gridCol w:w="1196"/>
        <w:gridCol w:w="1196"/>
        <w:gridCol w:w="1196"/>
        <w:gridCol w:w="1196"/>
        <w:gridCol w:w="1197"/>
      </w:tblGrid>
      <w:tr w:rsidR="00B6569C" w:rsidTr="001F7C95">
        <w:trPr>
          <w:trHeight w:val="198"/>
          <w:tblHeader/>
        </w:trPr>
        <w:tc>
          <w:tcPr>
            <w:tcW w:w="943" w:type="pct"/>
            <w:vMerge w:val="restart"/>
            <w:vAlign w:val="bottom"/>
          </w:tcPr>
          <w:p w:rsidR="00B6569C" w:rsidRDefault="00E82474">
            <w:pPr>
              <w:pStyle w:val="TableText0"/>
              <w:spacing w:before="0" w:after="0"/>
              <w:ind w:right="-87"/>
              <w:rPr>
                <w:b/>
              </w:rPr>
            </w:pPr>
            <w:r>
              <w:rPr>
                <w:b/>
              </w:rPr>
              <w:t xml:space="preserve">Per protocol </w:t>
            </w:r>
          </w:p>
          <w:p w:rsidR="00B6569C" w:rsidRDefault="00E82474">
            <w:pPr>
              <w:pStyle w:val="TableText0"/>
              <w:spacing w:before="0" w:after="0"/>
              <w:ind w:right="-87"/>
              <w:rPr>
                <w:b/>
              </w:rPr>
            </w:pPr>
            <w:r>
              <w:rPr>
                <w:b/>
              </w:rPr>
              <w:t>AJCC 7</w:t>
            </w:r>
            <w:r>
              <w:rPr>
                <w:b/>
                <w:vertAlign w:val="superscript"/>
              </w:rPr>
              <w:t>th</w:t>
            </w:r>
            <w:r>
              <w:rPr>
                <w:b/>
              </w:rPr>
              <w:t xml:space="preserve"> edition </w:t>
            </w:r>
          </w:p>
        </w:tc>
        <w:tc>
          <w:tcPr>
            <w:tcW w:w="4057" w:type="pct"/>
            <w:gridSpan w:val="6"/>
            <w:vAlign w:val="center"/>
          </w:tcPr>
          <w:p w:rsidR="00B6569C" w:rsidRDefault="00E82474">
            <w:pPr>
              <w:pStyle w:val="TableText0"/>
              <w:spacing w:before="0" w:after="0"/>
              <w:ind w:left="-85" w:right="-81"/>
              <w:jc w:val="center"/>
              <w:rPr>
                <w:b/>
              </w:rPr>
            </w:pPr>
            <w:r>
              <w:rPr>
                <w:b/>
              </w:rPr>
              <w:t xml:space="preserve">Trial KN054 restaged </w:t>
            </w:r>
            <w:r>
              <w:rPr>
                <w:b/>
                <w:i/>
              </w:rPr>
              <w:t>post-hoc</w:t>
            </w:r>
            <w:r>
              <w:rPr>
                <w:b/>
              </w:rPr>
              <w:t xml:space="preserve"> by AJCC 8</w:t>
            </w:r>
            <w:r>
              <w:rPr>
                <w:b/>
                <w:vertAlign w:val="superscript"/>
              </w:rPr>
              <w:t>th</w:t>
            </w:r>
            <w:r>
              <w:rPr>
                <w:b/>
              </w:rPr>
              <w:t xml:space="preserve"> edition n (%)</w:t>
            </w:r>
          </w:p>
        </w:tc>
      </w:tr>
      <w:tr w:rsidR="00B6569C" w:rsidTr="001F7C95">
        <w:trPr>
          <w:trHeight w:val="203"/>
          <w:tblHeader/>
        </w:trPr>
        <w:tc>
          <w:tcPr>
            <w:tcW w:w="943" w:type="pct"/>
            <w:vMerge/>
          </w:tcPr>
          <w:p w:rsidR="00B6569C" w:rsidRDefault="00B6569C">
            <w:pPr>
              <w:pStyle w:val="TableText0"/>
              <w:spacing w:before="0" w:after="0"/>
              <w:ind w:right="-87"/>
              <w:jc w:val="both"/>
            </w:pPr>
          </w:p>
        </w:tc>
        <w:tc>
          <w:tcPr>
            <w:tcW w:w="741" w:type="pct"/>
            <w:vAlign w:val="center"/>
          </w:tcPr>
          <w:p w:rsidR="00B6569C" w:rsidRDefault="00E82474">
            <w:pPr>
              <w:pStyle w:val="TableText0"/>
              <w:spacing w:before="0" w:after="0"/>
              <w:ind w:left="-85" w:right="-81"/>
              <w:jc w:val="center"/>
              <w:rPr>
                <w:b/>
              </w:rPr>
            </w:pPr>
            <w:r>
              <w:rPr>
                <w:b/>
              </w:rPr>
              <w:t xml:space="preserve">Stage IIIA </w:t>
            </w:r>
          </w:p>
          <w:p w:rsidR="00B6569C" w:rsidRDefault="00E82474">
            <w:pPr>
              <w:pStyle w:val="TableText0"/>
              <w:spacing w:before="0" w:after="0"/>
              <w:ind w:left="-85" w:right="-81"/>
              <w:jc w:val="center"/>
              <w:rPr>
                <w:b/>
              </w:rPr>
            </w:pPr>
            <w:r>
              <w:rPr>
                <w:b/>
              </w:rPr>
              <w:t>(&gt; 1 mm)</w:t>
            </w:r>
          </w:p>
        </w:tc>
        <w:tc>
          <w:tcPr>
            <w:tcW w:w="663" w:type="pct"/>
            <w:vAlign w:val="center"/>
          </w:tcPr>
          <w:p w:rsidR="00B6569C" w:rsidRDefault="00E82474">
            <w:pPr>
              <w:pStyle w:val="TableText0"/>
              <w:spacing w:before="0" w:after="0"/>
              <w:ind w:left="-85" w:right="-81"/>
              <w:jc w:val="center"/>
              <w:rPr>
                <w:b/>
              </w:rPr>
            </w:pPr>
            <w:r>
              <w:rPr>
                <w:b/>
              </w:rPr>
              <w:t>Stage IIIB</w:t>
            </w:r>
          </w:p>
        </w:tc>
        <w:tc>
          <w:tcPr>
            <w:tcW w:w="663" w:type="pct"/>
            <w:vAlign w:val="center"/>
          </w:tcPr>
          <w:p w:rsidR="00B6569C" w:rsidRDefault="00E82474">
            <w:pPr>
              <w:pStyle w:val="TableText0"/>
              <w:spacing w:before="0" w:after="0"/>
              <w:ind w:left="-85" w:right="-81"/>
              <w:jc w:val="center"/>
              <w:rPr>
                <w:b/>
              </w:rPr>
            </w:pPr>
            <w:r>
              <w:rPr>
                <w:b/>
              </w:rPr>
              <w:t>Stage IIIC</w:t>
            </w:r>
          </w:p>
        </w:tc>
        <w:tc>
          <w:tcPr>
            <w:tcW w:w="663" w:type="pct"/>
            <w:vAlign w:val="center"/>
          </w:tcPr>
          <w:p w:rsidR="00B6569C" w:rsidRDefault="00E82474">
            <w:pPr>
              <w:pStyle w:val="TableText0"/>
              <w:spacing w:before="0" w:after="0"/>
              <w:ind w:left="-85" w:right="-81"/>
              <w:jc w:val="center"/>
              <w:rPr>
                <w:b/>
              </w:rPr>
            </w:pPr>
            <w:r>
              <w:rPr>
                <w:b/>
              </w:rPr>
              <w:t>Stage IIID</w:t>
            </w:r>
          </w:p>
        </w:tc>
        <w:tc>
          <w:tcPr>
            <w:tcW w:w="663" w:type="pct"/>
            <w:vAlign w:val="center"/>
          </w:tcPr>
          <w:p w:rsidR="00B6569C" w:rsidRDefault="00E82474">
            <w:pPr>
              <w:pStyle w:val="TableText0"/>
              <w:spacing w:before="0" w:after="0"/>
              <w:ind w:left="-85" w:right="-81"/>
              <w:jc w:val="center"/>
              <w:rPr>
                <w:b/>
              </w:rPr>
            </w:pPr>
            <w:r>
              <w:rPr>
                <w:b/>
              </w:rPr>
              <w:t>Unknown</w:t>
            </w:r>
          </w:p>
        </w:tc>
        <w:tc>
          <w:tcPr>
            <w:tcW w:w="663" w:type="pct"/>
            <w:vAlign w:val="center"/>
          </w:tcPr>
          <w:p w:rsidR="00B6569C" w:rsidRDefault="00E82474">
            <w:pPr>
              <w:pStyle w:val="TableText0"/>
              <w:spacing w:before="0" w:after="0"/>
              <w:ind w:left="-85" w:right="-81"/>
              <w:jc w:val="center"/>
              <w:rPr>
                <w:b/>
              </w:rPr>
            </w:pPr>
            <w:r>
              <w:rPr>
                <w:b/>
              </w:rPr>
              <w:t xml:space="preserve">Total </w:t>
            </w:r>
          </w:p>
          <w:p w:rsidR="00B6569C" w:rsidRDefault="00E82474">
            <w:pPr>
              <w:pStyle w:val="TableText0"/>
              <w:spacing w:before="0" w:after="0"/>
              <w:ind w:left="-85" w:right="-81"/>
              <w:jc w:val="center"/>
              <w:rPr>
                <w:b/>
              </w:rPr>
            </w:pPr>
            <w:r>
              <w:rPr>
                <w:b/>
              </w:rPr>
              <w:t>(AJCC 7</w:t>
            </w:r>
            <w:r>
              <w:rPr>
                <w:b/>
                <w:vertAlign w:val="superscript"/>
              </w:rPr>
              <w:t>th</w:t>
            </w:r>
            <w:r>
              <w:rPr>
                <w:b/>
              </w:rPr>
              <w:t>)</w:t>
            </w:r>
          </w:p>
        </w:tc>
      </w:tr>
      <w:tr w:rsidR="00B6569C" w:rsidTr="001F7C95">
        <w:tc>
          <w:tcPr>
            <w:tcW w:w="5000" w:type="pct"/>
            <w:gridSpan w:val="7"/>
          </w:tcPr>
          <w:p w:rsidR="00B6569C" w:rsidRDefault="00E82474">
            <w:pPr>
              <w:pStyle w:val="TableText0"/>
              <w:spacing w:before="0" w:after="0"/>
              <w:ind w:right="-81"/>
              <w:rPr>
                <w:b/>
              </w:rPr>
            </w:pPr>
            <w:r>
              <w:rPr>
                <w:b/>
              </w:rPr>
              <w:t>Pembrolizumab</w:t>
            </w:r>
          </w:p>
        </w:tc>
      </w:tr>
      <w:tr w:rsidR="00B6569C" w:rsidTr="001F7C95">
        <w:tc>
          <w:tcPr>
            <w:tcW w:w="943" w:type="pct"/>
          </w:tcPr>
          <w:p w:rsidR="00B6569C" w:rsidRDefault="00E82474">
            <w:pPr>
              <w:pStyle w:val="TableText0"/>
              <w:spacing w:before="0" w:after="0"/>
              <w:ind w:right="-87"/>
              <w:jc w:val="both"/>
            </w:pPr>
            <w:r>
              <w:t xml:space="preserve">Stage IIIA (&gt; 1 mm) </w:t>
            </w:r>
          </w:p>
        </w:tc>
        <w:tc>
          <w:tcPr>
            <w:tcW w:w="741" w:type="pct"/>
            <w:vAlign w:val="bottom"/>
          </w:tcPr>
          <w:p w:rsidR="00B6569C" w:rsidRDefault="00E82474">
            <w:pPr>
              <w:pStyle w:val="TableText0"/>
              <w:spacing w:before="0" w:after="0"/>
              <w:ind w:left="-85" w:right="-81"/>
              <w:jc w:val="center"/>
            </w:pPr>
            <w:r>
              <w:t>32 (6.2%)</w:t>
            </w:r>
          </w:p>
        </w:tc>
        <w:tc>
          <w:tcPr>
            <w:tcW w:w="663" w:type="pct"/>
            <w:vAlign w:val="bottom"/>
          </w:tcPr>
          <w:p w:rsidR="00B6569C" w:rsidRDefault="00E82474">
            <w:pPr>
              <w:pStyle w:val="TableText0"/>
              <w:spacing w:before="0" w:after="0"/>
              <w:ind w:left="-85" w:right="-81"/>
              <w:jc w:val="center"/>
            </w:pPr>
            <w:r>
              <w:t>29 (5.6%)</w:t>
            </w:r>
          </w:p>
        </w:tc>
        <w:tc>
          <w:tcPr>
            <w:tcW w:w="663" w:type="pct"/>
            <w:vAlign w:val="bottom"/>
          </w:tcPr>
          <w:p w:rsidR="00B6569C" w:rsidRDefault="00E82474">
            <w:pPr>
              <w:pStyle w:val="TableText0"/>
              <w:spacing w:before="0" w:after="0"/>
              <w:ind w:left="-85" w:right="-81"/>
              <w:jc w:val="center"/>
            </w:pPr>
            <w:r>
              <w:t>15 (2.9%)</w:t>
            </w:r>
          </w:p>
        </w:tc>
        <w:tc>
          <w:tcPr>
            <w:tcW w:w="663" w:type="pct"/>
            <w:vAlign w:val="bottom"/>
          </w:tcPr>
          <w:p w:rsidR="00B6569C" w:rsidRDefault="00E82474">
            <w:pPr>
              <w:pStyle w:val="TableText0"/>
              <w:spacing w:before="0" w:after="0"/>
              <w:ind w:left="-85" w:right="-81"/>
              <w:jc w:val="center"/>
            </w:pPr>
            <w:r>
              <w:t>0</w:t>
            </w:r>
          </w:p>
        </w:tc>
        <w:tc>
          <w:tcPr>
            <w:tcW w:w="663" w:type="pct"/>
            <w:vAlign w:val="bottom"/>
          </w:tcPr>
          <w:p w:rsidR="00B6569C" w:rsidRDefault="00E82474">
            <w:pPr>
              <w:pStyle w:val="TableText0"/>
              <w:spacing w:before="0" w:after="0"/>
              <w:ind w:left="-85" w:right="-81"/>
              <w:jc w:val="center"/>
            </w:pPr>
            <w:r>
              <w:t>4 (0.8%)</w:t>
            </w:r>
          </w:p>
        </w:tc>
        <w:tc>
          <w:tcPr>
            <w:tcW w:w="663" w:type="pct"/>
            <w:vAlign w:val="bottom"/>
          </w:tcPr>
          <w:p w:rsidR="00B6569C" w:rsidRDefault="00E82474">
            <w:pPr>
              <w:pStyle w:val="TableText0"/>
              <w:spacing w:before="0" w:after="0"/>
              <w:ind w:left="-85" w:right="-81"/>
              <w:jc w:val="center"/>
              <w:rPr>
                <w:b/>
              </w:rPr>
            </w:pPr>
            <w:r>
              <w:rPr>
                <w:b/>
              </w:rPr>
              <w:t>80 (15.6%)</w:t>
            </w:r>
          </w:p>
        </w:tc>
      </w:tr>
      <w:tr w:rsidR="00B6569C" w:rsidTr="001F7C95">
        <w:tc>
          <w:tcPr>
            <w:tcW w:w="943" w:type="pct"/>
          </w:tcPr>
          <w:p w:rsidR="00B6569C" w:rsidRDefault="00E82474">
            <w:pPr>
              <w:pStyle w:val="TableText0"/>
              <w:spacing w:before="0" w:after="0"/>
              <w:ind w:right="-87"/>
              <w:jc w:val="both"/>
            </w:pPr>
            <w:r>
              <w:t>Stage IIIB</w:t>
            </w:r>
          </w:p>
        </w:tc>
        <w:tc>
          <w:tcPr>
            <w:tcW w:w="741" w:type="pct"/>
            <w:vAlign w:val="bottom"/>
          </w:tcPr>
          <w:p w:rsidR="00B6569C" w:rsidRDefault="00E82474">
            <w:pPr>
              <w:pStyle w:val="TableText0"/>
              <w:spacing w:before="0" w:after="0"/>
              <w:ind w:left="-85" w:right="-81"/>
              <w:jc w:val="center"/>
            </w:pPr>
            <w:r>
              <w:t>9 (1.8%)</w:t>
            </w:r>
          </w:p>
        </w:tc>
        <w:tc>
          <w:tcPr>
            <w:tcW w:w="663" w:type="pct"/>
            <w:vAlign w:val="bottom"/>
          </w:tcPr>
          <w:p w:rsidR="00B6569C" w:rsidRDefault="00E82474">
            <w:pPr>
              <w:pStyle w:val="TableText0"/>
              <w:spacing w:before="0" w:after="0"/>
              <w:ind w:left="-85" w:right="-81"/>
              <w:jc w:val="center"/>
            </w:pPr>
            <w:r>
              <w:t>110 (21.4%)</w:t>
            </w:r>
          </w:p>
        </w:tc>
        <w:tc>
          <w:tcPr>
            <w:tcW w:w="663" w:type="pct"/>
            <w:vAlign w:val="bottom"/>
          </w:tcPr>
          <w:p w:rsidR="00B6569C" w:rsidRDefault="00E82474">
            <w:pPr>
              <w:pStyle w:val="TableText0"/>
              <w:spacing w:before="0" w:after="0"/>
              <w:ind w:left="-85" w:right="-81"/>
              <w:jc w:val="center"/>
            </w:pPr>
            <w:r>
              <w:t>109 (21.2%)</w:t>
            </w:r>
          </w:p>
        </w:tc>
        <w:tc>
          <w:tcPr>
            <w:tcW w:w="663" w:type="pct"/>
            <w:vAlign w:val="bottom"/>
          </w:tcPr>
          <w:p w:rsidR="00B6569C" w:rsidRDefault="00E82474">
            <w:pPr>
              <w:pStyle w:val="TableText0"/>
              <w:spacing w:before="0" w:after="0"/>
              <w:ind w:left="-85" w:right="-81"/>
              <w:jc w:val="center"/>
            </w:pPr>
            <w:r>
              <w:t>0</w:t>
            </w:r>
          </w:p>
        </w:tc>
        <w:tc>
          <w:tcPr>
            <w:tcW w:w="663" w:type="pct"/>
            <w:vAlign w:val="bottom"/>
          </w:tcPr>
          <w:p w:rsidR="00B6569C" w:rsidRDefault="00E82474">
            <w:pPr>
              <w:pStyle w:val="TableText0"/>
              <w:spacing w:before="0" w:after="0"/>
              <w:ind w:left="-85" w:right="-81"/>
              <w:jc w:val="center"/>
            </w:pPr>
            <w:r>
              <w:t>9 (1.8%)</w:t>
            </w:r>
          </w:p>
        </w:tc>
        <w:tc>
          <w:tcPr>
            <w:tcW w:w="663" w:type="pct"/>
            <w:vAlign w:val="bottom"/>
          </w:tcPr>
          <w:p w:rsidR="00B6569C" w:rsidRDefault="00E82474">
            <w:pPr>
              <w:pStyle w:val="TableText0"/>
              <w:spacing w:before="0" w:after="0"/>
              <w:ind w:left="-85" w:right="-81"/>
              <w:jc w:val="center"/>
              <w:rPr>
                <w:b/>
              </w:rPr>
            </w:pPr>
            <w:r>
              <w:rPr>
                <w:b/>
              </w:rPr>
              <w:t>237 (46.1%)</w:t>
            </w:r>
          </w:p>
        </w:tc>
      </w:tr>
      <w:tr w:rsidR="00B6569C" w:rsidTr="001F7C95">
        <w:tc>
          <w:tcPr>
            <w:tcW w:w="943" w:type="pct"/>
          </w:tcPr>
          <w:p w:rsidR="00B6569C" w:rsidRDefault="00E82474">
            <w:pPr>
              <w:pStyle w:val="TableText0"/>
              <w:spacing w:before="0" w:after="0"/>
              <w:ind w:right="-87"/>
              <w:jc w:val="both"/>
            </w:pPr>
            <w:r>
              <w:t>Stage IIIC</w:t>
            </w:r>
          </w:p>
        </w:tc>
        <w:tc>
          <w:tcPr>
            <w:tcW w:w="741" w:type="pct"/>
            <w:vAlign w:val="bottom"/>
          </w:tcPr>
          <w:p w:rsidR="00B6569C" w:rsidRDefault="00E82474">
            <w:pPr>
              <w:pStyle w:val="TableText0"/>
              <w:spacing w:before="0" w:after="0"/>
              <w:ind w:left="-85" w:right="-81"/>
              <w:jc w:val="center"/>
            </w:pPr>
            <w:r>
              <w:t>1 (0.2%)</w:t>
            </w:r>
          </w:p>
        </w:tc>
        <w:tc>
          <w:tcPr>
            <w:tcW w:w="663" w:type="pct"/>
            <w:vAlign w:val="bottom"/>
          </w:tcPr>
          <w:p w:rsidR="00B6569C" w:rsidRDefault="00E82474">
            <w:pPr>
              <w:pStyle w:val="TableText0"/>
              <w:spacing w:before="0" w:after="0"/>
              <w:ind w:left="-85" w:right="-81"/>
              <w:jc w:val="center"/>
            </w:pPr>
            <w:r>
              <w:t>25 (4.9%)</w:t>
            </w:r>
          </w:p>
        </w:tc>
        <w:tc>
          <w:tcPr>
            <w:tcW w:w="663" w:type="pct"/>
            <w:vAlign w:val="bottom"/>
          </w:tcPr>
          <w:p w:rsidR="00B6569C" w:rsidRDefault="00E82474">
            <w:pPr>
              <w:pStyle w:val="TableText0"/>
              <w:spacing w:before="0" w:after="0"/>
              <w:ind w:left="-85" w:right="-81"/>
              <w:jc w:val="center"/>
            </w:pPr>
            <w:r>
              <w:t>143 (27.8%)</w:t>
            </w:r>
          </w:p>
        </w:tc>
        <w:tc>
          <w:tcPr>
            <w:tcW w:w="663" w:type="pct"/>
            <w:vAlign w:val="bottom"/>
          </w:tcPr>
          <w:p w:rsidR="00B6569C" w:rsidRDefault="00E82474">
            <w:pPr>
              <w:pStyle w:val="TableText0"/>
              <w:spacing w:before="0" w:after="0"/>
              <w:ind w:left="-85" w:right="-81"/>
              <w:jc w:val="center"/>
            </w:pPr>
            <w:r>
              <w:t>19 (3.7%)</w:t>
            </w:r>
          </w:p>
        </w:tc>
        <w:tc>
          <w:tcPr>
            <w:tcW w:w="663" w:type="pct"/>
            <w:vAlign w:val="bottom"/>
          </w:tcPr>
          <w:p w:rsidR="00B6569C" w:rsidRDefault="00E82474">
            <w:pPr>
              <w:pStyle w:val="TableText0"/>
              <w:spacing w:before="0" w:after="0"/>
              <w:ind w:left="-85" w:right="-81"/>
              <w:jc w:val="center"/>
            </w:pPr>
            <w:r>
              <w:t>9 (1.8%)</w:t>
            </w:r>
          </w:p>
        </w:tc>
        <w:tc>
          <w:tcPr>
            <w:tcW w:w="663" w:type="pct"/>
            <w:vAlign w:val="bottom"/>
          </w:tcPr>
          <w:p w:rsidR="00B6569C" w:rsidRDefault="00E82474">
            <w:pPr>
              <w:pStyle w:val="TableText0"/>
              <w:spacing w:before="0" w:after="0"/>
              <w:ind w:left="-85" w:right="-81"/>
              <w:jc w:val="center"/>
              <w:rPr>
                <w:b/>
              </w:rPr>
            </w:pPr>
            <w:r>
              <w:rPr>
                <w:b/>
              </w:rPr>
              <w:t>197 (38.3%)</w:t>
            </w:r>
          </w:p>
        </w:tc>
      </w:tr>
      <w:tr w:rsidR="00B6569C" w:rsidTr="001F7C95">
        <w:tc>
          <w:tcPr>
            <w:tcW w:w="943" w:type="pct"/>
          </w:tcPr>
          <w:p w:rsidR="00B6569C" w:rsidRDefault="00E82474">
            <w:pPr>
              <w:pStyle w:val="TableText0"/>
              <w:spacing w:before="0" w:after="0"/>
              <w:ind w:right="-87"/>
              <w:jc w:val="both"/>
              <w:rPr>
                <w:b/>
              </w:rPr>
            </w:pPr>
            <w:r>
              <w:rPr>
                <w:b/>
              </w:rPr>
              <w:t>Total (AJCC 8</w:t>
            </w:r>
            <w:r>
              <w:rPr>
                <w:b/>
                <w:vertAlign w:val="superscript"/>
              </w:rPr>
              <w:t>th</w:t>
            </w:r>
            <w:r>
              <w:rPr>
                <w:b/>
              </w:rPr>
              <w:t xml:space="preserve">) </w:t>
            </w:r>
          </w:p>
        </w:tc>
        <w:tc>
          <w:tcPr>
            <w:tcW w:w="741" w:type="pct"/>
            <w:vAlign w:val="center"/>
          </w:tcPr>
          <w:p w:rsidR="00B6569C" w:rsidRDefault="00E82474">
            <w:pPr>
              <w:pStyle w:val="TableText0"/>
              <w:spacing w:before="0" w:after="0"/>
              <w:ind w:left="-85" w:right="-81"/>
              <w:jc w:val="center"/>
              <w:rPr>
                <w:b/>
              </w:rPr>
            </w:pPr>
            <w:r>
              <w:rPr>
                <w:b/>
              </w:rPr>
              <w:t>42 (8.2%)</w:t>
            </w:r>
          </w:p>
        </w:tc>
        <w:tc>
          <w:tcPr>
            <w:tcW w:w="663" w:type="pct"/>
            <w:vAlign w:val="center"/>
          </w:tcPr>
          <w:p w:rsidR="00B6569C" w:rsidRDefault="00E82474">
            <w:pPr>
              <w:pStyle w:val="TableText0"/>
              <w:spacing w:before="0" w:after="0"/>
              <w:ind w:left="-85" w:right="-81"/>
              <w:jc w:val="center"/>
              <w:rPr>
                <w:b/>
              </w:rPr>
            </w:pPr>
            <w:r>
              <w:rPr>
                <w:b/>
              </w:rPr>
              <w:t>164 (31.9%)</w:t>
            </w:r>
          </w:p>
        </w:tc>
        <w:tc>
          <w:tcPr>
            <w:tcW w:w="663" w:type="pct"/>
            <w:vAlign w:val="center"/>
          </w:tcPr>
          <w:p w:rsidR="00B6569C" w:rsidRDefault="00E82474">
            <w:pPr>
              <w:pStyle w:val="TableText0"/>
              <w:spacing w:before="0" w:after="0"/>
              <w:ind w:left="-85" w:right="-81"/>
              <w:jc w:val="center"/>
              <w:rPr>
                <w:b/>
              </w:rPr>
            </w:pPr>
            <w:r>
              <w:rPr>
                <w:b/>
              </w:rPr>
              <w:t>267 (51.9%)</w:t>
            </w:r>
          </w:p>
        </w:tc>
        <w:tc>
          <w:tcPr>
            <w:tcW w:w="663" w:type="pct"/>
            <w:vAlign w:val="center"/>
          </w:tcPr>
          <w:p w:rsidR="00B6569C" w:rsidRDefault="00E82474">
            <w:pPr>
              <w:pStyle w:val="TableText0"/>
              <w:spacing w:before="0" w:after="0"/>
              <w:ind w:left="-85" w:right="-81"/>
              <w:jc w:val="center"/>
              <w:rPr>
                <w:b/>
              </w:rPr>
            </w:pPr>
            <w:r>
              <w:rPr>
                <w:b/>
              </w:rPr>
              <w:t>19 (3.7%)</w:t>
            </w:r>
          </w:p>
        </w:tc>
        <w:tc>
          <w:tcPr>
            <w:tcW w:w="663" w:type="pct"/>
            <w:vAlign w:val="center"/>
          </w:tcPr>
          <w:p w:rsidR="00B6569C" w:rsidRDefault="00E82474">
            <w:pPr>
              <w:pStyle w:val="TableText0"/>
              <w:spacing w:before="0" w:after="0"/>
              <w:ind w:left="-85" w:right="-81"/>
              <w:jc w:val="center"/>
              <w:rPr>
                <w:b/>
              </w:rPr>
            </w:pPr>
            <w:r>
              <w:rPr>
                <w:b/>
              </w:rPr>
              <w:t>22 (4.3%)</w:t>
            </w:r>
          </w:p>
        </w:tc>
        <w:tc>
          <w:tcPr>
            <w:tcW w:w="663" w:type="pct"/>
            <w:vAlign w:val="center"/>
          </w:tcPr>
          <w:p w:rsidR="00B6569C" w:rsidRDefault="00E82474">
            <w:pPr>
              <w:pStyle w:val="TableText0"/>
              <w:spacing w:before="0" w:after="0"/>
              <w:ind w:left="-85" w:right="-81"/>
              <w:jc w:val="center"/>
              <w:rPr>
                <w:b/>
              </w:rPr>
            </w:pPr>
            <w:r>
              <w:rPr>
                <w:b/>
              </w:rPr>
              <w:t>514</w:t>
            </w:r>
          </w:p>
        </w:tc>
      </w:tr>
      <w:tr w:rsidR="00B6569C" w:rsidTr="001F7C95">
        <w:tc>
          <w:tcPr>
            <w:tcW w:w="5000" w:type="pct"/>
            <w:gridSpan w:val="7"/>
          </w:tcPr>
          <w:p w:rsidR="00B6569C" w:rsidRDefault="00E82474">
            <w:pPr>
              <w:pStyle w:val="TableText0"/>
              <w:keepNext/>
              <w:keepLines/>
              <w:spacing w:before="0" w:after="0"/>
              <w:ind w:right="-81"/>
              <w:rPr>
                <w:b/>
              </w:rPr>
            </w:pPr>
            <w:r>
              <w:rPr>
                <w:b/>
              </w:rPr>
              <w:t>Placebo</w:t>
            </w:r>
          </w:p>
        </w:tc>
      </w:tr>
      <w:tr w:rsidR="00B6569C" w:rsidTr="001F7C95">
        <w:tc>
          <w:tcPr>
            <w:tcW w:w="943" w:type="pct"/>
          </w:tcPr>
          <w:p w:rsidR="00B6569C" w:rsidRDefault="00E82474">
            <w:pPr>
              <w:pStyle w:val="TableText0"/>
              <w:keepNext/>
              <w:keepLines/>
              <w:spacing w:before="0" w:after="0"/>
              <w:ind w:right="-87"/>
              <w:jc w:val="both"/>
            </w:pPr>
            <w:r>
              <w:t xml:space="preserve">Stage IIIA (&gt; 1 mm) </w:t>
            </w:r>
          </w:p>
        </w:tc>
        <w:tc>
          <w:tcPr>
            <w:tcW w:w="741" w:type="pct"/>
          </w:tcPr>
          <w:p w:rsidR="00B6569C" w:rsidRDefault="00E82474">
            <w:pPr>
              <w:pStyle w:val="TableText0"/>
              <w:keepNext/>
              <w:keepLines/>
              <w:spacing w:before="0" w:after="0"/>
              <w:ind w:left="-85" w:right="-81"/>
              <w:jc w:val="center"/>
            </w:pPr>
            <w:r>
              <w:t>35 (6.9%)</w:t>
            </w:r>
          </w:p>
        </w:tc>
        <w:tc>
          <w:tcPr>
            <w:tcW w:w="663" w:type="pct"/>
          </w:tcPr>
          <w:p w:rsidR="00B6569C" w:rsidRDefault="00E82474">
            <w:pPr>
              <w:pStyle w:val="TableText0"/>
              <w:keepNext/>
              <w:keepLines/>
              <w:spacing w:before="0" w:after="0"/>
              <w:ind w:left="-85" w:right="-81"/>
              <w:jc w:val="center"/>
            </w:pPr>
            <w:r>
              <w:t>32 (6.3%)</w:t>
            </w:r>
          </w:p>
        </w:tc>
        <w:tc>
          <w:tcPr>
            <w:tcW w:w="663" w:type="pct"/>
          </w:tcPr>
          <w:p w:rsidR="00B6569C" w:rsidRDefault="00E82474">
            <w:pPr>
              <w:pStyle w:val="TableText0"/>
              <w:keepNext/>
              <w:keepLines/>
              <w:spacing w:before="0" w:after="0"/>
              <w:ind w:left="-85" w:right="-81"/>
              <w:jc w:val="center"/>
            </w:pPr>
            <w:r>
              <w:t>13 (2.6%)</w:t>
            </w:r>
          </w:p>
        </w:tc>
        <w:tc>
          <w:tcPr>
            <w:tcW w:w="663" w:type="pct"/>
          </w:tcPr>
          <w:p w:rsidR="00B6569C" w:rsidRDefault="00E82474">
            <w:pPr>
              <w:pStyle w:val="TableText0"/>
              <w:keepNext/>
              <w:keepLines/>
              <w:spacing w:before="0" w:after="0"/>
              <w:ind w:left="-85" w:right="-81"/>
              <w:jc w:val="center"/>
            </w:pPr>
            <w:r>
              <w:t>0</w:t>
            </w:r>
          </w:p>
        </w:tc>
        <w:tc>
          <w:tcPr>
            <w:tcW w:w="663" w:type="pct"/>
          </w:tcPr>
          <w:p w:rsidR="00B6569C" w:rsidRDefault="00E82474">
            <w:pPr>
              <w:pStyle w:val="TableText0"/>
              <w:keepNext/>
              <w:keepLines/>
              <w:spacing w:before="0" w:after="0"/>
              <w:ind w:left="-85" w:right="-81"/>
              <w:jc w:val="center"/>
            </w:pPr>
            <w:r>
              <w:t>0</w:t>
            </w:r>
          </w:p>
        </w:tc>
        <w:tc>
          <w:tcPr>
            <w:tcW w:w="663" w:type="pct"/>
          </w:tcPr>
          <w:p w:rsidR="00B6569C" w:rsidRDefault="00E82474">
            <w:pPr>
              <w:pStyle w:val="TableText0"/>
              <w:keepNext/>
              <w:keepLines/>
              <w:spacing w:before="0" w:after="0"/>
              <w:ind w:left="-85" w:right="-81"/>
              <w:jc w:val="center"/>
              <w:rPr>
                <w:b/>
              </w:rPr>
            </w:pPr>
            <w:r>
              <w:rPr>
                <w:b/>
              </w:rPr>
              <w:t>80 (15.8%)</w:t>
            </w:r>
          </w:p>
        </w:tc>
      </w:tr>
      <w:tr w:rsidR="00B6569C" w:rsidTr="001F7C95">
        <w:tc>
          <w:tcPr>
            <w:tcW w:w="943" w:type="pct"/>
          </w:tcPr>
          <w:p w:rsidR="00B6569C" w:rsidRDefault="00E82474">
            <w:pPr>
              <w:pStyle w:val="TableText0"/>
              <w:keepNext/>
              <w:keepLines/>
              <w:spacing w:before="0" w:after="0"/>
              <w:ind w:right="-87"/>
              <w:jc w:val="both"/>
            </w:pPr>
            <w:r>
              <w:t>Stage IIIB</w:t>
            </w:r>
          </w:p>
        </w:tc>
        <w:tc>
          <w:tcPr>
            <w:tcW w:w="741" w:type="pct"/>
          </w:tcPr>
          <w:p w:rsidR="00B6569C" w:rsidRDefault="00E82474">
            <w:pPr>
              <w:pStyle w:val="TableText0"/>
              <w:keepNext/>
              <w:keepLines/>
              <w:spacing w:before="0" w:after="0"/>
              <w:ind w:left="-85" w:right="-81"/>
              <w:jc w:val="center"/>
            </w:pPr>
            <w:r>
              <w:t>5 (1.0%)</w:t>
            </w:r>
          </w:p>
        </w:tc>
        <w:tc>
          <w:tcPr>
            <w:tcW w:w="663" w:type="pct"/>
          </w:tcPr>
          <w:p w:rsidR="00B6569C" w:rsidRDefault="00E82474">
            <w:pPr>
              <w:pStyle w:val="TableText0"/>
              <w:keepNext/>
              <w:keepLines/>
              <w:spacing w:before="0" w:after="0"/>
              <w:ind w:left="-85" w:right="-81"/>
              <w:jc w:val="center"/>
            </w:pPr>
            <w:r>
              <w:t>131 (25.9%)</w:t>
            </w:r>
          </w:p>
        </w:tc>
        <w:tc>
          <w:tcPr>
            <w:tcW w:w="663" w:type="pct"/>
          </w:tcPr>
          <w:p w:rsidR="00B6569C" w:rsidRDefault="00E82474">
            <w:pPr>
              <w:pStyle w:val="TableText0"/>
              <w:keepNext/>
              <w:keepLines/>
              <w:spacing w:before="0" w:after="0"/>
              <w:ind w:left="-85" w:right="-81"/>
              <w:jc w:val="center"/>
            </w:pPr>
            <w:r>
              <w:t>83 (16.4%)</w:t>
            </w:r>
          </w:p>
        </w:tc>
        <w:tc>
          <w:tcPr>
            <w:tcW w:w="663" w:type="pct"/>
          </w:tcPr>
          <w:p w:rsidR="00B6569C" w:rsidRDefault="00E82474">
            <w:pPr>
              <w:pStyle w:val="TableText0"/>
              <w:keepNext/>
              <w:keepLines/>
              <w:spacing w:before="0" w:after="0"/>
              <w:ind w:left="-85" w:right="-81"/>
              <w:jc w:val="center"/>
            </w:pPr>
            <w:r>
              <w:t>0</w:t>
            </w:r>
          </w:p>
        </w:tc>
        <w:tc>
          <w:tcPr>
            <w:tcW w:w="663" w:type="pct"/>
          </w:tcPr>
          <w:p w:rsidR="00B6569C" w:rsidRDefault="00E82474">
            <w:pPr>
              <w:pStyle w:val="TableText0"/>
              <w:keepNext/>
              <w:keepLines/>
              <w:spacing w:before="0" w:after="0"/>
              <w:ind w:left="-85" w:right="-81"/>
              <w:jc w:val="center"/>
            </w:pPr>
            <w:r>
              <w:t>11 (2.2%)</w:t>
            </w:r>
          </w:p>
        </w:tc>
        <w:tc>
          <w:tcPr>
            <w:tcW w:w="663" w:type="pct"/>
          </w:tcPr>
          <w:p w:rsidR="00B6569C" w:rsidRDefault="00E82474">
            <w:pPr>
              <w:pStyle w:val="TableText0"/>
              <w:keepNext/>
              <w:keepLines/>
              <w:spacing w:before="0" w:after="0"/>
              <w:ind w:left="-85" w:right="-81"/>
              <w:jc w:val="center"/>
              <w:rPr>
                <w:b/>
              </w:rPr>
            </w:pPr>
            <w:r>
              <w:rPr>
                <w:b/>
              </w:rPr>
              <w:t>230 (45.5%)</w:t>
            </w:r>
          </w:p>
        </w:tc>
      </w:tr>
      <w:tr w:rsidR="00B6569C" w:rsidTr="001F7C95">
        <w:tc>
          <w:tcPr>
            <w:tcW w:w="943" w:type="pct"/>
            <w:tcBorders>
              <w:bottom w:val="single" w:sz="4" w:space="0" w:color="auto"/>
            </w:tcBorders>
          </w:tcPr>
          <w:p w:rsidR="00B6569C" w:rsidRDefault="00E82474">
            <w:pPr>
              <w:pStyle w:val="TableText0"/>
              <w:keepNext/>
              <w:keepLines/>
              <w:spacing w:before="0" w:after="0"/>
              <w:ind w:right="-87"/>
              <w:jc w:val="both"/>
            </w:pPr>
            <w:r>
              <w:t>Stage IIIC</w:t>
            </w:r>
          </w:p>
        </w:tc>
        <w:tc>
          <w:tcPr>
            <w:tcW w:w="741" w:type="pct"/>
            <w:tcBorders>
              <w:bottom w:val="single" w:sz="4" w:space="0" w:color="auto"/>
            </w:tcBorders>
          </w:tcPr>
          <w:p w:rsidR="00B6569C" w:rsidRDefault="00E82474">
            <w:pPr>
              <w:pStyle w:val="TableText0"/>
              <w:keepNext/>
              <w:keepLines/>
              <w:spacing w:before="0" w:after="0"/>
              <w:ind w:left="-85" w:right="-81"/>
              <w:jc w:val="center"/>
            </w:pPr>
            <w:r>
              <w:t>0</w:t>
            </w:r>
          </w:p>
        </w:tc>
        <w:tc>
          <w:tcPr>
            <w:tcW w:w="663" w:type="pct"/>
            <w:tcBorders>
              <w:bottom w:val="single" w:sz="4" w:space="0" w:color="auto"/>
            </w:tcBorders>
          </w:tcPr>
          <w:p w:rsidR="00B6569C" w:rsidRDefault="00E82474">
            <w:pPr>
              <w:pStyle w:val="TableText0"/>
              <w:keepNext/>
              <w:keepLines/>
              <w:spacing w:before="0" w:after="0"/>
              <w:ind w:left="-85" w:right="-81"/>
              <w:jc w:val="center"/>
            </w:pPr>
            <w:r>
              <w:t>28 (5.5%)</w:t>
            </w:r>
          </w:p>
        </w:tc>
        <w:tc>
          <w:tcPr>
            <w:tcW w:w="663" w:type="pct"/>
            <w:tcBorders>
              <w:bottom w:val="single" w:sz="4" w:space="0" w:color="auto"/>
            </w:tcBorders>
          </w:tcPr>
          <w:p w:rsidR="00B6569C" w:rsidRDefault="00E82474">
            <w:pPr>
              <w:pStyle w:val="TableText0"/>
              <w:keepNext/>
              <w:keepLines/>
              <w:spacing w:before="0" w:after="0"/>
              <w:ind w:left="-85" w:right="-81"/>
              <w:jc w:val="center"/>
            </w:pPr>
            <w:r>
              <w:t>120 (27.7%)</w:t>
            </w:r>
          </w:p>
        </w:tc>
        <w:tc>
          <w:tcPr>
            <w:tcW w:w="663" w:type="pct"/>
            <w:tcBorders>
              <w:bottom w:val="single" w:sz="4" w:space="0" w:color="auto"/>
            </w:tcBorders>
          </w:tcPr>
          <w:p w:rsidR="00B6569C" w:rsidRDefault="00E82474">
            <w:pPr>
              <w:pStyle w:val="TableText0"/>
              <w:keepNext/>
              <w:keepLines/>
              <w:spacing w:before="0" w:after="0"/>
              <w:ind w:left="-85" w:right="-81"/>
              <w:jc w:val="center"/>
            </w:pPr>
            <w:r>
              <w:t>20 (4.0%)</w:t>
            </w:r>
          </w:p>
        </w:tc>
        <w:tc>
          <w:tcPr>
            <w:tcW w:w="663" w:type="pct"/>
            <w:tcBorders>
              <w:bottom w:val="single" w:sz="4" w:space="0" w:color="auto"/>
            </w:tcBorders>
          </w:tcPr>
          <w:p w:rsidR="00B6569C" w:rsidRDefault="00E82474">
            <w:pPr>
              <w:pStyle w:val="TableText0"/>
              <w:keepNext/>
              <w:keepLines/>
              <w:spacing w:before="0" w:after="0"/>
              <w:ind w:left="-85" w:right="-81"/>
              <w:jc w:val="center"/>
            </w:pPr>
            <w:r>
              <w:t>7 (1.4%)</w:t>
            </w:r>
          </w:p>
        </w:tc>
        <w:tc>
          <w:tcPr>
            <w:tcW w:w="663" w:type="pct"/>
            <w:tcBorders>
              <w:bottom w:val="single" w:sz="4" w:space="0" w:color="auto"/>
            </w:tcBorders>
          </w:tcPr>
          <w:p w:rsidR="00B6569C" w:rsidRDefault="00E82474">
            <w:pPr>
              <w:pStyle w:val="TableText0"/>
              <w:keepNext/>
              <w:keepLines/>
              <w:spacing w:before="0" w:after="0"/>
              <w:ind w:left="-85" w:right="-81"/>
              <w:jc w:val="center"/>
              <w:rPr>
                <w:b/>
              </w:rPr>
            </w:pPr>
            <w:r>
              <w:rPr>
                <w:b/>
              </w:rPr>
              <w:t>195 (38.6%)</w:t>
            </w:r>
          </w:p>
        </w:tc>
      </w:tr>
      <w:tr w:rsidR="00B6569C" w:rsidTr="001F7C95">
        <w:tc>
          <w:tcPr>
            <w:tcW w:w="943" w:type="pct"/>
            <w:tcBorders>
              <w:bottom w:val="double" w:sz="4" w:space="0" w:color="auto"/>
            </w:tcBorders>
          </w:tcPr>
          <w:p w:rsidR="00B6569C" w:rsidRDefault="00E82474">
            <w:pPr>
              <w:pStyle w:val="TableText0"/>
              <w:keepNext/>
              <w:keepLines/>
              <w:spacing w:before="0" w:after="0"/>
              <w:ind w:right="-87"/>
              <w:jc w:val="both"/>
              <w:rPr>
                <w:b/>
              </w:rPr>
            </w:pPr>
            <w:r>
              <w:rPr>
                <w:b/>
              </w:rPr>
              <w:t>Total (AJCC 8</w:t>
            </w:r>
            <w:r>
              <w:rPr>
                <w:b/>
                <w:vertAlign w:val="superscript"/>
              </w:rPr>
              <w:t>th</w:t>
            </w:r>
            <w:r>
              <w:rPr>
                <w:b/>
              </w:rPr>
              <w:t xml:space="preserve">) </w:t>
            </w:r>
          </w:p>
        </w:tc>
        <w:tc>
          <w:tcPr>
            <w:tcW w:w="741" w:type="pct"/>
            <w:tcBorders>
              <w:bottom w:val="double" w:sz="4" w:space="0" w:color="auto"/>
            </w:tcBorders>
          </w:tcPr>
          <w:p w:rsidR="00B6569C" w:rsidRDefault="00E82474">
            <w:pPr>
              <w:pStyle w:val="TableText0"/>
              <w:keepNext/>
              <w:keepLines/>
              <w:spacing w:before="0" w:after="0"/>
              <w:ind w:left="-85" w:right="-81"/>
              <w:jc w:val="center"/>
              <w:rPr>
                <w:b/>
              </w:rPr>
            </w:pPr>
            <w:r>
              <w:rPr>
                <w:b/>
              </w:rPr>
              <w:t>40 (7.9%)</w:t>
            </w:r>
          </w:p>
        </w:tc>
        <w:tc>
          <w:tcPr>
            <w:tcW w:w="663" w:type="pct"/>
            <w:tcBorders>
              <w:bottom w:val="double" w:sz="4" w:space="0" w:color="auto"/>
            </w:tcBorders>
          </w:tcPr>
          <w:p w:rsidR="00B6569C" w:rsidRDefault="00E82474">
            <w:pPr>
              <w:pStyle w:val="TableText0"/>
              <w:keepNext/>
              <w:keepLines/>
              <w:spacing w:before="0" w:after="0"/>
              <w:ind w:left="-85" w:right="-81"/>
              <w:jc w:val="center"/>
              <w:rPr>
                <w:b/>
              </w:rPr>
            </w:pPr>
            <w:r>
              <w:rPr>
                <w:b/>
              </w:rPr>
              <w:t>191 (37.8%)</w:t>
            </w:r>
          </w:p>
        </w:tc>
        <w:tc>
          <w:tcPr>
            <w:tcW w:w="663" w:type="pct"/>
            <w:tcBorders>
              <w:bottom w:val="double" w:sz="4" w:space="0" w:color="auto"/>
            </w:tcBorders>
          </w:tcPr>
          <w:p w:rsidR="00B6569C" w:rsidRDefault="00E82474">
            <w:pPr>
              <w:pStyle w:val="TableText0"/>
              <w:keepNext/>
              <w:keepLines/>
              <w:spacing w:before="0" w:after="0"/>
              <w:ind w:left="-85" w:right="-81"/>
              <w:jc w:val="center"/>
              <w:rPr>
                <w:b/>
              </w:rPr>
            </w:pPr>
            <w:r>
              <w:rPr>
                <w:b/>
              </w:rPr>
              <w:t>236 (46.7%)</w:t>
            </w:r>
          </w:p>
        </w:tc>
        <w:tc>
          <w:tcPr>
            <w:tcW w:w="663" w:type="pct"/>
            <w:tcBorders>
              <w:bottom w:val="double" w:sz="4" w:space="0" w:color="auto"/>
            </w:tcBorders>
          </w:tcPr>
          <w:p w:rsidR="00B6569C" w:rsidRDefault="00E82474">
            <w:pPr>
              <w:pStyle w:val="TableText0"/>
              <w:keepNext/>
              <w:keepLines/>
              <w:spacing w:before="0" w:after="0"/>
              <w:ind w:left="-85" w:right="-81"/>
              <w:jc w:val="center"/>
              <w:rPr>
                <w:b/>
              </w:rPr>
            </w:pPr>
            <w:r>
              <w:rPr>
                <w:b/>
              </w:rPr>
              <w:t>20 (4.0%)</w:t>
            </w:r>
          </w:p>
        </w:tc>
        <w:tc>
          <w:tcPr>
            <w:tcW w:w="663" w:type="pct"/>
            <w:tcBorders>
              <w:bottom w:val="double" w:sz="4" w:space="0" w:color="auto"/>
            </w:tcBorders>
          </w:tcPr>
          <w:p w:rsidR="00B6569C" w:rsidRDefault="00E82474">
            <w:pPr>
              <w:pStyle w:val="TableText0"/>
              <w:keepNext/>
              <w:keepLines/>
              <w:spacing w:before="0" w:after="0"/>
              <w:ind w:left="-85" w:right="-81"/>
              <w:jc w:val="center"/>
              <w:rPr>
                <w:b/>
              </w:rPr>
            </w:pPr>
            <w:r>
              <w:rPr>
                <w:b/>
              </w:rPr>
              <w:t>18 (3.6%)</w:t>
            </w:r>
          </w:p>
        </w:tc>
        <w:tc>
          <w:tcPr>
            <w:tcW w:w="663" w:type="pct"/>
            <w:tcBorders>
              <w:bottom w:val="double" w:sz="4" w:space="0" w:color="auto"/>
            </w:tcBorders>
          </w:tcPr>
          <w:p w:rsidR="00B6569C" w:rsidRDefault="00E82474">
            <w:pPr>
              <w:pStyle w:val="TableText0"/>
              <w:keepNext/>
              <w:keepLines/>
              <w:spacing w:before="0" w:after="0"/>
              <w:ind w:left="-85" w:right="-81"/>
              <w:jc w:val="center"/>
              <w:rPr>
                <w:b/>
              </w:rPr>
            </w:pPr>
            <w:r>
              <w:rPr>
                <w:b/>
              </w:rPr>
              <w:t>505</w:t>
            </w:r>
          </w:p>
        </w:tc>
      </w:tr>
      <w:tr w:rsidR="00B6569C" w:rsidTr="001F7C95">
        <w:tc>
          <w:tcPr>
            <w:tcW w:w="943" w:type="pct"/>
            <w:tcBorders>
              <w:top w:val="double" w:sz="4" w:space="0" w:color="auto"/>
            </w:tcBorders>
          </w:tcPr>
          <w:p w:rsidR="00B6569C" w:rsidRDefault="00E82474">
            <w:pPr>
              <w:pStyle w:val="TableText0"/>
              <w:keepNext/>
              <w:keepLines/>
              <w:spacing w:before="0" w:after="0"/>
              <w:ind w:right="-87"/>
              <w:jc w:val="both"/>
              <w:rPr>
                <w:b/>
                <w:szCs w:val="20"/>
                <w:vertAlign w:val="superscript"/>
              </w:rPr>
            </w:pPr>
            <w:r>
              <w:rPr>
                <w:szCs w:val="20"/>
              </w:rPr>
              <w:t>Haydu (2017)</w:t>
            </w:r>
            <w:r>
              <w:rPr>
                <w:szCs w:val="20"/>
                <w:vertAlign w:val="superscript"/>
              </w:rPr>
              <w:t>a</w:t>
            </w:r>
          </w:p>
        </w:tc>
        <w:tc>
          <w:tcPr>
            <w:tcW w:w="741" w:type="pct"/>
            <w:tcBorders>
              <w:top w:val="double" w:sz="4" w:space="0" w:color="auto"/>
            </w:tcBorders>
          </w:tcPr>
          <w:p w:rsidR="00B6569C" w:rsidRDefault="00E82474">
            <w:pPr>
              <w:pStyle w:val="TableText0"/>
              <w:keepNext/>
              <w:keepLines/>
              <w:spacing w:before="0" w:after="0"/>
              <w:ind w:left="-85" w:right="-81"/>
              <w:jc w:val="center"/>
            </w:pPr>
            <w:r>
              <w:t>220 (4.8%)</w:t>
            </w:r>
          </w:p>
        </w:tc>
        <w:tc>
          <w:tcPr>
            <w:tcW w:w="663" w:type="pct"/>
            <w:tcBorders>
              <w:top w:val="double" w:sz="4" w:space="0" w:color="auto"/>
            </w:tcBorders>
          </w:tcPr>
          <w:p w:rsidR="00B6569C" w:rsidRDefault="00E82474">
            <w:pPr>
              <w:pStyle w:val="TableText0"/>
              <w:keepNext/>
              <w:keepLines/>
              <w:spacing w:before="0" w:after="0"/>
              <w:ind w:left="-85" w:right="-81"/>
              <w:jc w:val="center"/>
            </w:pPr>
            <w:r>
              <w:t>2,007 (44.2%)</w:t>
            </w:r>
          </w:p>
        </w:tc>
        <w:tc>
          <w:tcPr>
            <w:tcW w:w="663" w:type="pct"/>
            <w:tcBorders>
              <w:top w:val="double" w:sz="4" w:space="0" w:color="auto"/>
            </w:tcBorders>
          </w:tcPr>
          <w:p w:rsidR="00B6569C" w:rsidRDefault="00E82474">
            <w:pPr>
              <w:pStyle w:val="TableText0"/>
              <w:keepNext/>
              <w:keepLines/>
              <w:spacing w:before="0" w:after="0"/>
              <w:ind w:left="-85" w:right="-81"/>
              <w:jc w:val="center"/>
            </w:pPr>
            <w:r>
              <w:t>1,709 (37.6%)</w:t>
            </w:r>
          </w:p>
        </w:tc>
        <w:tc>
          <w:tcPr>
            <w:tcW w:w="663" w:type="pct"/>
            <w:tcBorders>
              <w:top w:val="double" w:sz="4" w:space="0" w:color="auto"/>
            </w:tcBorders>
          </w:tcPr>
          <w:p w:rsidR="00B6569C" w:rsidRDefault="00E82474">
            <w:pPr>
              <w:pStyle w:val="TableText0"/>
              <w:keepNext/>
              <w:keepLines/>
              <w:spacing w:before="0" w:after="0"/>
              <w:ind w:left="-85" w:right="-81"/>
              <w:jc w:val="center"/>
            </w:pPr>
            <w:r>
              <w:t>104 (2.3%)</w:t>
            </w:r>
          </w:p>
        </w:tc>
        <w:tc>
          <w:tcPr>
            <w:tcW w:w="663" w:type="pct"/>
            <w:tcBorders>
              <w:top w:val="double" w:sz="4" w:space="0" w:color="auto"/>
            </w:tcBorders>
          </w:tcPr>
          <w:p w:rsidR="00B6569C" w:rsidRDefault="00E82474">
            <w:pPr>
              <w:pStyle w:val="TableText0"/>
              <w:keepNext/>
              <w:keepLines/>
              <w:spacing w:before="0" w:after="0"/>
              <w:ind w:left="-85" w:right="-81"/>
              <w:jc w:val="center"/>
            </w:pPr>
            <w:r>
              <w:t>500 (11.0%)</w:t>
            </w:r>
          </w:p>
        </w:tc>
        <w:tc>
          <w:tcPr>
            <w:tcW w:w="663" w:type="pct"/>
            <w:tcBorders>
              <w:top w:val="double" w:sz="4" w:space="0" w:color="auto"/>
            </w:tcBorders>
          </w:tcPr>
          <w:p w:rsidR="00B6569C" w:rsidRDefault="00E82474">
            <w:pPr>
              <w:pStyle w:val="TableText0"/>
              <w:keepNext/>
              <w:keepLines/>
              <w:tabs>
                <w:tab w:val="left" w:pos="451"/>
                <w:tab w:val="center" w:pos="488"/>
              </w:tabs>
              <w:spacing w:before="0" w:after="0"/>
              <w:ind w:left="-85" w:right="-81"/>
              <w:jc w:val="center"/>
            </w:pPr>
            <w:r>
              <w:t>4,540</w:t>
            </w:r>
          </w:p>
        </w:tc>
      </w:tr>
    </w:tbl>
    <w:p w:rsidR="00B6569C" w:rsidRDefault="00E82474">
      <w:pPr>
        <w:widowControl/>
        <w:jc w:val="left"/>
        <w:rPr>
          <w:rFonts w:ascii="Arial Narrow" w:hAnsi="Arial Narrow"/>
          <w:sz w:val="18"/>
          <w:szCs w:val="18"/>
        </w:rPr>
      </w:pPr>
      <w:r>
        <w:rPr>
          <w:rFonts w:ascii="Arial Narrow" w:hAnsi="Arial Narrow"/>
          <w:sz w:val="18"/>
          <w:szCs w:val="18"/>
        </w:rPr>
        <w:t>AJCC = American Joint Committee on Cancer</w:t>
      </w:r>
    </w:p>
    <w:p w:rsidR="00B6569C" w:rsidRDefault="00E82474">
      <w:pPr>
        <w:widowControl/>
        <w:jc w:val="left"/>
        <w:rPr>
          <w:rFonts w:ascii="Arial Narrow" w:hAnsi="Arial Narrow"/>
          <w:sz w:val="18"/>
          <w:szCs w:val="18"/>
        </w:rPr>
      </w:pPr>
      <w:r>
        <w:rPr>
          <w:rFonts w:ascii="Arial Narrow" w:hAnsi="Arial Narrow"/>
          <w:sz w:val="18"/>
          <w:szCs w:val="18"/>
          <w:vertAlign w:val="superscript"/>
        </w:rPr>
        <w:t>a</w:t>
      </w:r>
      <w:r>
        <w:rPr>
          <w:rFonts w:ascii="Arial Narrow" w:hAnsi="Arial Narrow"/>
          <w:sz w:val="18"/>
          <w:szCs w:val="18"/>
        </w:rPr>
        <w:t xml:space="preserve"> Haydu et al. (2017), based on Melanoma Institute Australia database, all patients at Stage III melanoma diagnosis (AJCC 8</w:t>
      </w:r>
      <w:r>
        <w:rPr>
          <w:rFonts w:ascii="Arial Narrow" w:hAnsi="Arial Narrow"/>
          <w:sz w:val="18"/>
          <w:szCs w:val="18"/>
          <w:vertAlign w:val="superscript"/>
        </w:rPr>
        <w:t>th</w:t>
      </w:r>
      <w:r>
        <w:rPr>
          <w:rFonts w:ascii="Arial Narrow" w:hAnsi="Arial Narrow"/>
          <w:sz w:val="18"/>
          <w:szCs w:val="18"/>
        </w:rPr>
        <w:t xml:space="preserve"> edition), regardless of resection, BRAF or PD-L1 status</w:t>
      </w:r>
    </w:p>
    <w:p w:rsidR="00B6569C" w:rsidRDefault="00E82474">
      <w:pPr>
        <w:widowControl/>
        <w:jc w:val="left"/>
        <w:rPr>
          <w:rFonts w:ascii="Arial Narrow" w:hAnsi="Arial Narrow"/>
          <w:sz w:val="18"/>
          <w:szCs w:val="18"/>
        </w:rPr>
      </w:pPr>
      <w:r>
        <w:rPr>
          <w:rFonts w:ascii="Arial Narrow" w:hAnsi="Arial Narrow"/>
          <w:sz w:val="18"/>
          <w:szCs w:val="18"/>
        </w:rPr>
        <w:t>Source: Table 2.4-4, p.49 of the resubmission; Table 4.1.2, p.8, Internal Report AJCC KN054; Haydu et al. (2017)</w:t>
      </w:r>
    </w:p>
    <w:p w:rsidR="008C4C5B" w:rsidRDefault="008C4C5B">
      <w:pPr>
        <w:widowControl/>
        <w:jc w:val="left"/>
      </w:pPr>
      <w:r>
        <w:br w:type="page"/>
      </w:r>
    </w:p>
    <w:p w:rsidR="00B6569C" w:rsidRDefault="00E82474">
      <w:pPr>
        <w:pStyle w:val="ListParagraph"/>
        <w:widowControl/>
        <w:numPr>
          <w:ilvl w:val="1"/>
          <w:numId w:val="3"/>
        </w:numPr>
      </w:pPr>
      <w:r>
        <w:t xml:space="preserve">The primary outcome of Trial KN054 was recurrence free survival. The resubmission acknowledged that the available RFS data for Trial KN054 were immature (i.e. median recurrence free survival for pembrolizumab had not been reached). </w:t>
      </w:r>
    </w:p>
    <w:p w:rsidR="00B6569C" w:rsidRDefault="00E82474">
      <w:pPr>
        <w:pStyle w:val="ListParagraph"/>
        <w:widowControl/>
        <w:numPr>
          <w:ilvl w:val="1"/>
          <w:numId w:val="3"/>
        </w:numPr>
      </w:pPr>
      <w:r>
        <w:lastRenderedPageBreak/>
        <w:t xml:space="preserve">At the November 2018 meeting, the PBAC noted that recurrence free survival was the primary outcome of Trial KN054, but that overall survival is the most clinically relevant endpoint for evaluation of an anti-cancer medicine (paragraph 6.10, Pembrolizumab minutes, November 2018). The ESC, noting that early retreatment data was not expected to be available until </w:t>
      </w:r>
      <w:r w:rsidR="00277D7E">
        <w:rPr>
          <w:noProof/>
          <w:color w:val="000000"/>
          <w:highlight w:val="black"/>
        </w:rPr>
        <w:t>'''''''' ''''''''''</w:t>
      </w:r>
      <w:r>
        <w:t xml:space="preserve"> and a formal analysis of overall survival data might not be available </w:t>
      </w:r>
      <w:r w:rsidR="00277D7E">
        <w:rPr>
          <w:noProof/>
          <w:color w:val="000000"/>
          <w:highlight w:val="black"/>
        </w:rPr>
        <w:t>'''''''' '''''''''</w:t>
      </w:r>
      <w:r>
        <w:t>, remained concerned by the immaturity of the data.</w:t>
      </w:r>
    </w:p>
    <w:p w:rsidR="00B6569C" w:rsidRDefault="00E82474">
      <w:pPr>
        <w:pStyle w:val="ListParagraph"/>
        <w:widowControl/>
        <w:numPr>
          <w:ilvl w:val="1"/>
          <w:numId w:val="3"/>
        </w:numPr>
        <w:rPr>
          <w:i/>
        </w:rPr>
      </w:pPr>
      <w:r>
        <w:t xml:space="preserve">The ESC noted that no new information was presented regarding the use of recurrence free survival as a surrogate for overall survival and noted that the resubmission restated the arguments presented in the November 2018 submission and the November 2018 PSCR that were based on the Suciu et al (2018) validation study. </w:t>
      </w:r>
    </w:p>
    <w:p w:rsidR="00B6569C" w:rsidRDefault="00E82474">
      <w:pPr>
        <w:pStyle w:val="ListParagraph"/>
        <w:widowControl/>
        <w:numPr>
          <w:ilvl w:val="1"/>
          <w:numId w:val="3"/>
        </w:numPr>
        <w:rPr>
          <w:rStyle w:val="Emphasis"/>
          <w:i w:val="0"/>
          <w:iCs w:val="0"/>
        </w:rPr>
      </w:pPr>
      <w:r>
        <w:rPr>
          <w:szCs w:val="24"/>
        </w:rPr>
        <w:t>The resubmission also argued that the COMBI-AD trial comparing dabrafenib+trametinib to placebo for adjuvant treatment of patients with BRAF mutation positive Stage III melanoma (Long et al. 2017), supported the surrogacy of recurrence free survival to overall survival when the availability of downstream therapies in the metastatic setting was considered. While the comparison between pembrolizumab and dabrafenib+trametinib shows adjunctive therapy with pembrolizumab (PD-1 inhibitors) or dabrafenib+trametinib (BRAF-MEK inhibitors) provides some benefit to patients in terms of recurrence free survival compared to placebo, no link between the relative magnitude of recurrence free survival and overall survival benefit was demonstrated.</w:t>
      </w:r>
    </w:p>
    <w:p w:rsidR="00B6569C" w:rsidRDefault="00E82474">
      <w:pPr>
        <w:pStyle w:val="ListParagraph"/>
        <w:widowControl/>
        <w:numPr>
          <w:ilvl w:val="1"/>
          <w:numId w:val="3"/>
        </w:numPr>
        <w:rPr>
          <w:rStyle w:val="Emphasis"/>
          <w:i w:val="0"/>
          <w:iCs w:val="0"/>
        </w:rPr>
      </w:pPr>
      <w:r>
        <w:rPr>
          <w:rStyle w:val="Emphasis"/>
          <w:rFonts w:eastAsiaTheme="minorHAnsi"/>
          <w:i w:val="0"/>
        </w:rPr>
        <w:t>The ESC reiterated that the suitability of recurrence free survival as a surrogate for overall survival in the assessment of pembrolizumab as adjuvant therapy for resectable Stage III melanoma has not been established.</w:t>
      </w:r>
    </w:p>
    <w:p w:rsidR="00B6569C" w:rsidRDefault="00E82474">
      <w:pPr>
        <w:pStyle w:val="ListParagraph"/>
        <w:widowControl/>
        <w:numPr>
          <w:ilvl w:val="1"/>
          <w:numId w:val="3"/>
        </w:numPr>
        <w:rPr>
          <w:rStyle w:val="Emphasis"/>
          <w:i w:val="0"/>
          <w:iCs w:val="0"/>
        </w:rPr>
      </w:pPr>
      <w:r>
        <w:rPr>
          <w:shd w:val="clear" w:color="auto" w:fill="FFFFFF"/>
        </w:rPr>
        <w:t xml:space="preserve">Quality of life outcomes for Trial KN054 were collected using the EORTC QLQ-C30 and EQ-5D-3L instruments, but results were not reported in the </w:t>
      </w:r>
      <w:r>
        <w:rPr>
          <w:rStyle w:val="Emphasis"/>
          <w:rFonts w:eastAsiaTheme="minorHAnsi"/>
          <w:i w:val="0"/>
        </w:rPr>
        <w:t>resubmission or the KN054 Clinical Study Report.</w:t>
      </w:r>
    </w:p>
    <w:p w:rsidR="00B6569C" w:rsidRDefault="00E82474">
      <w:pPr>
        <w:pStyle w:val="Heading2"/>
        <w:widowControl/>
      </w:pPr>
      <w:bookmarkStart w:id="7" w:name="_Toc9330470"/>
      <w:r>
        <w:t>Comparative effectiveness</w:t>
      </w:r>
      <w:bookmarkEnd w:id="7"/>
    </w:p>
    <w:p w:rsidR="00B6569C" w:rsidRDefault="00B6569C">
      <w:pPr>
        <w:widowControl/>
      </w:pPr>
    </w:p>
    <w:p w:rsidR="00B6569C" w:rsidRDefault="00E82474">
      <w:pPr>
        <w:pStyle w:val="ListParagraph"/>
        <w:widowControl/>
        <w:numPr>
          <w:ilvl w:val="1"/>
          <w:numId w:val="3"/>
        </w:numPr>
      </w:pPr>
      <w:r>
        <w:t>Results for recurrence free survival in Trial KN054 (ITT population) are presented for the AJCC 7th edition (pre-specified) and AJCC 8th edition (</w:t>
      </w:r>
      <w:r>
        <w:rPr>
          <w:i/>
        </w:rPr>
        <w:t>post hoc</w:t>
      </w:r>
      <w:r>
        <w:t>) staging system in Table 5 and Figure 2 below.</w:t>
      </w:r>
    </w:p>
    <w:p w:rsidR="00B6569C" w:rsidRDefault="00E82474" w:rsidP="001F7C95">
      <w:pPr>
        <w:widowControl/>
        <w:jc w:val="left"/>
        <w:rPr>
          <w:rFonts w:ascii="Arial Narrow" w:hAnsi="Arial Narrow"/>
          <w:b/>
          <w:sz w:val="20"/>
          <w:szCs w:val="20"/>
        </w:rPr>
      </w:pPr>
      <w:r>
        <w:rPr>
          <w:rFonts w:ascii="Arial Narrow" w:hAnsi="Arial Narrow"/>
          <w:b/>
          <w:sz w:val="20"/>
          <w:szCs w:val="20"/>
        </w:rPr>
        <w:br w:type="page"/>
      </w:r>
    </w:p>
    <w:p w:rsidR="001F7C95" w:rsidRDefault="001F7C95" w:rsidP="001F7C95">
      <w:pPr>
        <w:pStyle w:val="TableHeading0"/>
      </w:pPr>
      <w:r>
        <w:t xml:space="preserve">Table </w:t>
      </w:r>
      <w:fldSimple w:instr=" SEQ Table \* ARABIC ">
        <w:r w:rsidR="00632FE3">
          <w:rPr>
            <w:noProof/>
          </w:rPr>
          <w:t>6</w:t>
        </w:r>
      </w:fldSimple>
      <w:r w:rsidRPr="005838C6">
        <w:t>: Trial KN054 recurrence free survival by AJCC 7th and 8th edition staging system (ITT)</w:t>
      </w:r>
    </w:p>
    <w:tbl>
      <w:tblPr>
        <w:tblStyle w:val="TableGrid"/>
        <w:tblW w:w="4991" w:type="pct"/>
        <w:tblInd w:w="-5" w:type="dxa"/>
        <w:tblLayout w:type="fixed"/>
        <w:tblLook w:val="04A0" w:firstRow="1" w:lastRow="0" w:firstColumn="1" w:lastColumn="0" w:noHBand="0" w:noVBand="1"/>
        <w:tblCaption w:val="Table 6: Trial KN054 recurrence free survival by AJCC 7th and 8th edition staging system (ITT)"/>
      </w:tblPr>
      <w:tblGrid>
        <w:gridCol w:w="2557"/>
        <w:gridCol w:w="1631"/>
        <w:gridCol w:w="1627"/>
        <w:gridCol w:w="1431"/>
        <w:gridCol w:w="1755"/>
      </w:tblGrid>
      <w:tr w:rsidR="00B6569C">
        <w:trPr>
          <w:trHeight w:val="329"/>
        </w:trPr>
        <w:tc>
          <w:tcPr>
            <w:tcW w:w="1420" w:type="pct"/>
          </w:tcPr>
          <w:p w:rsidR="00B6569C" w:rsidRDefault="00B6569C">
            <w:pPr>
              <w:pStyle w:val="Tabletext"/>
              <w:rPr>
                <w:b/>
              </w:rPr>
            </w:pPr>
          </w:p>
        </w:tc>
        <w:tc>
          <w:tcPr>
            <w:tcW w:w="906" w:type="pct"/>
          </w:tcPr>
          <w:p w:rsidR="00B6569C" w:rsidRDefault="00E82474">
            <w:pPr>
              <w:pStyle w:val="Tabletext"/>
              <w:jc w:val="center"/>
              <w:rPr>
                <w:b/>
              </w:rPr>
            </w:pPr>
            <w:r>
              <w:rPr>
                <w:b/>
              </w:rPr>
              <w:t>Pembrolizumab</w:t>
            </w:r>
          </w:p>
          <w:p w:rsidR="00B6569C" w:rsidRDefault="00E82474">
            <w:pPr>
              <w:pStyle w:val="Tabletext"/>
              <w:jc w:val="center"/>
              <w:rPr>
                <w:b/>
              </w:rPr>
            </w:pPr>
            <w:r>
              <w:rPr>
                <w:b/>
              </w:rPr>
              <w:t>N=514</w:t>
            </w:r>
          </w:p>
        </w:tc>
        <w:tc>
          <w:tcPr>
            <w:tcW w:w="904" w:type="pct"/>
          </w:tcPr>
          <w:p w:rsidR="00B6569C" w:rsidRDefault="00E82474">
            <w:pPr>
              <w:pStyle w:val="Tabletext"/>
              <w:jc w:val="center"/>
              <w:rPr>
                <w:b/>
              </w:rPr>
            </w:pPr>
            <w:r>
              <w:rPr>
                <w:b/>
              </w:rPr>
              <w:t>Placebo</w:t>
            </w:r>
          </w:p>
          <w:p w:rsidR="00B6569C" w:rsidRDefault="00E82474">
            <w:pPr>
              <w:pStyle w:val="Tabletext"/>
              <w:jc w:val="center"/>
              <w:rPr>
                <w:b/>
              </w:rPr>
            </w:pPr>
            <w:r>
              <w:rPr>
                <w:b/>
              </w:rPr>
              <w:t>N=505</w:t>
            </w:r>
          </w:p>
        </w:tc>
        <w:tc>
          <w:tcPr>
            <w:tcW w:w="795" w:type="pct"/>
          </w:tcPr>
          <w:p w:rsidR="00B6569C" w:rsidRDefault="00E82474">
            <w:pPr>
              <w:pStyle w:val="Tabletext"/>
              <w:jc w:val="center"/>
              <w:rPr>
                <w:b/>
              </w:rPr>
            </w:pPr>
            <w:r>
              <w:rPr>
                <w:b/>
              </w:rPr>
              <w:t>Absolute difference</w:t>
            </w:r>
            <w:r>
              <w:rPr>
                <w:b/>
                <w:vertAlign w:val="superscript"/>
              </w:rPr>
              <w:t>a</w:t>
            </w:r>
          </w:p>
        </w:tc>
        <w:tc>
          <w:tcPr>
            <w:tcW w:w="975" w:type="pct"/>
            <w:vAlign w:val="center"/>
          </w:tcPr>
          <w:p w:rsidR="00B6569C" w:rsidRDefault="00E82474">
            <w:pPr>
              <w:pStyle w:val="Tabletext"/>
              <w:jc w:val="center"/>
              <w:rPr>
                <w:b/>
              </w:rPr>
            </w:pPr>
            <w:r>
              <w:rPr>
                <w:b/>
              </w:rPr>
              <w:t>HR (98.4% CI)</w:t>
            </w:r>
            <w:r>
              <w:rPr>
                <w:b/>
                <w:vertAlign w:val="superscript"/>
              </w:rPr>
              <w:t>a</w:t>
            </w:r>
          </w:p>
        </w:tc>
      </w:tr>
      <w:tr w:rsidR="00B6569C">
        <w:tc>
          <w:tcPr>
            <w:tcW w:w="1420" w:type="pct"/>
            <w:vAlign w:val="center"/>
          </w:tcPr>
          <w:p w:rsidR="00B6569C" w:rsidRDefault="00E82474">
            <w:pPr>
              <w:pStyle w:val="Tabletext"/>
            </w:pPr>
            <w:r>
              <w:t>Events, n (%)</w:t>
            </w:r>
          </w:p>
        </w:tc>
        <w:tc>
          <w:tcPr>
            <w:tcW w:w="906" w:type="pct"/>
            <w:vAlign w:val="center"/>
          </w:tcPr>
          <w:p w:rsidR="00B6569C" w:rsidRDefault="00E82474">
            <w:pPr>
              <w:pStyle w:val="Tabletext"/>
              <w:jc w:val="center"/>
            </w:pPr>
            <w:r>
              <w:t>135 (26.3%)</w:t>
            </w:r>
          </w:p>
        </w:tc>
        <w:tc>
          <w:tcPr>
            <w:tcW w:w="904" w:type="pct"/>
            <w:vAlign w:val="center"/>
          </w:tcPr>
          <w:p w:rsidR="00B6569C" w:rsidRDefault="00E82474">
            <w:pPr>
              <w:pStyle w:val="Tabletext"/>
              <w:jc w:val="center"/>
            </w:pPr>
            <w:r>
              <w:t>216 (42.8%)</w:t>
            </w:r>
          </w:p>
        </w:tc>
        <w:tc>
          <w:tcPr>
            <w:tcW w:w="795" w:type="pct"/>
            <w:vAlign w:val="center"/>
          </w:tcPr>
          <w:p w:rsidR="00B6569C" w:rsidRDefault="00E82474">
            <w:pPr>
              <w:pStyle w:val="Tabletext"/>
              <w:jc w:val="center"/>
            </w:pPr>
            <w:r>
              <w:t xml:space="preserve">16.5% </w:t>
            </w:r>
          </w:p>
        </w:tc>
        <w:tc>
          <w:tcPr>
            <w:tcW w:w="975" w:type="pct"/>
            <w:vAlign w:val="center"/>
          </w:tcPr>
          <w:p w:rsidR="00B6569C" w:rsidRDefault="00E82474">
            <w:pPr>
              <w:pStyle w:val="Tabletext"/>
              <w:jc w:val="center"/>
            </w:pPr>
            <w:r>
              <w:t>–</w:t>
            </w:r>
          </w:p>
        </w:tc>
      </w:tr>
      <w:tr w:rsidR="00B6569C">
        <w:tc>
          <w:tcPr>
            <w:tcW w:w="1420" w:type="pct"/>
            <w:tcBorders>
              <w:bottom w:val="nil"/>
            </w:tcBorders>
            <w:vAlign w:val="center"/>
          </w:tcPr>
          <w:p w:rsidR="00B6569C" w:rsidRDefault="00E82474">
            <w:pPr>
              <w:pStyle w:val="Tabletext"/>
              <w:rPr>
                <w:vertAlign w:val="superscript"/>
              </w:rPr>
            </w:pPr>
            <w:r>
              <w:t>Survival rate (95% CI)</w:t>
            </w:r>
            <w:r>
              <w:rPr>
                <w:vertAlign w:val="superscript"/>
              </w:rPr>
              <w:t>b</w:t>
            </w:r>
          </w:p>
        </w:tc>
        <w:tc>
          <w:tcPr>
            <w:tcW w:w="906" w:type="pct"/>
            <w:tcBorders>
              <w:bottom w:val="nil"/>
            </w:tcBorders>
            <w:vAlign w:val="center"/>
          </w:tcPr>
          <w:p w:rsidR="00B6569C" w:rsidRDefault="00B6569C">
            <w:pPr>
              <w:pStyle w:val="Tabletext"/>
              <w:jc w:val="center"/>
            </w:pPr>
          </w:p>
        </w:tc>
        <w:tc>
          <w:tcPr>
            <w:tcW w:w="904" w:type="pct"/>
            <w:tcBorders>
              <w:bottom w:val="nil"/>
            </w:tcBorders>
            <w:vAlign w:val="center"/>
          </w:tcPr>
          <w:p w:rsidR="00B6569C" w:rsidRDefault="00B6569C">
            <w:pPr>
              <w:pStyle w:val="Tabletext"/>
              <w:jc w:val="center"/>
            </w:pPr>
          </w:p>
        </w:tc>
        <w:tc>
          <w:tcPr>
            <w:tcW w:w="795" w:type="pct"/>
            <w:tcBorders>
              <w:bottom w:val="nil"/>
            </w:tcBorders>
            <w:vAlign w:val="center"/>
          </w:tcPr>
          <w:p w:rsidR="00B6569C" w:rsidRDefault="00B6569C">
            <w:pPr>
              <w:pStyle w:val="Tabletext"/>
              <w:jc w:val="center"/>
            </w:pPr>
          </w:p>
        </w:tc>
        <w:tc>
          <w:tcPr>
            <w:tcW w:w="975" w:type="pct"/>
            <w:tcBorders>
              <w:bottom w:val="nil"/>
            </w:tcBorders>
            <w:vAlign w:val="center"/>
          </w:tcPr>
          <w:p w:rsidR="00B6569C" w:rsidRDefault="00E82474">
            <w:pPr>
              <w:pStyle w:val="Tabletext"/>
              <w:jc w:val="center"/>
            </w:pPr>
            <w:r>
              <w:t>–</w:t>
            </w:r>
          </w:p>
        </w:tc>
      </w:tr>
      <w:tr w:rsidR="00B6569C">
        <w:tc>
          <w:tcPr>
            <w:tcW w:w="1420" w:type="pct"/>
            <w:tcBorders>
              <w:top w:val="nil"/>
              <w:bottom w:val="nil"/>
            </w:tcBorders>
            <w:vAlign w:val="center"/>
          </w:tcPr>
          <w:p w:rsidR="00B6569C" w:rsidRDefault="00E82474">
            <w:pPr>
              <w:pStyle w:val="Tabletext"/>
              <w:ind w:left="284"/>
            </w:pPr>
            <w:r>
              <w:t>6 months</w:t>
            </w:r>
          </w:p>
        </w:tc>
        <w:tc>
          <w:tcPr>
            <w:tcW w:w="906" w:type="pct"/>
            <w:tcBorders>
              <w:top w:val="nil"/>
              <w:bottom w:val="nil"/>
            </w:tcBorders>
          </w:tcPr>
          <w:p w:rsidR="00B6569C" w:rsidRDefault="00E82474">
            <w:pPr>
              <w:pStyle w:val="Tabletext"/>
              <w:jc w:val="center"/>
            </w:pPr>
            <w:r>
              <w:t>82.2% (78.6, 85.3)</w:t>
            </w:r>
          </w:p>
        </w:tc>
        <w:tc>
          <w:tcPr>
            <w:tcW w:w="904" w:type="pct"/>
            <w:tcBorders>
              <w:top w:val="nil"/>
              <w:bottom w:val="nil"/>
            </w:tcBorders>
          </w:tcPr>
          <w:p w:rsidR="00B6569C" w:rsidRDefault="00E82474">
            <w:pPr>
              <w:pStyle w:val="Tabletext"/>
              <w:ind w:left="-57" w:right="-57"/>
              <w:jc w:val="center"/>
            </w:pPr>
            <w:r>
              <w:t>73.3% (69.2, 77.0)</w:t>
            </w:r>
          </w:p>
        </w:tc>
        <w:tc>
          <w:tcPr>
            <w:tcW w:w="795" w:type="pct"/>
            <w:tcBorders>
              <w:top w:val="nil"/>
              <w:bottom w:val="nil"/>
            </w:tcBorders>
          </w:tcPr>
          <w:p w:rsidR="00B6569C" w:rsidRDefault="00E82474">
            <w:pPr>
              <w:pStyle w:val="Tabletext"/>
              <w:jc w:val="center"/>
            </w:pPr>
            <w:r>
              <w:t>8.9%</w:t>
            </w:r>
          </w:p>
        </w:tc>
        <w:tc>
          <w:tcPr>
            <w:tcW w:w="975" w:type="pct"/>
            <w:tcBorders>
              <w:top w:val="nil"/>
              <w:bottom w:val="nil"/>
            </w:tcBorders>
            <w:vAlign w:val="center"/>
          </w:tcPr>
          <w:p w:rsidR="00B6569C" w:rsidRDefault="00E82474">
            <w:pPr>
              <w:pStyle w:val="Tabletext"/>
              <w:jc w:val="center"/>
            </w:pPr>
            <w:r>
              <w:t>–</w:t>
            </w:r>
          </w:p>
        </w:tc>
      </w:tr>
      <w:tr w:rsidR="00B6569C">
        <w:tc>
          <w:tcPr>
            <w:tcW w:w="1420" w:type="pct"/>
            <w:tcBorders>
              <w:top w:val="nil"/>
              <w:bottom w:val="nil"/>
            </w:tcBorders>
            <w:vAlign w:val="center"/>
          </w:tcPr>
          <w:p w:rsidR="00B6569C" w:rsidRDefault="00E82474">
            <w:pPr>
              <w:pStyle w:val="Tabletext"/>
              <w:ind w:left="284"/>
            </w:pPr>
            <w:r>
              <w:t>12 months</w:t>
            </w:r>
          </w:p>
        </w:tc>
        <w:tc>
          <w:tcPr>
            <w:tcW w:w="906" w:type="pct"/>
            <w:tcBorders>
              <w:top w:val="nil"/>
              <w:bottom w:val="nil"/>
            </w:tcBorders>
            <w:vAlign w:val="center"/>
          </w:tcPr>
          <w:p w:rsidR="00B6569C" w:rsidRDefault="00E82474">
            <w:pPr>
              <w:pStyle w:val="Tabletext"/>
              <w:jc w:val="center"/>
            </w:pPr>
            <w:r>
              <w:t>75.4% (71.3, 78.9)</w:t>
            </w:r>
          </w:p>
        </w:tc>
        <w:tc>
          <w:tcPr>
            <w:tcW w:w="904" w:type="pct"/>
            <w:tcBorders>
              <w:top w:val="nil"/>
              <w:bottom w:val="nil"/>
            </w:tcBorders>
            <w:vAlign w:val="center"/>
          </w:tcPr>
          <w:p w:rsidR="00B6569C" w:rsidRDefault="00E82474">
            <w:pPr>
              <w:pStyle w:val="Tabletext"/>
              <w:ind w:left="-57" w:right="-57"/>
              <w:jc w:val="center"/>
            </w:pPr>
            <w:r>
              <w:t>61.0% (56.5, 65.1)</w:t>
            </w:r>
          </w:p>
        </w:tc>
        <w:tc>
          <w:tcPr>
            <w:tcW w:w="795" w:type="pct"/>
            <w:tcBorders>
              <w:top w:val="nil"/>
              <w:bottom w:val="nil"/>
            </w:tcBorders>
            <w:vAlign w:val="center"/>
          </w:tcPr>
          <w:p w:rsidR="00B6569C" w:rsidRDefault="00E82474">
            <w:pPr>
              <w:pStyle w:val="Tabletext"/>
              <w:jc w:val="center"/>
            </w:pPr>
            <w:r>
              <w:t>14.4%</w:t>
            </w:r>
          </w:p>
        </w:tc>
        <w:tc>
          <w:tcPr>
            <w:tcW w:w="975" w:type="pct"/>
            <w:tcBorders>
              <w:top w:val="nil"/>
              <w:bottom w:val="nil"/>
            </w:tcBorders>
            <w:vAlign w:val="center"/>
          </w:tcPr>
          <w:p w:rsidR="00B6569C" w:rsidRDefault="00E82474">
            <w:pPr>
              <w:pStyle w:val="Tabletext"/>
              <w:jc w:val="center"/>
            </w:pPr>
            <w:r>
              <w:t>–</w:t>
            </w:r>
          </w:p>
        </w:tc>
      </w:tr>
      <w:tr w:rsidR="00B6569C">
        <w:tc>
          <w:tcPr>
            <w:tcW w:w="1420" w:type="pct"/>
            <w:tcBorders>
              <w:top w:val="nil"/>
            </w:tcBorders>
            <w:vAlign w:val="center"/>
          </w:tcPr>
          <w:p w:rsidR="00B6569C" w:rsidRDefault="00E82474">
            <w:pPr>
              <w:pStyle w:val="Tabletext"/>
              <w:ind w:left="284"/>
            </w:pPr>
            <w:r>
              <w:t>18 months</w:t>
            </w:r>
          </w:p>
        </w:tc>
        <w:tc>
          <w:tcPr>
            <w:tcW w:w="906" w:type="pct"/>
            <w:tcBorders>
              <w:top w:val="nil"/>
            </w:tcBorders>
            <w:vAlign w:val="center"/>
          </w:tcPr>
          <w:p w:rsidR="00B6569C" w:rsidRDefault="00E82474">
            <w:pPr>
              <w:pStyle w:val="Tabletext"/>
              <w:jc w:val="center"/>
            </w:pPr>
            <w:r>
              <w:t>71.4% (66.8, 75.4)</w:t>
            </w:r>
          </w:p>
        </w:tc>
        <w:tc>
          <w:tcPr>
            <w:tcW w:w="904" w:type="pct"/>
            <w:tcBorders>
              <w:top w:val="nil"/>
            </w:tcBorders>
            <w:vAlign w:val="center"/>
          </w:tcPr>
          <w:p w:rsidR="00B6569C" w:rsidRDefault="00E82474">
            <w:pPr>
              <w:pStyle w:val="Tabletext"/>
              <w:ind w:left="-57" w:right="-57"/>
              <w:jc w:val="center"/>
            </w:pPr>
            <w:r>
              <w:t>53.2% (47.9, 58.2)</w:t>
            </w:r>
          </w:p>
        </w:tc>
        <w:tc>
          <w:tcPr>
            <w:tcW w:w="795" w:type="pct"/>
            <w:tcBorders>
              <w:top w:val="nil"/>
            </w:tcBorders>
            <w:vAlign w:val="center"/>
          </w:tcPr>
          <w:p w:rsidR="00B6569C" w:rsidRDefault="00E82474">
            <w:pPr>
              <w:pStyle w:val="Tabletext"/>
              <w:jc w:val="center"/>
            </w:pPr>
            <w:r>
              <w:t>18.2%</w:t>
            </w:r>
          </w:p>
        </w:tc>
        <w:tc>
          <w:tcPr>
            <w:tcW w:w="975" w:type="pct"/>
            <w:tcBorders>
              <w:top w:val="nil"/>
            </w:tcBorders>
            <w:vAlign w:val="center"/>
          </w:tcPr>
          <w:p w:rsidR="00B6569C" w:rsidRDefault="00E82474">
            <w:pPr>
              <w:pStyle w:val="Tabletext"/>
              <w:jc w:val="center"/>
            </w:pPr>
            <w:r>
              <w:t>–</w:t>
            </w:r>
          </w:p>
        </w:tc>
      </w:tr>
      <w:tr w:rsidR="00B6569C">
        <w:tc>
          <w:tcPr>
            <w:tcW w:w="5000" w:type="pct"/>
            <w:gridSpan w:val="5"/>
            <w:vAlign w:val="center"/>
          </w:tcPr>
          <w:p w:rsidR="00B6569C" w:rsidRDefault="00E82474">
            <w:pPr>
              <w:pStyle w:val="Tabletext"/>
              <w:rPr>
                <w:b/>
              </w:rPr>
            </w:pPr>
            <w:r>
              <w:rPr>
                <w:b/>
              </w:rPr>
              <w:t>AJCC 7th edition (data cut-off 2 Oct 2017)</w:t>
            </w:r>
          </w:p>
        </w:tc>
      </w:tr>
      <w:tr w:rsidR="00B6569C">
        <w:tc>
          <w:tcPr>
            <w:tcW w:w="1420" w:type="pct"/>
            <w:tcBorders>
              <w:bottom w:val="single" w:sz="4" w:space="0" w:color="auto"/>
            </w:tcBorders>
            <w:vAlign w:val="center"/>
          </w:tcPr>
          <w:p w:rsidR="00B6569C" w:rsidRDefault="00E82474">
            <w:pPr>
              <w:pStyle w:val="Tabletext"/>
            </w:pPr>
            <w:r>
              <w:t>Median RFS (95% CI) months</w:t>
            </w:r>
          </w:p>
        </w:tc>
        <w:tc>
          <w:tcPr>
            <w:tcW w:w="906" w:type="pct"/>
            <w:tcBorders>
              <w:bottom w:val="single" w:sz="4" w:space="0" w:color="auto"/>
            </w:tcBorders>
            <w:vAlign w:val="center"/>
          </w:tcPr>
          <w:p w:rsidR="00B6569C" w:rsidRDefault="00E82474">
            <w:pPr>
              <w:pStyle w:val="Tabletext"/>
              <w:jc w:val="center"/>
            </w:pPr>
            <w:r>
              <w:t>Not reached (-, -)</w:t>
            </w:r>
          </w:p>
        </w:tc>
        <w:tc>
          <w:tcPr>
            <w:tcW w:w="904" w:type="pct"/>
            <w:tcBorders>
              <w:bottom w:val="single" w:sz="4" w:space="0" w:color="auto"/>
            </w:tcBorders>
            <w:vAlign w:val="center"/>
          </w:tcPr>
          <w:p w:rsidR="00B6569C" w:rsidRDefault="00E82474">
            <w:pPr>
              <w:pStyle w:val="Tabletext"/>
              <w:jc w:val="center"/>
            </w:pPr>
            <w:r>
              <w:t>20.4 (16.2, -)</w:t>
            </w:r>
          </w:p>
        </w:tc>
        <w:tc>
          <w:tcPr>
            <w:tcW w:w="795" w:type="pct"/>
            <w:tcBorders>
              <w:bottom w:val="single" w:sz="4" w:space="0" w:color="auto"/>
            </w:tcBorders>
            <w:vAlign w:val="center"/>
          </w:tcPr>
          <w:p w:rsidR="00B6569C" w:rsidRDefault="00E82474">
            <w:pPr>
              <w:pStyle w:val="Tabletext"/>
              <w:jc w:val="center"/>
            </w:pPr>
            <w:r>
              <w:t>–</w:t>
            </w:r>
          </w:p>
        </w:tc>
        <w:tc>
          <w:tcPr>
            <w:tcW w:w="975" w:type="pct"/>
            <w:tcBorders>
              <w:bottom w:val="single" w:sz="4" w:space="0" w:color="auto"/>
            </w:tcBorders>
            <w:vAlign w:val="center"/>
          </w:tcPr>
          <w:p w:rsidR="00B6569C" w:rsidRDefault="00E82474">
            <w:pPr>
              <w:pStyle w:val="Tabletext"/>
              <w:jc w:val="center"/>
            </w:pPr>
            <w:r>
              <w:t>0.57 (0.43, 0.74)</w:t>
            </w:r>
          </w:p>
        </w:tc>
      </w:tr>
      <w:tr w:rsidR="00B6569C">
        <w:tc>
          <w:tcPr>
            <w:tcW w:w="5000" w:type="pct"/>
            <w:gridSpan w:val="5"/>
            <w:shd w:val="clear" w:color="auto" w:fill="auto"/>
            <w:vAlign w:val="center"/>
          </w:tcPr>
          <w:p w:rsidR="00B6569C" w:rsidRDefault="00E82474">
            <w:pPr>
              <w:pStyle w:val="Tabletext"/>
              <w:rPr>
                <w:b/>
              </w:rPr>
            </w:pPr>
            <w:r>
              <w:rPr>
                <w:b/>
              </w:rPr>
              <w:t>AJCC 8th edition (data cut-off 2 Oct 2017)</w:t>
            </w:r>
          </w:p>
        </w:tc>
      </w:tr>
      <w:tr w:rsidR="00B6569C">
        <w:tc>
          <w:tcPr>
            <w:tcW w:w="1420" w:type="pct"/>
            <w:shd w:val="clear" w:color="auto" w:fill="auto"/>
            <w:vAlign w:val="center"/>
          </w:tcPr>
          <w:p w:rsidR="00B6569C" w:rsidRDefault="00E82474">
            <w:pPr>
              <w:pStyle w:val="Tabletext"/>
            </w:pPr>
            <w:r>
              <w:t>Median RFS (95% CI) months</w:t>
            </w:r>
          </w:p>
        </w:tc>
        <w:tc>
          <w:tcPr>
            <w:tcW w:w="906" w:type="pct"/>
            <w:shd w:val="clear" w:color="auto" w:fill="auto"/>
            <w:vAlign w:val="center"/>
          </w:tcPr>
          <w:p w:rsidR="00B6569C" w:rsidRDefault="00E82474">
            <w:pPr>
              <w:pStyle w:val="Tabletext"/>
              <w:jc w:val="center"/>
            </w:pPr>
            <w:r>
              <w:t>Not reached (-, -)</w:t>
            </w:r>
          </w:p>
        </w:tc>
        <w:tc>
          <w:tcPr>
            <w:tcW w:w="904" w:type="pct"/>
            <w:shd w:val="clear" w:color="auto" w:fill="auto"/>
            <w:vAlign w:val="center"/>
          </w:tcPr>
          <w:p w:rsidR="00B6569C" w:rsidRDefault="00E82474">
            <w:pPr>
              <w:pStyle w:val="Tabletext"/>
              <w:jc w:val="center"/>
            </w:pPr>
            <w:r>
              <w:t>20.4 (16.2, -)</w:t>
            </w:r>
          </w:p>
        </w:tc>
        <w:tc>
          <w:tcPr>
            <w:tcW w:w="795" w:type="pct"/>
            <w:shd w:val="clear" w:color="auto" w:fill="auto"/>
            <w:vAlign w:val="center"/>
          </w:tcPr>
          <w:p w:rsidR="00B6569C" w:rsidRDefault="00E82474">
            <w:pPr>
              <w:pStyle w:val="Tabletext"/>
              <w:jc w:val="center"/>
            </w:pPr>
            <w:r>
              <w:t>–</w:t>
            </w:r>
          </w:p>
        </w:tc>
        <w:tc>
          <w:tcPr>
            <w:tcW w:w="975" w:type="pct"/>
            <w:shd w:val="clear" w:color="auto" w:fill="auto"/>
            <w:vAlign w:val="center"/>
          </w:tcPr>
          <w:p w:rsidR="00B6569C" w:rsidRDefault="00E82474">
            <w:pPr>
              <w:pStyle w:val="Tabletext"/>
              <w:jc w:val="center"/>
            </w:pPr>
            <w:r>
              <w:t>0.55 (0.42, 0.71)</w:t>
            </w:r>
          </w:p>
        </w:tc>
      </w:tr>
    </w:tbl>
    <w:p w:rsidR="00B6569C" w:rsidRDefault="00E82474">
      <w:pPr>
        <w:widowControl/>
        <w:rPr>
          <w:rFonts w:ascii="Arial Narrow" w:hAnsi="Arial Narrow"/>
          <w:sz w:val="18"/>
          <w:szCs w:val="18"/>
        </w:rPr>
      </w:pPr>
      <w:r>
        <w:rPr>
          <w:rFonts w:ascii="Arial Narrow" w:hAnsi="Arial Narrow"/>
          <w:sz w:val="18"/>
          <w:szCs w:val="18"/>
        </w:rPr>
        <w:t>CI = confidence interval; HR = hazard ratio; ITT = intention-to-treat; RFS = recurrence free survival</w:t>
      </w:r>
    </w:p>
    <w:p w:rsidR="00B6569C" w:rsidRDefault="00E82474">
      <w:pPr>
        <w:widowControl/>
        <w:rPr>
          <w:rFonts w:ascii="Arial Narrow" w:hAnsi="Arial Narrow"/>
          <w:sz w:val="18"/>
          <w:szCs w:val="18"/>
        </w:rPr>
      </w:pPr>
      <w:r>
        <w:rPr>
          <w:rFonts w:ascii="Arial Narrow" w:hAnsi="Arial Narrow"/>
          <w:sz w:val="18"/>
          <w:szCs w:val="18"/>
          <w:vertAlign w:val="superscript"/>
        </w:rPr>
        <w:t>a</w:t>
      </w:r>
      <w:r>
        <w:rPr>
          <w:rFonts w:ascii="Arial Narrow" w:hAnsi="Arial Narrow"/>
          <w:sz w:val="18"/>
          <w:szCs w:val="18"/>
        </w:rPr>
        <w:t xml:space="preserve"> Pembrolizumab vs placebo. Treatment as covariate stratified by disease stage. Hazard ratio &lt;1 favours pembrolizumab</w:t>
      </w:r>
    </w:p>
    <w:p w:rsidR="00B6569C" w:rsidRDefault="00E82474">
      <w:pPr>
        <w:widowControl/>
        <w:rPr>
          <w:rFonts w:ascii="Arial Narrow" w:hAnsi="Arial Narrow"/>
          <w:sz w:val="18"/>
          <w:szCs w:val="18"/>
        </w:rPr>
      </w:pPr>
      <w:r>
        <w:rPr>
          <w:rFonts w:ascii="Arial Narrow" w:hAnsi="Arial Narrow"/>
          <w:sz w:val="18"/>
          <w:szCs w:val="18"/>
          <w:vertAlign w:val="superscript"/>
        </w:rPr>
        <w:t>b</w:t>
      </w:r>
      <w:r>
        <w:rPr>
          <w:rFonts w:ascii="Arial Narrow" w:hAnsi="Arial Narrow"/>
          <w:sz w:val="18"/>
          <w:szCs w:val="18"/>
        </w:rPr>
        <w:t xml:space="preserve"> From the product-limit (Kaplan-Meier) method for censored data</w:t>
      </w:r>
    </w:p>
    <w:p w:rsidR="00B6569C" w:rsidRDefault="00E82474">
      <w:pPr>
        <w:widowControl/>
        <w:rPr>
          <w:rFonts w:ascii="Arial Narrow" w:hAnsi="Arial Narrow"/>
          <w:sz w:val="18"/>
          <w:szCs w:val="18"/>
        </w:rPr>
      </w:pPr>
      <w:r>
        <w:rPr>
          <w:rFonts w:ascii="Arial Narrow" w:hAnsi="Arial Narrow"/>
          <w:sz w:val="18"/>
          <w:szCs w:val="18"/>
        </w:rPr>
        <w:t xml:space="preserve">Note: New analyses shaded </w:t>
      </w:r>
    </w:p>
    <w:p w:rsidR="00B6569C" w:rsidRDefault="00E82474">
      <w:pPr>
        <w:widowControl/>
        <w:rPr>
          <w:rFonts w:ascii="Arial Narrow" w:hAnsi="Arial Narrow"/>
          <w:sz w:val="18"/>
          <w:szCs w:val="18"/>
        </w:rPr>
      </w:pPr>
      <w:r>
        <w:rPr>
          <w:rFonts w:ascii="Arial Narrow" w:hAnsi="Arial Narrow"/>
          <w:sz w:val="18"/>
          <w:szCs w:val="18"/>
        </w:rPr>
        <w:t>Source: Table 2-20, p.78 of the resubmission</w:t>
      </w:r>
    </w:p>
    <w:p w:rsidR="00B6569C" w:rsidRDefault="00B6569C">
      <w:pPr>
        <w:widowControl/>
      </w:pPr>
    </w:p>
    <w:p w:rsidR="001F7C95" w:rsidRDefault="001F7C95" w:rsidP="001F7C95">
      <w:pPr>
        <w:pStyle w:val="TableHeading0"/>
      </w:pPr>
      <w:r>
        <w:t xml:space="preserve">Figure </w:t>
      </w:r>
      <w:fldSimple w:instr=" SEQ Figure \* ARABIC ">
        <w:r w:rsidR="00632FE3">
          <w:rPr>
            <w:noProof/>
          </w:rPr>
          <w:t>2</w:t>
        </w:r>
      </w:fldSimple>
      <w:r w:rsidRPr="00E654FE">
        <w:t>: Trial KN054 Kaplan-Meier plot of recurrence free survival (ITT, AJCC 7th edition)</w:t>
      </w:r>
    </w:p>
    <w:p w:rsidR="001F7C95" w:rsidRDefault="00E82474" w:rsidP="001F7C95">
      <w:pPr>
        <w:keepNext/>
        <w:widowControl/>
      </w:pPr>
      <w:r>
        <w:rPr>
          <w:noProof/>
          <w:lang w:eastAsia="en-AU"/>
        </w:rPr>
        <w:drawing>
          <wp:inline distT="0" distB="0" distL="0" distR="0" wp14:anchorId="5DB43FD7" wp14:editId="6701F817">
            <wp:extent cx="4627418" cy="3072752"/>
            <wp:effectExtent l="0" t="0" r="1905" b="0"/>
            <wp:docPr id="7" name="Picture 7" title="Figure 2: Trial KN054 Kaplan-Meier plot of recurrence free survival (ITT, AJCC 7th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1959" cy="3082408"/>
                    </a:xfrm>
                    <a:prstGeom prst="rect">
                      <a:avLst/>
                    </a:prstGeom>
                    <a:noFill/>
                  </pic:spPr>
                </pic:pic>
              </a:graphicData>
            </a:graphic>
          </wp:inline>
        </w:drawing>
      </w:r>
    </w:p>
    <w:p w:rsidR="00B6569C" w:rsidRDefault="00B6569C">
      <w:pPr>
        <w:keepNext/>
        <w:widowControl/>
      </w:pPr>
    </w:p>
    <w:p w:rsidR="00B6569C" w:rsidRDefault="00E82474">
      <w:pPr>
        <w:keepNext/>
        <w:widowControl/>
        <w:rPr>
          <w:rFonts w:ascii="Arial Narrow" w:hAnsi="Arial Narrow"/>
          <w:sz w:val="18"/>
          <w:szCs w:val="18"/>
        </w:rPr>
      </w:pPr>
      <w:r>
        <w:rPr>
          <w:rFonts w:ascii="Arial Narrow" w:hAnsi="Arial Narrow"/>
          <w:sz w:val="18"/>
          <w:szCs w:val="18"/>
        </w:rPr>
        <w:t>ITT = intention-to-treat</w:t>
      </w:r>
    </w:p>
    <w:p w:rsidR="00B6569C" w:rsidRDefault="00E82474">
      <w:pPr>
        <w:widowControl/>
        <w:rPr>
          <w:rFonts w:ascii="Arial Narrow" w:hAnsi="Arial Narrow"/>
          <w:sz w:val="18"/>
          <w:szCs w:val="18"/>
        </w:rPr>
      </w:pPr>
      <w:r>
        <w:rPr>
          <w:rFonts w:ascii="Arial Narrow" w:hAnsi="Arial Narrow"/>
          <w:sz w:val="18"/>
          <w:szCs w:val="18"/>
        </w:rPr>
        <w:t>Source: Figure 2.5-1, p.79 of the resubmission</w:t>
      </w:r>
    </w:p>
    <w:p w:rsidR="00B6569C" w:rsidRDefault="00B6569C">
      <w:pPr>
        <w:widowControl/>
      </w:pPr>
    </w:p>
    <w:p w:rsidR="00B6569C" w:rsidRDefault="00E82474">
      <w:pPr>
        <w:pStyle w:val="ListParagraph"/>
        <w:widowControl/>
        <w:numPr>
          <w:ilvl w:val="1"/>
          <w:numId w:val="3"/>
        </w:numPr>
      </w:pPr>
      <w:r>
        <w:t>Patients in the pembrolizumab arm had statistically significantly longer recurrence-free survival compared to the placebo-treated patients (median not reached versus 20.4 months; HR = 0.57; 95% CI: 0.43, 0.74). The hazard ratio was slightly more favourable when the AJCC 8</w:t>
      </w:r>
      <w:r>
        <w:rPr>
          <w:vertAlign w:val="superscript"/>
        </w:rPr>
        <w:t>th</w:t>
      </w:r>
      <w:r>
        <w:t xml:space="preserve"> edition staging system was used (HR = 0.55; 98.4% CI: 0.42, 0.71), due to differences in the distribution of patients across AJCC disease stages impacting the use of treatment stratified by staging as a covariate in the Cox regression model. </w:t>
      </w:r>
    </w:p>
    <w:p w:rsidR="00B6569C" w:rsidRDefault="00E82474">
      <w:pPr>
        <w:pStyle w:val="ListParagraph"/>
        <w:widowControl/>
        <w:numPr>
          <w:ilvl w:val="1"/>
          <w:numId w:val="3"/>
        </w:numPr>
      </w:pPr>
      <w:r>
        <w:t xml:space="preserve">Recurrence free survival in Trial KN054 remained immature, and the absolute magnitude of the treatment effect remains uncertain. PBAC concerns about the </w:t>
      </w:r>
      <w:r>
        <w:lastRenderedPageBreak/>
        <w:t>relative treatment effect and validity of the proportional hazards assumption identified at the November 2018 meeting were not addressed in the resubmission (paragraph 6.17, Pembrolizumab minutes, November 2018). The PSCR and pre-PBAC response noted that in checkpoint inhibitor studies there may be an initial delay in treatment effect, and while proportional hazards may not be present, the Cox proportional hazards model was insensitive to deviations from proportional hazards in selected studies (CA017, CA025, CA057, CA066, CA141, KN045 and KN024). The PSCR and pre-PBAC response also stated that as the economic model base case does not include the proportional hazards assumption this does not affect the cost-effectiveness assumptions.</w:t>
      </w:r>
    </w:p>
    <w:p w:rsidR="00B6569C" w:rsidRDefault="00E82474">
      <w:pPr>
        <w:pStyle w:val="ListParagraph"/>
        <w:widowControl/>
        <w:numPr>
          <w:ilvl w:val="1"/>
          <w:numId w:val="3"/>
        </w:numPr>
      </w:pPr>
      <w:r>
        <w:t>Subgroup analyses by AJCC staging system are summarised in Table 7 below. The resubmission acknowledged that multiplicity adjustments were not made for subgroups by AJCC staging system.</w:t>
      </w:r>
    </w:p>
    <w:p w:rsidR="00B6569C" w:rsidRDefault="00B6569C">
      <w:pPr>
        <w:keepNext/>
        <w:keepLines/>
        <w:widowControl/>
        <w:rPr>
          <w:rFonts w:ascii="Arial Narrow" w:hAnsi="Arial Narrow"/>
          <w:b/>
          <w:sz w:val="20"/>
          <w:szCs w:val="20"/>
        </w:rPr>
      </w:pPr>
    </w:p>
    <w:p w:rsidR="001F7C95" w:rsidRDefault="001F7C95" w:rsidP="001F7C95">
      <w:pPr>
        <w:pStyle w:val="TableHeading0"/>
      </w:pPr>
      <w:r>
        <w:t xml:space="preserve">Table </w:t>
      </w:r>
      <w:fldSimple w:instr=" SEQ Table \* ARABIC ">
        <w:r w:rsidR="00632FE3">
          <w:rPr>
            <w:noProof/>
          </w:rPr>
          <w:t>7</w:t>
        </w:r>
      </w:fldSimple>
      <w:r w:rsidRPr="00F82AF7">
        <w:t>: Trial KN054 recurrence free survival (RFS) subgroups by AJCC 7th and 8th edition staging system (ITT)</w:t>
      </w:r>
    </w:p>
    <w:tbl>
      <w:tblPr>
        <w:tblStyle w:val="TableGrid"/>
        <w:tblW w:w="5096" w:type="pct"/>
        <w:tblInd w:w="-5" w:type="dxa"/>
        <w:tblLayout w:type="fixed"/>
        <w:tblCellMar>
          <w:left w:w="57" w:type="dxa"/>
          <w:right w:w="57" w:type="dxa"/>
        </w:tblCellMar>
        <w:tblLook w:val="04A0" w:firstRow="1" w:lastRow="0" w:firstColumn="1" w:lastColumn="0" w:noHBand="0" w:noVBand="1"/>
        <w:tblCaption w:val="Table 7: Trial KN054 recurrence free survival (RFS) subgroups by AJCC 7th and 8th edition staging system (ITT)"/>
      </w:tblPr>
      <w:tblGrid>
        <w:gridCol w:w="1420"/>
        <w:gridCol w:w="1274"/>
        <w:gridCol w:w="425"/>
        <w:gridCol w:w="1138"/>
        <w:gridCol w:w="1696"/>
        <w:gridCol w:w="1700"/>
        <w:gridCol w:w="1537"/>
      </w:tblGrid>
      <w:tr w:rsidR="00B6569C" w:rsidTr="001F7C95">
        <w:trPr>
          <w:tblHeader/>
        </w:trPr>
        <w:tc>
          <w:tcPr>
            <w:tcW w:w="773" w:type="pct"/>
            <w:vAlign w:val="center"/>
          </w:tcPr>
          <w:p w:rsidR="00B6569C" w:rsidRDefault="00E82474">
            <w:pPr>
              <w:pStyle w:val="Tabletext"/>
              <w:keepNext/>
              <w:keepLines/>
              <w:rPr>
                <w:b/>
                <w:szCs w:val="20"/>
                <w:lang w:eastAsia="en-AU"/>
              </w:rPr>
            </w:pPr>
            <w:r>
              <w:rPr>
                <w:b/>
                <w:szCs w:val="20"/>
              </w:rPr>
              <w:t>Stage</w:t>
            </w:r>
          </w:p>
        </w:tc>
        <w:tc>
          <w:tcPr>
            <w:tcW w:w="693" w:type="pct"/>
            <w:vAlign w:val="center"/>
          </w:tcPr>
          <w:p w:rsidR="00B6569C" w:rsidRDefault="00E82474">
            <w:pPr>
              <w:pStyle w:val="Tabletext"/>
              <w:keepNext/>
              <w:keepLines/>
              <w:jc w:val="center"/>
              <w:rPr>
                <w:b/>
                <w:szCs w:val="20"/>
              </w:rPr>
            </w:pPr>
            <w:r>
              <w:rPr>
                <w:b/>
                <w:szCs w:val="20"/>
              </w:rPr>
              <w:t>Treatment</w:t>
            </w:r>
          </w:p>
        </w:tc>
        <w:tc>
          <w:tcPr>
            <w:tcW w:w="231" w:type="pct"/>
            <w:vAlign w:val="center"/>
          </w:tcPr>
          <w:p w:rsidR="00B6569C" w:rsidRDefault="00E82474">
            <w:pPr>
              <w:pStyle w:val="Tabletext"/>
              <w:keepNext/>
              <w:keepLines/>
              <w:jc w:val="center"/>
              <w:rPr>
                <w:b/>
                <w:szCs w:val="20"/>
                <w:lang w:eastAsia="en-AU"/>
              </w:rPr>
            </w:pPr>
            <w:r>
              <w:rPr>
                <w:b/>
                <w:szCs w:val="20"/>
              </w:rPr>
              <w:t>N</w:t>
            </w:r>
          </w:p>
        </w:tc>
        <w:tc>
          <w:tcPr>
            <w:tcW w:w="619" w:type="pct"/>
            <w:vAlign w:val="center"/>
          </w:tcPr>
          <w:p w:rsidR="00B6569C" w:rsidRDefault="00E82474">
            <w:pPr>
              <w:pStyle w:val="Tabletext"/>
              <w:keepNext/>
              <w:keepLines/>
              <w:jc w:val="center"/>
              <w:rPr>
                <w:b/>
                <w:szCs w:val="20"/>
                <w:lang w:eastAsia="en-AU"/>
              </w:rPr>
            </w:pPr>
            <w:r>
              <w:rPr>
                <w:b/>
                <w:szCs w:val="20"/>
              </w:rPr>
              <w:t>Events,</w:t>
            </w:r>
            <w:r>
              <w:rPr>
                <w:b/>
                <w:szCs w:val="20"/>
              </w:rPr>
              <w:br/>
              <w:t>n (%)</w:t>
            </w:r>
          </w:p>
        </w:tc>
        <w:tc>
          <w:tcPr>
            <w:tcW w:w="923" w:type="pct"/>
            <w:vAlign w:val="center"/>
          </w:tcPr>
          <w:p w:rsidR="00B6569C" w:rsidRDefault="00E82474">
            <w:pPr>
              <w:pStyle w:val="TableText0"/>
              <w:keepNext/>
              <w:keepLines/>
              <w:spacing w:before="0" w:after="0"/>
              <w:jc w:val="center"/>
              <w:rPr>
                <w:b/>
                <w:szCs w:val="20"/>
              </w:rPr>
            </w:pPr>
            <w:r>
              <w:rPr>
                <w:b/>
                <w:szCs w:val="20"/>
              </w:rPr>
              <w:t>Median</w:t>
            </w:r>
            <w:r>
              <w:rPr>
                <w:b/>
              </w:rPr>
              <w:t xml:space="preserve"> </w:t>
            </w:r>
            <w:r>
              <w:rPr>
                <w:b/>
                <w:szCs w:val="20"/>
              </w:rPr>
              <w:t xml:space="preserve"> RFS</w:t>
            </w:r>
            <w:r>
              <w:rPr>
                <w:b/>
              </w:rPr>
              <w:t>,</w:t>
            </w:r>
            <w:r>
              <w:rPr>
                <w:b/>
                <w:szCs w:val="20"/>
              </w:rPr>
              <w:t xml:space="preserve"> </w:t>
            </w:r>
          </w:p>
          <w:p w:rsidR="00B6569C" w:rsidRDefault="00E82474">
            <w:pPr>
              <w:pStyle w:val="TableText0"/>
              <w:keepNext/>
              <w:keepLines/>
              <w:spacing w:before="0" w:after="0"/>
              <w:jc w:val="center"/>
              <w:rPr>
                <w:b/>
                <w:szCs w:val="20"/>
              </w:rPr>
            </w:pPr>
            <w:r>
              <w:rPr>
                <w:b/>
                <w:szCs w:val="20"/>
              </w:rPr>
              <w:t>months (95% CI)</w:t>
            </w:r>
          </w:p>
        </w:tc>
        <w:tc>
          <w:tcPr>
            <w:tcW w:w="925" w:type="pct"/>
            <w:vAlign w:val="center"/>
          </w:tcPr>
          <w:p w:rsidR="00B6569C" w:rsidRDefault="00E82474">
            <w:pPr>
              <w:pStyle w:val="TableText0"/>
              <w:keepNext/>
              <w:keepLines/>
              <w:spacing w:before="0" w:after="0"/>
              <w:jc w:val="center"/>
              <w:rPr>
                <w:b/>
                <w:szCs w:val="20"/>
              </w:rPr>
            </w:pPr>
            <w:r>
              <w:rPr>
                <w:b/>
                <w:szCs w:val="20"/>
              </w:rPr>
              <w:t>RFS rate  (month 6)</w:t>
            </w:r>
          </w:p>
          <w:p w:rsidR="00B6569C" w:rsidRDefault="00E82474">
            <w:pPr>
              <w:pStyle w:val="TableText0"/>
              <w:keepNext/>
              <w:keepLines/>
              <w:spacing w:before="0" w:after="0"/>
              <w:jc w:val="center"/>
              <w:rPr>
                <w:b/>
                <w:szCs w:val="20"/>
                <w:vertAlign w:val="superscript"/>
              </w:rPr>
            </w:pPr>
            <w:r>
              <w:rPr>
                <w:b/>
              </w:rPr>
              <w:t xml:space="preserve">% </w:t>
            </w:r>
            <w:r>
              <w:rPr>
                <w:b/>
                <w:szCs w:val="20"/>
              </w:rPr>
              <w:t>(95% CI)</w:t>
            </w:r>
            <w:r>
              <w:rPr>
                <w:b/>
                <w:szCs w:val="20"/>
                <w:vertAlign w:val="superscript"/>
              </w:rPr>
              <w:t>a</w:t>
            </w:r>
          </w:p>
        </w:tc>
        <w:tc>
          <w:tcPr>
            <w:tcW w:w="836" w:type="pct"/>
            <w:vAlign w:val="center"/>
          </w:tcPr>
          <w:p w:rsidR="00B6569C" w:rsidRDefault="00E82474">
            <w:pPr>
              <w:pStyle w:val="Tabletext"/>
              <w:keepNext/>
              <w:keepLines/>
              <w:jc w:val="center"/>
              <w:rPr>
                <w:b/>
                <w:szCs w:val="20"/>
              </w:rPr>
            </w:pPr>
            <w:r>
              <w:rPr>
                <w:b/>
                <w:szCs w:val="20"/>
              </w:rPr>
              <w:t>Hazard ratio</w:t>
            </w:r>
          </w:p>
          <w:p w:rsidR="00B6569C" w:rsidRDefault="00E82474">
            <w:pPr>
              <w:pStyle w:val="Tabletext"/>
              <w:keepNext/>
              <w:keepLines/>
              <w:jc w:val="center"/>
              <w:rPr>
                <w:b/>
                <w:szCs w:val="20"/>
              </w:rPr>
            </w:pPr>
            <w:r>
              <w:rPr>
                <w:b/>
                <w:szCs w:val="20"/>
              </w:rPr>
              <w:t xml:space="preserve"> (95% CI)</w:t>
            </w:r>
            <w:r>
              <w:rPr>
                <w:b/>
                <w:szCs w:val="20"/>
                <w:vertAlign w:val="superscript"/>
              </w:rPr>
              <w:t>b</w:t>
            </w:r>
          </w:p>
        </w:tc>
      </w:tr>
      <w:tr w:rsidR="00B6569C">
        <w:tc>
          <w:tcPr>
            <w:tcW w:w="5000" w:type="pct"/>
            <w:gridSpan w:val="7"/>
            <w:tcBorders>
              <w:bottom w:val="single" w:sz="4" w:space="0" w:color="auto"/>
            </w:tcBorders>
            <w:vAlign w:val="center"/>
          </w:tcPr>
          <w:p w:rsidR="00B6569C" w:rsidRDefault="00E82474">
            <w:pPr>
              <w:pStyle w:val="Tabletext"/>
              <w:rPr>
                <w:b/>
                <w:szCs w:val="20"/>
                <w:lang w:eastAsia="en-AU"/>
              </w:rPr>
            </w:pPr>
            <w:r>
              <w:rPr>
                <w:b/>
              </w:rPr>
              <w:t>AJCC 7th edition</w:t>
            </w:r>
          </w:p>
        </w:tc>
      </w:tr>
      <w:tr w:rsidR="00B6569C" w:rsidTr="001F7C95">
        <w:tc>
          <w:tcPr>
            <w:tcW w:w="773" w:type="pct"/>
            <w:vMerge w:val="restart"/>
            <w:tcBorders>
              <w:bottom w:val="nil"/>
            </w:tcBorders>
            <w:vAlign w:val="center"/>
          </w:tcPr>
          <w:p w:rsidR="00B6569C" w:rsidRDefault="00E82474">
            <w:pPr>
              <w:pStyle w:val="Tabletext"/>
              <w:rPr>
                <w:szCs w:val="20"/>
                <w:lang w:eastAsia="en-AU"/>
              </w:rPr>
            </w:pPr>
            <w:r>
              <w:t>Stage IIIA &gt;1 mm</w:t>
            </w:r>
          </w:p>
        </w:tc>
        <w:tc>
          <w:tcPr>
            <w:tcW w:w="693" w:type="pct"/>
            <w:tcBorders>
              <w:top w:val="nil"/>
              <w:bottom w:val="nil"/>
            </w:tcBorders>
            <w:vAlign w:val="center"/>
          </w:tcPr>
          <w:p w:rsidR="00B6569C" w:rsidRDefault="00E82474">
            <w:pPr>
              <w:pStyle w:val="Tabletext"/>
              <w:rPr>
                <w:szCs w:val="20"/>
                <w:lang w:eastAsia="en-AU"/>
              </w:rPr>
            </w:pPr>
            <w:r>
              <w:rPr>
                <w:szCs w:val="20"/>
              </w:rPr>
              <w:t>Pembrolizumab</w:t>
            </w:r>
          </w:p>
        </w:tc>
        <w:tc>
          <w:tcPr>
            <w:tcW w:w="231" w:type="pct"/>
            <w:tcBorders>
              <w:top w:val="nil"/>
              <w:bottom w:val="nil"/>
            </w:tcBorders>
            <w:vAlign w:val="center"/>
          </w:tcPr>
          <w:p w:rsidR="00B6569C" w:rsidRDefault="00E82474">
            <w:pPr>
              <w:pStyle w:val="Tabletext"/>
              <w:jc w:val="center"/>
              <w:rPr>
                <w:szCs w:val="20"/>
                <w:lang w:eastAsia="en-AU"/>
              </w:rPr>
            </w:pPr>
            <w:r>
              <w:rPr>
                <w:szCs w:val="20"/>
              </w:rPr>
              <w:t>80</w:t>
            </w:r>
          </w:p>
        </w:tc>
        <w:tc>
          <w:tcPr>
            <w:tcW w:w="619" w:type="pct"/>
            <w:tcBorders>
              <w:top w:val="nil"/>
              <w:bottom w:val="nil"/>
            </w:tcBorders>
            <w:vAlign w:val="center"/>
          </w:tcPr>
          <w:p w:rsidR="00B6569C" w:rsidRDefault="00E82474">
            <w:pPr>
              <w:pStyle w:val="TableText0"/>
              <w:keepNext/>
              <w:keepLines/>
              <w:spacing w:before="0" w:after="0"/>
              <w:jc w:val="center"/>
              <w:rPr>
                <w:szCs w:val="20"/>
              </w:rPr>
            </w:pPr>
            <w:r>
              <w:rPr>
                <w:szCs w:val="20"/>
              </w:rPr>
              <w:t>6 (7.5)</w:t>
            </w:r>
          </w:p>
        </w:tc>
        <w:tc>
          <w:tcPr>
            <w:tcW w:w="923" w:type="pct"/>
            <w:tcBorders>
              <w:top w:val="nil"/>
              <w:bottom w:val="nil"/>
            </w:tcBorders>
            <w:vAlign w:val="center"/>
          </w:tcPr>
          <w:p w:rsidR="00B6569C" w:rsidRDefault="00E82474">
            <w:pPr>
              <w:pStyle w:val="TableText0"/>
              <w:keepNext/>
              <w:keepLines/>
              <w:spacing w:before="0" w:after="0"/>
              <w:jc w:val="center"/>
              <w:rPr>
                <w:szCs w:val="20"/>
              </w:rPr>
            </w:pPr>
            <w:r>
              <w:rPr>
                <w:szCs w:val="20"/>
              </w:rPr>
              <w:t>Not reached (-, -)</w:t>
            </w:r>
          </w:p>
        </w:tc>
        <w:tc>
          <w:tcPr>
            <w:tcW w:w="925" w:type="pct"/>
            <w:tcBorders>
              <w:top w:val="nil"/>
              <w:bottom w:val="nil"/>
            </w:tcBorders>
            <w:vAlign w:val="center"/>
          </w:tcPr>
          <w:p w:rsidR="00B6569C" w:rsidRDefault="00E82474">
            <w:pPr>
              <w:pStyle w:val="TableText0"/>
              <w:keepNext/>
              <w:keepLines/>
              <w:spacing w:before="0" w:after="0"/>
              <w:jc w:val="center"/>
              <w:rPr>
                <w:szCs w:val="20"/>
              </w:rPr>
            </w:pPr>
            <w:r>
              <w:rPr>
                <w:szCs w:val="20"/>
              </w:rPr>
              <w:t>95.0 (87.1, 98.1)</w:t>
            </w:r>
          </w:p>
        </w:tc>
        <w:tc>
          <w:tcPr>
            <w:tcW w:w="836" w:type="pct"/>
            <w:vMerge w:val="restart"/>
            <w:vAlign w:val="center"/>
          </w:tcPr>
          <w:p w:rsidR="00B6569C" w:rsidRDefault="00E82474">
            <w:pPr>
              <w:pStyle w:val="Tabletext"/>
              <w:jc w:val="center"/>
              <w:rPr>
                <w:b/>
                <w:szCs w:val="20"/>
              </w:rPr>
            </w:pPr>
            <w:r>
              <w:rPr>
                <w:b/>
                <w:szCs w:val="20"/>
              </w:rPr>
              <w:t>0.31 (0.12, 0.79)</w:t>
            </w:r>
          </w:p>
        </w:tc>
      </w:tr>
      <w:tr w:rsidR="00B6569C" w:rsidTr="001F7C95">
        <w:tc>
          <w:tcPr>
            <w:tcW w:w="773" w:type="pct"/>
            <w:vMerge/>
            <w:tcBorders>
              <w:top w:val="nil"/>
              <w:bottom w:val="single" w:sz="4" w:space="0" w:color="auto"/>
            </w:tcBorders>
            <w:vAlign w:val="center"/>
          </w:tcPr>
          <w:p w:rsidR="00B6569C" w:rsidRDefault="00B6569C">
            <w:pPr>
              <w:pStyle w:val="Tabletext"/>
              <w:rPr>
                <w:szCs w:val="20"/>
                <w:lang w:eastAsia="en-AU"/>
              </w:rPr>
            </w:pPr>
          </w:p>
        </w:tc>
        <w:tc>
          <w:tcPr>
            <w:tcW w:w="693" w:type="pct"/>
            <w:tcBorders>
              <w:top w:val="nil"/>
              <w:bottom w:val="single" w:sz="4" w:space="0" w:color="auto"/>
            </w:tcBorders>
            <w:vAlign w:val="center"/>
          </w:tcPr>
          <w:p w:rsidR="00B6569C" w:rsidRDefault="00E82474">
            <w:pPr>
              <w:pStyle w:val="Tabletext"/>
              <w:rPr>
                <w:szCs w:val="20"/>
                <w:lang w:eastAsia="en-AU"/>
              </w:rPr>
            </w:pPr>
            <w:r>
              <w:rPr>
                <w:szCs w:val="20"/>
              </w:rPr>
              <w:t>Placebo</w:t>
            </w:r>
          </w:p>
        </w:tc>
        <w:tc>
          <w:tcPr>
            <w:tcW w:w="231" w:type="pct"/>
            <w:tcBorders>
              <w:top w:val="nil"/>
              <w:bottom w:val="single" w:sz="4" w:space="0" w:color="auto"/>
            </w:tcBorders>
            <w:vAlign w:val="center"/>
          </w:tcPr>
          <w:p w:rsidR="00B6569C" w:rsidRDefault="00E82474">
            <w:pPr>
              <w:pStyle w:val="Tabletext"/>
              <w:jc w:val="center"/>
              <w:rPr>
                <w:szCs w:val="20"/>
                <w:lang w:eastAsia="en-AU"/>
              </w:rPr>
            </w:pPr>
            <w:r>
              <w:rPr>
                <w:szCs w:val="20"/>
              </w:rPr>
              <w:t>80</w:t>
            </w:r>
          </w:p>
        </w:tc>
        <w:tc>
          <w:tcPr>
            <w:tcW w:w="619" w:type="pct"/>
            <w:tcBorders>
              <w:top w:val="nil"/>
              <w:bottom w:val="single" w:sz="4" w:space="0" w:color="auto"/>
            </w:tcBorders>
            <w:vAlign w:val="center"/>
          </w:tcPr>
          <w:p w:rsidR="00B6569C" w:rsidRDefault="00E82474">
            <w:pPr>
              <w:pStyle w:val="TableText0"/>
              <w:keepNext/>
              <w:keepLines/>
              <w:spacing w:before="0" w:after="0"/>
              <w:jc w:val="center"/>
              <w:rPr>
                <w:szCs w:val="20"/>
              </w:rPr>
            </w:pPr>
            <w:r>
              <w:rPr>
                <w:szCs w:val="20"/>
              </w:rPr>
              <w:t>18 (22.5)</w:t>
            </w:r>
          </w:p>
        </w:tc>
        <w:tc>
          <w:tcPr>
            <w:tcW w:w="923" w:type="pct"/>
            <w:tcBorders>
              <w:top w:val="nil"/>
              <w:bottom w:val="single" w:sz="4" w:space="0" w:color="auto"/>
            </w:tcBorders>
            <w:vAlign w:val="center"/>
          </w:tcPr>
          <w:p w:rsidR="00B6569C" w:rsidRDefault="00E82474">
            <w:pPr>
              <w:pStyle w:val="TableText0"/>
              <w:keepNext/>
              <w:keepLines/>
              <w:spacing w:before="0" w:after="0"/>
              <w:jc w:val="center"/>
              <w:rPr>
                <w:szCs w:val="20"/>
              </w:rPr>
            </w:pPr>
            <w:r>
              <w:rPr>
                <w:szCs w:val="20"/>
              </w:rPr>
              <w:t>Not reached (-, -)</w:t>
            </w:r>
          </w:p>
        </w:tc>
        <w:tc>
          <w:tcPr>
            <w:tcW w:w="925" w:type="pct"/>
            <w:tcBorders>
              <w:top w:val="nil"/>
              <w:bottom w:val="single" w:sz="4" w:space="0" w:color="auto"/>
            </w:tcBorders>
            <w:vAlign w:val="center"/>
          </w:tcPr>
          <w:p w:rsidR="00B6569C" w:rsidRDefault="00E82474">
            <w:pPr>
              <w:pStyle w:val="TableText0"/>
              <w:keepNext/>
              <w:keepLines/>
              <w:spacing w:before="0" w:after="0"/>
              <w:jc w:val="center"/>
              <w:rPr>
                <w:szCs w:val="20"/>
              </w:rPr>
            </w:pPr>
            <w:r>
              <w:rPr>
                <w:szCs w:val="20"/>
              </w:rPr>
              <w:t>91.2 (82.5, 95.7)</w:t>
            </w:r>
          </w:p>
        </w:tc>
        <w:tc>
          <w:tcPr>
            <w:tcW w:w="836" w:type="pct"/>
            <w:vMerge/>
            <w:tcBorders>
              <w:bottom w:val="single" w:sz="4" w:space="0" w:color="auto"/>
            </w:tcBorders>
            <w:vAlign w:val="center"/>
          </w:tcPr>
          <w:p w:rsidR="00B6569C" w:rsidRDefault="00B6569C">
            <w:pPr>
              <w:pStyle w:val="Tabletext"/>
              <w:jc w:val="center"/>
              <w:rPr>
                <w:szCs w:val="20"/>
              </w:rPr>
            </w:pPr>
          </w:p>
        </w:tc>
      </w:tr>
      <w:tr w:rsidR="00B6569C" w:rsidTr="001F7C95">
        <w:tc>
          <w:tcPr>
            <w:tcW w:w="773" w:type="pct"/>
            <w:vMerge w:val="restart"/>
            <w:vAlign w:val="center"/>
          </w:tcPr>
          <w:p w:rsidR="00B6569C" w:rsidRDefault="00E82474">
            <w:pPr>
              <w:pStyle w:val="Tabletext"/>
              <w:rPr>
                <w:szCs w:val="20"/>
                <w:lang w:eastAsia="en-AU"/>
              </w:rPr>
            </w:pPr>
            <w:r>
              <w:rPr>
                <w:szCs w:val="20"/>
              </w:rPr>
              <w:t>Stage IIIB</w:t>
            </w:r>
          </w:p>
        </w:tc>
        <w:tc>
          <w:tcPr>
            <w:tcW w:w="693" w:type="pct"/>
            <w:tcBorders>
              <w:top w:val="single" w:sz="4" w:space="0" w:color="auto"/>
              <w:bottom w:val="nil"/>
            </w:tcBorders>
            <w:vAlign w:val="center"/>
          </w:tcPr>
          <w:p w:rsidR="00B6569C" w:rsidRDefault="00E82474">
            <w:pPr>
              <w:pStyle w:val="Tabletext"/>
              <w:rPr>
                <w:szCs w:val="20"/>
                <w:lang w:eastAsia="en-AU"/>
              </w:rPr>
            </w:pPr>
            <w:r>
              <w:rPr>
                <w:szCs w:val="20"/>
              </w:rPr>
              <w:t>Pembrolizumab</w:t>
            </w:r>
          </w:p>
        </w:tc>
        <w:tc>
          <w:tcPr>
            <w:tcW w:w="231" w:type="pct"/>
            <w:tcBorders>
              <w:top w:val="single" w:sz="4" w:space="0" w:color="auto"/>
              <w:bottom w:val="nil"/>
            </w:tcBorders>
            <w:vAlign w:val="center"/>
          </w:tcPr>
          <w:p w:rsidR="00B6569C" w:rsidRDefault="00E82474">
            <w:pPr>
              <w:pStyle w:val="TableText0"/>
              <w:keepNext/>
              <w:keepLines/>
              <w:spacing w:before="0" w:after="0"/>
              <w:jc w:val="center"/>
              <w:rPr>
                <w:szCs w:val="20"/>
              </w:rPr>
            </w:pPr>
            <w:r>
              <w:rPr>
                <w:szCs w:val="20"/>
              </w:rPr>
              <w:t>237</w:t>
            </w:r>
          </w:p>
        </w:tc>
        <w:tc>
          <w:tcPr>
            <w:tcW w:w="619" w:type="pct"/>
            <w:tcBorders>
              <w:top w:val="single" w:sz="4" w:space="0" w:color="auto"/>
              <w:bottom w:val="nil"/>
            </w:tcBorders>
            <w:vAlign w:val="center"/>
          </w:tcPr>
          <w:p w:rsidR="00B6569C" w:rsidRDefault="00E82474">
            <w:pPr>
              <w:pStyle w:val="TableText0"/>
              <w:keepNext/>
              <w:keepLines/>
              <w:spacing w:before="0" w:after="0"/>
              <w:jc w:val="center"/>
              <w:rPr>
                <w:szCs w:val="20"/>
              </w:rPr>
            </w:pPr>
            <w:r>
              <w:rPr>
                <w:szCs w:val="20"/>
              </w:rPr>
              <w:t>60 (25.3)</w:t>
            </w:r>
          </w:p>
        </w:tc>
        <w:tc>
          <w:tcPr>
            <w:tcW w:w="923" w:type="pct"/>
            <w:tcBorders>
              <w:top w:val="single" w:sz="4" w:space="0" w:color="auto"/>
              <w:bottom w:val="nil"/>
            </w:tcBorders>
            <w:vAlign w:val="center"/>
          </w:tcPr>
          <w:p w:rsidR="00B6569C" w:rsidRDefault="00E82474">
            <w:pPr>
              <w:pStyle w:val="TableText0"/>
              <w:keepNext/>
              <w:keepLines/>
              <w:spacing w:before="0" w:after="0"/>
              <w:jc w:val="center"/>
              <w:rPr>
                <w:szCs w:val="20"/>
              </w:rPr>
            </w:pPr>
            <w:r>
              <w:rPr>
                <w:szCs w:val="20"/>
              </w:rPr>
              <w:t>Not reached (-, -)</w:t>
            </w:r>
          </w:p>
        </w:tc>
        <w:tc>
          <w:tcPr>
            <w:tcW w:w="925" w:type="pct"/>
            <w:tcBorders>
              <w:top w:val="single" w:sz="4" w:space="0" w:color="auto"/>
              <w:bottom w:val="nil"/>
            </w:tcBorders>
            <w:vAlign w:val="center"/>
          </w:tcPr>
          <w:p w:rsidR="00B6569C" w:rsidRDefault="00E82474">
            <w:pPr>
              <w:pStyle w:val="TableText0"/>
              <w:keepNext/>
              <w:keepLines/>
              <w:spacing w:before="0" w:after="0"/>
              <w:jc w:val="center"/>
              <w:rPr>
                <w:szCs w:val="20"/>
              </w:rPr>
            </w:pPr>
            <w:r>
              <w:rPr>
                <w:szCs w:val="20"/>
              </w:rPr>
              <w:t>83.6 (78.2, 87.8)</w:t>
            </w:r>
          </w:p>
        </w:tc>
        <w:tc>
          <w:tcPr>
            <w:tcW w:w="836" w:type="pct"/>
            <w:vMerge w:val="restart"/>
            <w:vAlign w:val="center"/>
          </w:tcPr>
          <w:p w:rsidR="00B6569C" w:rsidRDefault="00E82474">
            <w:pPr>
              <w:pStyle w:val="Tabletext"/>
              <w:jc w:val="center"/>
              <w:rPr>
                <w:b/>
                <w:szCs w:val="20"/>
              </w:rPr>
            </w:pPr>
            <w:r>
              <w:rPr>
                <w:b/>
                <w:szCs w:val="20"/>
              </w:rPr>
              <w:t>0.56 (0.41, 0.78)</w:t>
            </w:r>
          </w:p>
        </w:tc>
      </w:tr>
      <w:tr w:rsidR="00B6569C" w:rsidTr="001F7C95">
        <w:tc>
          <w:tcPr>
            <w:tcW w:w="773" w:type="pct"/>
            <w:vMerge/>
            <w:tcBorders>
              <w:bottom w:val="single" w:sz="4" w:space="0" w:color="auto"/>
            </w:tcBorders>
            <w:vAlign w:val="center"/>
          </w:tcPr>
          <w:p w:rsidR="00B6569C" w:rsidRDefault="00B6569C">
            <w:pPr>
              <w:pStyle w:val="Tabletext"/>
              <w:rPr>
                <w:szCs w:val="20"/>
                <w:lang w:eastAsia="en-AU"/>
              </w:rPr>
            </w:pPr>
          </w:p>
        </w:tc>
        <w:tc>
          <w:tcPr>
            <w:tcW w:w="693" w:type="pct"/>
            <w:tcBorders>
              <w:top w:val="nil"/>
              <w:bottom w:val="single" w:sz="4" w:space="0" w:color="auto"/>
            </w:tcBorders>
            <w:vAlign w:val="center"/>
          </w:tcPr>
          <w:p w:rsidR="00B6569C" w:rsidRDefault="00E82474">
            <w:pPr>
              <w:pStyle w:val="Tabletext"/>
              <w:rPr>
                <w:szCs w:val="20"/>
                <w:lang w:eastAsia="en-AU"/>
              </w:rPr>
            </w:pPr>
            <w:r>
              <w:rPr>
                <w:szCs w:val="20"/>
              </w:rPr>
              <w:t>Placebo</w:t>
            </w:r>
          </w:p>
        </w:tc>
        <w:tc>
          <w:tcPr>
            <w:tcW w:w="231" w:type="pct"/>
            <w:tcBorders>
              <w:top w:val="nil"/>
              <w:bottom w:val="single" w:sz="4" w:space="0" w:color="auto"/>
            </w:tcBorders>
            <w:vAlign w:val="center"/>
          </w:tcPr>
          <w:p w:rsidR="00B6569C" w:rsidRDefault="00E82474">
            <w:pPr>
              <w:pStyle w:val="TableText0"/>
              <w:keepNext/>
              <w:keepLines/>
              <w:spacing w:before="0" w:after="0"/>
              <w:jc w:val="center"/>
              <w:rPr>
                <w:szCs w:val="20"/>
              </w:rPr>
            </w:pPr>
            <w:r>
              <w:rPr>
                <w:szCs w:val="20"/>
              </w:rPr>
              <w:t>230</w:t>
            </w:r>
          </w:p>
        </w:tc>
        <w:tc>
          <w:tcPr>
            <w:tcW w:w="619" w:type="pct"/>
            <w:tcBorders>
              <w:top w:val="nil"/>
              <w:bottom w:val="single" w:sz="4" w:space="0" w:color="auto"/>
            </w:tcBorders>
            <w:vAlign w:val="center"/>
          </w:tcPr>
          <w:p w:rsidR="00B6569C" w:rsidRDefault="00E82474">
            <w:pPr>
              <w:pStyle w:val="TableText0"/>
              <w:keepNext/>
              <w:keepLines/>
              <w:spacing w:before="0" w:after="0"/>
              <w:jc w:val="center"/>
              <w:rPr>
                <w:szCs w:val="20"/>
              </w:rPr>
            </w:pPr>
            <w:r>
              <w:rPr>
                <w:szCs w:val="20"/>
              </w:rPr>
              <w:t>96 (41.7)</w:t>
            </w:r>
          </w:p>
        </w:tc>
        <w:tc>
          <w:tcPr>
            <w:tcW w:w="923" w:type="pct"/>
            <w:tcBorders>
              <w:top w:val="nil"/>
              <w:bottom w:val="single" w:sz="4" w:space="0" w:color="auto"/>
            </w:tcBorders>
            <w:vAlign w:val="center"/>
          </w:tcPr>
          <w:p w:rsidR="00B6569C" w:rsidRDefault="00E82474">
            <w:pPr>
              <w:pStyle w:val="TableText0"/>
              <w:keepNext/>
              <w:keepLines/>
              <w:spacing w:before="0" w:after="0"/>
              <w:jc w:val="center"/>
              <w:rPr>
                <w:szCs w:val="20"/>
              </w:rPr>
            </w:pPr>
            <w:r>
              <w:rPr>
                <w:szCs w:val="20"/>
              </w:rPr>
              <w:t>20.4 (15.6, -)</w:t>
            </w:r>
          </w:p>
        </w:tc>
        <w:tc>
          <w:tcPr>
            <w:tcW w:w="925" w:type="pct"/>
            <w:tcBorders>
              <w:top w:val="nil"/>
              <w:bottom w:val="single" w:sz="4" w:space="0" w:color="auto"/>
            </w:tcBorders>
            <w:vAlign w:val="center"/>
          </w:tcPr>
          <w:p w:rsidR="00B6569C" w:rsidRDefault="00E82474">
            <w:pPr>
              <w:pStyle w:val="TableText0"/>
              <w:keepNext/>
              <w:keepLines/>
              <w:spacing w:before="0" w:after="0"/>
              <w:jc w:val="center"/>
              <w:rPr>
                <w:szCs w:val="20"/>
              </w:rPr>
            </w:pPr>
            <w:r>
              <w:rPr>
                <w:szCs w:val="20"/>
              </w:rPr>
              <w:t>74.8 (68.6, 80.0)</w:t>
            </w:r>
          </w:p>
        </w:tc>
        <w:tc>
          <w:tcPr>
            <w:tcW w:w="836" w:type="pct"/>
            <w:vMerge/>
            <w:tcBorders>
              <w:bottom w:val="single" w:sz="4" w:space="0" w:color="auto"/>
            </w:tcBorders>
            <w:vAlign w:val="center"/>
          </w:tcPr>
          <w:p w:rsidR="00B6569C" w:rsidRDefault="00B6569C">
            <w:pPr>
              <w:pStyle w:val="Tabletext"/>
              <w:jc w:val="center"/>
              <w:rPr>
                <w:b/>
                <w:szCs w:val="20"/>
              </w:rPr>
            </w:pPr>
          </w:p>
        </w:tc>
      </w:tr>
      <w:tr w:rsidR="00B6569C" w:rsidTr="001F7C95">
        <w:tc>
          <w:tcPr>
            <w:tcW w:w="773" w:type="pct"/>
            <w:vMerge w:val="restart"/>
            <w:vAlign w:val="center"/>
          </w:tcPr>
          <w:p w:rsidR="00B6569C" w:rsidRDefault="00E82474">
            <w:pPr>
              <w:pStyle w:val="Tabletext"/>
              <w:rPr>
                <w:szCs w:val="20"/>
                <w:lang w:eastAsia="en-AU"/>
              </w:rPr>
            </w:pPr>
            <w:r>
              <w:t>Stage IIIC</w:t>
            </w:r>
          </w:p>
        </w:tc>
        <w:tc>
          <w:tcPr>
            <w:tcW w:w="693" w:type="pct"/>
            <w:tcBorders>
              <w:top w:val="single" w:sz="4" w:space="0" w:color="auto"/>
              <w:bottom w:val="nil"/>
            </w:tcBorders>
            <w:vAlign w:val="center"/>
          </w:tcPr>
          <w:p w:rsidR="00B6569C" w:rsidRDefault="00E82474">
            <w:pPr>
              <w:pStyle w:val="Tabletext"/>
              <w:rPr>
                <w:szCs w:val="20"/>
                <w:lang w:eastAsia="en-AU"/>
              </w:rPr>
            </w:pPr>
            <w:r>
              <w:rPr>
                <w:szCs w:val="20"/>
              </w:rPr>
              <w:t>Pembrolizumab</w:t>
            </w:r>
          </w:p>
        </w:tc>
        <w:tc>
          <w:tcPr>
            <w:tcW w:w="231" w:type="pct"/>
            <w:tcBorders>
              <w:top w:val="single" w:sz="4" w:space="0" w:color="auto"/>
              <w:bottom w:val="nil"/>
            </w:tcBorders>
            <w:vAlign w:val="center"/>
          </w:tcPr>
          <w:p w:rsidR="00B6569C" w:rsidRDefault="00E82474">
            <w:pPr>
              <w:pStyle w:val="TableText0"/>
              <w:keepNext/>
              <w:keepLines/>
              <w:spacing w:before="0" w:after="0"/>
              <w:jc w:val="center"/>
              <w:rPr>
                <w:szCs w:val="20"/>
              </w:rPr>
            </w:pPr>
            <w:r>
              <w:rPr>
                <w:szCs w:val="20"/>
              </w:rPr>
              <w:t>197</w:t>
            </w:r>
          </w:p>
        </w:tc>
        <w:tc>
          <w:tcPr>
            <w:tcW w:w="619" w:type="pct"/>
            <w:tcBorders>
              <w:top w:val="single" w:sz="4" w:space="0" w:color="auto"/>
              <w:bottom w:val="nil"/>
            </w:tcBorders>
            <w:vAlign w:val="center"/>
          </w:tcPr>
          <w:p w:rsidR="00B6569C" w:rsidRDefault="00E82474">
            <w:pPr>
              <w:pStyle w:val="TableText0"/>
              <w:keepNext/>
              <w:keepLines/>
              <w:spacing w:before="0" w:after="0"/>
              <w:jc w:val="center"/>
              <w:rPr>
                <w:szCs w:val="20"/>
              </w:rPr>
            </w:pPr>
            <w:r>
              <w:rPr>
                <w:szCs w:val="20"/>
              </w:rPr>
              <w:t>69 (35.0)</w:t>
            </w:r>
          </w:p>
        </w:tc>
        <w:tc>
          <w:tcPr>
            <w:tcW w:w="923" w:type="pct"/>
            <w:tcBorders>
              <w:top w:val="single" w:sz="4" w:space="0" w:color="auto"/>
              <w:bottom w:val="nil"/>
            </w:tcBorders>
            <w:vAlign w:val="center"/>
          </w:tcPr>
          <w:p w:rsidR="00B6569C" w:rsidRDefault="00E82474">
            <w:pPr>
              <w:pStyle w:val="TableText0"/>
              <w:keepNext/>
              <w:keepLines/>
              <w:spacing w:before="0" w:after="0"/>
              <w:jc w:val="center"/>
              <w:rPr>
                <w:szCs w:val="20"/>
              </w:rPr>
            </w:pPr>
            <w:r>
              <w:rPr>
                <w:szCs w:val="20"/>
              </w:rPr>
              <w:t>Not reached (-, -)</w:t>
            </w:r>
          </w:p>
        </w:tc>
        <w:tc>
          <w:tcPr>
            <w:tcW w:w="925" w:type="pct"/>
            <w:tcBorders>
              <w:top w:val="single" w:sz="4" w:space="0" w:color="auto"/>
              <w:bottom w:val="nil"/>
            </w:tcBorders>
            <w:vAlign w:val="center"/>
          </w:tcPr>
          <w:p w:rsidR="00B6569C" w:rsidRDefault="00E82474">
            <w:pPr>
              <w:pStyle w:val="TableText0"/>
              <w:keepNext/>
              <w:keepLines/>
              <w:spacing w:before="0" w:after="0"/>
              <w:jc w:val="center"/>
              <w:rPr>
                <w:szCs w:val="20"/>
              </w:rPr>
            </w:pPr>
            <w:r>
              <w:rPr>
                <w:szCs w:val="20"/>
              </w:rPr>
              <w:t>75.3 (68.6, 80.8)</w:t>
            </w:r>
          </w:p>
        </w:tc>
        <w:tc>
          <w:tcPr>
            <w:tcW w:w="836" w:type="pct"/>
            <w:vMerge w:val="restart"/>
            <w:vAlign w:val="center"/>
          </w:tcPr>
          <w:p w:rsidR="00B6569C" w:rsidRDefault="00E82474">
            <w:pPr>
              <w:pStyle w:val="TableText0"/>
              <w:keepNext/>
              <w:keepLines/>
              <w:spacing w:before="0" w:after="0"/>
              <w:jc w:val="center"/>
              <w:rPr>
                <w:b/>
                <w:szCs w:val="20"/>
              </w:rPr>
            </w:pPr>
            <w:r>
              <w:rPr>
                <w:b/>
                <w:szCs w:val="20"/>
              </w:rPr>
              <w:t>0.61 (0.45, 0.82)</w:t>
            </w:r>
          </w:p>
        </w:tc>
      </w:tr>
      <w:tr w:rsidR="00B6569C" w:rsidTr="001F7C95">
        <w:tc>
          <w:tcPr>
            <w:tcW w:w="773" w:type="pct"/>
            <w:vMerge/>
            <w:tcBorders>
              <w:bottom w:val="single" w:sz="4" w:space="0" w:color="auto"/>
            </w:tcBorders>
            <w:vAlign w:val="center"/>
          </w:tcPr>
          <w:p w:rsidR="00B6569C" w:rsidRDefault="00B6569C">
            <w:pPr>
              <w:pStyle w:val="Tabletext"/>
              <w:rPr>
                <w:b/>
                <w:szCs w:val="20"/>
                <w:lang w:eastAsia="en-AU"/>
              </w:rPr>
            </w:pPr>
          </w:p>
        </w:tc>
        <w:tc>
          <w:tcPr>
            <w:tcW w:w="693" w:type="pct"/>
            <w:tcBorders>
              <w:top w:val="nil"/>
              <w:bottom w:val="single" w:sz="4" w:space="0" w:color="auto"/>
            </w:tcBorders>
            <w:vAlign w:val="center"/>
          </w:tcPr>
          <w:p w:rsidR="00B6569C" w:rsidRDefault="00E82474">
            <w:pPr>
              <w:pStyle w:val="Tabletext"/>
              <w:rPr>
                <w:szCs w:val="20"/>
                <w:lang w:eastAsia="en-AU"/>
              </w:rPr>
            </w:pPr>
            <w:r>
              <w:rPr>
                <w:szCs w:val="20"/>
              </w:rPr>
              <w:t>Placebo</w:t>
            </w:r>
          </w:p>
        </w:tc>
        <w:tc>
          <w:tcPr>
            <w:tcW w:w="231" w:type="pct"/>
            <w:tcBorders>
              <w:top w:val="nil"/>
              <w:bottom w:val="single" w:sz="4" w:space="0" w:color="auto"/>
            </w:tcBorders>
            <w:vAlign w:val="center"/>
          </w:tcPr>
          <w:p w:rsidR="00B6569C" w:rsidRDefault="00E82474">
            <w:pPr>
              <w:pStyle w:val="TableText0"/>
              <w:keepNext/>
              <w:keepLines/>
              <w:spacing w:before="0" w:after="0"/>
              <w:jc w:val="center"/>
              <w:rPr>
                <w:szCs w:val="20"/>
              </w:rPr>
            </w:pPr>
            <w:r>
              <w:rPr>
                <w:szCs w:val="20"/>
              </w:rPr>
              <w:t>195</w:t>
            </w:r>
          </w:p>
        </w:tc>
        <w:tc>
          <w:tcPr>
            <w:tcW w:w="619" w:type="pct"/>
            <w:tcBorders>
              <w:top w:val="nil"/>
              <w:bottom w:val="single" w:sz="4" w:space="0" w:color="auto"/>
            </w:tcBorders>
            <w:vAlign w:val="center"/>
          </w:tcPr>
          <w:p w:rsidR="00B6569C" w:rsidRDefault="00E82474">
            <w:pPr>
              <w:pStyle w:val="TableText0"/>
              <w:keepNext/>
              <w:keepLines/>
              <w:spacing w:before="0" w:after="0"/>
              <w:jc w:val="center"/>
              <w:rPr>
                <w:szCs w:val="20"/>
              </w:rPr>
            </w:pPr>
            <w:r>
              <w:rPr>
                <w:szCs w:val="20"/>
              </w:rPr>
              <w:t>102 (52.3)</w:t>
            </w:r>
          </w:p>
        </w:tc>
        <w:tc>
          <w:tcPr>
            <w:tcW w:w="923" w:type="pct"/>
            <w:tcBorders>
              <w:top w:val="nil"/>
              <w:bottom w:val="single" w:sz="4" w:space="0" w:color="auto"/>
            </w:tcBorders>
            <w:vAlign w:val="center"/>
          </w:tcPr>
          <w:p w:rsidR="00B6569C" w:rsidRDefault="00E82474">
            <w:pPr>
              <w:pStyle w:val="TableText0"/>
              <w:keepNext/>
              <w:keepLines/>
              <w:spacing w:before="0" w:after="0"/>
              <w:jc w:val="center"/>
              <w:rPr>
                <w:szCs w:val="20"/>
              </w:rPr>
            </w:pPr>
            <w:r>
              <w:rPr>
                <w:szCs w:val="20"/>
              </w:rPr>
              <w:t>12.9 (8.5, 18.2)</w:t>
            </w:r>
          </w:p>
        </w:tc>
        <w:tc>
          <w:tcPr>
            <w:tcW w:w="925" w:type="pct"/>
            <w:tcBorders>
              <w:top w:val="nil"/>
              <w:bottom w:val="single" w:sz="4" w:space="0" w:color="auto"/>
            </w:tcBorders>
            <w:vAlign w:val="center"/>
          </w:tcPr>
          <w:p w:rsidR="00B6569C" w:rsidRDefault="00E82474">
            <w:pPr>
              <w:pStyle w:val="TableText0"/>
              <w:keepNext/>
              <w:keepLines/>
              <w:spacing w:before="0" w:after="0"/>
              <w:jc w:val="center"/>
              <w:rPr>
                <w:szCs w:val="20"/>
              </w:rPr>
            </w:pPr>
            <w:r>
              <w:rPr>
                <w:szCs w:val="20"/>
              </w:rPr>
              <w:t>64.3 (57.1, 70.6)</w:t>
            </w:r>
          </w:p>
        </w:tc>
        <w:tc>
          <w:tcPr>
            <w:tcW w:w="836" w:type="pct"/>
            <w:vMerge/>
            <w:tcBorders>
              <w:bottom w:val="single" w:sz="4" w:space="0" w:color="auto"/>
            </w:tcBorders>
            <w:vAlign w:val="center"/>
          </w:tcPr>
          <w:p w:rsidR="00B6569C" w:rsidRDefault="00B6569C">
            <w:pPr>
              <w:pStyle w:val="TableText0"/>
              <w:keepNext/>
              <w:keepLines/>
              <w:spacing w:before="0" w:after="0"/>
              <w:jc w:val="center"/>
              <w:rPr>
                <w:b/>
                <w:szCs w:val="20"/>
              </w:rPr>
            </w:pPr>
          </w:p>
        </w:tc>
      </w:tr>
      <w:tr w:rsidR="00B6569C">
        <w:tc>
          <w:tcPr>
            <w:tcW w:w="5000" w:type="pct"/>
            <w:gridSpan w:val="7"/>
            <w:tcBorders>
              <w:bottom w:val="single" w:sz="4" w:space="0" w:color="auto"/>
            </w:tcBorders>
            <w:vAlign w:val="center"/>
          </w:tcPr>
          <w:p w:rsidR="00B6569C" w:rsidRDefault="00E82474">
            <w:pPr>
              <w:pStyle w:val="Tabletext"/>
              <w:rPr>
                <w:szCs w:val="20"/>
              </w:rPr>
            </w:pPr>
            <w:r>
              <w:rPr>
                <w:b/>
                <w:szCs w:val="20"/>
              </w:rPr>
              <w:t>AJCC 8</w:t>
            </w:r>
            <w:r>
              <w:rPr>
                <w:b/>
              </w:rPr>
              <w:t>th</w:t>
            </w:r>
            <w:r>
              <w:rPr>
                <w:b/>
                <w:szCs w:val="20"/>
              </w:rPr>
              <w:t xml:space="preserve"> </w:t>
            </w:r>
            <w:r>
              <w:rPr>
                <w:b/>
              </w:rPr>
              <w:t>edition</w:t>
            </w:r>
          </w:p>
        </w:tc>
      </w:tr>
      <w:tr w:rsidR="00B6569C" w:rsidTr="001F7C95">
        <w:tc>
          <w:tcPr>
            <w:tcW w:w="773" w:type="pct"/>
            <w:vMerge w:val="restart"/>
            <w:vAlign w:val="center"/>
          </w:tcPr>
          <w:p w:rsidR="00B6569C" w:rsidRDefault="00E82474">
            <w:pPr>
              <w:pStyle w:val="Tabletext"/>
              <w:rPr>
                <w:szCs w:val="20"/>
                <w:lang w:eastAsia="en-AU"/>
              </w:rPr>
            </w:pPr>
            <w:r>
              <w:t>Stage IIIA &gt;1 mm</w:t>
            </w:r>
          </w:p>
        </w:tc>
        <w:tc>
          <w:tcPr>
            <w:tcW w:w="693" w:type="pct"/>
            <w:tcBorders>
              <w:bottom w:val="nil"/>
            </w:tcBorders>
            <w:vAlign w:val="center"/>
          </w:tcPr>
          <w:p w:rsidR="00B6569C" w:rsidRDefault="00E82474">
            <w:pPr>
              <w:pStyle w:val="Tabletext"/>
              <w:rPr>
                <w:szCs w:val="20"/>
                <w:lang w:eastAsia="en-AU"/>
              </w:rPr>
            </w:pPr>
            <w:r>
              <w:rPr>
                <w:szCs w:val="20"/>
              </w:rPr>
              <w:t>Pembrolizumab</w:t>
            </w:r>
          </w:p>
        </w:tc>
        <w:tc>
          <w:tcPr>
            <w:tcW w:w="231" w:type="pct"/>
            <w:tcBorders>
              <w:bottom w:val="nil"/>
            </w:tcBorders>
            <w:vAlign w:val="center"/>
          </w:tcPr>
          <w:p w:rsidR="00B6569C" w:rsidRDefault="00E82474">
            <w:pPr>
              <w:pStyle w:val="Tabletext"/>
              <w:jc w:val="center"/>
              <w:rPr>
                <w:szCs w:val="20"/>
                <w:lang w:eastAsia="en-AU"/>
              </w:rPr>
            </w:pPr>
            <w:r>
              <w:rPr>
                <w:szCs w:val="20"/>
              </w:rPr>
              <w:t>42</w:t>
            </w:r>
          </w:p>
        </w:tc>
        <w:tc>
          <w:tcPr>
            <w:tcW w:w="619" w:type="pct"/>
            <w:tcBorders>
              <w:bottom w:val="nil"/>
            </w:tcBorders>
            <w:vAlign w:val="center"/>
          </w:tcPr>
          <w:p w:rsidR="00B6569C" w:rsidRDefault="00E82474">
            <w:pPr>
              <w:pStyle w:val="TableText0"/>
              <w:keepNext/>
              <w:keepLines/>
              <w:spacing w:before="0" w:after="0"/>
              <w:jc w:val="center"/>
              <w:rPr>
                <w:szCs w:val="20"/>
              </w:rPr>
            </w:pPr>
            <w:r>
              <w:rPr>
                <w:szCs w:val="20"/>
              </w:rPr>
              <w:t>3 (7.1)</w:t>
            </w:r>
          </w:p>
        </w:tc>
        <w:tc>
          <w:tcPr>
            <w:tcW w:w="923" w:type="pct"/>
            <w:tcBorders>
              <w:bottom w:val="nil"/>
            </w:tcBorders>
            <w:vAlign w:val="center"/>
          </w:tcPr>
          <w:p w:rsidR="00B6569C" w:rsidRDefault="00E82474">
            <w:pPr>
              <w:pStyle w:val="TableText0"/>
              <w:keepNext/>
              <w:keepLines/>
              <w:spacing w:before="0" w:after="0"/>
              <w:jc w:val="center"/>
              <w:rPr>
                <w:szCs w:val="20"/>
              </w:rPr>
            </w:pPr>
            <w:r>
              <w:rPr>
                <w:szCs w:val="20"/>
              </w:rPr>
              <w:t>Not reached (-, -)</w:t>
            </w:r>
          </w:p>
        </w:tc>
        <w:tc>
          <w:tcPr>
            <w:tcW w:w="925" w:type="pct"/>
            <w:tcBorders>
              <w:bottom w:val="nil"/>
            </w:tcBorders>
            <w:vAlign w:val="center"/>
          </w:tcPr>
          <w:p w:rsidR="00B6569C" w:rsidRDefault="00E82474">
            <w:pPr>
              <w:pStyle w:val="TableText0"/>
              <w:keepNext/>
              <w:keepLines/>
              <w:spacing w:before="0" w:after="0"/>
              <w:jc w:val="center"/>
              <w:rPr>
                <w:szCs w:val="20"/>
              </w:rPr>
            </w:pPr>
            <w:r>
              <w:rPr>
                <w:szCs w:val="20"/>
              </w:rPr>
              <w:t>92.7 (79.1, 97.6)</w:t>
            </w:r>
          </w:p>
        </w:tc>
        <w:tc>
          <w:tcPr>
            <w:tcW w:w="836" w:type="pct"/>
            <w:vMerge w:val="restart"/>
            <w:vAlign w:val="center"/>
          </w:tcPr>
          <w:p w:rsidR="00B6569C" w:rsidRDefault="00E82474">
            <w:pPr>
              <w:pStyle w:val="Tabletext"/>
              <w:jc w:val="center"/>
              <w:rPr>
                <w:szCs w:val="20"/>
              </w:rPr>
            </w:pPr>
            <w:r>
              <w:rPr>
                <w:szCs w:val="20"/>
              </w:rPr>
              <w:t>0.76 (0.17, 3.39)</w:t>
            </w:r>
          </w:p>
        </w:tc>
      </w:tr>
      <w:tr w:rsidR="00B6569C" w:rsidTr="001F7C95">
        <w:tc>
          <w:tcPr>
            <w:tcW w:w="773" w:type="pct"/>
            <w:vMerge/>
            <w:tcBorders>
              <w:bottom w:val="single" w:sz="4" w:space="0" w:color="auto"/>
            </w:tcBorders>
            <w:vAlign w:val="center"/>
          </w:tcPr>
          <w:p w:rsidR="00B6569C" w:rsidRDefault="00B6569C">
            <w:pPr>
              <w:pStyle w:val="Tabletext"/>
              <w:rPr>
                <w:szCs w:val="20"/>
                <w:lang w:eastAsia="en-AU"/>
              </w:rPr>
            </w:pPr>
          </w:p>
        </w:tc>
        <w:tc>
          <w:tcPr>
            <w:tcW w:w="693" w:type="pct"/>
            <w:tcBorders>
              <w:top w:val="nil"/>
              <w:bottom w:val="single" w:sz="4" w:space="0" w:color="auto"/>
            </w:tcBorders>
            <w:vAlign w:val="center"/>
          </w:tcPr>
          <w:p w:rsidR="00B6569C" w:rsidRDefault="00E82474">
            <w:pPr>
              <w:pStyle w:val="Tabletext"/>
              <w:rPr>
                <w:szCs w:val="20"/>
                <w:lang w:eastAsia="en-AU"/>
              </w:rPr>
            </w:pPr>
            <w:r>
              <w:rPr>
                <w:szCs w:val="20"/>
              </w:rPr>
              <w:t>Placebo</w:t>
            </w:r>
          </w:p>
        </w:tc>
        <w:tc>
          <w:tcPr>
            <w:tcW w:w="231" w:type="pct"/>
            <w:tcBorders>
              <w:top w:val="nil"/>
              <w:bottom w:val="single" w:sz="4" w:space="0" w:color="auto"/>
            </w:tcBorders>
            <w:vAlign w:val="center"/>
          </w:tcPr>
          <w:p w:rsidR="00B6569C" w:rsidRDefault="00E82474">
            <w:pPr>
              <w:pStyle w:val="Tabletext"/>
              <w:jc w:val="center"/>
              <w:rPr>
                <w:szCs w:val="20"/>
                <w:lang w:eastAsia="en-AU"/>
              </w:rPr>
            </w:pPr>
            <w:r>
              <w:rPr>
                <w:szCs w:val="20"/>
              </w:rPr>
              <w:t>40</w:t>
            </w:r>
          </w:p>
        </w:tc>
        <w:tc>
          <w:tcPr>
            <w:tcW w:w="619" w:type="pct"/>
            <w:tcBorders>
              <w:top w:val="nil"/>
              <w:bottom w:val="single" w:sz="4" w:space="0" w:color="auto"/>
            </w:tcBorders>
            <w:vAlign w:val="center"/>
          </w:tcPr>
          <w:p w:rsidR="00B6569C" w:rsidRDefault="00E82474">
            <w:pPr>
              <w:pStyle w:val="TableText0"/>
              <w:keepNext/>
              <w:keepLines/>
              <w:spacing w:before="0" w:after="0"/>
              <w:jc w:val="center"/>
              <w:rPr>
                <w:szCs w:val="20"/>
              </w:rPr>
            </w:pPr>
            <w:r>
              <w:rPr>
                <w:szCs w:val="20"/>
              </w:rPr>
              <w:t>4 (10.0)</w:t>
            </w:r>
          </w:p>
        </w:tc>
        <w:tc>
          <w:tcPr>
            <w:tcW w:w="923" w:type="pct"/>
            <w:tcBorders>
              <w:top w:val="nil"/>
              <w:bottom w:val="single" w:sz="4" w:space="0" w:color="auto"/>
            </w:tcBorders>
            <w:vAlign w:val="center"/>
          </w:tcPr>
          <w:p w:rsidR="00B6569C" w:rsidRDefault="00E82474">
            <w:pPr>
              <w:pStyle w:val="TableText0"/>
              <w:keepNext/>
              <w:keepLines/>
              <w:spacing w:before="0" w:after="0"/>
              <w:jc w:val="center"/>
              <w:rPr>
                <w:szCs w:val="20"/>
              </w:rPr>
            </w:pPr>
            <w:r>
              <w:rPr>
                <w:szCs w:val="20"/>
              </w:rPr>
              <w:t>Not reached (-, -)</w:t>
            </w:r>
          </w:p>
        </w:tc>
        <w:tc>
          <w:tcPr>
            <w:tcW w:w="925" w:type="pct"/>
            <w:tcBorders>
              <w:top w:val="nil"/>
              <w:bottom w:val="single" w:sz="4" w:space="0" w:color="auto"/>
            </w:tcBorders>
            <w:vAlign w:val="center"/>
          </w:tcPr>
          <w:p w:rsidR="00B6569C" w:rsidRDefault="00E82474">
            <w:pPr>
              <w:pStyle w:val="TableText0"/>
              <w:keepNext/>
              <w:keepLines/>
              <w:spacing w:before="0" w:after="0"/>
              <w:jc w:val="center"/>
              <w:rPr>
                <w:szCs w:val="20"/>
              </w:rPr>
            </w:pPr>
            <w:r>
              <w:rPr>
                <w:szCs w:val="20"/>
              </w:rPr>
              <w:t>95.0 (81.5, 98.7)</w:t>
            </w:r>
          </w:p>
        </w:tc>
        <w:tc>
          <w:tcPr>
            <w:tcW w:w="836" w:type="pct"/>
            <w:vMerge/>
            <w:tcBorders>
              <w:bottom w:val="single" w:sz="4" w:space="0" w:color="auto"/>
            </w:tcBorders>
            <w:vAlign w:val="center"/>
          </w:tcPr>
          <w:p w:rsidR="00B6569C" w:rsidRDefault="00B6569C">
            <w:pPr>
              <w:pStyle w:val="Tabletext"/>
              <w:jc w:val="center"/>
              <w:rPr>
                <w:szCs w:val="20"/>
              </w:rPr>
            </w:pPr>
          </w:p>
        </w:tc>
      </w:tr>
      <w:tr w:rsidR="00B6569C" w:rsidTr="001F7C95">
        <w:tc>
          <w:tcPr>
            <w:tcW w:w="773" w:type="pct"/>
            <w:vMerge w:val="restart"/>
            <w:vAlign w:val="center"/>
          </w:tcPr>
          <w:p w:rsidR="00B6569C" w:rsidRDefault="00E82474">
            <w:pPr>
              <w:pStyle w:val="Tabletext"/>
              <w:rPr>
                <w:szCs w:val="20"/>
                <w:lang w:eastAsia="en-AU"/>
              </w:rPr>
            </w:pPr>
            <w:r>
              <w:rPr>
                <w:szCs w:val="20"/>
              </w:rPr>
              <w:t>Stage IIIB</w:t>
            </w:r>
          </w:p>
        </w:tc>
        <w:tc>
          <w:tcPr>
            <w:tcW w:w="693" w:type="pct"/>
            <w:tcBorders>
              <w:bottom w:val="nil"/>
            </w:tcBorders>
            <w:vAlign w:val="center"/>
          </w:tcPr>
          <w:p w:rsidR="00B6569C" w:rsidRDefault="00E82474">
            <w:pPr>
              <w:pStyle w:val="Tabletext"/>
              <w:rPr>
                <w:szCs w:val="20"/>
                <w:lang w:eastAsia="en-AU"/>
              </w:rPr>
            </w:pPr>
            <w:r>
              <w:rPr>
                <w:szCs w:val="20"/>
              </w:rPr>
              <w:t>Pembrolizumab</w:t>
            </w:r>
          </w:p>
        </w:tc>
        <w:tc>
          <w:tcPr>
            <w:tcW w:w="231" w:type="pct"/>
            <w:tcBorders>
              <w:bottom w:val="nil"/>
            </w:tcBorders>
            <w:vAlign w:val="center"/>
          </w:tcPr>
          <w:p w:rsidR="00B6569C" w:rsidRDefault="00E82474">
            <w:pPr>
              <w:pStyle w:val="TableText0"/>
              <w:keepNext/>
              <w:keepLines/>
              <w:spacing w:before="0" w:after="0"/>
              <w:jc w:val="center"/>
              <w:rPr>
                <w:szCs w:val="20"/>
              </w:rPr>
            </w:pPr>
            <w:r>
              <w:rPr>
                <w:szCs w:val="20"/>
              </w:rPr>
              <w:t>164</w:t>
            </w:r>
          </w:p>
        </w:tc>
        <w:tc>
          <w:tcPr>
            <w:tcW w:w="619" w:type="pct"/>
            <w:tcBorders>
              <w:bottom w:val="nil"/>
            </w:tcBorders>
            <w:vAlign w:val="center"/>
          </w:tcPr>
          <w:p w:rsidR="00B6569C" w:rsidRDefault="00E82474">
            <w:pPr>
              <w:pStyle w:val="TableText0"/>
              <w:keepNext/>
              <w:keepLines/>
              <w:spacing w:before="0" w:after="0"/>
              <w:jc w:val="center"/>
              <w:rPr>
                <w:szCs w:val="20"/>
              </w:rPr>
            </w:pPr>
            <w:r>
              <w:rPr>
                <w:szCs w:val="20"/>
              </w:rPr>
              <w:t>39 (23.8)</w:t>
            </w:r>
          </w:p>
        </w:tc>
        <w:tc>
          <w:tcPr>
            <w:tcW w:w="923" w:type="pct"/>
            <w:tcBorders>
              <w:bottom w:val="nil"/>
            </w:tcBorders>
            <w:vAlign w:val="center"/>
          </w:tcPr>
          <w:p w:rsidR="00B6569C" w:rsidRDefault="00E82474">
            <w:pPr>
              <w:pStyle w:val="TableText0"/>
              <w:keepNext/>
              <w:keepLines/>
              <w:spacing w:before="0" w:after="0"/>
              <w:jc w:val="center"/>
              <w:rPr>
                <w:szCs w:val="20"/>
              </w:rPr>
            </w:pPr>
            <w:r>
              <w:rPr>
                <w:szCs w:val="20"/>
              </w:rPr>
              <w:t>Not reached (-, -)</w:t>
            </w:r>
          </w:p>
        </w:tc>
        <w:tc>
          <w:tcPr>
            <w:tcW w:w="925" w:type="pct"/>
            <w:tcBorders>
              <w:bottom w:val="nil"/>
            </w:tcBorders>
            <w:vAlign w:val="center"/>
          </w:tcPr>
          <w:p w:rsidR="00B6569C" w:rsidRDefault="00E82474">
            <w:pPr>
              <w:pStyle w:val="TableText0"/>
              <w:keepNext/>
              <w:keepLines/>
              <w:spacing w:before="0" w:after="0"/>
              <w:jc w:val="center"/>
              <w:rPr>
                <w:szCs w:val="20"/>
              </w:rPr>
            </w:pPr>
            <w:r>
              <w:rPr>
                <w:szCs w:val="20"/>
              </w:rPr>
              <w:t>85.1 (78.5, 89.7)</w:t>
            </w:r>
          </w:p>
        </w:tc>
        <w:tc>
          <w:tcPr>
            <w:tcW w:w="836" w:type="pct"/>
            <w:vMerge w:val="restart"/>
            <w:vAlign w:val="center"/>
          </w:tcPr>
          <w:p w:rsidR="00B6569C" w:rsidRDefault="00E82474">
            <w:pPr>
              <w:pStyle w:val="Tabletext"/>
              <w:jc w:val="center"/>
              <w:rPr>
                <w:b/>
                <w:szCs w:val="20"/>
              </w:rPr>
            </w:pPr>
            <w:r>
              <w:rPr>
                <w:b/>
                <w:szCs w:val="20"/>
              </w:rPr>
              <w:t>0.60 (0.41, 0.89)</w:t>
            </w:r>
          </w:p>
        </w:tc>
      </w:tr>
      <w:tr w:rsidR="00B6569C" w:rsidTr="001F7C95">
        <w:tc>
          <w:tcPr>
            <w:tcW w:w="773" w:type="pct"/>
            <w:vMerge/>
            <w:tcBorders>
              <w:bottom w:val="single" w:sz="4" w:space="0" w:color="auto"/>
            </w:tcBorders>
            <w:vAlign w:val="center"/>
          </w:tcPr>
          <w:p w:rsidR="00B6569C" w:rsidRDefault="00B6569C">
            <w:pPr>
              <w:pStyle w:val="Tabletext"/>
              <w:rPr>
                <w:szCs w:val="20"/>
                <w:lang w:eastAsia="en-AU"/>
              </w:rPr>
            </w:pPr>
          </w:p>
        </w:tc>
        <w:tc>
          <w:tcPr>
            <w:tcW w:w="693" w:type="pct"/>
            <w:tcBorders>
              <w:top w:val="nil"/>
              <w:bottom w:val="single" w:sz="4" w:space="0" w:color="auto"/>
            </w:tcBorders>
            <w:vAlign w:val="center"/>
          </w:tcPr>
          <w:p w:rsidR="00B6569C" w:rsidRDefault="00E82474">
            <w:pPr>
              <w:pStyle w:val="Tabletext"/>
              <w:rPr>
                <w:szCs w:val="20"/>
                <w:lang w:eastAsia="en-AU"/>
              </w:rPr>
            </w:pPr>
            <w:r>
              <w:rPr>
                <w:szCs w:val="20"/>
              </w:rPr>
              <w:t>Placebo</w:t>
            </w:r>
          </w:p>
        </w:tc>
        <w:tc>
          <w:tcPr>
            <w:tcW w:w="231" w:type="pct"/>
            <w:tcBorders>
              <w:top w:val="nil"/>
              <w:bottom w:val="single" w:sz="4" w:space="0" w:color="auto"/>
            </w:tcBorders>
            <w:vAlign w:val="center"/>
          </w:tcPr>
          <w:p w:rsidR="00B6569C" w:rsidRDefault="00E82474">
            <w:pPr>
              <w:pStyle w:val="TableText0"/>
              <w:keepNext/>
              <w:keepLines/>
              <w:spacing w:before="0" w:after="0"/>
              <w:jc w:val="center"/>
              <w:rPr>
                <w:szCs w:val="20"/>
              </w:rPr>
            </w:pPr>
            <w:r>
              <w:rPr>
                <w:szCs w:val="20"/>
              </w:rPr>
              <w:t>191</w:t>
            </w:r>
          </w:p>
        </w:tc>
        <w:tc>
          <w:tcPr>
            <w:tcW w:w="619" w:type="pct"/>
            <w:tcBorders>
              <w:top w:val="nil"/>
              <w:bottom w:val="single" w:sz="4" w:space="0" w:color="auto"/>
            </w:tcBorders>
            <w:vAlign w:val="center"/>
          </w:tcPr>
          <w:p w:rsidR="00B6569C" w:rsidRDefault="00E82474">
            <w:pPr>
              <w:pStyle w:val="TableText0"/>
              <w:keepNext/>
              <w:keepLines/>
              <w:spacing w:before="0" w:after="0"/>
              <w:jc w:val="center"/>
              <w:rPr>
                <w:szCs w:val="20"/>
              </w:rPr>
            </w:pPr>
            <w:r>
              <w:rPr>
                <w:szCs w:val="20"/>
              </w:rPr>
              <w:t>71 (37.2)</w:t>
            </w:r>
          </w:p>
        </w:tc>
        <w:tc>
          <w:tcPr>
            <w:tcW w:w="923" w:type="pct"/>
            <w:tcBorders>
              <w:top w:val="nil"/>
              <w:bottom w:val="single" w:sz="4" w:space="0" w:color="auto"/>
            </w:tcBorders>
            <w:vAlign w:val="center"/>
          </w:tcPr>
          <w:p w:rsidR="00B6569C" w:rsidRDefault="00E82474">
            <w:pPr>
              <w:pStyle w:val="TableText0"/>
              <w:keepNext/>
              <w:keepLines/>
              <w:spacing w:before="0" w:after="0"/>
              <w:jc w:val="center"/>
              <w:rPr>
                <w:szCs w:val="20"/>
              </w:rPr>
            </w:pPr>
            <w:r>
              <w:rPr>
                <w:szCs w:val="20"/>
              </w:rPr>
              <w:t>Not reached (20.4, -)</w:t>
            </w:r>
          </w:p>
        </w:tc>
        <w:tc>
          <w:tcPr>
            <w:tcW w:w="925" w:type="pct"/>
            <w:tcBorders>
              <w:top w:val="nil"/>
              <w:bottom w:val="single" w:sz="4" w:space="0" w:color="auto"/>
            </w:tcBorders>
            <w:vAlign w:val="center"/>
          </w:tcPr>
          <w:p w:rsidR="00B6569C" w:rsidRDefault="00E82474">
            <w:pPr>
              <w:pStyle w:val="TableText0"/>
              <w:keepNext/>
              <w:keepLines/>
              <w:spacing w:before="0" w:after="0"/>
              <w:jc w:val="center"/>
              <w:rPr>
                <w:szCs w:val="20"/>
              </w:rPr>
            </w:pPr>
            <w:r>
              <w:rPr>
                <w:szCs w:val="20"/>
              </w:rPr>
              <w:t>79.8 (73.3, 84.9)</w:t>
            </w:r>
          </w:p>
        </w:tc>
        <w:tc>
          <w:tcPr>
            <w:tcW w:w="836" w:type="pct"/>
            <w:vMerge/>
            <w:tcBorders>
              <w:bottom w:val="single" w:sz="4" w:space="0" w:color="auto"/>
            </w:tcBorders>
            <w:vAlign w:val="center"/>
          </w:tcPr>
          <w:p w:rsidR="00B6569C" w:rsidRDefault="00B6569C">
            <w:pPr>
              <w:pStyle w:val="Tabletext"/>
              <w:jc w:val="center"/>
              <w:rPr>
                <w:szCs w:val="20"/>
              </w:rPr>
            </w:pPr>
          </w:p>
        </w:tc>
      </w:tr>
      <w:tr w:rsidR="00B6569C" w:rsidTr="001F7C95">
        <w:tc>
          <w:tcPr>
            <w:tcW w:w="773" w:type="pct"/>
            <w:vMerge w:val="restart"/>
            <w:vAlign w:val="center"/>
          </w:tcPr>
          <w:p w:rsidR="00B6569C" w:rsidRDefault="00E82474">
            <w:pPr>
              <w:pStyle w:val="Tabletext"/>
              <w:rPr>
                <w:szCs w:val="20"/>
                <w:lang w:eastAsia="en-AU"/>
              </w:rPr>
            </w:pPr>
            <w:r>
              <w:rPr>
                <w:szCs w:val="20"/>
              </w:rPr>
              <w:t>Stage IIIC</w:t>
            </w:r>
          </w:p>
        </w:tc>
        <w:tc>
          <w:tcPr>
            <w:tcW w:w="693" w:type="pct"/>
            <w:tcBorders>
              <w:bottom w:val="nil"/>
            </w:tcBorders>
          </w:tcPr>
          <w:p w:rsidR="00B6569C" w:rsidRDefault="00E82474">
            <w:pPr>
              <w:pStyle w:val="Tabletext"/>
              <w:rPr>
                <w:szCs w:val="20"/>
                <w:lang w:eastAsia="en-AU"/>
              </w:rPr>
            </w:pPr>
            <w:r>
              <w:rPr>
                <w:szCs w:val="20"/>
              </w:rPr>
              <w:t>Pembrolizumab</w:t>
            </w:r>
          </w:p>
        </w:tc>
        <w:tc>
          <w:tcPr>
            <w:tcW w:w="231" w:type="pct"/>
            <w:tcBorders>
              <w:bottom w:val="nil"/>
            </w:tcBorders>
          </w:tcPr>
          <w:p w:rsidR="00B6569C" w:rsidRDefault="00E82474">
            <w:pPr>
              <w:pStyle w:val="TableText0"/>
              <w:spacing w:before="0" w:after="0"/>
              <w:jc w:val="center"/>
              <w:rPr>
                <w:szCs w:val="20"/>
              </w:rPr>
            </w:pPr>
            <w:r>
              <w:rPr>
                <w:szCs w:val="20"/>
              </w:rPr>
              <w:t>267</w:t>
            </w:r>
          </w:p>
        </w:tc>
        <w:tc>
          <w:tcPr>
            <w:tcW w:w="619" w:type="pct"/>
            <w:tcBorders>
              <w:bottom w:val="nil"/>
            </w:tcBorders>
          </w:tcPr>
          <w:p w:rsidR="00B6569C" w:rsidRDefault="00E82474">
            <w:pPr>
              <w:pStyle w:val="TableText0"/>
              <w:spacing w:before="0" w:after="0"/>
              <w:jc w:val="center"/>
              <w:rPr>
                <w:szCs w:val="20"/>
              </w:rPr>
            </w:pPr>
            <w:r>
              <w:rPr>
                <w:szCs w:val="20"/>
              </w:rPr>
              <w:t>75 (28.1)</w:t>
            </w:r>
          </w:p>
        </w:tc>
        <w:tc>
          <w:tcPr>
            <w:tcW w:w="923" w:type="pct"/>
            <w:tcBorders>
              <w:bottom w:val="nil"/>
            </w:tcBorders>
          </w:tcPr>
          <w:p w:rsidR="00B6569C" w:rsidRDefault="00E82474">
            <w:pPr>
              <w:pStyle w:val="TableText0"/>
              <w:spacing w:before="0" w:after="0"/>
              <w:jc w:val="center"/>
              <w:rPr>
                <w:szCs w:val="20"/>
              </w:rPr>
            </w:pPr>
            <w:r>
              <w:rPr>
                <w:szCs w:val="20"/>
              </w:rPr>
              <w:t>Not reached (-, -)</w:t>
            </w:r>
          </w:p>
        </w:tc>
        <w:tc>
          <w:tcPr>
            <w:tcW w:w="925" w:type="pct"/>
            <w:tcBorders>
              <w:bottom w:val="nil"/>
            </w:tcBorders>
          </w:tcPr>
          <w:p w:rsidR="00B6569C" w:rsidRDefault="00E82474">
            <w:pPr>
              <w:pStyle w:val="TableText0"/>
              <w:spacing w:before="0" w:after="0"/>
              <w:jc w:val="center"/>
              <w:rPr>
                <w:szCs w:val="20"/>
              </w:rPr>
            </w:pPr>
            <w:r>
              <w:rPr>
                <w:szCs w:val="20"/>
              </w:rPr>
              <w:t>81.9 (76.7, 86.0)</w:t>
            </w:r>
          </w:p>
        </w:tc>
        <w:tc>
          <w:tcPr>
            <w:tcW w:w="836" w:type="pct"/>
            <w:vMerge w:val="restart"/>
            <w:vAlign w:val="center"/>
          </w:tcPr>
          <w:p w:rsidR="00B6569C" w:rsidRDefault="00E82474">
            <w:pPr>
              <w:pStyle w:val="TableText0"/>
              <w:spacing w:before="0" w:after="0"/>
              <w:jc w:val="center"/>
              <w:rPr>
                <w:b/>
                <w:szCs w:val="20"/>
              </w:rPr>
            </w:pPr>
            <w:r>
              <w:rPr>
                <w:b/>
                <w:szCs w:val="20"/>
              </w:rPr>
              <w:t>0.48 (0.36, 0.65)</w:t>
            </w:r>
          </w:p>
        </w:tc>
      </w:tr>
      <w:tr w:rsidR="00B6569C" w:rsidTr="001F7C95">
        <w:tc>
          <w:tcPr>
            <w:tcW w:w="773" w:type="pct"/>
            <w:vMerge/>
            <w:tcBorders>
              <w:bottom w:val="single" w:sz="4" w:space="0" w:color="auto"/>
            </w:tcBorders>
            <w:vAlign w:val="center"/>
          </w:tcPr>
          <w:p w:rsidR="00B6569C" w:rsidRDefault="00B6569C">
            <w:pPr>
              <w:pStyle w:val="Tabletext"/>
              <w:rPr>
                <w:szCs w:val="20"/>
                <w:lang w:eastAsia="en-AU"/>
              </w:rPr>
            </w:pPr>
          </w:p>
        </w:tc>
        <w:tc>
          <w:tcPr>
            <w:tcW w:w="693" w:type="pct"/>
            <w:tcBorders>
              <w:top w:val="nil"/>
              <w:bottom w:val="single" w:sz="4" w:space="0" w:color="auto"/>
            </w:tcBorders>
          </w:tcPr>
          <w:p w:rsidR="00B6569C" w:rsidRDefault="00E82474">
            <w:pPr>
              <w:pStyle w:val="Tabletext"/>
              <w:rPr>
                <w:szCs w:val="20"/>
                <w:lang w:eastAsia="en-AU"/>
              </w:rPr>
            </w:pPr>
            <w:r>
              <w:rPr>
                <w:szCs w:val="20"/>
              </w:rPr>
              <w:t>Placebo</w:t>
            </w:r>
          </w:p>
        </w:tc>
        <w:tc>
          <w:tcPr>
            <w:tcW w:w="231" w:type="pct"/>
            <w:tcBorders>
              <w:top w:val="nil"/>
              <w:bottom w:val="single" w:sz="4" w:space="0" w:color="auto"/>
            </w:tcBorders>
          </w:tcPr>
          <w:p w:rsidR="00B6569C" w:rsidRDefault="00E82474">
            <w:pPr>
              <w:pStyle w:val="TableText0"/>
              <w:spacing w:before="0" w:after="0"/>
              <w:jc w:val="center"/>
              <w:rPr>
                <w:szCs w:val="20"/>
              </w:rPr>
            </w:pPr>
            <w:r>
              <w:rPr>
                <w:szCs w:val="20"/>
              </w:rPr>
              <w:t>236</w:t>
            </w:r>
          </w:p>
        </w:tc>
        <w:tc>
          <w:tcPr>
            <w:tcW w:w="619" w:type="pct"/>
            <w:tcBorders>
              <w:top w:val="nil"/>
              <w:bottom w:val="single" w:sz="4" w:space="0" w:color="auto"/>
            </w:tcBorders>
          </w:tcPr>
          <w:p w:rsidR="00B6569C" w:rsidRDefault="00E82474">
            <w:pPr>
              <w:pStyle w:val="TableText0"/>
              <w:spacing w:before="0" w:after="0"/>
              <w:jc w:val="center"/>
              <w:rPr>
                <w:szCs w:val="20"/>
              </w:rPr>
            </w:pPr>
            <w:r>
              <w:rPr>
                <w:szCs w:val="20"/>
              </w:rPr>
              <w:t>119 (50.4)</w:t>
            </w:r>
          </w:p>
        </w:tc>
        <w:tc>
          <w:tcPr>
            <w:tcW w:w="923" w:type="pct"/>
            <w:tcBorders>
              <w:top w:val="nil"/>
              <w:bottom w:val="single" w:sz="4" w:space="0" w:color="auto"/>
            </w:tcBorders>
          </w:tcPr>
          <w:p w:rsidR="00B6569C" w:rsidRDefault="00E82474">
            <w:pPr>
              <w:pStyle w:val="TableText0"/>
              <w:spacing w:before="0" w:after="0"/>
              <w:jc w:val="center"/>
              <w:rPr>
                <w:szCs w:val="20"/>
              </w:rPr>
            </w:pPr>
            <w:r>
              <w:rPr>
                <w:szCs w:val="20"/>
              </w:rPr>
              <w:t>15.0 (11.0, 19.4)</w:t>
            </w:r>
          </w:p>
        </w:tc>
        <w:tc>
          <w:tcPr>
            <w:tcW w:w="925" w:type="pct"/>
            <w:tcBorders>
              <w:top w:val="nil"/>
              <w:bottom w:val="single" w:sz="4" w:space="0" w:color="auto"/>
            </w:tcBorders>
          </w:tcPr>
          <w:p w:rsidR="00B6569C" w:rsidRDefault="00E82474">
            <w:pPr>
              <w:pStyle w:val="TableText0"/>
              <w:spacing w:before="0" w:after="0"/>
              <w:jc w:val="center"/>
              <w:rPr>
                <w:szCs w:val="20"/>
              </w:rPr>
            </w:pPr>
            <w:r>
              <w:rPr>
                <w:szCs w:val="20"/>
              </w:rPr>
              <w:t>67.4 (60.9, 73.0)</w:t>
            </w:r>
          </w:p>
        </w:tc>
        <w:tc>
          <w:tcPr>
            <w:tcW w:w="836" w:type="pct"/>
            <w:vMerge/>
            <w:tcBorders>
              <w:bottom w:val="single" w:sz="4" w:space="0" w:color="auto"/>
            </w:tcBorders>
          </w:tcPr>
          <w:p w:rsidR="00B6569C" w:rsidRDefault="00B6569C">
            <w:pPr>
              <w:pStyle w:val="TableText0"/>
              <w:spacing w:before="0" w:after="0"/>
              <w:jc w:val="center"/>
              <w:rPr>
                <w:i/>
                <w:szCs w:val="20"/>
              </w:rPr>
            </w:pPr>
          </w:p>
        </w:tc>
      </w:tr>
      <w:tr w:rsidR="00B6569C" w:rsidTr="001F7C95">
        <w:tc>
          <w:tcPr>
            <w:tcW w:w="773" w:type="pct"/>
            <w:vMerge w:val="restart"/>
            <w:vAlign w:val="center"/>
          </w:tcPr>
          <w:p w:rsidR="00B6569C" w:rsidRDefault="00E82474">
            <w:pPr>
              <w:pStyle w:val="Tabletext"/>
              <w:rPr>
                <w:szCs w:val="20"/>
                <w:lang w:eastAsia="en-AU"/>
              </w:rPr>
            </w:pPr>
            <w:r>
              <w:rPr>
                <w:szCs w:val="20"/>
              </w:rPr>
              <w:t>Stage IIID</w:t>
            </w:r>
          </w:p>
        </w:tc>
        <w:tc>
          <w:tcPr>
            <w:tcW w:w="693" w:type="pct"/>
            <w:tcBorders>
              <w:bottom w:val="nil"/>
            </w:tcBorders>
          </w:tcPr>
          <w:p w:rsidR="00B6569C" w:rsidRDefault="00E82474">
            <w:pPr>
              <w:pStyle w:val="Tabletext"/>
              <w:rPr>
                <w:szCs w:val="20"/>
                <w:lang w:eastAsia="en-AU"/>
              </w:rPr>
            </w:pPr>
            <w:r>
              <w:rPr>
                <w:szCs w:val="20"/>
              </w:rPr>
              <w:t>Pembrolizumab</w:t>
            </w:r>
          </w:p>
        </w:tc>
        <w:tc>
          <w:tcPr>
            <w:tcW w:w="231" w:type="pct"/>
            <w:tcBorders>
              <w:bottom w:val="nil"/>
            </w:tcBorders>
          </w:tcPr>
          <w:p w:rsidR="00B6569C" w:rsidRDefault="00E82474">
            <w:pPr>
              <w:pStyle w:val="TableText0"/>
              <w:keepNext/>
              <w:keepLines/>
              <w:spacing w:before="0" w:after="0"/>
              <w:jc w:val="center"/>
              <w:rPr>
                <w:szCs w:val="20"/>
              </w:rPr>
            </w:pPr>
            <w:r>
              <w:rPr>
                <w:szCs w:val="20"/>
              </w:rPr>
              <w:t>19</w:t>
            </w:r>
          </w:p>
        </w:tc>
        <w:tc>
          <w:tcPr>
            <w:tcW w:w="619" w:type="pct"/>
            <w:tcBorders>
              <w:bottom w:val="nil"/>
            </w:tcBorders>
          </w:tcPr>
          <w:p w:rsidR="00B6569C" w:rsidRDefault="00E82474">
            <w:pPr>
              <w:pStyle w:val="TableText0"/>
              <w:keepNext/>
              <w:keepLines/>
              <w:spacing w:before="0" w:after="0"/>
              <w:jc w:val="center"/>
              <w:rPr>
                <w:szCs w:val="20"/>
              </w:rPr>
            </w:pPr>
            <w:r>
              <w:rPr>
                <w:szCs w:val="20"/>
              </w:rPr>
              <w:t>10 (52.6)</w:t>
            </w:r>
          </w:p>
        </w:tc>
        <w:tc>
          <w:tcPr>
            <w:tcW w:w="923" w:type="pct"/>
            <w:tcBorders>
              <w:bottom w:val="nil"/>
            </w:tcBorders>
          </w:tcPr>
          <w:p w:rsidR="00B6569C" w:rsidRDefault="00E82474">
            <w:pPr>
              <w:pStyle w:val="TableText0"/>
              <w:keepNext/>
              <w:keepLines/>
              <w:spacing w:before="0" w:after="0"/>
              <w:jc w:val="center"/>
              <w:rPr>
                <w:szCs w:val="20"/>
              </w:rPr>
            </w:pPr>
            <w:r>
              <w:rPr>
                <w:szCs w:val="20"/>
              </w:rPr>
              <w:t>12.9 (2.7, -)</w:t>
            </w:r>
          </w:p>
        </w:tc>
        <w:tc>
          <w:tcPr>
            <w:tcW w:w="925" w:type="pct"/>
            <w:tcBorders>
              <w:bottom w:val="nil"/>
            </w:tcBorders>
          </w:tcPr>
          <w:p w:rsidR="00B6569C" w:rsidRDefault="00E82474">
            <w:pPr>
              <w:pStyle w:val="TableText0"/>
              <w:keepNext/>
              <w:keepLines/>
              <w:spacing w:before="0" w:after="0"/>
              <w:jc w:val="center"/>
              <w:rPr>
                <w:szCs w:val="20"/>
              </w:rPr>
            </w:pPr>
            <w:r>
              <w:rPr>
                <w:szCs w:val="20"/>
              </w:rPr>
              <w:t>57.9 (33.2, 76.3)</w:t>
            </w:r>
          </w:p>
        </w:tc>
        <w:tc>
          <w:tcPr>
            <w:tcW w:w="836" w:type="pct"/>
            <w:vMerge w:val="restart"/>
            <w:vAlign w:val="center"/>
          </w:tcPr>
          <w:p w:rsidR="00B6569C" w:rsidRDefault="00E82474">
            <w:pPr>
              <w:pStyle w:val="TableText0"/>
              <w:keepNext/>
              <w:keepLines/>
              <w:spacing w:before="0" w:after="0"/>
              <w:jc w:val="center"/>
              <w:rPr>
                <w:szCs w:val="20"/>
              </w:rPr>
            </w:pPr>
            <w:r>
              <w:rPr>
                <w:szCs w:val="20"/>
              </w:rPr>
              <w:t>0.62 (0.28, 1.37)</w:t>
            </w:r>
          </w:p>
        </w:tc>
      </w:tr>
      <w:tr w:rsidR="00B6569C" w:rsidTr="001F7C95">
        <w:tc>
          <w:tcPr>
            <w:tcW w:w="773" w:type="pct"/>
            <w:vMerge/>
          </w:tcPr>
          <w:p w:rsidR="00B6569C" w:rsidRDefault="00B6569C">
            <w:pPr>
              <w:pStyle w:val="Tabletext"/>
              <w:rPr>
                <w:szCs w:val="20"/>
                <w:lang w:eastAsia="en-AU"/>
              </w:rPr>
            </w:pPr>
          </w:p>
        </w:tc>
        <w:tc>
          <w:tcPr>
            <w:tcW w:w="693" w:type="pct"/>
            <w:tcBorders>
              <w:top w:val="nil"/>
            </w:tcBorders>
          </w:tcPr>
          <w:p w:rsidR="00B6569C" w:rsidRDefault="00E82474">
            <w:pPr>
              <w:pStyle w:val="Tabletext"/>
              <w:rPr>
                <w:szCs w:val="20"/>
                <w:lang w:eastAsia="en-AU"/>
              </w:rPr>
            </w:pPr>
            <w:r>
              <w:rPr>
                <w:szCs w:val="20"/>
              </w:rPr>
              <w:t>Placebo</w:t>
            </w:r>
          </w:p>
        </w:tc>
        <w:tc>
          <w:tcPr>
            <w:tcW w:w="231" w:type="pct"/>
            <w:tcBorders>
              <w:top w:val="nil"/>
            </w:tcBorders>
          </w:tcPr>
          <w:p w:rsidR="00B6569C" w:rsidRDefault="00E82474">
            <w:pPr>
              <w:pStyle w:val="TableText0"/>
              <w:keepNext/>
              <w:keepLines/>
              <w:spacing w:before="0" w:after="0"/>
              <w:jc w:val="center"/>
              <w:rPr>
                <w:szCs w:val="20"/>
              </w:rPr>
            </w:pPr>
            <w:r>
              <w:rPr>
                <w:szCs w:val="20"/>
              </w:rPr>
              <w:t>20</w:t>
            </w:r>
          </w:p>
        </w:tc>
        <w:tc>
          <w:tcPr>
            <w:tcW w:w="619" w:type="pct"/>
            <w:tcBorders>
              <w:top w:val="nil"/>
            </w:tcBorders>
          </w:tcPr>
          <w:p w:rsidR="00B6569C" w:rsidRDefault="00E82474">
            <w:pPr>
              <w:pStyle w:val="TableText0"/>
              <w:keepNext/>
              <w:keepLines/>
              <w:spacing w:before="0" w:after="0"/>
              <w:jc w:val="center"/>
              <w:rPr>
                <w:szCs w:val="20"/>
              </w:rPr>
            </w:pPr>
            <w:r>
              <w:rPr>
                <w:szCs w:val="20"/>
              </w:rPr>
              <w:t>15 (75.0)</w:t>
            </w:r>
          </w:p>
        </w:tc>
        <w:tc>
          <w:tcPr>
            <w:tcW w:w="923" w:type="pct"/>
            <w:tcBorders>
              <w:top w:val="nil"/>
            </w:tcBorders>
          </w:tcPr>
          <w:p w:rsidR="00B6569C" w:rsidRDefault="00E82474">
            <w:pPr>
              <w:pStyle w:val="TableText0"/>
              <w:keepNext/>
              <w:keepLines/>
              <w:spacing w:before="0" w:after="0"/>
              <w:jc w:val="center"/>
              <w:rPr>
                <w:szCs w:val="20"/>
              </w:rPr>
            </w:pPr>
            <w:r>
              <w:rPr>
                <w:szCs w:val="20"/>
              </w:rPr>
              <w:t>4.9 (2.7, 15.4)</w:t>
            </w:r>
          </w:p>
        </w:tc>
        <w:tc>
          <w:tcPr>
            <w:tcW w:w="925" w:type="pct"/>
            <w:tcBorders>
              <w:top w:val="nil"/>
            </w:tcBorders>
          </w:tcPr>
          <w:p w:rsidR="00B6569C" w:rsidRDefault="00E82474">
            <w:pPr>
              <w:pStyle w:val="TableText0"/>
              <w:keepNext/>
              <w:keepLines/>
              <w:spacing w:before="0" w:after="0"/>
              <w:jc w:val="center"/>
              <w:rPr>
                <w:szCs w:val="20"/>
              </w:rPr>
            </w:pPr>
            <w:r>
              <w:rPr>
                <w:szCs w:val="20"/>
              </w:rPr>
              <w:t>45.0 (23.1, 64.7)</w:t>
            </w:r>
          </w:p>
        </w:tc>
        <w:tc>
          <w:tcPr>
            <w:tcW w:w="836" w:type="pct"/>
            <w:vMerge/>
          </w:tcPr>
          <w:p w:rsidR="00B6569C" w:rsidRDefault="00B6569C">
            <w:pPr>
              <w:pStyle w:val="TableText0"/>
              <w:keepNext/>
              <w:keepLines/>
              <w:spacing w:before="0" w:after="0"/>
              <w:jc w:val="both"/>
              <w:rPr>
                <w:szCs w:val="20"/>
              </w:rPr>
            </w:pPr>
          </w:p>
        </w:tc>
      </w:tr>
      <w:tr w:rsidR="00B6569C" w:rsidTr="001F7C95">
        <w:tc>
          <w:tcPr>
            <w:tcW w:w="773" w:type="pct"/>
            <w:vMerge w:val="restart"/>
            <w:vAlign w:val="center"/>
          </w:tcPr>
          <w:p w:rsidR="00B6569C" w:rsidRDefault="00E82474">
            <w:pPr>
              <w:pStyle w:val="Tabletext"/>
              <w:rPr>
                <w:szCs w:val="20"/>
                <w:lang w:eastAsia="en-AU"/>
              </w:rPr>
            </w:pPr>
            <w:r>
              <w:rPr>
                <w:szCs w:val="20"/>
              </w:rPr>
              <w:t>Pooled Stages IIIC and IIID</w:t>
            </w:r>
          </w:p>
        </w:tc>
        <w:tc>
          <w:tcPr>
            <w:tcW w:w="693" w:type="pct"/>
            <w:tcBorders>
              <w:bottom w:val="nil"/>
            </w:tcBorders>
            <w:vAlign w:val="center"/>
          </w:tcPr>
          <w:p w:rsidR="00B6569C" w:rsidRDefault="00E82474">
            <w:pPr>
              <w:pStyle w:val="Tabletext"/>
              <w:rPr>
                <w:szCs w:val="20"/>
                <w:lang w:eastAsia="en-AU"/>
              </w:rPr>
            </w:pPr>
            <w:r>
              <w:rPr>
                <w:szCs w:val="20"/>
              </w:rPr>
              <w:t>Pembrolizumab</w:t>
            </w:r>
          </w:p>
        </w:tc>
        <w:tc>
          <w:tcPr>
            <w:tcW w:w="231" w:type="pct"/>
            <w:tcBorders>
              <w:bottom w:val="nil"/>
            </w:tcBorders>
            <w:vAlign w:val="center"/>
          </w:tcPr>
          <w:p w:rsidR="00B6569C" w:rsidRDefault="00E82474">
            <w:pPr>
              <w:pStyle w:val="TableText0"/>
              <w:keepNext/>
              <w:keepLines/>
              <w:spacing w:before="0" w:after="0"/>
              <w:jc w:val="center"/>
              <w:rPr>
                <w:szCs w:val="20"/>
              </w:rPr>
            </w:pPr>
            <w:r>
              <w:rPr>
                <w:szCs w:val="20"/>
              </w:rPr>
              <w:t>286</w:t>
            </w:r>
          </w:p>
        </w:tc>
        <w:tc>
          <w:tcPr>
            <w:tcW w:w="619" w:type="pct"/>
            <w:tcBorders>
              <w:bottom w:val="nil"/>
            </w:tcBorders>
            <w:vAlign w:val="center"/>
          </w:tcPr>
          <w:p w:rsidR="00B6569C" w:rsidRDefault="00E82474">
            <w:pPr>
              <w:pStyle w:val="TableText0"/>
              <w:keepNext/>
              <w:keepLines/>
              <w:spacing w:before="0" w:after="0"/>
              <w:jc w:val="center"/>
              <w:rPr>
                <w:szCs w:val="20"/>
              </w:rPr>
            </w:pPr>
            <w:r>
              <w:rPr>
                <w:szCs w:val="20"/>
              </w:rPr>
              <w:t>85 (NR)</w:t>
            </w:r>
          </w:p>
        </w:tc>
        <w:tc>
          <w:tcPr>
            <w:tcW w:w="923" w:type="pct"/>
            <w:tcBorders>
              <w:bottom w:val="nil"/>
            </w:tcBorders>
            <w:vAlign w:val="center"/>
          </w:tcPr>
          <w:p w:rsidR="00B6569C" w:rsidRDefault="00E82474">
            <w:pPr>
              <w:pStyle w:val="TableText0"/>
              <w:keepNext/>
              <w:keepLines/>
              <w:spacing w:before="0" w:after="0"/>
              <w:jc w:val="center"/>
              <w:rPr>
                <w:szCs w:val="20"/>
              </w:rPr>
            </w:pPr>
            <w:r>
              <w:rPr>
                <w:szCs w:val="20"/>
              </w:rPr>
              <w:t>NR</w:t>
            </w:r>
          </w:p>
        </w:tc>
        <w:tc>
          <w:tcPr>
            <w:tcW w:w="925" w:type="pct"/>
            <w:tcBorders>
              <w:bottom w:val="nil"/>
            </w:tcBorders>
            <w:vAlign w:val="center"/>
          </w:tcPr>
          <w:p w:rsidR="00B6569C" w:rsidRDefault="00E82474">
            <w:pPr>
              <w:pStyle w:val="TableText0"/>
              <w:keepNext/>
              <w:keepLines/>
              <w:spacing w:before="0" w:after="0"/>
              <w:jc w:val="center"/>
              <w:rPr>
                <w:szCs w:val="20"/>
              </w:rPr>
            </w:pPr>
            <w:r>
              <w:rPr>
                <w:szCs w:val="20"/>
              </w:rPr>
              <w:t>NR</w:t>
            </w:r>
          </w:p>
        </w:tc>
        <w:tc>
          <w:tcPr>
            <w:tcW w:w="836" w:type="pct"/>
            <w:vMerge w:val="restart"/>
            <w:vAlign w:val="center"/>
          </w:tcPr>
          <w:p w:rsidR="00B6569C" w:rsidRDefault="00E82474">
            <w:pPr>
              <w:pStyle w:val="TableText0"/>
              <w:keepNext/>
              <w:keepLines/>
              <w:spacing w:before="0" w:after="0"/>
              <w:jc w:val="center"/>
              <w:rPr>
                <w:b/>
                <w:szCs w:val="20"/>
              </w:rPr>
            </w:pPr>
            <w:r>
              <w:rPr>
                <w:b/>
                <w:szCs w:val="20"/>
              </w:rPr>
              <w:t>0.50 (0.37, 0.66)</w:t>
            </w:r>
          </w:p>
        </w:tc>
      </w:tr>
      <w:tr w:rsidR="00B6569C" w:rsidTr="001F7C95">
        <w:tc>
          <w:tcPr>
            <w:tcW w:w="773" w:type="pct"/>
            <w:vMerge/>
            <w:tcBorders>
              <w:bottom w:val="single" w:sz="4" w:space="0" w:color="auto"/>
            </w:tcBorders>
            <w:vAlign w:val="center"/>
          </w:tcPr>
          <w:p w:rsidR="00B6569C" w:rsidRDefault="00B6569C">
            <w:pPr>
              <w:pStyle w:val="Tabletext"/>
              <w:rPr>
                <w:szCs w:val="20"/>
                <w:lang w:eastAsia="en-AU"/>
              </w:rPr>
            </w:pPr>
          </w:p>
        </w:tc>
        <w:tc>
          <w:tcPr>
            <w:tcW w:w="693" w:type="pct"/>
            <w:tcBorders>
              <w:top w:val="nil"/>
              <w:bottom w:val="single" w:sz="4" w:space="0" w:color="auto"/>
            </w:tcBorders>
            <w:vAlign w:val="center"/>
          </w:tcPr>
          <w:p w:rsidR="00B6569C" w:rsidRDefault="00E82474">
            <w:pPr>
              <w:pStyle w:val="Tabletext"/>
              <w:rPr>
                <w:szCs w:val="20"/>
                <w:lang w:eastAsia="en-AU"/>
              </w:rPr>
            </w:pPr>
            <w:r>
              <w:rPr>
                <w:szCs w:val="20"/>
              </w:rPr>
              <w:t>Placebo</w:t>
            </w:r>
          </w:p>
        </w:tc>
        <w:tc>
          <w:tcPr>
            <w:tcW w:w="231" w:type="pct"/>
            <w:tcBorders>
              <w:top w:val="nil"/>
              <w:bottom w:val="single" w:sz="4" w:space="0" w:color="auto"/>
            </w:tcBorders>
            <w:vAlign w:val="center"/>
          </w:tcPr>
          <w:p w:rsidR="00B6569C" w:rsidRDefault="00E82474">
            <w:pPr>
              <w:pStyle w:val="TableText0"/>
              <w:keepNext/>
              <w:keepLines/>
              <w:spacing w:before="0" w:after="0"/>
              <w:jc w:val="center"/>
              <w:rPr>
                <w:szCs w:val="20"/>
              </w:rPr>
            </w:pPr>
            <w:r>
              <w:rPr>
                <w:szCs w:val="20"/>
              </w:rPr>
              <w:t>256</w:t>
            </w:r>
          </w:p>
        </w:tc>
        <w:tc>
          <w:tcPr>
            <w:tcW w:w="619" w:type="pct"/>
            <w:tcBorders>
              <w:top w:val="nil"/>
              <w:bottom w:val="single" w:sz="4" w:space="0" w:color="auto"/>
            </w:tcBorders>
            <w:vAlign w:val="center"/>
          </w:tcPr>
          <w:p w:rsidR="00B6569C" w:rsidRDefault="00E82474">
            <w:pPr>
              <w:pStyle w:val="TableText0"/>
              <w:keepNext/>
              <w:keepLines/>
              <w:spacing w:before="0" w:after="0"/>
              <w:jc w:val="center"/>
              <w:rPr>
                <w:szCs w:val="20"/>
              </w:rPr>
            </w:pPr>
            <w:r>
              <w:rPr>
                <w:szCs w:val="20"/>
              </w:rPr>
              <w:t>134 NR)</w:t>
            </w:r>
          </w:p>
        </w:tc>
        <w:tc>
          <w:tcPr>
            <w:tcW w:w="923" w:type="pct"/>
            <w:tcBorders>
              <w:top w:val="nil"/>
              <w:bottom w:val="single" w:sz="4" w:space="0" w:color="auto"/>
            </w:tcBorders>
            <w:vAlign w:val="center"/>
          </w:tcPr>
          <w:p w:rsidR="00B6569C" w:rsidRDefault="00E82474">
            <w:pPr>
              <w:pStyle w:val="TableText0"/>
              <w:keepNext/>
              <w:keepLines/>
              <w:spacing w:before="0" w:after="0"/>
              <w:jc w:val="center"/>
              <w:rPr>
                <w:szCs w:val="20"/>
              </w:rPr>
            </w:pPr>
            <w:r>
              <w:rPr>
                <w:szCs w:val="20"/>
              </w:rPr>
              <w:t>NR</w:t>
            </w:r>
          </w:p>
        </w:tc>
        <w:tc>
          <w:tcPr>
            <w:tcW w:w="925" w:type="pct"/>
            <w:tcBorders>
              <w:top w:val="nil"/>
              <w:bottom w:val="single" w:sz="4" w:space="0" w:color="auto"/>
            </w:tcBorders>
            <w:vAlign w:val="center"/>
          </w:tcPr>
          <w:p w:rsidR="00B6569C" w:rsidRDefault="00E82474">
            <w:pPr>
              <w:pStyle w:val="TableText0"/>
              <w:keepNext/>
              <w:keepLines/>
              <w:spacing w:before="0" w:after="0"/>
              <w:jc w:val="center"/>
              <w:rPr>
                <w:szCs w:val="20"/>
              </w:rPr>
            </w:pPr>
            <w:r>
              <w:rPr>
                <w:szCs w:val="20"/>
              </w:rPr>
              <w:t>NR</w:t>
            </w:r>
          </w:p>
        </w:tc>
        <w:tc>
          <w:tcPr>
            <w:tcW w:w="836" w:type="pct"/>
            <w:vMerge/>
            <w:tcBorders>
              <w:bottom w:val="single" w:sz="4" w:space="0" w:color="auto"/>
            </w:tcBorders>
            <w:vAlign w:val="center"/>
          </w:tcPr>
          <w:p w:rsidR="00B6569C" w:rsidRDefault="00B6569C">
            <w:pPr>
              <w:pStyle w:val="TableText0"/>
              <w:keepNext/>
              <w:keepLines/>
              <w:spacing w:before="0" w:after="0"/>
              <w:jc w:val="center"/>
              <w:rPr>
                <w:szCs w:val="20"/>
              </w:rPr>
            </w:pPr>
          </w:p>
        </w:tc>
      </w:tr>
      <w:tr w:rsidR="00B6569C" w:rsidTr="001F7C95">
        <w:tc>
          <w:tcPr>
            <w:tcW w:w="773" w:type="pct"/>
            <w:vMerge w:val="restart"/>
            <w:vAlign w:val="center"/>
          </w:tcPr>
          <w:p w:rsidR="00B6569C" w:rsidRDefault="00E82474">
            <w:pPr>
              <w:pStyle w:val="Tabletext"/>
              <w:rPr>
                <w:szCs w:val="20"/>
                <w:lang w:eastAsia="en-AU"/>
              </w:rPr>
            </w:pPr>
            <w:r>
              <w:rPr>
                <w:szCs w:val="20"/>
              </w:rPr>
              <w:t>Pooled Stages IIIB, IIIC and IIID</w:t>
            </w:r>
          </w:p>
        </w:tc>
        <w:tc>
          <w:tcPr>
            <w:tcW w:w="693" w:type="pct"/>
            <w:tcBorders>
              <w:bottom w:val="nil"/>
            </w:tcBorders>
          </w:tcPr>
          <w:p w:rsidR="00B6569C" w:rsidRDefault="00E82474">
            <w:pPr>
              <w:pStyle w:val="Tabletext"/>
              <w:rPr>
                <w:szCs w:val="20"/>
                <w:lang w:eastAsia="en-AU"/>
              </w:rPr>
            </w:pPr>
            <w:r>
              <w:rPr>
                <w:szCs w:val="20"/>
              </w:rPr>
              <w:t>Pembrolizumab</w:t>
            </w:r>
          </w:p>
        </w:tc>
        <w:tc>
          <w:tcPr>
            <w:tcW w:w="231" w:type="pct"/>
            <w:tcBorders>
              <w:bottom w:val="nil"/>
            </w:tcBorders>
          </w:tcPr>
          <w:p w:rsidR="00B6569C" w:rsidRDefault="00E82474">
            <w:pPr>
              <w:pStyle w:val="TableText0"/>
              <w:spacing w:before="0" w:after="0"/>
              <w:jc w:val="center"/>
              <w:rPr>
                <w:szCs w:val="20"/>
              </w:rPr>
            </w:pPr>
            <w:r>
              <w:rPr>
                <w:szCs w:val="20"/>
              </w:rPr>
              <w:t>267</w:t>
            </w:r>
          </w:p>
        </w:tc>
        <w:tc>
          <w:tcPr>
            <w:tcW w:w="619" w:type="pct"/>
            <w:tcBorders>
              <w:bottom w:val="nil"/>
            </w:tcBorders>
          </w:tcPr>
          <w:p w:rsidR="00B6569C" w:rsidRDefault="00E82474">
            <w:pPr>
              <w:pStyle w:val="TableText0"/>
              <w:spacing w:before="0" w:after="0"/>
              <w:jc w:val="center"/>
              <w:rPr>
                <w:szCs w:val="20"/>
              </w:rPr>
            </w:pPr>
            <w:r>
              <w:rPr>
                <w:szCs w:val="20"/>
              </w:rPr>
              <w:t>75 (NR)</w:t>
            </w:r>
          </w:p>
        </w:tc>
        <w:tc>
          <w:tcPr>
            <w:tcW w:w="923" w:type="pct"/>
            <w:tcBorders>
              <w:bottom w:val="nil"/>
            </w:tcBorders>
            <w:vAlign w:val="center"/>
          </w:tcPr>
          <w:p w:rsidR="00B6569C" w:rsidRDefault="00E82474">
            <w:pPr>
              <w:pStyle w:val="TableText0"/>
              <w:spacing w:before="0" w:after="0"/>
              <w:jc w:val="center"/>
              <w:rPr>
                <w:szCs w:val="20"/>
              </w:rPr>
            </w:pPr>
            <w:r>
              <w:rPr>
                <w:szCs w:val="20"/>
              </w:rPr>
              <w:t>NR</w:t>
            </w:r>
          </w:p>
        </w:tc>
        <w:tc>
          <w:tcPr>
            <w:tcW w:w="925" w:type="pct"/>
            <w:tcBorders>
              <w:bottom w:val="nil"/>
            </w:tcBorders>
            <w:vAlign w:val="center"/>
          </w:tcPr>
          <w:p w:rsidR="00B6569C" w:rsidRDefault="00E82474">
            <w:pPr>
              <w:pStyle w:val="TableText0"/>
              <w:spacing w:before="0" w:after="0"/>
              <w:jc w:val="center"/>
              <w:rPr>
                <w:szCs w:val="20"/>
              </w:rPr>
            </w:pPr>
            <w:r>
              <w:rPr>
                <w:szCs w:val="20"/>
              </w:rPr>
              <w:t>NR</w:t>
            </w:r>
          </w:p>
        </w:tc>
        <w:tc>
          <w:tcPr>
            <w:tcW w:w="836" w:type="pct"/>
            <w:vMerge w:val="restart"/>
            <w:vAlign w:val="center"/>
          </w:tcPr>
          <w:p w:rsidR="00B6569C" w:rsidRDefault="00E82474">
            <w:pPr>
              <w:pStyle w:val="TableText0"/>
              <w:spacing w:before="0" w:after="0"/>
              <w:jc w:val="center"/>
              <w:rPr>
                <w:b/>
                <w:szCs w:val="20"/>
              </w:rPr>
            </w:pPr>
            <w:r>
              <w:rPr>
                <w:b/>
                <w:szCs w:val="20"/>
              </w:rPr>
              <w:t>0.53 (0.42, 0.67)</w:t>
            </w:r>
          </w:p>
        </w:tc>
      </w:tr>
      <w:tr w:rsidR="00B6569C" w:rsidTr="001F7C95">
        <w:tc>
          <w:tcPr>
            <w:tcW w:w="773" w:type="pct"/>
            <w:vMerge/>
            <w:tcBorders>
              <w:bottom w:val="single" w:sz="4" w:space="0" w:color="auto"/>
            </w:tcBorders>
            <w:vAlign w:val="center"/>
          </w:tcPr>
          <w:p w:rsidR="00B6569C" w:rsidRDefault="00B6569C">
            <w:pPr>
              <w:pStyle w:val="Tabletext"/>
              <w:rPr>
                <w:b/>
                <w:szCs w:val="20"/>
                <w:lang w:eastAsia="en-AU"/>
              </w:rPr>
            </w:pPr>
          </w:p>
        </w:tc>
        <w:tc>
          <w:tcPr>
            <w:tcW w:w="693" w:type="pct"/>
            <w:tcBorders>
              <w:top w:val="nil"/>
              <w:bottom w:val="single" w:sz="4" w:space="0" w:color="auto"/>
            </w:tcBorders>
          </w:tcPr>
          <w:p w:rsidR="00B6569C" w:rsidRDefault="00E82474">
            <w:pPr>
              <w:pStyle w:val="Tabletext"/>
              <w:rPr>
                <w:szCs w:val="20"/>
                <w:lang w:eastAsia="en-AU"/>
              </w:rPr>
            </w:pPr>
            <w:r>
              <w:rPr>
                <w:szCs w:val="20"/>
              </w:rPr>
              <w:t>Placebo</w:t>
            </w:r>
          </w:p>
        </w:tc>
        <w:tc>
          <w:tcPr>
            <w:tcW w:w="231" w:type="pct"/>
            <w:tcBorders>
              <w:top w:val="nil"/>
              <w:bottom w:val="single" w:sz="4" w:space="0" w:color="auto"/>
            </w:tcBorders>
          </w:tcPr>
          <w:p w:rsidR="00B6569C" w:rsidRDefault="00E82474">
            <w:pPr>
              <w:pStyle w:val="TableText0"/>
              <w:spacing w:before="0" w:after="0"/>
              <w:jc w:val="center"/>
              <w:rPr>
                <w:szCs w:val="20"/>
              </w:rPr>
            </w:pPr>
            <w:r>
              <w:rPr>
                <w:szCs w:val="20"/>
              </w:rPr>
              <w:t>236</w:t>
            </w:r>
          </w:p>
        </w:tc>
        <w:tc>
          <w:tcPr>
            <w:tcW w:w="619" w:type="pct"/>
            <w:tcBorders>
              <w:top w:val="nil"/>
              <w:bottom w:val="single" w:sz="4" w:space="0" w:color="auto"/>
            </w:tcBorders>
          </w:tcPr>
          <w:p w:rsidR="00B6569C" w:rsidRDefault="00E82474">
            <w:pPr>
              <w:pStyle w:val="TableText0"/>
              <w:spacing w:before="0" w:after="0"/>
              <w:jc w:val="center"/>
              <w:rPr>
                <w:szCs w:val="20"/>
              </w:rPr>
            </w:pPr>
            <w:r>
              <w:rPr>
                <w:szCs w:val="20"/>
              </w:rPr>
              <w:t>119 (NR)</w:t>
            </w:r>
          </w:p>
        </w:tc>
        <w:tc>
          <w:tcPr>
            <w:tcW w:w="923" w:type="pct"/>
            <w:tcBorders>
              <w:top w:val="nil"/>
              <w:bottom w:val="single" w:sz="4" w:space="0" w:color="auto"/>
            </w:tcBorders>
            <w:vAlign w:val="center"/>
          </w:tcPr>
          <w:p w:rsidR="00B6569C" w:rsidRDefault="00E82474">
            <w:pPr>
              <w:pStyle w:val="TableText0"/>
              <w:spacing w:before="0" w:after="0"/>
              <w:jc w:val="center"/>
              <w:rPr>
                <w:szCs w:val="20"/>
              </w:rPr>
            </w:pPr>
            <w:r>
              <w:rPr>
                <w:szCs w:val="20"/>
              </w:rPr>
              <w:t>NR</w:t>
            </w:r>
          </w:p>
        </w:tc>
        <w:tc>
          <w:tcPr>
            <w:tcW w:w="925" w:type="pct"/>
            <w:tcBorders>
              <w:top w:val="nil"/>
              <w:bottom w:val="single" w:sz="4" w:space="0" w:color="auto"/>
            </w:tcBorders>
            <w:vAlign w:val="center"/>
          </w:tcPr>
          <w:p w:rsidR="00B6569C" w:rsidRDefault="00E82474">
            <w:pPr>
              <w:pStyle w:val="TableText0"/>
              <w:spacing w:before="0" w:after="0"/>
              <w:jc w:val="center"/>
              <w:rPr>
                <w:szCs w:val="20"/>
              </w:rPr>
            </w:pPr>
            <w:r>
              <w:rPr>
                <w:szCs w:val="20"/>
              </w:rPr>
              <w:t>NR</w:t>
            </w:r>
          </w:p>
        </w:tc>
        <w:tc>
          <w:tcPr>
            <w:tcW w:w="836" w:type="pct"/>
            <w:vMerge/>
            <w:tcBorders>
              <w:bottom w:val="single" w:sz="4" w:space="0" w:color="auto"/>
            </w:tcBorders>
          </w:tcPr>
          <w:p w:rsidR="00B6569C" w:rsidRDefault="00B6569C">
            <w:pPr>
              <w:pStyle w:val="TableText0"/>
              <w:spacing w:before="0" w:after="0"/>
              <w:jc w:val="center"/>
              <w:rPr>
                <w:i/>
                <w:szCs w:val="20"/>
              </w:rPr>
            </w:pPr>
          </w:p>
        </w:tc>
      </w:tr>
    </w:tbl>
    <w:p w:rsidR="00B6569C" w:rsidRDefault="00E82474">
      <w:pPr>
        <w:pStyle w:val="TableFooter"/>
        <w:widowControl/>
      </w:pPr>
      <w:r>
        <w:t>CI = confidence interval; HR = hazard ratio; ITT = intention-to-treat; NR = not reported; RFS = recurrence free survival</w:t>
      </w:r>
    </w:p>
    <w:p w:rsidR="00B6569C" w:rsidRDefault="00E82474">
      <w:pPr>
        <w:pStyle w:val="TableFooter"/>
        <w:widowControl/>
      </w:pPr>
      <w:r>
        <w:rPr>
          <w:vertAlign w:val="superscript"/>
        </w:rPr>
        <w:t>a</w:t>
      </w:r>
      <w:r>
        <w:t xml:space="preserve"> From the product-limit (Kaplan-Meier) method for censored data</w:t>
      </w:r>
    </w:p>
    <w:p w:rsidR="00B6569C" w:rsidRDefault="00E82474">
      <w:pPr>
        <w:pStyle w:val="TableFooter"/>
        <w:widowControl/>
      </w:pPr>
      <w:r>
        <w:rPr>
          <w:vertAlign w:val="superscript"/>
        </w:rPr>
        <w:t>b</w:t>
      </w:r>
      <w:r>
        <w:t xml:space="preserve"> Pembrolizumab vs placebo. Treatment as covariate stratified by stage. Hazard ratio &lt;1 favour pembrolizumab. Statistically significant results in bold</w:t>
      </w:r>
    </w:p>
    <w:p w:rsidR="00B6569C" w:rsidRDefault="00E82474">
      <w:pPr>
        <w:pStyle w:val="TableFooter"/>
        <w:widowControl/>
      </w:pPr>
      <w:r>
        <w:t xml:space="preserve">Source: Tables 2.6-1 to 2.6-7, pp.89-92 and </w:t>
      </w:r>
      <w:r>
        <w:rPr>
          <w:szCs w:val="18"/>
        </w:rPr>
        <w:t xml:space="preserve">Figure 2.6-3, p.93 </w:t>
      </w:r>
      <w:r>
        <w:t>of the resubmission</w:t>
      </w:r>
    </w:p>
    <w:p w:rsidR="00B6569C" w:rsidRDefault="00B6569C">
      <w:pPr>
        <w:widowControl/>
      </w:pPr>
    </w:p>
    <w:p w:rsidR="00B6569C" w:rsidRDefault="00E82474">
      <w:pPr>
        <w:pStyle w:val="ListParagraph"/>
        <w:widowControl/>
        <w:numPr>
          <w:ilvl w:val="1"/>
          <w:numId w:val="3"/>
        </w:numPr>
      </w:pPr>
      <w:r>
        <w:t xml:space="preserve">The relative effect of pembrolizumab versus placebo was similar between disease stage subgroups, with no evidence of a treatment effect interaction by Stage III subgroup (p-value 0.774). Recurrence free survival rates at six months declined as disease stage progressed (placebo Stage IIIA &gt; 1 mm 95.0% - Stage IIID 45.0%), suggesting pembrolizumab versus placebo is associated with an increasing absolute risk reduction for recurrence with increasing severity of disease.  </w:t>
      </w:r>
    </w:p>
    <w:p w:rsidR="00B6569C" w:rsidRPr="005B297D" w:rsidRDefault="00E82474" w:rsidP="005B297D">
      <w:pPr>
        <w:pStyle w:val="TableHeading0"/>
        <w:spacing w:after="0"/>
        <w:rPr>
          <w:rFonts w:asciiTheme="minorHAnsi" w:hAnsiTheme="minorHAnsi" w:cstheme="minorHAnsi"/>
          <w:i/>
          <w:sz w:val="28"/>
          <w:szCs w:val="28"/>
        </w:rPr>
      </w:pPr>
      <w:r w:rsidRPr="005B297D">
        <w:rPr>
          <w:rFonts w:asciiTheme="minorHAnsi" w:hAnsiTheme="minorHAnsi" w:cstheme="minorHAnsi"/>
          <w:i/>
          <w:sz w:val="28"/>
          <w:szCs w:val="28"/>
        </w:rPr>
        <w:lastRenderedPageBreak/>
        <w:t>Subgroup analyses by BRAF status</w:t>
      </w:r>
    </w:p>
    <w:p w:rsidR="00B6569C" w:rsidRDefault="00B6569C"/>
    <w:p w:rsidR="00B6569C" w:rsidRDefault="00E82474">
      <w:pPr>
        <w:pStyle w:val="ListParagraph"/>
        <w:widowControl/>
        <w:numPr>
          <w:ilvl w:val="1"/>
          <w:numId w:val="3"/>
        </w:numPr>
        <w:rPr>
          <w:color w:val="3366FF"/>
        </w:rPr>
      </w:pPr>
      <w:r>
        <w:t>Results for recurrence free survival by BRAF status, which was a pre-specified subgroup analysis of the KN054 trial, are presented below. The Clinical Study Report stated that improved recurrence free survival was observed in patients who received pembrolizumab regardless of BRAF mutation status.</w:t>
      </w:r>
    </w:p>
    <w:p w:rsidR="001F7C95" w:rsidRDefault="001F7C95" w:rsidP="001F7C95">
      <w:pPr>
        <w:pStyle w:val="TableHeading0"/>
      </w:pPr>
      <w:r>
        <w:t xml:space="preserve">Table </w:t>
      </w:r>
      <w:fldSimple w:instr=" SEQ Table \* ARABIC ">
        <w:r w:rsidR="00632FE3">
          <w:rPr>
            <w:noProof/>
          </w:rPr>
          <w:t>8</w:t>
        </w:r>
      </w:fldSimple>
      <w:r w:rsidRPr="006A7E09">
        <w:t>: RFS results by BRAF mutation status</w:t>
      </w:r>
    </w:p>
    <w:tbl>
      <w:tblPr>
        <w:tblStyle w:val="TableGrid"/>
        <w:tblW w:w="0" w:type="auto"/>
        <w:tblLook w:val="04A0" w:firstRow="1" w:lastRow="0" w:firstColumn="1" w:lastColumn="0" w:noHBand="0" w:noVBand="1"/>
        <w:tblCaption w:val="Table 8: RFS results by BRAF mutation status"/>
      </w:tblPr>
      <w:tblGrid>
        <w:gridCol w:w="2122"/>
        <w:gridCol w:w="1484"/>
        <w:gridCol w:w="1634"/>
        <w:gridCol w:w="1972"/>
        <w:gridCol w:w="1804"/>
      </w:tblGrid>
      <w:tr w:rsidR="00B6569C">
        <w:tc>
          <w:tcPr>
            <w:tcW w:w="2122" w:type="dxa"/>
          </w:tcPr>
          <w:p w:rsidR="00B6569C" w:rsidRDefault="00B6569C">
            <w:pPr>
              <w:pStyle w:val="Tabletext"/>
            </w:pPr>
          </w:p>
        </w:tc>
        <w:tc>
          <w:tcPr>
            <w:tcW w:w="1484" w:type="dxa"/>
          </w:tcPr>
          <w:p w:rsidR="00B6569C" w:rsidRDefault="00E82474">
            <w:pPr>
              <w:pStyle w:val="Tabletext"/>
              <w:jc w:val="center"/>
              <w:rPr>
                <w:b/>
              </w:rPr>
            </w:pPr>
            <w:r>
              <w:rPr>
                <w:b/>
              </w:rPr>
              <w:t>N</w:t>
            </w:r>
          </w:p>
        </w:tc>
        <w:tc>
          <w:tcPr>
            <w:tcW w:w="1634" w:type="dxa"/>
          </w:tcPr>
          <w:p w:rsidR="00B6569C" w:rsidRDefault="00E82474">
            <w:pPr>
              <w:pStyle w:val="Tabletext"/>
              <w:jc w:val="center"/>
              <w:rPr>
                <w:b/>
              </w:rPr>
            </w:pPr>
            <w:r>
              <w:rPr>
                <w:b/>
              </w:rPr>
              <w:t>Events (%)</w:t>
            </w:r>
          </w:p>
        </w:tc>
        <w:tc>
          <w:tcPr>
            <w:tcW w:w="1972" w:type="dxa"/>
          </w:tcPr>
          <w:p w:rsidR="00B6569C" w:rsidRDefault="00E82474">
            <w:pPr>
              <w:pStyle w:val="Tabletext"/>
              <w:jc w:val="center"/>
              <w:rPr>
                <w:b/>
              </w:rPr>
            </w:pPr>
            <w:r>
              <w:rPr>
                <w:b/>
              </w:rPr>
              <w:t>Median RFS (95% CI)</w:t>
            </w:r>
          </w:p>
        </w:tc>
        <w:tc>
          <w:tcPr>
            <w:tcW w:w="1804" w:type="dxa"/>
          </w:tcPr>
          <w:p w:rsidR="00B6569C" w:rsidRDefault="00E82474">
            <w:pPr>
              <w:pStyle w:val="Tabletext"/>
              <w:jc w:val="center"/>
              <w:rPr>
                <w:b/>
              </w:rPr>
            </w:pPr>
            <w:r>
              <w:rPr>
                <w:b/>
              </w:rPr>
              <w:t>HR (95% CI)</w:t>
            </w:r>
          </w:p>
        </w:tc>
      </w:tr>
      <w:tr w:rsidR="00B6569C">
        <w:tc>
          <w:tcPr>
            <w:tcW w:w="9016" w:type="dxa"/>
            <w:gridSpan w:val="5"/>
          </w:tcPr>
          <w:p w:rsidR="00B6569C" w:rsidRDefault="00E82474">
            <w:pPr>
              <w:pStyle w:val="Tabletext"/>
              <w:rPr>
                <w:b/>
              </w:rPr>
            </w:pPr>
            <w:r>
              <w:rPr>
                <w:b/>
              </w:rPr>
              <w:t>BRAF wildtype</w:t>
            </w:r>
          </w:p>
        </w:tc>
      </w:tr>
      <w:tr w:rsidR="00B6569C">
        <w:tc>
          <w:tcPr>
            <w:tcW w:w="2122" w:type="dxa"/>
          </w:tcPr>
          <w:p w:rsidR="00B6569C" w:rsidRDefault="00E82474">
            <w:pPr>
              <w:pStyle w:val="Tabletext"/>
            </w:pPr>
            <w:r>
              <w:t>Pembrolizumab</w:t>
            </w:r>
          </w:p>
        </w:tc>
        <w:tc>
          <w:tcPr>
            <w:tcW w:w="1484" w:type="dxa"/>
          </w:tcPr>
          <w:p w:rsidR="00B6569C" w:rsidRDefault="00E82474">
            <w:pPr>
              <w:pStyle w:val="Tabletext"/>
              <w:jc w:val="center"/>
            </w:pPr>
            <w:r>
              <w:t>233</w:t>
            </w:r>
          </w:p>
        </w:tc>
        <w:tc>
          <w:tcPr>
            <w:tcW w:w="1634" w:type="dxa"/>
          </w:tcPr>
          <w:p w:rsidR="00B6569C" w:rsidRDefault="00E82474">
            <w:pPr>
              <w:pStyle w:val="Tabletext"/>
              <w:jc w:val="center"/>
            </w:pPr>
            <w:r>
              <w:t>69 (29.6%)</w:t>
            </w:r>
          </w:p>
        </w:tc>
        <w:tc>
          <w:tcPr>
            <w:tcW w:w="1972" w:type="dxa"/>
          </w:tcPr>
          <w:p w:rsidR="00B6569C" w:rsidRDefault="00E82474">
            <w:pPr>
              <w:pStyle w:val="Tabletext"/>
              <w:jc w:val="center"/>
            </w:pPr>
            <w:r>
              <w:t>NR (-, -)</w:t>
            </w:r>
          </w:p>
        </w:tc>
        <w:tc>
          <w:tcPr>
            <w:tcW w:w="1804" w:type="dxa"/>
            <w:vMerge w:val="restart"/>
            <w:vAlign w:val="center"/>
          </w:tcPr>
          <w:p w:rsidR="00B6569C" w:rsidRDefault="00E82474">
            <w:pPr>
              <w:pStyle w:val="Tabletext"/>
              <w:jc w:val="center"/>
              <w:rPr>
                <w:b/>
              </w:rPr>
            </w:pPr>
            <w:r>
              <w:rPr>
                <w:b/>
              </w:rPr>
              <w:t>0.64 (0.47, 0.87)</w:t>
            </w:r>
          </w:p>
        </w:tc>
      </w:tr>
      <w:tr w:rsidR="00B6569C">
        <w:tc>
          <w:tcPr>
            <w:tcW w:w="2122" w:type="dxa"/>
          </w:tcPr>
          <w:p w:rsidR="00B6569C" w:rsidRDefault="00E82474">
            <w:pPr>
              <w:pStyle w:val="Tabletext"/>
            </w:pPr>
            <w:r>
              <w:t>Placebo</w:t>
            </w:r>
          </w:p>
        </w:tc>
        <w:tc>
          <w:tcPr>
            <w:tcW w:w="1484" w:type="dxa"/>
          </w:tcPr>
          <w:p w:rsidR="00B6569C" w:rsidRDefault="00E82474">
            <w:pPr>
              <w:pStyle w:val="Tabletext"/>
              <w:jc w:val="center"/>
            </w:pPr>
            <w:r>
              <w:t>214</w:t>
            </w:r>
          </w:p>
        </w:tc>
        <w:tc>
          <w:tcPr>
            <w:tcW w:w="1634" w:type="dxa"/>
          </w:tcPr>
          <w:p w:rsidR="00B6569C" w:rsidRDefault="00E82474">
            <w:pPr>
              <w:pStyle w:val="Tabletext"/>
              <w:jc w:val="center"/>
            </w:pPr>
            <w:r>
              <w:t>97 (45.3%)</w:t>
            </w:r>
          </w:p>
        </w:tc>
        <w:tc>
          <w:tcPr>
            <w:tcW w:w="1972" w:type="dxa"/>
          </w:tcPr>
          <w:p w:rsidR="00B6569C" w:rsidRDefault="00E82474">
            <w:pPr>
              <w:pStyle w:val="Tabletext"/>
              <w:jc w:val="center"/>
            </w:pPr>
            <w:r>
              <w:t>17.1 (13.0, -)</w:t>
            </w:r>
          </w:p>
        </w:tc>
        <w:tc>
          <w:tcPr>
            <w:tcW w:w="1804" w:type="dxa"/>
            <w:vMerge/>
          </w:tcPr>
          <w:p w:rsidR="00B6569C" w:rsidRDefault="00B6569C">
            <w:pPr>
              <w:pStyle w:val="Tabletext"/>
            </w:pPr>
          </w:p>
        </w:tc>
      </w:tr>
      <w:tr w:rsidR="00B6569C">
        <w:tc>
          <w:tcPr>
            <w:tcW w:w="9016" w:type="dxa"/>
            <w:gridSpan w:val="5"/>
          </w:tcPr>
          <w:p w:rsidR="00B6569C" w:rsidRDefault="00E82474">
            <w:pPr>
              <w:pStyle w:val="Tabletext"/>
              <w:rPr>
                <w:b/>
              </w:rPr>
            </w:pPr>
            <w:r>
              <w:rPr>
                <w:b/>
              </w:rPr>
              <w:t>BRAF mutant</w:t>
            </w:r>
          </w:p>
        </w:tc>
      </w:tr>
      <w:tr w:rsidR="00B6569C">
        <w:tc>
          <w:tcPr>
            <w:tcW w:w="2122" w:type="dxa"/>
          </w:tcPr>
          <w:p w:rsidR="00B6569C" w:rsidRDefault="00E82474">
            <w:pPr>
              <w:pStyle w:val="Tabletext"/>
            </w:pPr>
            <w:r>
              <w:t>Pembrolizumab</w:t>
            </w:r>
          </w:p>
        </w:tc>
        <w:tc>
          <w:tcPr>
            <w:tcW w:w="1484" w:type="dxa"/>
          </w:tcPr>
          <w:p w:rsidR="00B6569C" w:rsidRDefault="00E82474">
            <w:pPr>
              <w:pStyle w:val="Tabletext"/>
              <w:jc w:val="center"/>
            </w:pPr>
            <w:r>
              <w:t>245</w:t>
            </w:r>
          </w:p>
        </w:tc>
        <w:tc>
          <w:tcPr>
            <w:tcW w:w="1634" w:type="dxa"/>
          </w:tcPr>
          <w:p w:rsidR="00B6569C" w:rsidRDefault="00E82474">
            <w:pPr>
              <w:pStyle w:val="Tabletext"/>
              <w:jc w:val="center"/>
            </w:pPr>
            <w:r>
              <w:t>61 (24.9%)</w:t>
            </w:r>
          </w:p>
        </w:tc>
        <w:tc>
          <w:tcPr>
            <w:tcW w:w="1972" w:type="dxa"/>
          </w:tcPr>
          <w:p w:rsidR="00B6569C" w:rsidRDefault="00E82474">
            <w:pPr>
              <w:pStyle w:val="Tabletext"/>
              <w:jc w:val="center"/>
            </w:pPr>
            <w:r>
              <w:t>NR (-, -)</w:t>
            </w:r>
          </w:p>
        </w:tc>
        <w:tc>
          <w:tcPr>
            <w:tcW w:w="1804" w:type="dxa"/>
            <w:vMerge w:val="restart"/>
            <w:vAlign w:val="center"/>
          </w:tcPr>
          <w:p w:rsidR="00B6569C" w:rsidRDefault="00E82474">
            <w:pPr>
              <w:pStyle w:val="Tabletext"/>
              <w:jc w:val="center"/>
              <w:rPr>
                <w:b/>
              </w:rPr>
            </w:pPr>
            <w:r>
              <w:rPr>
                <w:b/>
              </w:rPr>
              <w:t>0.49 (0.36, 0.67)</w:t>
            </w:r>
          </w:p>
        </w:tc>
      </w:tr>
      <w:tr w:rsidR="00B6569C">
        <w:tc>
          <w:tcPr>
            <w:tcW w:w="2122" w:type="dxa"/>
          </w:tcPr>
          <w:p w:rsidR="00B6569C" w:rsidRDefault="00E82474">
            <w:pPr>
              <w:pStyle w:val="Tabletext"/>
            </w:pPr>
            <w:r>
              <w:t>Placebo</w:t>
            </w:r>
          </w:p>
        </w:tc>
        <w:tc>
          <w:tcPr>
            <w:tcW w:w="1484" w:type="dxa"/>
          </w:tcPr>
          <w:p w:rsidR="00B6569C" w:rsidRDefault="00E82474">
            <w:pPr>
              <w:pStyle w:val="Tabletext"/>
              <w:jc w:val="center"/>
            </w:pPr>
            <w:r>
              <w:t>262</w:t>
            </w:r>
          </w:p>
        </w:tc>
        <w:tc>
          <w:tcPr>
            <w:tcW w:w="1634" w:type="dxa"/>
          </w:tcPr>
          <w:p w:rsidR="00B6569C" w:rsidRDefault="00E82474">
            <w:pPr>
              <w:pStyle w:val="Tabletext"/>
              <w:jc w:val="center"/>
            </w:pPr>
            <w:r>
              <w:t>115 (43.9%)</w:t>
            </w:r>
          </w:p>
        </w:tc>
        <w:tc>
          <w:tcPr>
            <w:tcW w:w="1972" w:type="dxa"/>
          </w:tcPr>
          <w:p w:rsidR="00B6569C" w:rsidRDefault="00E82474">
            <w:pPr>
              <w:pStyle w:val="Tabletext"/>
              <w:jc w:val="center"/>
            </w:pPr>
            <w:r>
              <w:t>20.4 (14.7, -)</w:t>
            </w:r>
          </w:p>
        </w:tc>
        <w:tc>
          <w:tcPr>
            <w:tcW w:w="1804" w:type="dxa"/>
            <w:vMerge/>
          </w:tcPr>
          <w:p w:rsidR="00B6569C" w:rsidRDefault="00B6569C">
            <w:pPr>
              <w:pStyle w:val="Tabletext"/>
            </w:pPr>
          </w:p>
        </w:tc>
      </w:tr>
      <w:tr w:rsidR="00B6569C">
        <w:tc>
          <w:tcPr>
            <w:tcW w:w="9016" w:type="dxa"/>
            <w:gridSpan w:val="5"/>
          </w:tcPr>
          <w:p w:rsidR="00B6569C" w:rsidRDefault="00E82474">
            <w:pPr>
              <w:pStyle w:val="Tabletext"/>
              <w:rPr>
                <w:b/>
              </w:rPr>
            </w:pPr>
            <w:r>
              <w:rPr>
                <w:b/>
              </w:rPr>
              <w:t>BRAF mutation status unknown</w:t>
            </w:r>
          </w:p>
        </w:tc>
      </w:tr>
      <w:tr w:rsidR="00B6569C">
        <w:tc>
          <w:tcPr>
            <w:tcW w:w="2122" w:type="dxa"/>
          </w:tcPr>
          <w:p w:rsidR="00B6569C" w:rsidRDefault="00E82474">
            <w:pPr>
              <w:pStyle w:val="Tabletext"/>
            </w:pPr>
            <w:r>
              <w:t>Pembrolizumab</w:t>
            </w:r>
          </w:p>
        </w:tc>
        <w:tc>
          <w:tcPr>
            <w:tcW w:w="1484" w:type="dxa"/>
          </w:tcPr>
          <w:p w:rsidR="00B6569C" w:rsidRDefault="00E82474">
            <w:pPr>
              <w:pStyle w:val="Tabletext"/>
              <w:jc w:val="center"/>
            </w:pPr>
            <w:r>
              <w:t>36</w:t>
            </w:r>
          </w:p>
        </w:tc>
        <w:tc>
          <w:tcPr>
            <w:tcW w:w="1634" w:type="dxa"/>
          </w:tcPr>
          <w:p w:rsidR="00B6569C" w:rsidRDefault="00E82474">
            <w:pPr>
              <w:pStyle w:val="Tabletext"/>
              <w:jc w:val="center"/>
            </w:pPr>
            <w:r>
              <w:t>5 (13.9%)</w:t>
            </w:r>
          </w:p>
        </w:tc>
        <w:tc>
          <w:tcPr>
            <w:tcW w:w="1972" w:type="dxa"/>
          </w:tcPr>
          <w:p w:rsidR="00B6569C" w:rsidRDefault="00E82474">
            <w:pPr>
              <w:pStyle w:val="Tabletext"/>
              <w:jc w:val="center"/>
            </w:pPr>
            <w:r>
              <w:t>NR (-, -)</w:t>
            </w:r>
          </w:p>
        </w:tc>
        <w:tc>
          <w:tcPr>
            <w:tcW w:w="1804" w:type="dxa"/>
            <w:vMerge w:val="restart"/>
            <w:vAlign w:val="center"/>
          </w:tcPr>
          <w:p w:rsidR="00B6569C" w:rsidRDefault="00E82474">
            <w:pPr>
              <w:pStyle w:val="Tabletext"/>
              <w:jc w:val="center"/>
              <w:rPr>
                <w:szCs w:val="24"/>
              </w:rPr>
            </w:pPr>
            <w:r>
              <w:t>0.95 (0.24, 3.64)</w:t>
            </w:r>
          </w:p>
        </w:tc>
      </w:tr>
      <w:tr w:rsidR="00B6569C">
        <w:tc>
          <w:tcPr>
            <w:tcW w:w="2122" w:type="dxa"/>
          </w:tcPr>
          <w:p w:rsidR="00B6569C" w:rsidRDefault="00E82474">
            <w:pPr>
              <w:pStyle w:val="Tabletext"/>
            </w:pPr>
            <w:r>
              <w:t>Placebo</w:t>
            </w:r>
          </w:p>
        </w:tc>
        <w:tc>
          <w:tcPr>
            <w:tcW w:w="1484" w:type="dxa"/>
          </w:tcPr>
          <w:p w:rsidR="00B6569C" w:rsidRDefault="00E82474">
            <w:pPr>
              <w:pStyle w:val="Tabletext"/>
              <w:jc w:val="center"/>
            </w:pPr>
            <w:r>
              <w:t>29</w:t>
            </w:r>
          </w:p>
        </w:tc>
        <w:tc>
          <w:tcPr>
            <w:tcW w:w="1634" w:type="dxa"/>
          </w:tcPr>
          <w:p w:rsidR="00B6569C" w:rsidRDefault="00E82474">
            <w:pPr>
              <w:pStyle w:val="Tabletext"/>
              <w:jc w:val="center"/>
            </w:pPr>
            <w:r>
              <w:t>4 (13.8%)</w:t>
            </w:r>
          </w:p>
        </w:tc>
        <w:tc>
          <w:tcPr>
            <w:tcW w:w="1972" w:type="dxa"/>
          </w:tcPr>
          <w:p w:rsidR="00B6569C" w:rsidRDefault="00E82474">
            <w:pPr>
              <w:pStyle w:val="Tabletext"/>
              <w:jc w:val="center"/>
            </w:pPr>
            <w:r>
              <w:t>NR (-, -)</w:t>
            </w:r>
          </w:p>
        </w:tc>
        <w:tc>
          <w:tcPr>
            <w:tcW w:w="1804" w:type="dxa"/>
            <w:vMerge/>
          </w:tcPr>
          <w:p w:rsidR="00B6569C" w:rsidRDefault="00B6569C">
            <w:pPr>
              <w:pStyle w:val="Tabletext"/>
            </w:pPr>
          </w:p>
        </w:tc>
      </w:tr>
    </w:tbl>
    <w:p w:rsidR="00B6569C" w:rsidRDefault="00E82474">
      <w:pPr>
        <w:pStyle w:val="TableFooter"/>
        <w:widowControl/>
      </w:pPr>
      <w:r>
        <w:t>CI = confidence interval; HR = hazard ratio; NR = not reported; RFS = recurrence free survival</w:t>
      </w:r>
    </w:p>
    <w:p w:rsidR="00B6569C" w:rsidRDefault="00E82474">
      <w:pPr>
        <w:pStyle w:val="TableFooter"/>
        <w:widowControl/>
      </w:pPr>
      <w:r>
        <w:t>Source: Table 14.2-23, p49; Table 14.2-24, p51; and Table 14.2-25, p53 of KN054 CSR</w:t>
      </w:r>
    </w:p>
    <w:p w:rsidR="00B6569C" w:rsidRDefault="00B6569C">
      <w:pPr>
        <w:widowControl/>
      </w:pPr>
    </w:p>
    <w:p w:rsidR="001F7C95" w:rsidRDefault="001F7C95" w:rsidP="001F7C95">
      <w:pPr>
        <w:pStyle w:val="TableHeading0"/>
      </w:pPr>
      <w:r>
        <w:t xml:space="preserve">Table </w:t>
      </w:r>
      <w:fldSimple w:instr=" SEQ Table \* ARABIC ">
        <w:r w:rsidR="00632FE3">
          <w:rPr>
            <w:noProof/>
          </w:rPr>
          <w:t>9</w:t>
        </w:r>
      </w:fldSimple>
      <w:r w:rsidRPr="0050022E">
        <w:t>: RFS survival rates by BRAF mutation status</w:t>
      </w:r>
    </w:p>
    <w:tbl>
      <w:tblPr>
        <w:tblStyle w:val="TableGrid"/>
        <w:tblW w:w="9067" w:type="dxa"/>
        <w:tblLook w:val="04A0" w:firstRow="1" w:lastRow="0" w:firstColumn="1" w:lastColumn="0" w:noHBand="0" w:noVBand="1"/>
        <w:tblCaption w:val="Table 9: RFS survival rates by BRAF mutation status"/>
      </w:tblPr>
      <w:tblGrid>
        <w:gridCol w:w="2830"/>
        <w:gridCol w:w="3119"/>
        <w:gridCol w:w="3118"/>
      </w:tblGrid>
      <w:tr w:rsidR="00B6569C">
        <w:tc>
          <w:tcPr>
            <w:tcW w:w="2830" w:type="dxa"/>
            <w:vMerge w:val="restart"/>
          </w:tcPr>
          <w:p w:rsidR="00B6569C" w:rsidRDefault="00B6569C">
            <w:pPr>
              <w:pStyle w:val="Tabletext"/>
              <w:rPr>
                <w:rFonts w:eastAsiaTheme="minorHAnsi"/>
              </w:rPr>
            </w:pPr>
          </w:p>
        </w:tc>
        <w:tc>
          <w:tcPr>
            <w:tcW w:w="6237" w:type="dxa"/>
            <w:gridSpan w:val="2"/>
          </w:tcPr>
          <w:p w:rsidR="00B6569C" w:rsidRDefault="00E82474">
            <w:pPr>
              <w:pStyle w:val="Tabletext"/>
              <w:jc w:val="center"/>
              <w:rPr>
                <w:rFonts w:eastAsiaTheme="minorHAnsi"/>
                <w:b/>
              </w:rPr>
            </w:pPr>
            <w:r>
              <w:rPr>
                <w:rFonts w:eastAsiaTheme="minorHAnsi"/>
                <w:b/>
              </w:rPr>
              <w:t>Survival rate, % (95% CI)</w:t>
            </w:r>
          </w:p>
        </w:tc>
      </w:tr>
      <w:tr w:rsidR="00B6569C">
        <w:tc>
          <w:tcPr>
            <w:tcW w:w="2830" w:type="dxa"/>
            <w:vMerge/>
          </w:tcPr>
          <w:p w:rsidR="00B6569C" w:rsidRDefault="00B6569C">
            <w:pPr>
              <w:pStyle w:val="Tabletext"/>
              <w:rPr>
                <w:rFonts w:eastAsiaTheme="minorHAnsi"/>
              </w:rPr>
            </w:pPr>
          </w:p>
        </w:tc>
        <w:tc>
          <w:tcPr>
            <w:tcW w:w="3119" w:type="dxa"/>
          </w:tcPr>
          <w:p w:rsidR="00B6569C" w:rsidRDefault="00E82474">
            <w:pPr>
              <w:pStyle w:val="Tabletext"/>
              <w:jc w:val="center"/>
              <w:rPr>
                <w:rFonts w:eastAsiaTheme="minorHAnsi"/>
                <w:b/>
              </w:rPr>
            </w:pPr>
            <w:r>
              <w:rPr>
                <w:rFonts w:eastAsiaTheme="minorHAnsi"/>
                <w:b/>
              </w:rPr>
              <w:t>Mutant</w:t>
            </w:r>
          </w:p>
        </w:tc>
        <w:tc>
          <w:tcPr>
            <w:tcW w:w="3118" w:type="dxa"/>
          </w:tcPr>
          <w:p w:rsidR="00B6569C" w:rsidRDefault="00E82474">
            <w:pPr>
              <w:pStyle w:val="Tabletext"/>
              <w:jc w:val="center"/>
              <w:rPr>
                <w:rFonts w:eastAsiaTheme="minorHAnsi"/>
                <w:b/>
              </w:rPr>
            </w:pPr>
            <w:r>
              <w:rPr>
                <w:rFonts w:eastAsiaTheme="minorHAnsi"/>
                <w:b/>
              </w:rPr>
              <w:t>Wildtype</w:t>
            </w:r>
          </w:p>
        </w:tc>
      </w:tr>
      <w:tr w:rsidR="00B6569C">
        <w:tc>
          <w:tcPr>
            <w:tcW w:w="2830" w:type="dxa"/>
          </w:tcPr>
          <w:p w:rsidR="00B6569C" w:rsidRDefault="00E82474">
            <w:pPr>
              <w:pStyle w:val="Tabletext"/>
              <w:rPr>
                <w:rFonts w:eastAsiaTheme="minorHAnsi"/>
                <w:b/>
              </w:rPr>
            </w:pPr>
            <w:r>
              <w:rPr>
                <w:rFonts w:eastAsiaTheme="minorHAnsi"/>
                <w:b/>
              </w:rPr>
              <w:t>Pembrolizumab</w:t>
            </w:r>
          </w:p>
          <w:p w:rsidR="00B6569C" w:rsidRDefault="00E82474">
            <w:pPr>
              <w:pStyle w:val="Tabletext"/>
              <w:rPr>
                <w:rFonts w:eastAsiaTheme="minorHAnsi"/>
              </w:rPr>
            </w:pPr>
            <w:r>
              <w:rPr>
                <w:rFonts w:eastAsiaTheme="minorHAnsi"/>
              </w:rPr>
              <w:t xml:space="preserve">   6 month</w:t>
            </w:r>
          </w:p>
          <w:p w:rsidR="00B6569C" w:rsidRDefault="00E82474">
            <w:pPr>
              <w:pStyle w:val="Tabletext"/>
              <w:rPr>
                <w:rFonts w:eastAsiaTheme="minorHAnsi"/>
              </w:rPr>
            </w:pPr>
            <w:r>
              <w:rPr>
                <w:rFonts w:eastAsiaTheme="minorHAnsi"/>
              </w:rPr>
              <w:t xml:space="preserve">   12 month</w:t>
            </w:r>
          </w:p>
          <w:p w:rsidR="00B6569C" w:rsidRDefault="00E82474">
            <w:pPr>
              <w:pStyle w:val="Tabletext"/>
              <w:rPr>
                <w:rFonts w:eastAsiaTheme="minorHAnsi"/>
              </w:rPr>
            </w:pPr>
            <w:r>
              <w:rPr>
                <w:rFonts w:eastAsiaTheme="minorHAnsi"/>
              </w:rPr>
              <w:t xml:space="preserve">   18 month</w:t>
            </w:r>
          </w:p>
        </w:tc>
        <w:tc>
          <w:tcPr>
            <w:tcW w:w="3119" w:type="dxa"/>
          </w:tcPr>
          <w:p w:rsidR="00B6569C" w:rsidRDefault="00E82474">
            <w:pPr>
              <w:pStyle w:val="Tabletext"/>
              <w:jc w:val="center"/>
              <w:rPr>
                <w:rFonts w:eastAsiaTheme="minorHAnsi"/>
              </w:rPr>
            </w:pPr>
            <w:r>
              <w:rPr>
                <w:rFonts w:eastAsiaTheme="minorHAnsi"/>
              </w:rPr>
              <w:t>N = 245</w:t>
            </w:r>
          </w:p>
          <w:p w:rsidR="00B6569C" w:rsidRDefault="00E82474">
            <w:pPr>
              <w:pStyle w:val="Tabletext"/>
              <w:jc w:val="center"/>
              <w:rPr>
                <w:rFonts w:eastAsiaTheme="minorHAnsi"/>
              </w:rPr>
            </w:pPr>
            <w:r>
              <w:rPr>
                <w:rFonts w:eastAsiaTheme="minorHAnsi"/>
              </w:rPr>
              <w:t>82.5% (77.1, 86.8)</w:t>
            </w:r>
          </w:p>
          <w:p w:rsidR="00B6569C" w:rsidRDefault="00E82474">
            <w:pPr>
              <w:pStyle w:val="Tabletext"/>
              <w:jc w:val="center"/>
              <w:rPr>
                <w:rFonts w:eastAsiaTheme="minorHAnsi"/>
              </w:rPr>
            </w:pPr>
            <w:r>
              <w:rPr>
                <w:rFonts w:eastAsiaTheme="minorHAnsi"/>
              </w:rPr>
              <w:t>76.1% (70.1, 81.0)</w:t>
            </w:r>
          </w:p>
          <w:p w:rsidR="00B6569C" w:rsidRDefault="00E82474">
            <w:pPr>
              <w:pStyle w:val="Tabletext"/>
              <w:jc w:val="center"/>
              <w:rPr>
                <w:rFonts w:eastAsiaTheme="minorHAnsi"/>
              </w:rPr>
            </w:pPr>
            <w:r>
              <w:rPr>
                <w:rFonts w:eastAsiaTheme="minorHAnsi"/>
              </w:rPr>
              <w:t>73.7% (67.2, 79.1)</w:t>
            </w:r>
          </w:p>
        </w:tc>
        <w:tc>
          <w:tcPr>
            <w:tcW w:w="3118" w:type="dxa"/>
          </w:tcPr>
          <w:p w:rsidR="00B6569C" w:rsidRDefault="00E82474">
            <w:pPr>
              <w:pStyle w:val="Tabletext"/>
              <w:jc w:val="center"/>
              <w:rPr>
                <w:rFonts w:eastAsiaTheme="minorHAnsi"/>
              </w:rPr>
            </w:pPr>
            <w:r>
              <w:rPr>
                <w:rFonts w:eastAsiaTheme="minorHAnsi"/>
              </w:rPr>
              <w:t>N = 233</w:t>
            </w:r>
          </w:p>
          <w:p w:rsidR="00B6569C" w:rsidRDefault="00E82474">
            <w:pPr>
              <w:pStyle w:val="Tabletext"/>
              <w:jc w:val="center"/>
              <w:rPr>
                <w:rFonts w:eastAsiaTheme="minorHAnsi"/>
              </w:rPr>
            </w:pPr>
            <w:r>
              <w:rPr>
                <w:rFonts w:eastAsiaTheme="minorHAnsi"/>
              </w:rPr>
              <w:t>80.4% (74.6, 85.0)</w:t>
            </w:r>
          </w:p>
          <w:p w:rsidR="00B6569C" w:rsidRDefault="00E82474">
            <w:pPr>
              <w:pStyle w:val="Tabletext"/>
              <w:jc w:val="center"/>
              <w:rPr>
                <w:rFonts w:eastAsiaTheme="minorHAnsi"/>
              </w:rPr>
            </w:pPr>
            <w:r>
              <w:rPr>
                <w:rFonts w:eastAsiaTheme="minorHAnsi"/>
              </w:rPr>
              <w:t>73.0% (66.7, 78.3)</w:t>
            </w:r>
          </w:p>
          <w:p w:rsidR="00B6569C" w:rsidRDefault="00E82474">
            <w:pPr>
              <w:pStyle w:val="Tabletext"/>
              <w:jc w:val="center"/>
              <w:rPr>
                <w:rFonts w:eastAsiaTheme="minorHAnsi"/>
              </w:rPr>
            </w:pPr>
            <w:r>
              <w:rPr>
                <w:rFonts w:eastAsiaTheme="minorHAnsi"/>
              </w:rPr>
              <w:t>66.7% (59.3, 73.0)</w:t>
            </w:r>
          </w:p>
        </w:tc>
      </w:tr>
      <w:tr w:rsidR="00B6569C">
        <w:tc>
          <w:tcPr>
            <w:tcW w:w="2830" w:type="dxa"/>
          </w:tcPr>
          <w:p w:rsidR="00B6569C" w:rsidRDefault="00E82474">
            <w:pPr>
              <w:pStyle w:val="Tabletext"/>
              <w:rPr>
                <w:rFonts w:eastAsiaTheme="minorHAnsi"/>
                <w:b/>
              </w:rPr>
            </w:pPr>
            <w:r>
              <w:rPr>
                <w:rFonts w:eastAsiaTheme="minorHAnsi"/>
                <w:b/>
              </w:rPr>
              <w:t>Placebo</w:t>
            </w:r>
          </w:p>
          <w:p w:rsidR="00B6569C" w:rsidRDefault="00E82474">
            <w:pPr>
              <w:pStyle w:val="Tabletext"/>
              <w:rPr>
                <w:rFonts w:eastAsiaTheme="minorHAnsi"/>
              </w:rPr>
            </w:pPr>
            <w:r>
              <w:rPr>
                <w:rFonts w:eastAsiaTheme="minorHAnsi"/>
              </w:rPr>
              <w:t xml:space="preserve">   6 month</w:t>
            </w:r>
          </w:p>
          <w:p w:rsidR="00B6569C" w:rsidRDefault="00E82474">
            <w:pPr>
              <w:pStyle w:val="Tabletext"/>
              <w:rPr>
                <w:rFonts w:eastAsiaTheme="minorHAnsi"/>
              </w:rPr>
            </w:pPr>
            <w:r>
              <w:rPr>
                <w:rFonts w:eastAsiaTheme="minorHAnsi"/>
              </w:rPr>
              <w:t xml:space="preserve">   12 month</w:t>
            </w:r>
          </w:p>
          <w:p w:rsidR="00B6569C" w:rsidRDefault="00E82474">
            <w:pPr>
              <w:pStyle w:val="Tabletext"/>
              <w:rPr>
                <w:rFonts w:eastAsiaTheme="minorHAnsi"/>
              </w:rPr>
            </w:pPr>
            <w:r>
              <w:rPr>
                <w:rFonts w:eastAsiaTheme="minorHAnsi"/>
              </w:rPr>
              <w:t xml:space="preserve">   18 month</w:t>
            </w:r>
          </w:p>
        </w:tc>
        <w:tc>
          <w:tcPr>
            <w:tcW w:w="3119" w:type="dxa"/>
          </w:tcPr>
          <w:p w:rsidR="00B6569C" w:rsidRDefault="00E82474">
            <w:pPr>
              <w:pStyle w:val="Tabletext"/>
              <w:jc w:val="center"/>
              <w:rPr>
                <w:rFonts w:eastAsiaTheme="minorHAnsi"/>
              </w:rPr>
            </w:pPr>
            <w:r>
              <w:rPr>
                <w:rFonts w:eastAsiaTheme="minorHAnsi"/>
              </w:rPr>
              <w:t>N = 262</w:t>
            </w:r>
          </w:p>
          <w:p w:rsidR="00B6569C" w:rsidRDefault="00E82474">
            <w:pPr>
              <w:pStyle w:val="Tabletext"/>
              <w:jc w:val="center"/>
              <w:rPr>
                <w:rFonts w:eastAsiaTheme="minorHAnsi"/>
              </w:rPr>
            </w:pPr>
            <w:r>
              <w:rPr>
                <w:rFonts w:eastAsiaTheme="minorHAnsi"/>
              </w:rPr>
              <w:t>72.7% (66.8, 77.7)</w:t>
            </w:r>
          </w:p>
          <w:p w:rsidR="00B6569C" w:rsidRDefault="00E82474">
            <w:pPr>
              <w:pStyle w:val="Tabletext"/>
              <w:jc w:val="center"/>
              <w:rPr>
                <w:rFonts w:eastAsiaTheme="minorHAnsi"/>
              </w:rPr>
            </w:pPr>
            <w:r>
              <w:rPr>
                <w:rFonts w:eastAsiaTheme="minorHAnsi"/>
              </w:rPr>
              <w:t>59.2% (52.9, 65.0)</w:t>
            </w:r>
          </w:p>
          <w:p w:rsidR="00B6569C" w:rsidRDefault="00E82474">
            <w:pPr>
              <w:pStyle w:val="Tabletext"/>
              <w:jc w:val="center"/>
              <w:rPr>
                <w:rFonts w:eastAsiaTheme="minorHAnsi"/>
              </w:rPr>
            </w:pPr>
            <w:r>
              <w:rPr>
                <w:rFonts w:eastAsiaTheme="minorHAnsi"/>
              </w:rPr>
              <w:t>53.5% (46.3, 60.2)</w:t>
            </w:r>
          </w:p>
        </w:tc>
        <w:tc>
          <w:tcPr>
            <w:tcW w:w="3118" w:type="dxa"/>
          </w:tcPr>
          <w:p w:rsidR="00B6569C" w:rsidRDefault="00E82474">
            <w:pPr>
              <w:pStyle w:val="Tabletext"/>
              <w:jc w:val="center"/>
              <w:rPr>
                <w:rFonts w:eastAsiaTheme="minorHAnsi"/>
              </w:rPr>
            </w:pPr>
            <w:r>
              <w:rPr>
                <w:rFonts w:eastAsiaTheme="minorHAnsi"/>
              </w:rPr>
              <w:t>N = 214</w:t>
            </w:r>
          </w:p>
          <w:p w:rsidR="00B6569C" w:rsidRDefault="00E82474">
            <w:pPr>
              <w:pStyle w:val="Tabletext"/>
              <w:jc w:val="center"/>
              <w:rPr>
                <w:rFonts w:eastAsiaTheme="minorHAnsi"/>
              </w:rPr>
            </w:pPr>
            <w:r>
              <w:rPr>
                <w:rFonts w:eastAsiaTheme="minorHAnsi"/>
              </w:rPr>
              <w:t>71.9% (65.3, 77.5)</w:t>
            </w:r>
          </w:p>
          <w:p w:rsidR="00B6569C" w:rsidRDefault="00E82474">
            <w:pPr>
              <w:pStyle w:val="Tabletext"/>
              <w:jc w:val="center"/>
              <w:rPr>
                <w:rFonts w:eastAsiaTheme="minorHAnsi"/>
              </w:rPr>
            </w:pPr>
            <w:r>
              <w:rPr>
                <w:rFonts w:eastAsiaTheme="minorHAnsi"/>
              </w:rPr>
              <w:t>59.7% (52.7, 66.0)</w:t>
            </w:r>
          </w:p>
          <w:p w:rsidR="00B6569C" w:rsidRDefault="00E82474">
            <w:pPr>
              <w:pStyle w:val="Tabletext"/>
              <w:jc w:val="center"/>
              <w:rPr>
                <w:rFonts w:eastAsiaTheme="minorHAnsi"/>
              </w:rPr>
            </w:pPr>
            <w:r>
              <w:rPr>
                <w:rFonts w:eastAsiaTheme="minorHAnsi"/>
              </w:rPr>
              <w:t>48.8% (40.4, 56.7)</w:t>
            </w:r>
          </w:p>
        </w:tc>
      </w:tr>
    </w:tbl>
    <w:p w:rsidR="00B6569C" w:rsidRDefault="00E82474">
      <w:pPr>
        <w:pStyle w:val="TableFooter"/>
        <w:widowControl/>
      </w:pPr>
      <w:r>
        <w:t>CI = confidence interval; RFS = recurrence free survival</w:t>
      </w:r>
    </w:p>
    <w:p w:rsidR="00B6569C" w:rsidRDefault="00E82474">
      <w:pPr>
        <w:pStyle w:val="TableFooter"/>
        <w:widowControl/>
        <w:rPr>
          <w:i/>
        </w:rPr>
      </w:pPr>
      <w:r>
        <w:rPr>
          <w:i/>
        </w:rPr>
        <w:t>Source: Tables 4.3-4 and 4.3-5, p132 of Att 6 to the resubmission</w:t>
      </w:r>
    </w:p>
    <w:p w:rsidR="005B297D" w:rsidRDefault="005B297D" w:rsidP="005B297D">
      <w:pPr>
        <w:pStyle w:val="TableHeading0"/>
        <w:spacing w:after="0"/>
        <w:rPr>
          <w:rFonts w:asciiTheme="minorHAnsi" w:hAnsiTheme="minorHAnsi" w:cstheme="minorHAnsi"/>
          <w:i/>
          <w:sz w:val="28"/>
          <w:szCs w:val="28"/>
        </w:rPr>
      </w:pPr>
    </w:p>
    <w:p w:rsidR="00B6569C" w:rsidRPr="005B297D" w:rsidRDefault="00E82474" w:rsidP="005B297D">
      <w:pPr>
        <w:pStyle w:val="TableHeading0"/>
        <w:spacing w:after="0"/>
        <w:rPr>
          <w:rFonts w:asciiTheme="minorHAnsi" w:hAnsiTheme="minorHAnsi" w:cstheme="minorHAnsi"/>
          <w:i/>
          <w:sz w:val="28"/>
          <w:szCs w:val="28"/>
        </w:rPr>
      </w:pPr>
      <w:r w:rsidRPr="005B297D">
        <w:rPr>
          <w:rFonts w:asciiTheme="minorHAnsi" w:hAnsiTheme="minorHAnsi" w:cstheme="minorHAnsi"/>
          <w:i/>
          <w:sz w:val="28"/>
          <w:szCs w:val="28"/>
        </w:rPr>
        <w:t>Indirect comparison</w:t>
      </w:r>
    </w:p>
    <w:p w:rsidR="00B6569C" w:rsidRDefault="00B6569C"/>
    <w:p w:rsidR="00B6569C" w:rsidRDefault="00E82474">
      <w:pPr>
        <w:pStyle w:val="ListParagraph"/>
        <w:widowControl/>
        <w:numPr>
          <w:ilvl w:val="1"/>
          <w:numId w:val="3"/>
        </w:numPr>
      </w:pPr>
      <w:r>
        <w:t xml:space="preserve">The resubmission presented an indirect comparison of recurrence free survival between pembrolizumab (KN054 BRAF mutation subgroups) and supplementary near market comparator dabrafenib+trametinib (COMBI-AD; placebo as common reference), updated with four year follow up data from the COMBI-AD study. </w:t>
      </w:r>
    </w:p>
    <w:p w:rsidR="001F7C95" w:rsidRDefault="001F7C95" w:rsidP="001F7C95">
      <w:pPr>
        <w:pStyle w:val="TableHeading0"/>
      </w:pPr>
      <w:r>
        <w:lastRenderedPageBreak/>
        <w:t xml:space="preserve">Table </w:t>
      </w:r>
      <w:fldSimple w:instr=" SEQ Table \* ARABIC ">
        <w:r w:rsidR="00632FE3">
          <w:rPr>
            <w:noProof/>
          </w:rPr>
          <w:t>10</w:t>
        </w:r>
      </w:fldSimple>
      <w:r w:rsidRPr="00BF0D92">
        <w:t xml:space="preserve">: Results of the indirect comparison between pembrolizumab and </w:t>
      </w:r>
      <w:proofErr w:type="spellStart"/>
      <w:r w:rsidRPr="00BF0D92">
        <w:t>dabrafenib+trametinib</w:t>
      </w:r>
      <w:proofErr w:type="spellEnd"/>
    </w:p>
    <w:tbl>
      <w:tblPr>
        <w:tblStyle w:val="Summarybox1"/>
        <w:tblW w:w="5000" w:type="pct"/>
        <w:tblLook w:val="04A0" w:firstRow="1" w:lastRow="0" w:firstColumn="1" w:lastColumn="0" w:noHBand="0" w:noVBand="1"/>
        <w:tblCaption w:val="Table 10: Results of the indirect comparison between pembrolizumab and dabrafenib+trametinib "/>
      </w:tblPr>
      <w:tblGrid>
        <w:gridCol w:w="3114"/>
        <w:gridCol w:w="1560"/>
        <w:gridCol w:w="2267"/>
        <w:gridCol w:w="2076"/>
      </w:tblGrid>
      <w:tr w:rsidR="00B6569C">
        <w:trPr>
          <w:trHeight w:val="213"/>
        </w:trPr>
        <w:tc>
          <w:tcPr>
            <w:tcW w:w="1727" w:type="pct"/>
            <w:tcMar>
              <w:left w:w="28" w:type="dxa"/>
              <w:right w:w="28" w:type="dxa"/>
            </w:tcMar>
          </w:tcPr>
          <w:p w:rsidR="00B6569C" w:rsidRDefault="00B6569C">
            <w:pPr>
              <w:pStyle w:val="Tabletext"/>
              <w:keepNext/>
            </w:pPr>
          </w:p>
        </w:tc>
        <w:tc>
          <w:tcPr>
            <w:tcW w:w="865" w:type="pct"/>
            <w:tcMar>
              <w:left w:w="28" w:type="dxa"/>
              <w:right w:w="28" w:type="dxa"/>
            </w:tcMar>
            <w:vAlign w:val="center"/>
          </w:tcPr>
          <w:p w:rsidR="00B6569C" w:rsidRDefault="00E82474">
            <w:pPr>
              <w:pStyle w:val="Tabletext"/>
              <w:keepNext/>
              <w:jc w:val="center"/>
              <w:rPr>
                <w:b/>
              </w:rPr>
            </w:pPr>
            <w:r>
              <w:rPr>
                <w:b/>
              </w:rPr>
              <w:t>BRAF status</w:t>
            </w:r>
          </w:p>
        </w:tc>
        <w:tc>
          <w:tcPr>
            <w:tcW w:w="1257" w:type="pct"/>
            <w:tcMar>
              <w:left w:w="28" w:type="dxa"/>
              <w:right w:w="28" w:type="dxa"/>
            </w:tcMar>
          </w:tcPr>
          <w:p w:rsidR="00B6569C" w:rsidRDefault="00E82474">
            <w:pPr>
              <w:pStyle w:val="Tabletext"/>
              <w:keepNext/>
              <w:jc w:val="center"/>
              <w:rPr>
                <w:b/>
              </w:rPr>
            </w:pPr>
            <w:r>
              <w:rPr>
                <w:b/>
              </w:rPr>
              <w:t>HR, RFS (95% CI)</w:t>
            </w:r>
          </w:p>
        </w:tc>
        <w:tc>
          <w:tcPr>
            <w:tcW w:w="1151" w:type="pct"/>
            <w:tcMar>
              <w:left w:w="28" w:type="dxa"/>
              <w:right w:w="28" w:type="dxa"/>
            </w:tcMar>
          </w:tcPr>
          <w:p w:rsidR="00B6569C" w:rsidRDefault="00E82474">
            <w:pPr>
              <w:pStyle w:val="Tabletext"/>
              <w:keepNext/>
              <w:jc w:val="center"/>
              <w:rPr>
                <w:b/>
              </w:rPr>
            </w:pPr>
            <w:r>
              <w:rPr>
                <w:b/>
              </w:rPr>
              <w:t>Trials involved</w:t>
            </w:r>
          </w:p>
        </w:tc>
      </w:tr>
      <w:tr w:rsidR="00B6569C">
        <w:trPr>
          <w:trHeight w:val="99"/>
        </w:trPr>
        <w:tc>
          <w:tcPr>
            <w:tcW w:w="1727" w:type="pct"/>
            <w:tcMar>
              <w:left w:w="28" w:type="dxa"/>
              <w:right w:w="28" w:type="dxa"/>
            </w:tcMar>
            <w:vAlign w:val="center"/>
          </w:tcPr>
          <w:p w:rsidR="00B6569C" w:rsidRDefault="00E82474">
            <w:pPr>
              <w:pStyle w:val="Tabletext"/>
              <w:keepNext/>
            </w:pPr>
            <w:r>
              <w:t>Direct: PEMBRO  vs. PBO</w:t>
            </w:r>
          </w:p>
        </w:tc>
        <w:tc>
          <w:tcPr>
            <w:tcW w:w="865" w:type="pct"/>
            <w:tcMar>
              <w:left w:w="28" w:type="dxa"/>
              <w:right w:w="28" w:type="dxa"/>
            </w:tcMar>
            <w:vAlign w:val="center"/>
          </w:tcPr>
          <w:p w:rsidR="00B6569C" w:rsidRDefault="00E82474">
            <w:pPr>
              <w:pStyle w:val="Tabletext"/>
              <w:keepNext/>
              <w:jc w:val="center"/>
            </w:pPr>
            <w:r>
              <w:t>BRAF MT and WT</w:t>
            </w:r>
          </w:p>
        </w:tc>
        <w:tc>
          <w:tcPr>
            <w:tcW w:w="1257" w:type="pct"/>
            <w:tcMar>
              <w:left w:w="28" w:type="dxa"/>
              <w:right w:w="28" w:type="dxa"/>
            </w:tcMar>
          </w:tcPr>
          <w:p w:rsidR="00B6569C" w:rsidRDefault="00E82474">
            <w:pPr>
              <w:pStyle w:val="Tabletext"/>
              <w:keepNext/>
              <w:jc w:val="center"/>
            </w:pPr>
            <w:r>
              <w:t>0.49 (0.36, 0.67)</w:t>
            </w:r>
          </w:p>
        </w:tc>
        <w:tc>
          <w:tcPr>
            <w:tcW w:w="1151" w:type="pct"/>
            <w:tcMar>
              <w:left w:w="28" w:type="dxa"/>
              <w:right w:w="28" w:type="dxa"/>
            </w:tcMar>
            <w:vAlign w:val="center"/>
          </w:tcPr>
          <w:p w:rsidR="00B6569C" w:rsidRDefault="00E82474">
            <w:pPr>
              <w:pStyle w:val="Tabletext"/>
              <w:keepNext/>
              <w:jc w:val="center"/>
            </w:pPr>
            <w:r>
              <w:t>KN054</w:t>
            </w:r>
          </w:p>
        </w:tc>
      </w:tr>
      <w:tr w:rsidR="00B6569C">
        <w:trPr>
          <w:trHeight w:val="131"/>
        </w:trPr>
        <w:tc>
          <w:tcPr>
            <w:tcW w:w="1727" w:type="pct"/>
            <w:tcMar>
              <w:left w:w="28" w:type="dxa"/>
              <w:right w:w="28" w:type="dxa"/>
            </w:tcMar>
            <w:vAlign w:val="center"/>
          </w:tcPr>
          <w:p w:rsidR="00B6569C" w:rsidRDefault="00E82474">
            <w:pPr>
              <w:pStyle w:val="Tabletext"/>
              <w:keepNext/>
            </w:pPr>
            <w:r>
              <w:t>Direct: DAB+TRAM vs. PBO</w:t>
            </w:r>
          </w:p>
        </w:tc>
        <w:tc>
          <w:tcPr>
            <w:tcW w:w="865" w:type="pct"/>
            <w:tcMar>
              <w:left w:w="28" w:type="dxa"/>
              <w:right w:w="28" w:type="dxa"/>
            </w:tcMar>
            <w:vAlign w:val="center"/>
          </w:tcPr>
          <w:p w:rsidR="00B6569C" w:rsidRDefault="00E82474">
            <w:pPr>
              <w:pStyle w:val="Tabletext"/>
              <w:keepNext/>
              <w:jc w:val="center"/>
            </w:pPr>
            <w:r>
              <w:t>BRAF MT</w:t>
            </w:r>
          </w:p>
        </w:tc>
        <w:tc>
          <w:tcPr>
            <w:tcW w:w="1257" w:type="pct"/>
            <w:tcMar>
              <w:left w:w="28" w:type="dxa"/>
              <w:right w:w="28" w:type="dxa"/>
            </w:tcMar>
          </w:tcPr>
          <w:p w:rsidR="00B6569C" w:rsidRDefault="00E82474">
            <w:pPr>
              <w:pStyle w:val="Tabletext"/>
              <w:keepNext/>
              <w:jc w:val="center"/>
            </w:pPr>
            <w:r>
              <w:t>0.49 (0.40, 0.59)</w:t>
            </w:r>
          </w:p>
        </w:tc>
        <w:tc>
          <w:tcPr>
            <w:tcW w:w="1151" w:type="pct"/>
            <w:tcMar>
              <w:left w:w="28" w:type="dxa"/>
              <w:right w:w="28" w:type="dxa"/>
            </w:tcMar>
            <w:vAlign w:val="center"/>
          </w:tcPr>
          <w:p w:rsidR="00B6569C" w:rsidRDefault="00E82474">
            <w:pPr>
              <w:pStyle w:val="Tabletext"/>
              <w:keepNext/>
              <w:jc w:val="center"/>
            </w:pPr>
            <w:r>
              <w:t>COMBI-AD</w:t>
            </w:r>
          </w:p>
        </w:tc>
      </w:tr>
      <w:tr w:rsidR="00B6569C">
        <w:trPr>
          <w:trHeight w:val="53"/>
        </w:trPr>
        <w:tc>
          <w:tcPr>
            <w:tcW w:w="1727" w:type="pct"/>
            <w:tcMar>
              <w:left w:w="28" w:type="dxa"/>
              <w:right w:w="28" w:type="dxa"/>
            </w:tcMar>
            <w:vAlign w:val="center"/>
          </w:tcPr>
          <w:p w:rsidR="00B6569C" w:rsidRDefault="00E82474">
            <w:pPr>
              <w:pStyle w:val="Tabletext"/>
              <w:keepNext/>
              <w:rPr>
                <w:b/>
              </w:rPr>
            </w:pPr>
            <w:r>
              <w:rPr>
                <w:b/>
              </w:rPr>
              <w:t>Indirect: PEMBRO vs. DAB+TRAM</w:t>
            </w:r>
          </w:p>
        </w:tc>
        <w:tc>
          <w:tcPr>
            <w:tcW w:w="865" w:type="pct"/>
            <w:tcMar>
              <w:left w:w="28" w:type="dxa"/>
              <w:right w:w="28" w:type="dxa"/>
            </w:tcMar>
            <w:vAlign w:val="center"/>
          </w:tcPr>
          <w:p w:rsidR="00B6569C" w:rsidRDefault="00E82474">
            <w:pPr>
              <w:pStyle w:val="Tabletext"/>
              <w:keepNext/>
              <w:jc w:val="center"/>
              <w:rPr>
                <w:b/>
              </w:rPr>
            </w:pPr>
            <w:r>
              <w:rPr>
                <w:b/>
              </w:rPr>
              <w:t>-</w:t>
            </w:r>
          </w:p>
        </w:tc>
        <w:tc>
          <w:tcPr>
            <w:tcW w:w="1257" w:type="pct"/>
            <w:tcMar>
              <w:left w:w="28" w:type="dxa"/>
              <w:right w:w="28" w:type="dxa"/>
            </w:tcMar>
          </w:tcPr>
          <w:p w:rsidR="00B6569C" w:rsidRDefault="00E82474">
            <w:pPr>
              <w:pStyle w:val="Tabletext"/>
              <w:keepNext/>
              <w:jc w:val="center"/>
              <w:rPr>
                <w:b/>
              </w:rPr>
            </w:pPr>
            <w:r>
              <w:rPr>
                <w:b/>
              </w:rPr>
              <w:t>1.00 (0.69, 1.44);</w:t>
            </w:r>
          </w:p>
          <w:p w:rsidR="00B6569C" w:rsidRDefault="00E82474">
            <w:pPr>
              <w:pStyle w:val="Tabletext"/>
              <w:keepNext/>
              <w:jc w:val="center"/>
              <w:rPr>
                <w:b/>
              </w:rPr>
            </w:pPr>
            <w:r>
              <w:rPr>
                <w:b/>
              </w:rPr>
              <w:t>p = 1.0000</w:t>
            </w:r>
          </w:p>
        </w:tc>
        <w:tc>
          <w:tcPr>
            <w:tcW w:w="1151" w:type="pct"/>
            <w:tcMar>
              <w:left w:w="28" w:type="dxa"/>
              <w:right w:w="28" w:type="dxa"/>
            </w:tcMar>
            <w:vAlign w:val="center"/>
          </w:tcPr>
          <w:p w:rsidR="00B6569C" w:rsidRDefault="00E82474">
            <w:pPr>
              <w:pStyle w:val="Tabletext"/>
              <w:keepNext/>
              <w:jc w:val="center"/>
              <w:rPr>
                <w:b/>
              </w:rPr>
            </w:pPr>
            <w:r>
              <w:rPr>
                <w:b/>
              </w:rPr>
              <w:t>KN054 vs. COMBI-AD</w:t>
            </w:r>
          </w:p>
          <w:p w:rsidR="00B6569C" w:rsidRDefault="00E82474">
            <w:pPr>
              <w:pStyle w:val="Tabletext"/>
              <w:keepNext/>
              <w:jc w:val="center"/>
              <w:rPr>
                <w:b/>
              </w:rPr>
            </w:pPr>
            <w:r>
              <w:rPr>
                <w:b/>
              </w:rPr>
              <w:t>[Placebo]</w:t>
            </w:r>
          </w:p>
        </w:tc>
      </w:tr>
    </w:tbl>
    <w:p w:rsidR="00B6569C" w:rsidRDefault="00E82474">
      <w:pPr>
        <w:pStyle w:val="TableFooter"/>
        <w:keepNext/>
        <w:widowControl/>
      </w:pPr>
      <w:r>
        <w:t>CI = confidence interval; DAB+TRAM = dabrafenib+trametinib; HR = hazard ratio; MT = mutant; PBO = placebo; PEMBRO = pembrolizumab; RFS = recurrence-free survival; WT = wildtype</w:t>
      </w:r>
    </w:p>
    <w:p w:rsidR="00B6569C" w:rsidRDefault="00E82474">
      <w:pPr>
        <w:pStyle w:val="TableFooter"/>
        <w:keepNext/>
        <w:widowControl/>
      </w:pPr>
      <w:r>
        <w:t>Source: Table 10, p16 of Attachment 2 of the resubmission.</w:t>
      </w:r>
    </w:p>
    <w:p w:rsidR="00B6569C" w:rsidRDefault="00B6569C">
      <w:pPr>
        <w:keepNext/>
        <w:widowControl/>
      </w:pPr>
    </w:p>
    <w:p w:rsidR="00B6569C" w:rsidRDefault="00E82474">
      <w:pPr>
        <w:pStyle w:val="ListParagraph"/>
        <w:widowControl/>
        <w:numPr>
          <w:ilvl w:val="1"/>
          <w:numId w:val="3"/>
        </w:numPr>
      </w:pPr>
      <w:r>
        <w:t>The resubmission maintained that the results of the indirect comparison demonstrated a similar treatment effect for pembrolizumab compared to dabrafenib+trametinib in the BRAF mutation population receiving adjuvant therapy for Stage III malignant melanoma. The evaluation noted that there was uncertainty associated with the indirect comparison, given potential confounding due to differences in baseline characteristics between treatment arms in the KN054 BRAF mutation status subgroups (PD-1 status and Stage IIIC ≥4 nodes) and poor transitivity between studies in terms of maturity of data, and duration of follow up. The PSCR stated that these differences were not clinically meaningful in terms of interpretation of the results. Specifically, that the variation in baseline BRAF status had very little to no impact on the recurrence free survival results. In addition, the PSCR noted that while follow-up duration was different across the trials, the maximum treatment duration of 12 months was consistent, and that event rates in the placebo arms of KN054 and COMBI-AD trials significantly overlapped, further demonstrating exchangeability.</w:t>
      </w:r>
      <w:r>
        <w:rPr>
          <w:i/>
        </w:rPr>
        <w:t xml:space="preserve"> </w:t>
      </w:r>
    </w:p>
    <w:p w:rsidR="00B6569C" w:rsidRDefault="00E82474">
      <w:pPr>
        <w:pStyle w:val="ListParagraph"/>
        <w:widowControl/>
        <w:numPr>
          <w:ilvl w:val="1"/>
          <w:numId w:val="3"/>
        </w:numPr>
      </w:pPr>
      <w:r>
        <w:t xml:space="preserve">The resubmission argued that the naïve comparison between pembrolizumab and supplementary near market comparator nivolumab, based on the KN054 (pembrolizumab versus placebo) and CA238 (nivolumab versus ipilimumab) trials, suggested pembrolizumab is comparable to nivolumab in terms of recurrence free survival. </w:t>
      </w:r>
    </w:p>
    <w:p w:rsidR="00B6569C" w:rsidRDefault="00E82474">
      <w:pPr>
        <w:pStyle w:val="ListParagraph"/>
        <w:widowControl/>
        <w:numPr>
          <w:ilvl w:val="1"/>
          <w:numId w:val="3"/>
        </w:numPr>
      </w:pPr>
      <w:r>
        <w:t>The results of a two-step indirect comparison of pembrolizumab versus nivolumab for recurrence free survival, conducted during the November 2018 evaluation using ipilimumab versus placebo (Trial CA029) as a common reference  suggested no statistically significant difference between pembrolizumab and nivolumab (HR = 1.17, 95% CI: 0.78, 1.75). However, the evaluation considered that there was considerable uncertainty in the indirect comparison, given the two-step design of the comparison and poor transitivity between Trial KN054, CA238 and CA029 in terms of maturity of data, duration of follow up, AJCC Staging system, inclusion of Stage III and IV populations, and baseline patient characteristics.</w:t>
      </w:r>
    </w:p>
    <w:p w:rsidR="00B6569C" w:rsidRDefault="00E82474">
      <w:pPr>
        <w:pStyle w:val="Heading2"/>
        <w:widowControl/>
      </w:pPr>
      <w:r>
        <w:br w:type="column"/>
      </w:r>
      <w:r>
        <w:lastRenderedPageBreak/>
        <w:t>Comparative harms</w:t>
      </w:r>
    </w:p>
    <w:p w:rsidR="00B6569C" w:rsidRDefault="00B6569C"/>
    <w:p w:rsidR="00B6569C" w:rsidRDefault="00E82474">
      <w:pPr>
        <w:pStyle w:val="ListParagraph"/>
        <w:widowControl/>
        <w:numPr>
          <w:ilvl w:val="1"/>
          <w:numId w:val="3"/>
        </w:numPr>
      </w:pPr>
      <w:r>
        <w:t>Key adverse events reported in the KN054 trial are summarised in Table 11 below.</w:t>
      </w:r>
    </w:p>
    <w:p w:rsidR="001F7C95" w:rsidRDefault="001F7C95" w:rsidP="001F7C95">
      <w:pPr>
        <w:pStyle w:val="TableHeading0"/>
      </w:pPr>
      <w:r>
        <w:t xml:space="preserve">Table </w:t>
      </w:r>
      <w:fldSimple w:instr=" SEQ Table \* ARABIC ">
        <w:r w:rsidR="00632FE3">
          <w:rPr>
            <w:noProof/>
          </w:rPr>
          <w:t>11</w:t>
        </w:r>
      </w:fldSimple>
      <w:r w:rsidRPr="00DA3144">
        <w:t>:  Summary of key adverse events in Trial KN054 (AJCC 7th edition; as treated population)</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1:  Summary of key adverse events in Trial KN054 (AJCC 7th edition; as treated population)"/>
      </w:tblPr>
      <w:tblGrid>
        <w:gridCol w:w="2693"/>
        <w:gridCol w:w="1408"/>
        <w:gridCol w:w="9"/>
        <w:gridCol w:w="1401"/>
        <w:gridCol w:w="16"/>
        <w:gridCol w:w="1737"/>
        <w:gridCol w:w="1753"/>
      </w:tblGrid>
      <w:tr w:rsidR="00B6569C">
        <w:tc>
          <w:tcPr>
            <w:tcW w:w="1493" w:type="pct"/>
          </w:tcPr>
          <w:p w:rsidR="00B6569C" w:rsidRDefault="00B6569C">
            <w:pPr>
              <w:pStyle w:val="Tabletext"/>
              <w:keepNext/>
              <w:keepLines/>
            </w:pPr>
          </w:p>
        </w:tc>
        <w:tc>
          <w:tcPr>
            <w:tcW w:w="781" w:type="pct"/>
          </w:tcPr>
          <w:p w:rsidR="00B6569C" w:rsidRDefault="00E82474">
            <w:pPr>
              <w:pStyle w:val="Tabletext"/>
              <w:keepNext/>
              <w:keepLines/>
              <w:ind w:left="-57" w:right="-57"/>
              <w:jc w:val="center"/>
              <w:rPr>
                <w:b/>
              </w:rPr>
            </w:pPr>
            <w:r>
              <w:rPr>
                <w:b/>
              </w:rPr>
              <w:t>Pembrolizumab</w:t>
            </w:r>
          </w:p>
          <w:p w:rsidR="00B6569C" w:rsidRDefault="00E82474">
            <w:pPr>
              <w:pStyle w:val="Tabletext"/>
              <w:keepNext/>
              <w:keepLines/>
              <w:ind w:left="-57" w:right="-57"/>
              <w:jc w:val="center"/>
              <w:rPr>
                <w:b/>
              </w:rPr>
            </w:pPr>
            <w:r>
              <w:rPr>
                <w:b/>
              </w:rPr>
              <w:t>N=509</w:t>
            </w:r>
          </w:p>
        </w:tc>
        <w:tc>
          <w:tcPr>
            <w:tcW w:w="782" w:type="pct"/>
            <w:gridSpan w:val="2"/>
          </w:tcPr>
          <w:p w:rsidR="00B6569C" w:rsidRDefault="00E82474">
            <w:pPr>
              <w:pStyle w:val="Tabletext"/>
              <w:keepNext/>
              <w:keepLines/>
              <w:jc w:val="center"/>
              <w:rPr>
                <w:b/>
              </w:rPr>
            </w:pPr>
            <w:r>
              <w:rPr>
                <w:b/>
              </w:rPr>
              <w:t>Placebo</w:t>
            </w:r>
          </w:p>
          <w:p w:rsidR="00B6569C" w:rsidRDefault="00E82474">
            <w:pPr>
              <w:pStyle w:val="Tabletext"/>
              <w:keepNext/>
              <w:keepLines/>
              <w:jc w:val="center"/>
              <w:rPr>
                <w:b/>
              </w:rPr>
            </w:pPr>
            <w:r>
              <w:rPr>
                <w:b/>
              </w:rPr>
              <w:t>N=502</w:t>
            </w:r>
          </w:p>
        </w:tc>
        <w:tc>
          <w:tcPr>
            <w:tcW w:w="972" w:type="pct"/>
            <w:gridSpan w:val="2"/>
          </w:tcPr>
          <w:p w:rsidR="00B6569C" w:rsidRDefault="00E82474">
            <w:pPr>
              <w:pStyle w:val="Tabletext"/>
              <w:keepNext/>
              <w:keepLines/>
              <w:jc w:val="center"/>
              <w:rPr>
                <w:b/>
              </w:rPr>
            </w:pPr>
            <w:r>
              <w:rPr>
                <w:b/>
              </w:rPr>
              <w:t>Risk difference</w:t>
            </w:r>
          </w:p>
          <w:p w:rsidR="00B6569C" w:rsidRDefault="00E82474">
            <w:pPr>
              <w:pStyle w:val="Tabletext"/>
              <w:keepNext/>
              <w:keepLines/>
              <w:jc w:val="center"/>
              <w:rPr>
                <w:b/>
              </w:rPr>
            </w:pPr>
            <w:r>
              <w:rPr>
                <w:b/>
              </w:rPr>
              <w:t>(95% CI)</w:t>
            </w:r>
          </w:p>
        </w:tc>
        <w:tc>
          <w:tcPr>
            <w:tcW w:w="972" w:type="pct"/>
          </w:tcPr>
          <w:p w:rsidR="00B6569C" w:rsidRDefault="00E82474">
            <w:pPr>
              <w:pStyle w:val="Tabletext"/>
              <w:keepNext/>
              <w:keepLines/>
              <w:jc w:val="center"/>
              <w:rPr>
                <w:b/>
              </w:rPr>
            </w:pPr>
            <w:r>
              <w:rPr>
                <w:b/>
              </w:rPr>
              <w:t>Relative risk</w:t>
            </w:r>
          </w:p>
          <w:p w:rsidR="00B6569C" w:rsidRDefault="00E82474">
            <w:pPr>
              <w:pStyle w:val="Tabletext"/>
              <w:keepNext/>
              <w:keepLines/>
              <w:jc w:val="center"/>
              <w:rPr>
                <w:b/>
              </w:rPr>
            </w:pPr>
            <w:r>
              <w:rPr>
                <w:b/>
              </w:rPr>
              <w:t>(95% CI)</w:t>
            </w:r>
          </w:p>
        </w:tc>
      </w:tr>
      <w:tr w:rsidR="00B6569C">
        <w:tc>
          <w:tcPr>
            <w:tcW w:w="5000" w:type="pct"/>
            <w:gridSpan w:val="7"/>
          </w:tcPr>
          <w:p w:rsidR="00B6569C" w:rsidRDefault="00E82474">
            <w:pPr>
              <w:pStyle w:val="Tabletext"/>
              <w:keepNext/>
              <w:keepLines/>
              <w:rPr>
                <w:b/>
              </w:rPr>
            </w:pPr>
            <w:r>
              <w:rPr>
                <w:b/>
              </w:rPr>
              <w:t>Any adverse events, n (%)</w:t>
            </w:r>
          </w:p>
        </w:tc>
      </w:tr>
      <w:tr w:rsidR="00B6569C">
        <w:tc>
          <w:tcPr>
            <w:tcW w:w="1493" w:type="pct"/>
          </w:tcPr>
          <w:p w:rsidR="00B6569C" w:rsidRDefault="00E82474">
            <w:pPr>
              <w:pStyle w:val="Tabletext"/>
              <w:keepNext/>
              <w:keepLines/>
            </w:pPr>
            <w:r>
              <w:t>Any grade</w:t>
            </w:r>
          </w:p>
        </w:tc>
        <w:tc>
          <w:tcPr>
            <w:tcW w:w="781" w:type="pct"/>
          </w:tcPr>
          <w:p w:rsidR="00B6569C" w:rsidRDefault="00E82474">
            <w:pPr>
              <w:pStyle w:val="Tabletext"/>
              <w:keepNext/>
              <w:keepLines/>
              <w:jc w:val="center"/>
            </w:pPr>
            <w:r>
              <w:t>475 (93.3%)</w:t>
            </w:r>
          </w:p>
        </w:tc>
        <w:tc>
          <w:tcPr>
            <w:tcW w:w="782" w:type="pct"/>
            <w:gridSpan w:val="2"/>
          </w:tcPr>
          <w:p w:rsidR="00B6569C" w:rsidRDefault="00E82474">
            <w:pPr>
              <w:pStyle w:val="Tabletext"/>
              <w:keepNext/>
              <w:keepLines/>
              <w:jc w:val="center"/>
            </w:pPr>
            <w:r>
              <w:t>453 (90.2%)</w:t>
            </w:r>
          </w:p>
        </w:tc>
        <w:tc>
          <w:tcPr>
            <w:tcW w:w="972" w:type="pct"/>
            <w:gridSpan w:val="2"/>
          </w:tcPr>
          <w:p w:rsidR="00B6569C" w:rsidRDefault="00E82474">
            <w:pPr>
              <w:pStyle w:val="Tabletext"/>
              <w:keepNext/>
              <w:keepLines/>
              <w:jc w:val="center"/>
            </w:pPr>
            <w:r>
              <w:t>0.03 (0.00, 0.06)</w:t>
            </w:r>
          </w:p>
        </w:tc>
        <w:tc>
          <w:tcPr>
            <w:tcW w:w="972" w:type="pct"/>
          </w:tcPr>
          <w:p w:rsidR="00B6569C" w:rsidRDefault="00E82474">
            <w:pPr>
              <w:pStyle w:val="Tabletext"/>
              <w:keepNext/>
              <w:keepLines/>
              <w:jc w:val="center"/>
            </w:pPr>
            <w:r>
              <w:t>1.03 (1.00, 1.07)</w:t>
            </w:r>
          </w:p>
        </w:tc>
      </w:tr>
      <w:tr w:rsidR="00B6569C">
        <w:tc>
          <w:tcPr>
            <w:tcW w:w="1493" w:type="pct"/>
          </w:tcPr>
          <w:p w:rsidR="00B6569C" w:rsidRDefault="00E82474">
            <w:pPr>
              <w:pStyle w:val="Tabletext"/>
              <w:keepNext/>
              <w:keepLines/>
            </w:pPr>
            <w:r>
              <w:t>Grade 3-5</w:t>
            </w:r>
          </w:p>
        </w:tc>
        <w:tc>
          <w:tcPr>
            <w:tcW w:w="781" w:type="pct"/>
          </w:tcPr>
          <w:p w:rsidR="00B6569C" w:rsidRDefault="00E82474">
            <w:pPr>
              <w:pStyle w:val="Tabletext"/>
              <w:keepNext/>
              <w:keepLines/>
              <w:jc w:val="center"/>
            </w:pPr>
            <w:r>
              <w:t>158 (31.0%)</w:t>
            </w:r>
          </w:p>
        </w:tc>
        <w:tc>
          <w:tcPr>
            <w:tcW w:w="782" w:type="pct"/>
            <w:gridSpan w:val="2"/>
          </w:tcPr>
          <w:p w:rsidR="00B6569C" w:rsidRDefault="00E82474">
            <w:pPr>
              <w:pStyle w:val="Tabletext"/>
              <w:keepNext/>
              <w:keepLines/>
              <w:jc w:val="center"/>
            </w:pPr>
            <w:r>
              <w:t>96 (19.1%)</w:t>
            </w:r>
          </w:p>
        </w:tc>
        <w:tc>
          <w:tcPr>
            <w:tcW w:w="972" w:type="pct"/>
            <w:gridSpan w:val="2"/>
          </w:tcPr>
          <w:p w:rsidR="00B6569C" w:rsidRDefault="00E82474">
            <w:pPr>
              <w:pStyle w:val="Tabletext"/>
              <w:keepNext/>
              <w:keepLines/>
              <w:jc w:val="center"/>
              <w:rPr>
                <w:b/>
              </w:rPr>
            </w:pPr>
            <w:r>
              <w:rPr>
                <w:b/>
              </w:rPr>
              <w:t>0.12 (0.07, 0.17)</w:t>
            </w:r>
          </w:p>
        </w:tc>
        <w:tc>
          <w:tcPr>
            <w:tcW w:w="972" w:type="pct"/>
          </w:tcPr>
          <w:p w:rsidR="00B6569C" w:rsidRDefault="00E82474">
            <w:pPr>
              <w:pStyle w:val="Tabletext"/>
              <w:keepNext/>
              <w:keepLines/>
              <w:jc w:val="center"/>
              <w:rPr>
                <w:b/>
              </w:rPr>
            </w:pPr>
            <w:r>
              <w:rPr>
                <w:b/>
              </w:rPr>
              <w:t>1.62 (1.30, 2.03)</w:t>
            </w:r>
          </w:p>
        </w:tc>
      </w:tr>
      <w:tr w:rsidR="00B6569C">
        <w:tc>
          <w:tcPr>
            <w:tcW w:w="5000" w:type="pct"/>
            <w:gridSpan w:val="7"/>
          </w:tcPr>
          <w:p w:rsidR="00B6569C" w:rsidRDefault="00E82474">
            <w:pPr>
              <w:pStyle w:val="Tabletext"/>
              <w:keepNext/>
              <w:rPr>
                <w:b/>
              </w:rPr>
            </w:pPr>
            <w:r>
              <w:rPr>
                <w:b/>
              </w:rPr>
              <w:t>Treatment related adverse events, n (%)</w:t>
            </w:r>
          </w:p>
        </w:tc>
      </w:tr>
      <w:tr w:rsidR="00B6569C">
        <w:tc>
          <w:tcPr>
            <w:tcW w:w="1493" w:type="pct"/>
          </w:tcPr>
          <w:p w:rsidR="00B6569C" w:rsidRDefault="00E82474">
            <w:pPr>
              <w:pStyle w:val="Tabletext"/>
              <w:keepNext/>
            </w:pPr>
            <w:r>
              <w:t>Any grade</w:t>
            </w:r>
          </w:p>
        </w:tc>
        <w:tc>
          <w:tcPr>
            <w:tcW w:w="786" w:type="pct"/>
            <w:gridSpan w:val="2"/>
          </w:tcPr>
          <w:p w:rsidR="00B6569C" w:rsidRDefault="00E82474">
            <w:pPr>
              <w:pStyle w:val="Tabletext"/>
              <w:keepNext/>
              <w:jc w:val="center"/>
            </w:pPr>
            <w:r>
              <w:t>396 (77.8%)</w:t>
            </w:r>
          </w:p>
        </w:tc>
        <w:tc>
          <w:tcPr>
            <w:tcW w:w="786" w:type="pct"/>
            <w:gridSpan w:val="2"/>
          </w:tcPr>
          <w:p w:rsidR="00B6569C" w:rsidRDefault="00E82474">
            <w:pPr>
              <w:pStyle w:val="Tabletext"/>
              <w:keepNext/>
              <w:jc w:val="center"/>
            </w:pPr>
            <w:r>
              <w:t>332 (66.1%)</w:t>
            </w:r>
          </w:p>
        </w:tc>
        <w:tc>
          <w:tcPr>
            <w:tcW w:w="963" w:type="pct"/>
          </w:tcPr>
          <w:p w:rsidR="00B6569C" w:rsidRDefault="00E82474">
            <w:pPr>
              <w:pStyle w:val="Tabletext"/>
              <w:keepNext/>
              <w:jc w:val="center"/>
              <w:rPr>
                <w:b/>
              </w:rPr>
            </w:pPr>
            <w:r>
              <w:rPr>
                <w:b/>
              </w:rPr>
              <w:t>0.12 (0.06, 0.17)</w:t>
            </w:r>
          </w:p>
        </w:tc>
        <w:tc>
          <w:tcPr>
            <w:tcW w:w="972" w:type="pct"/>
          </w:tcPr>
          <w:p w:rsidR="00B6569C" w:rsidRDefault="00E82474">
            <w:pPr>
              <w:pStyle w:val="Tabletext"/>
              <w:keepNext/>
              <w:jc w:val="center"/>
              <w:rPr>
                <w:b/>
              </w:rPr>
            </w:pPr>
            <w:r>
              <w:rPr>
                <w:b/>
              </w:rPr>
              <w:t>1.18 (1.09, 1.27)</w:t>
            </w:r>
          </w:p>
        </w:tc>
      </w:tr>
      <w:tr w:rsidR="00B6569C">
        <w:tc>
          <w:tcPr>
            <w:tcW w:w="1493" w:type="pct"/>
          </w:tcPr>
          <w:p w:rsidR="00B6569C" w:rsidRDefault="00E82474">
            <w:pPr>
              <w:pStyle w:val="Tabletext"/>
              <w:keepNext/>
            </w:pPr>
            <w:r>
              <w:t>Grade 3-5</w:t>
            </w:r>
          </w:p>
        </w:tc>
        <w:tc>
          <w:tcPr>
            <w:tcW w:w="786" w:type="pct"/>
            <w:gridSpan w:val="2"/>
          </w:tcPr>
          <w:p w:rsidR="00B6569C" w:rsidRDefault="00E82474">
            <w:pPr>
              <w:pStyle w:val="Tabletext"/>
              <w:keepNext/>
              <w:jc w:val="center"/>
            </w:pPr>
            <w:r>
              <w:t>74 (14.5%)</w:t>
            </w:r>
          </w:p>
        </w:tc>
        <w:tc>
          <w:tcPr>
            <w:tcW w:w="786" w:type="pct"/>
            <w:gridSpan w:val="2"/>
          </w:tcPr>
          <w:p w:rsidR="00B6569C" w:rsidRDefault="00E82474">
            <w:pPr>
              <w:pStyle w:val="Tabletext"/>
              <w:keepNext/>
              <w:jc w:val="center"/>
            </w:pPr>
            <w:r>
              <w:t>17 (3.4%)</w:t>
            </w:r>
          </w:p>
        </w:tc>
        <w:tc>
          <w:tcPr>
            <w:tcW w:w="963" w:type="pct"/>
          </w:tcPr>
          <w:p w:rsidR="00B6569C" w:rsidRDefault="00E82474">
            <w:pPr>
              <w:pStyle w:val="Tabletext"/>
              <w:keepNext/>
              <w:jc w:val="center"/>
              <w:rPr>
                <w:b/>
              </w:rPr>
            </w:pPr>
            <w:r>
              <w:rPr>
                <w:b/>
              </w:rPr>
              <w:t>0.11 (0.08, 0.15)</w:t>
            </w:r>
          </w:p>
        </w:tc>
        <w:tc>
          <w:tcPr>
            <w:tcW w:w="972" w:type="pct"/>
          </w:tcPr>
          <w:p w:rsidR="00B6569C" w:rsidRDefault="00E82474">
            <w:pPr>
              <w:pStyle w:val="Tabletext"/>
              <w:keepNext/>
              <w:jc w:val="center"/>
              <w:rPr>
                <w:b/>
              </w:rPr>
            </w:pPr>
            <w:r>
              <w:rPr>
                <w:b/>
              </w:rPr>
              <w:t>4.29 (2.57, 7.17)</w:t>
            </w:r>
          </w:p>
        </w:tc>
      </w:tr>
      <w:tr w:rsidR="00B6569C">
        <w:tc>
          <w:tcPr>
            <w:tcW w:w="1493" w:type="pct"/>
          </w:tcPr>
          <w:p w:rsidR="00B6569C" w:rsidRDefault="00E82474">
            <w:pPr>
              <w:pStyle w:val="Tabletext"/>
              <w:keepNext/>
            </w:pPr>
            <w:r>
              <w:t>Grade 3-5 AEOSI</w:t>
            </w:r>
          </w:p>
        </w:tc>
        <w:tc>
          <w:tcPr>
            <w:tcW w:w="786" w:type="pct"/>
            <w:gridSpan w:val="2"/>
            <w:vAlign w:val="center"/>
          </w:tcPr>
          <w:p w:rsidR="00B6569C" w:rsidRDefault="00E82474">
            <w:pPr>
              <w:pStyle w:val="Tabletext"/>
              <w:keepNext/>
              <w:jc w:val="center"/>
            </w:pPr>
            <w:r>
              <w:rPr>
                <w:color w:val="000000"/>
              </w:rPr>
              <w:t>36 (7.1%)</w:t>
            </w:r>
          </w:p>
        </w:tc>
        <w:tc>
          <w:tcPr>
            <w:tcW w:w="786" w:type="pct"/>
            <w:gridSpan w:val="2"/>
            <w:vAlign w:val="center"/>
          </w:tcPr>
          <w:p w:rsidR="00B6569C" w:rsidRDefault="00E82474">
            <w:pPr>
              <w:pStyle w:val="Tabletext"/>
              <w:keepNext/>
              <w:jc w:val="center"/>
            </w:pPr>
            <w:r>
              <w:rPr>
                <w:color w:val="000000"/>
              </w:rPr>
              <w:t>3 (0.6%)</w:t>
            </w:r>
          </w:p>
        </w:tc>
        <w:tc>
          <w:tcPr>
            <w:tcW w:w="963" w:type="pct"/>
          </w:tcPr>
          <w:p w:rsidR="00B6569C" w:rsidRDefault="00E82474">
            <w:pPr>
              <w:keepNext/>
              <w:widowControl/>
              <w:jc w:val="center"/>
              <w:rPr>
                <w:rFonts w:ascii="Arial Narrow" w:hAnsi="Arial Narrow"/>
                <w:b/>
                <w:color w:val="000000"/>
                <w:sz w:val="20"/>
              </w:rPr>
            </w:pPr>
            <w:r>
              <w:rPr>
                <w:rFonts w:ascii="Arial Narrow" w:hAnsi="Arial Narrow"/>
                <w:b/>
                <w:color w:val="000000"/>
                <w:sz w:val="20"/>
              </w:rPr>
              <w:t>0.06 (0.04, 0.09)</w:t>
            </w:r>
          </w:p>
        </w:tc>
        <w:tc>
          <w:tcPr>
            <w:tcW w:w="972" w:type="pct"/>
          </w:tcPr>
          <w:p w:rsidR="00B6569C" w:rsidRDefault="00E82474">
            <w:pPr>
              <w:keepNext/>
              <w:widowControl/>
              <w:jc w:val="center"/>
              <w:rPr>
                <w:rFonts w:ascii="Arial Narrow" w:hAnsi="Arial Narrow"/>
                <w:b/>
                <w:color w:val="000000"/>
                <w:sz w:val="20"/>
              </w:rPr>
            </w:pPr>
            <w:r>
              <w:rPr>
                <w:rFonts w:ascii="Arial Narrow" w:hAnsi="Arial Narrow"/>
                <w:b/>
                <w:color w:val="000000"/>
                <w:sz w:val="20"/>
              </w:rPr>
              <w:t>11.83 (3.67, 38.18)</w:t>
            </w:r>
          </w:p>
        </w:tc>
      </w:tr>
      <w:tr w:rsidR="00B6569C">
        <w:tc>
          <w:tcPr>
            <w:tcW w:w="1493" w:type="pct"/>
          </w:tcPr>
          <w:p w:rsidR="00B6569C" w:rsidRDefault="00E82474">
            <w:pPr>
              <w:pStyle w:val="Tabletext"/>
              <w:keepNext/>
            </w:pPr>
            <w:r>
              <w:t>Adverse event discontinuations</w:t>
            </w:r>
          </w:p>
        </w:tc>
        <w:tc>
          <w:tcPr>
            <w:tcW w:w="786" w:type="pct"/>
            <w:gridSpan w:val="2"/>
          </w:tcPr>
          <w:p w:rsidR="00B6569C" w:rsidRDefault="00E82474">
            <w:pPr>
              <w:pStyle w:val="Tabletext"/>
              <w:keepNext/>
              <w:jc w:val="center"/>
            </w:pPr>
            <w:r>
              <w:t>62 (12.2%)</w:t>
            </w:r>
          </w:p>
        </w:tc>
        <w:tc>
          <w:tcPr>
            <w:tcW w:w="786" w:type="pct"/>
            <w:gridSpan w:val="2"/>
          </w:tcPr>
          <w:p w:rsidR="00B6569C" w:rsidRDefault="00E82474">
            <w:pPr>
              <w:pStyle w:val="Tabletext"/>
              <w:keepNext/>
              <w:jc w:val="center"/>
            </w:pPr>
            <w:r>
              <w:t>8 (1.6%)</w:t>
            </w:r>
          </w:p>
        </w:tc>
        <w:tc>
          <w:tcPr>
            <w:tcW w:w="963" w:type="pct"/>
          </w:tcPr>
          <w:p w:rsidR="00B6569C" w:rsidRDefault="00E82474">
            <w:pPr>
              <w:pStyle w:val="Tabletext"/>
              <w:keepNext/>
              <w:jc w:val="center"/>
              <w:rPr>
                <w:b/>
              </w:rPr>
            </w:pPr>
            <w:r>
              <w:rPr>
                <w:b/>
              </w:rPr>
              <w:t>0.11 (0.08, 0.14)</w:t>
            </w:r>
          </w:p>
        </w:tc>
        <w:tc>
          <w:tcPr>
            <w:tcW w:w="972" w:type="pct"/>
          </w:tcPr>
          <w:p w:rsidR="00B6569C" w:rsidRDefault="00E82474">
            <w:pPr>
              <w:pStyle w:val="Tabletext"/>
              <w:keepNext/>
              <w:jc w:val="center"/>
              <w:rPr>
                <w:b/>
              </w:rPr>
            </w:pPr>
            <w:r>
              <w:rPr>
                <w:b/>
              </w:rPr>
              <w:t>7.64 (3.70, 15.8)</w:t>
            </w:r>
          </w:p>
        </w:tc>
      </w:tr>
      <w:tr w:rsidR="00B6569C">
        <w:tc>
          <w:tcPr>
            <w:tcW w:w="1493" w:type="pct"/>
          </w:tcPr>
          <w:p w:rsidR="00B6569C" w:rsidRDefault="00E82474">
            <w:pPr>
              <w:pStyle w:val="Tabletext"/>
              <w:keepNext/>
            </w:pPr>
            <w:r>
              <w:t>Death</w:t>
            </w:r>
          </w:p>
        </w:tc>
        <w:tc>
          <w:tcPr>
            <w:tcW w:w="786" w:type="pct"/>
            <w:gridSpan w:val="2"/>
          </w:tcPr>
          <w:p w:rsidR="00B6569C" w:rsidRDefault="00E82474">
            <w:pPr>
              <w:pStyle w:val="Tabletext"/>
              <w:keepNext/>
              <w:jc w:val="center"/>
            </w:pPr>
            <w:r>
              <w:t>1 (0.2%)</w:t>
            </w:r>
          </w:p>
        </w:tc>
        <w:tc>
          <w:tcPr>
            <w:tcW w:w="786" w:type="pct"/>
            <w:gridSpan w:val="2"/>
          </w:tcPr>
          <w:p w:rsidR="00B6569C" w:rsidRDefault="00E82474">
            <w:pPr>
              <w:pStyle w:val="Tabletext"/>
              <w:keepNext/>
              <w:jc w:val="center"/>
            </w:pPr>
            <w:r>
              <w:t>0</w:t>
            </w:r>
          </w:p>
        </w:tc>
        <w:tc>
          <w:tcPr>
            <w:tcW w:w="963" w:type="pct"/>
          </w:tcPr>
          <w:p w:rsidR="00B6569C" w:rsidRDefault="00E82474">
            <w:pPr>
              <w:pStyle w:val="Tabletext"/>
              <w:keepNext/>
              <w:jc w:val="center"/>
            </w:pPr>
            <w:r>
              <w:t>0.00 (0.00, 0.01)</w:t>
            </w:r>
          </w:p>
        </w:tc>
        <w:tc>
          <w:tcPr>
            <w:tcW w:w="972" w:type="pct"/>
          </w:tcPr>
          <w:p w:rsidR="00B6569C" w:rsidRDefault="00E82474">
            <w:pPr>
              <w:pStyle w:val="Tabletext"/>
              <w:keepNext/>
              <w:jc w:val="center"/>
            </w:pPr>
            <w:r>
              <w:t>2.96 (0.1, 72.5)</w:t>
            </w:r>
          </w:p>
        </w:tc>
      </w:tr>
      <w:tr w:rsidR="00B6569C">
        <w:tc>
          <w:tcPr>
            <w:tcW w:w="5000" w:type="pct"/>
            <w:gridSpan w:val="7"/>
          </w:tcPr>
          <w:p w:rsidR="00B6569C" w:rsidRDefault="00E82474">
            <w:pPr>
              <w:pStyle w:val="Tabletext"/>
              <w:keepNext/>
              <w:rPr>
                <w:b/>
              </w:rPr>
            </w:pPr>
            <w:r>
              <w:rPr>
                <w:b/>
              </w:rPr>
              <w:t>Most frequent treatment related adverse events of any grade (≥ 5% of patients in either arm)</w:t>
            </w:r>
          </w:p>
        </w:tc>
      </w:tr>
      <w:tr w:rsidR="00B6569C">
        <w:tc>
          <w:tcPr>
            <w:tcW w:w="1493" w:type="pct"/>
          </w:tcPr>
          <w:p w:rsidR="00B6569C" w:rsidRDefault="00E82474">
            <w:pPr>
              <w:pStyle w:val="Tabletext"/>
              <w:keepNext/>
            </w:pPr>
            <w:r>
              <w:t xml:space="preserve">Fatigue </w:t>
            </w:r>
          </w:p>
        </w:tc>
        <w:tc>
          <w:tcPr>
            <w:tcW w:w="786" w:type="pct"/>
            <w:gridSpan w:val="2"/>
          </w:tcPr>
          <w:p w:rsidR="00B6569C" w:rsidRDefault="00E82474">
            <w:pPr>
              <w:pStyle w:val="Tabletext"/>
              <w:keepNext/>
              <w:jc w:val="center"/>
            </w:pPr>
            <w:r>
              <w:t>143 (28.1%)</w:t>
            </w:r>
          </w:p>
        </w:tc>
        <w:tc>
          <w:tcPr>
            <w:tcW w:w="786" w:type="pct"/>
            <w:gridSpan w:val="2"/>
          </w:tcPr>
          <w:p w:rsidR="00B6569C" w:rsidRDefault="00E82474">
            <w:pPr>
              <w:pStyle w:val="Tabletext"/>
              <w:keepNext/>
              <w:jc w:val="center"/>
            </w:pPr>
            <w:r>
              <w:t>135 (26.9%)</w:t>
            </w:r>
          </w:p>
        </w:tc>
        <w:tc>
          <w:tcPr>
            <w:tcW w:w="963" w:type="pct"/>
          </w:tcPr>
          <w:p w:rsidR="00B6569C" w:rsidRDefault="00E82474">
            <w:pPr>
              <w:pStyle w:val="Tabletext"/>
              <w:keepNext/>
              <w:jc w:val="center"/>
            </w:pPr>
            <w:r>
              <w:t>0.01 (-0.04, 0.07)</w:t>
            </w:r>
          </w:p>
        </w:tc>
        <w:tc>
          <w:tcPr>
            <w:tcW w:w="972" w:type="pct"/>
          </w:tcPr>
          <w:p w:rsidR="00B6569C" w:rsidRDefault="00E82474">
            <w:pPr>
              <w:pStyle w:val="Tabletext"/>
              <w:keepNext/>
              <w:jc w:val="center"/>
            </w:pPr>
            <w:r>
              <w:t>1.04 (0.86, 1.28)</w:t>
            </w:r>
          </w:p>
        </w:tc>
      </w:tr>
      <w:tr w:rsidR="00B6569C">
        <w:tc>
          <w:tcPr>
            <w:tcW w:w="1493" w:type="pct"/>
          </w:tcPr>
          <w:p w:rsidR="00B6569C" w:rsidRDefault="00E82474">
            <w:pPr>
              <w:pStyle w:val="Tabletext"/>
              <w:keepNext/>
            </w:pPr>
            <w:r>
              <w:t>Diarrhoea</w:t>
            </w:r>
          </w:p>
        </w:tc>
        <w:tc>
          <w:tcPr>
            <w:tcW w:w="786" w:type="pct"/>
            <w:gridSpan w:val="2"/>
          </w:tcPr>
          <w:p w:rsidR="00B6569C" w:rsidRDefault="00E82474">
            <w:pPr>
              <w:pStyle w:val="Tabletext"/>
              <w:keepNext/>
              <w:jc w:val="center"/>
            </w:pPr>
            <w:r>
              <w:t>94 (18.5%)</w:t>
            </w:r>
          </w:p>
        </w:tc>
        <w:tc>
          <w:tcPr>
            <w:tcW w:w="786" w:type="pct"/>
            <w:gridSpan w:val="2"/>
          </w:tcPr>
          <w:p w:rsidR="00B6569C" w:rsidRDefault="00E82474">
            <w:pPr>
              <w:pStyle w:val="Tabletext"/>
              <w:keepNext/>
              <w:jc w:val="center"/>
            </w:pPr>
            <w:r>
              <w:t>82 (16.3%)</w:t>
            </w:r>
          </w:p>
        </w:tc>
        <w:tc>
          <w:tcPr>
            <w:tcW w:w="963" w:type="pct"/>
          </w:tcPr>
          <w:p w:rsidR="00B6569C" w:rsidRDefault="00E82474">
            <w:pPr>
              <w:pStyle w:val="Tabletext"/>
              <w:keepNext/>
              <w:jc w:val="center"/>
            </w:pPr>
            <w:r>
              <w:t>0.02 (-0.03, 0.07)</w:t>
            </w:r>
          </w:p>
        </w:tc>
        <w:tc>
          <w:tcPr>
            <w:tcW w:w="972" w:type="pct"/>
          </w:tcPr>
          <w:p w:rsidR="00B6569C" w:rsidRDefault="00E82474">
            <w:pPr>
              <w:pStyle w:val="Tabletext"/>
              <w:keepNext/>
              <w:jc w:val="center"/>
            </w:pPr>
            <w:r>
              <w:t>1.13 (0.86, 1.48)</w:t>
            </w:r>
          </w:p>
        </w:tc>
      </w:tr>
      <w:tr w:rsidR="00B6569C">
        <w:tc>
          <w:tcPr>
            <w:tcW w:w="1493" w:type="pct"/>
          </w:tcPr>
          <w:p w:rsidR="00B6569C" w:rsidRDefault="00E82474">
            <w:pPr>
              <w:pStyle w:val="Tabletext"/>
              <w:keepNext/>
            </w:pPr>
            <w:r>
              <w:t xml:space="preserve">Pruritus </w:t>
            </w:r>
          </w:p>
        </w:tc>
        <w:tc>
          <w:tcPr>
            <w:tcW w:w="786" w:type="pct"/>
            <w:gridSpan w:val="2"/>
          </w:tcPr>
          <w:p w:rsidR="00B6569C" w:rsidRDefault="00E82474">
            <w:pPr>
              <w:pStyle w:val="Tabletext"/>
              <w:keepNext/>
              <w:jc w:val="center"/>
            </w:pPr>
            <w:r>
              <w:t>85 (16.7%)</w:t>
            </w:r>
          </w:p>
        </w:tc>
        <w:tc>
          <w:tcPr>
            <w:tcW w:w="786" w:type="pct"/>
            <w:gridSpan w:val="2"/>
          </w:tcPr>
          <w:p w:rsidR="00B6569C" w:rsidRDefault="00E82474">
            <w:pPr>
              <w:pStyle w:val="Tabletext"/>
              <w:keepNext/>
              <w:jc w:val="center"/>
            </w:pPr>
            <w:r>
              <w:t>49 (9.8%)</w:t>
            </w:r>
          </w:p>
        </w:tc>
        <w:tc>
          <w:tcPr>
            <w:tcW w:w="963" w:type="pct"/>
          </w:tcPr>
          <w:p w:rsidR="00B6569C" w:rsidRDefault="00E82474">
            <w:pPr>
              <w:pStyle w:val="Tabletext"/>
              <w:keepNext/>
              <w:jc w:val="center"/>
              <w:rPr>
                <w:b/>
              </w:rPr>
            </w:pPr>
            <w:r>
              <w:rPr>
                <w:b/>
              </w:rPr>
              <w:t>0.07 (0.03, 0.11)</w:t>
            </w:r>
          </w:p>
        </w:tc>
        <w:tc>
          <w:tcPr>
            <w:tcW w:w="972" w:type="pct"/>
          </w:tcPr>
          <w:p w:rsidR="00B6569C" w:rsidRDefault="00E82474">
            <w:pPr>
              <w:pStyle w:val="Tabletext"/>
              <w:keepNext/>
              <w:jc w:val="center"/>
              <w:rPr>
                <w:b/>
              </w:rPr>
            </w:pPr>
            <w:r>
              <w:rPr>
                <w:b/>
              </w:rPr>
              <w:t>1.71 (1.23, 2.38)</w:t>
            </w:r>
          </w:p>
        </w:tc>
      </w:tr>
      <w:tr w:rsidR="00B6569C">
        <w:tc>
          <w:tcPr>
            <w:tcW w:w="1493" w:type="pct"/>
          </w:tcPr>
          <w:p w:rsidR="00B6569C" w:rsidRDefault="00E82474">
            <w:pPr>
              <w:pStyle w:val="Tabletext"/>
              <w:keepNext/>
            </w:pPr>
            <w:r>
              <w:t>Hypothyroidism</w:t>
            </w:r>
          </w:p>
        </w:tc>
        <w:tc>
          <w:tcPr>
            <w:tcW w:w="786" w:type="pct"/>
            <w:gridSpan w:val="2"/>
          </w:tcPr>
          <w:p w:rsidR="00B6569C" w:rsidRDefault="00E82474">
            <w:pPr>
              <w:pStyle w:val="Tabletext"/>
              <w:keepNext/>
              <w:jc w:val="center"/>
            </w:pPr>
            <w:r>
              <w:t>73 (14.3%)</w:t>
            </w:r>
          </w:p>
        </w:tc>
        <w:tc>
          <w:tcPr>
            <w:tcW w:w="786" w:type="pct"/>
            <w:gridSpan w:val="2"/>
          </w:tcPr>
          <w:p w:rsidR="00B6569C" w:rsidRDefault="00E82474">
            <w:pPr>
              <w:pStyle w:val="Tabletext"/>
              <w:keepNext/>
              <w:jc w:val="center"/>
            </w:pPr>
            <w:r>
              <w:t>13 (2.6%)</w:t>
            </w:r>
          </w:p>
        </w:tc>
        <w:tc>
          <w:tcPr>
            <w:tcW w:w="963" w:type="pct"/>
          </w:tcPr>
          <w:p w:rsidR="00B6569C" w:rsidRDefault="00E82474">
            <w:pPr>
              <w:pStyle w:val="Tabletext"/>
              <w:keepNext/>
              <w:jc w:val="center"/>
              <w:rPr>
                <w:b/>
              </w:rPr>
            </w:pPr>
            <w:r>
              <w:rPr>
                <w:b/>
              </w:rPr>
              <w:t>0.12 (0.08, 0.15)</w:t>
            </w:r>
          </w:p>
        </w:tc>
        <w:tc>
          <w:tcPr>
            <w:tcW w:w="972" w:type="pct"/>
          </w:tcPr>
          <w:p w:rsidR="00B6569C" w:rsidRDefault="00E82474">
            <w:pPr>
              <w:pStyle w:val="Tabletext"/>
              <w:keepNext/>
              <w:jc w:val="center"/>
              <w:rPr>
                <w:b/>
              </w:rPr>
            </w:pPr>
            <w:r>
              <w:rPr>
                <w:b/>
              </w:rPr>
              <w:t>5.54 (3.11, 9.86)</w:t>
            </w:r>
          </w:p>
        </w:tc>
      </w:tr>
      <w:tr w:rsidR="00B6569C">
        <w:tc>
          <w:tcPr>
            <w:tcW w:w="1493" w:type="pct"/>
          </w:tcPr>
          <w:p w:rsidR="00B6569C" w:rsidRDefault="00E82474">
            <w:pPr>
              <w:pStyle w:val="Tabletext"/>
              <w:keepNext/>
            </w:pPr>
            <w:r>
              <w:t xml:space="preserve">Nausea </w:t>
            </w:r>
          </w:p>
        </w:tc>
        <w:tc>
          <w:tcPr>
            <w:tcW w:w="786" w:type="pct"/>
            <w:gridSpan w:val="2"/>
          </w:tcPr>
          <w:p w:rsidR="00B6569C" w:rsidRDefault="00E82474">
            <w:pPr>
              <w:pStyle w:val="Tabletext"/>
              <w:keepNext/>
              <w:jc w:val="center"/>
            </w:pPr>
            <w:r>
              <w:t>58 (11.4%)</w:t>
            </w:r>
          </w:p>
        </w:tc>
        <w:tc>
          <w:tcPr>
            <w:tcW w:w="786" w:type="pct"/>
            <w:gridSpan w:val="2"/>
          </w:tcPr>
          <w:p w:rsidR="00B6569C" w:rsidRDefault="00E82474">
            <w:pPr>
              <w:pStyle w:val="Tabletext"/>
              <w:keepNext/>
              <w:jc w:val="center"/>
            </w:pPr>
            <w:r>
              <w:t>43 (8.6%)</w:t>
            </w:r>
          </w:p>
        </w:tc>
        <w:tc>
          <w:tcPr>
            <w:tcW w:w="963" w:type="pct"/>
          </w:tcPr>
          <w:p w:rsidR="00B6569C" w:rsidRDefault="00E82474">
            <w:pPr>
              <w:pStyle w:val="Tabletext"/>
              <w:keepNext/>
              <w:jc w:val="center"/>
            </w:pPr>
            <w:r>
              <w:t>0.03 (-0.01, 0.07)</w:t>
            </w:r>
          </w:p>
        </w:tc>
        <w:tc>
          <w:tcPr>
            <w:tcW w:w="972" w:type="pct"/>
          </w:tcPr>
          <w:p w:rsidR="00B6569C" w:rsidRDefault="00E82474">
            <w:pPr>
              <w:pStyle w:val="Tabletext"/>
              <w:keepNext/>
              <w:jc w:val="center"/>
            </w:pPr>
            <w:r>
              <w:t>1.33 (0.91, 1.93)</w:t>
            </w:r>
          </w:p>
        </w:tc>
      </w:tr>
      <w:tr w:rsidR="00B6569C">
        <w:tc>
          <w:tcPr>
            <w:tcW w:w="1493" w:type="pct"/>
          </w:tcPr>
          <w:p w:rsidR="00B6569C" w:rsidRDefault="00E82474">
            <w:pPr>
              <w:pStyle w:val="Tabletext"/>
              <w:keepNext/>
            </w:pPr>
            <w:r>
              <w:t xml:space="preserve">Arthralgia </w:t>
            </w:r>
          </w:p>
        </w:tc>
        <w:tc>
          <w:tcPr>
            <w:tcW w:w="786" w:type="pct"/>
            <w:gridSpan w:val="2"/>
          </w:tcPr>
          <w:p w:rsidR="00B6569C" w:rsidRDefault="00E82474">
            <w:pPr>
              <w:pStyle w:val="Tabletext"/>
              <w:keepNext/>
              <w:jc w:val="center"/>
            </w:pPr>
            <w:r>
              <w:t>51 (10.0%)</w:t>
            </w:r>
          </w:p>
        </w:tc>
        <w:tc>
          <w:tcPr>
            <w:tcW w:w="786" w:type="pct"/>
            <w:gridSpan w:val="2"/>
          </w:tcPr>
          <w:p w:rsidR="00B6569C" w:rsidRDefault="00E82474">
            <w:pPr>
              <w:pStyle w:val="Tabletext"/>
              <w:keepNext/>
              <w:jc w:val="center"/>
            </w:pPr>
            <w:r>
              <w:t>47 (9.4%)</w:t>
            </w:r>
          </w:p>
        </w:tc>
        <w:tc>
          <w:tcPr>
            <w:tcW w:w="963" w:type="pct"/>
          </w:tcPr>
          <w:p w:rsidR="00B6569C" w:rsidRDefault="00E82474">
            <w:pPr>
              <w:pStyle w:val="Tabletext"/>
              <w:keepNext/>
              <w:jc w:val="center"/>
            </w:pPr>
            <w:r>
              <w:t>0.01 (-0.03, 0.04)</w:t>
            </w:r>
          </w:p>
        </w:tc>
        <w:tc>
          <w:tcPr>
            <w:tcW w:w="972" w:type="pct"/>
          </w:tcPr>
          <w:p w:rsidR="00B6569C" w:rsidRDefault="00E82474">
            <w:pPr>
              <w:pStyle w:val="Tabletext"/>
              <w:keepNext/>
              <w:jc w:val="center"/>
            </w:pPr>
            <w:r>
              <w:t>1.07 (0.73, 1.56)</w:t>
            </w:r>
          </w:p>
        </w:tc>
      </w:tr>
      <w:tr w:rsidR="00B6569C">
        <w:tc>
          <w:tcPr>
            <w:tcW w:w="1493" w:type="pct"/>
          </w:tcPr>
          <w:p w:rsidR="00B6569C" w:rsidRDefault="00E82474">
            <w:pPr>
              <w:pStyle w:val="Tabletext"/>
              <w:keepNext/>
            </w:pPr>
            <w:r>
              <w:t xml:space="preserve">Hyperthyroidism </w:t>
            </w:r>
          </w:p>
        </w:tc>
        <w:tc>
          <w:tcPr>
            <w:tcW w:w="786" w:type="pct"/>
            <w:gridSpan w:val="2"/>
          </w:tcPr>
          <w:p w:rsidR="00B6569C" w:rsidRDefault="00E82474">
            <w:pPr>
              <w:pStyle w:val="Tabletext"/>
              <w:keepNext/>
              <w:jc w:val="center"/>
            </w:pPr>
            <w:r>
              <w:t>49 (9.6%)</w:t>
            </w:r>
          </w:p>
        </w:tc>
        <w:tc>
          <w:tcPr>
            <w:tcW w:w="786" w:type="pct"/>
            <w:gridSpan w:val="2"/>
          </w:tcPr>
          <w:p w:rsidR="00B6569C" w:rsidRDefault="00E82474">
            <w:pPr>
              <w:pStyle w:val="Tabletext"/>
              <w:keepNext/>
              <w:jc w:val="center"/>
            </w:pPr>
            <w:r>
              <w:t>4 (0.8%)</w:t>
            </w:r>
          </w:p>
        </w:tc>
        <w:tc>
          <w:tcPr>
            <w:tcW w:w="963" w:type="pct"/>
          </w:tcPr>
          <w:p w:rsidR="00B6569C" w:rsidRDefault="00E82474">
            <w:pPr>
              <w:pStyle w:val="Tabletext"/>
              <w:keepNext/>
              <w:jc w:val="center"/>
              <w:rPr>
                <w:b/>
              </w:rPr>
            </w:pPr>
            <w:r>
              <w:rPr>
                <w:b/>
              </w:rPr>
              <w:t>0.09 (0.06, 0.12)</w:t>
            </w:r>
          </w:p>
        </w:tc>
        <w:tc>
          <w:tcPr>
            <w:tcW w:w="972" w:type="pct"/>
          </w:tcPr>
          <w:p w:rsidR="00B6569C" w:rsidRDefault="00E82474">
            <w:pPr>
              <w:pStyle w:val="Tabletext"/>
              <w:keepNext/>
              <w:jc w:val="center"/>
              <w:rPr>
                <w:b/>
              </w:rPr>
            </w:pPr>
            <w:r>
              <w:rPr>
                <w:b/>
              </w:rPr>
              <w:t>12.1 (4.39, 33.2)</w:t>
            </w:r>
          </w:p>
        </w:tc>
      </w:tr>
      <w:tr w:rsidR="00B6569C">
        <w:tc>
          <w:tcPr>
            <w:tcW w:w="1493" w:type="pct"/>
          </w:tcPr>
          <w:p w:rsidR="00B6569C" w:rsidRDefault="00E82474">
            <w:pPr>
              <w:pStyle w:val="Tabletext"/>
              <w:keepNext/>
            </w:pPr>
            <w:r>
              <w:t>Rash</w:t>
            </w:r>
          </w:p>
        </w:tc>
        <w:tc>
          <w:tcPr>
            <w:tcW w:w="786" w:type="pct"/>
            <w:gridSpan w:val="2"/>
          </w:tcPr>
          <w:p w:rsidR="00B6569C" w:rsidRDefault="00E82474">
            <w:pPr>
              <w:pStyle w:val="Tabletext"/>
              <w:keepNext/>
              <w:jc w:val="center"/>
            </w:pPr>
            <w:r>
              <w:t>49 (9.6%)</w:t>
            </w:r>
          </w:p>
        </w:tc>
        <w:tc>
          <w:tcPr>
            <w:tcW w:w="786" w:type="pct"/>
            <w:gridSpan w:val="2"/>
          </w:tcPr>
          <w:p w:rsidR="00B6569C" w:rsidRDefault="00E82474">
            <w:pPr>
              <w:pStyle w:val="Tabletext"/>
              <w:keepNext/>
              <w:jc w:val="center"/>
            </w:pPr>
            <w:r>
              <w:t>32 (6.4%)</w:t>
            </w:r>
          </w:p>
        </w:tc>
        <w:tc>
          <w:tcPr>
            <w:tcW w:w="963" w:type="pct"/>
          </w:tcPr>
          <w:p w:rsidR="00B6569C" w:rsidRDefault="00E82474">
            <w:pPr>
              <w:pStyle w:val="Tabletext"/>
              <w:keepNext/>
              <w:jc w:val="center"/>
            </w:pPr>
            <w:r>
              <w:t>0.03 (-0.00, 0.07)</w:t>
            </w:r>
          </w:p>
        </w:tc>
        <w:tc>
          <w:tcPr>
            <w:tcW w:w="972" w:type="pct"/>
          </w:tcPr>
          <w:p w:rsidR="00B6569C" w:rsidRDefault="00E82474">
            <w:pPr>
              <w:pStyle w:val="Tabletext"/>
              <w:keepNext/>
              <w:jc w:val="center"/>
            </w:pPr>
            <w:r>
              <w:t>1.51 (0.98, 2.32)</w:t>
            </w:r>
          </w:p>
        </w:tc>
      </w:tr>
      <w:tr w:rsidR="00B6569C">
        <w:tc>
          <w:tcPr>
            <w:tcW w:w="1493" w:type="pct"/>
          </w:tcPr>
          <w:p w:rsidR="00B6569C" w:rsidRDefault="00E82474">
            <w:pPr>
              <w:pStyle w:val="Tabletext"/>
              <w:keepNext/>
            </w:pPr>
            <w:r>
              <w:t>Asthenia</w:t>
            </w:r>
          </w:p>
        </w:tc>
        <w:tc>
          <w:tcPr>
            <w:tcW w:w="786" w:type="pct"/>
            <w:gridSpan w:val="2"/>
          </w:tcPr>
          <w:p w:rsidR="00B6569C" w:rsidRDefault="00E82474">
            <w:pPr>
              <w:pStyle w:val="Tabletext"/>
              <w:keepNext/>
              <w:jc w:val="center"/>
            </w:pPr>
            <w:r>
              <w:t>48 (9.4%)</w:t>
            </w:r>
          </w:p>
        </w:tc>
        <w:tc>
          <w:tcPr>
            <w:tcW w:w="786" w:type="pct"/>
            <w:gridSpan w:val="2"/>
          </w:tcPr>
          <w:p w:rsidR="00B6569C" w:rsidRDefault="00E82474">
            <w:pPr>
              <w:pStyle w:val="Tabletext"/>
              <w:keepNext/>
              <w:jc w:val="center"/>
            </w:pPr>
            <w:r>
              <w:t>34 (6.8%)</w:t>
            </w:r>
          </w:p>
        </w:tc>
        <w:tc>
          <w:tcPr>
            <w:tcW w:w="963" w:type="pct"/>
          </w:tcPr>
          <w:p w:rsidR="00B6569C" w:rsidRDefault="00E82474">
            <w:pPr>
              <w:pStyle w:val="Tabletext"/>
              <w:keepNext/>
              <w:jc w:val="center"/>
            </w:pPr>
            <w:r>
              <w:t>0.03 (-0.01, 0.06)</w:t>
            </w:r>
          </w:p>
        </w:tc>
        <w:tc>
          <w:tcPr>
            <w:tcW w:w="972" w:type="pct"/>
          </w:tcPr>
          <w:p w:rsidR="00B6569C" w:rsidRDefault="00E82474">
            <w:pPr>
              <w:pStyle w:val="Tabletext"/>
              <w:keepNext/>
              <w:jc w:val="center"/>
            </w:pPr>
            <w:r>
              <w:t>1.39 (0.91, 2.12)</w:t>
            </w:r>
          </w:p>
        </w:tc>
      </w:tr>
      <w:tr w:rsidR="00B6569C">
        <w:tc>
          <w:tcPr>
            <w:tcW w:w="1493" w:type="pct"/>
          </w:tcPr>
          <w:p w:rsidR="00B6569C" w:rsidRDefault="00E82474">
            <w:pPr>
              <w:pStyle w:val="Tabletext"/>
              <w:keepNext/>
            </w:pPr>
            <w:r>
              <w:t>Headache</w:t>
            </w:r>
          </w:p>
        </w:tc>
        <w:tc>
          <w:tcPr>
            <w:tcW w:w="786" w:type="pct"/>
            <w:gridSpan w:val="2"/>
          </w:tcPr>
          <w:p w:rsidR="00B6569C" w:rsidRDefault="00E82474">
            <w:pPr>
              <w:pStyle w:val="Tabletext"/>
              <w:keepNext/>
              <w:jc w:val="center"/>
            </w:pPr>
            <w:r>
              <w:t>37 (7.3%)</w:t>
            </w:r>
          </w:p>
        </w:tc>
        <w:tc>
          <w:tcPr>
            <w:tcW w:w="786" w:type="pct"/>
            <w:gridSpan w:val="2"/>
          </w:tcPr>
          <w:p w:rsidR="00B6569C" w:rsidRDefault="00E82474">
            <w:pPr>
              <w:pStyle w:val="Tabletext"/>
              <w:keepNext/>
              <w:jc w:val="center"/>
            </w:pPr>
            <w:r>
              <w:t>33 (6.6%)</w:t>
            </w:r>
          </w:p>
        </w:tc>
        <w:tc>
          <w:tcPr>
            <w:tcW w:w="963" w:type="pct"/>
          </w:tcPr>
          <w:p w:rsidR="00B6569C" w:rsidRDefault="00E82474">
            <w:pPr>
              <w:pStyle w:val="Tabletext"/>
              <w:keepNext/>
              <w:jc w:val="center"/>
            </w:pPr>
            <w:r>
              <w:t>0.01 (-0.02, 0.04)</w:t>
            </w:r>
          </w:p>
        </w:tc>
        <w:tc>
          <w:tcPr>
            <w:tcW w:w="972" w:type="pct"/>
          </w:tcPr>
          <w:p w:rsidR="00B6569C" w:rsidRDefault="00E82474">
            <w:pPr>
              <w:pStyle w:val="Tabletext"/>
              <w:keepNext/>
              <w:jc w:val="center"/>
            </w:pPr>
            <w:r>
              <w:t>1.11 (0.70, 1.74)</w:t>
            </w:r>
          </w:p>
        </w:tc>
      </w:tr>
      <w:tr w:rsidR="00B6569C">
        <w:tc>
          <w:tcPr>
            <w:tcW w:w="1493" w:type="pct"/>
          </w:tcPr>
          <w:p w:rsidR="00B6569C" w:rsidRDefault="00E82474">
            <w:pPr>
              <w:pStyle w:val="Tabletext"/>
              <w:keepNext/>
            </w:pPr>
            <w:r>
              <w:t>Dyspnoea</w:t>
            </w:r>
          </w:p>
        </w:tc>
        <w:tc>
          <w:tcPr>
            <w:tcW w:w="786" w:type="pct"/>
            <w:gridSpan w:val="2"/>
          </w:tcPr>
          <w:p w:rsidR="00B6569C" w:rsidRDefault="00E82474">
            <w:pPr>
              <w:pStyle w:val="Tabletext"/>
              <w:keepNext/>
              <w:jc w:val="center"/>
            </w:pPr>
            <w:r>
              <w:t>27 (5.3%)</w:t>
            </w:r>
          </w:p>
        </w:tc>
        <w:tc>
          <w:tcPr>
            <w:tcW w:w="786" w:type="pct"/>
            <w:gridSpan w:val="2"/>
          </w:tcPr>
          <w:p w:rsidR="00B6569C" w:rsidRDefault="00E82474">
            <w:pPr>
              <w:pStyle w:val="Tabletext"/>
              <w:keepNext/>
              <w:jc w:val="center"/>
            </w:pPr>
            <w:r>
              <w:t>14 (2.8%)</w:t>
            </w:r>
          </w:p>
        </w:tc>
        <w:tc>
          <w:tcPr>
            <w:tcW w:w="963" w:type="pct"/>
          </w:tcPr>
          <w:p w:rsidR="00B6569C" w:rsidRDefault="00E82474">
            <w:pPr>
              <w:pStyle w:val="Tabletext"/>
              <w:keepNext/>
              <w:jc w:val="center"/>
            </w:pPr>
            <w:r>
              <w:t>0.03 (0.00, 0.05)</w:t>
            </w:r>
          </w:p>
        </w:tc>
        <w:tc>
          <w:tcPr>
            <w:tcW w:w="972" w:type="pct"/>
          </w:tcPr>
          <w:p w:rsidR="00B6569C" w:rsidRDefault="00E82474">
            <w:pPr>
              <w:pStyle w:val="Tabletext"/>
              <w:keepNext/>
              <w:jc w:val="center"/>
              <w:rPr>
                <w:b/>
              </w:rPr>
            </w:pPr>
            <w:r>
              <w:rPr>
                <w:b/>
              </w:rPr>
              <w:t>1.90 (1.01, 3.58)</w:t>
            </w:r>
          </w:p>
        </w:tc>
      </w:tr>
      <w:tr w:rsidR="00B6569C">
        <w:tc>
          <w:tcPr>
            <w:tcW w:w="1493" w:type="pct"/>
          </w:tcPr>
          <w:p w:rsidR="00B6569C" w:rsidRDefault="00E82474">
            <w:pPr>
              <w:pStyle w:val="Tabletext"/>
              <w:keepNext/>
            </w:pPr>
            <w:r>
              <w:t>ALT increased</w:t>
            </w:r>
          </w:p>
        </w:tc>
        <w:tc>
          <w:tcPr>
            <w:tcW w:w="786" w:type="pct"/>
            <w:gridSpan w:val="2"/>
          </w:tcPr>
          <w:p w:rsidR="00B6569C" w:rsidRDefault="00E82474">
            <w:pPr>
              <w:pStyle w:val="Tabletext"/>
              <w:keepNext/>
              <w:jc w:val="center"/>
            </w:pPr>
            <w:r>
              <w:t>26 (5.1%)</w:t>
            </w:r>
          </w:p>
        </w:tc>
        <w:tc>
          <w:tcPr>
            <w:tcW w:w="786" w:type="pct"/>
            <w:gridSpan w:val="2"/>
          </w:tcPr>
          <w:p w:rsidR="00B6569C" w:rsidRDefault="00E82474">
            <w:pPr>
              <w:pStyle w:val="Tabletext"/>
              <w:keepNext/>
              <w:jc w:val="center"/>
            </w:pPr>
            <w:r>
              <w:t>16 (3.2%)</w:t>
            </w:r>
          </w:p>
        </w:tc>
        <w:tc>
          <w:tcPr>
            <w:tcW w:w="963" w:type="pct"/>
          </w:tcPr>
          <w:p w:rsidR="00B6569C" w:rsidRDefault="00E82474">
            <w:pPr>
              <w:pStyle w:val="Tabletext"/>
              <w:keepNext/>
              <w:jc w:val="center"/>
            </w:pPr>
            <w:r>
              <w:t>0.02 (-0.01, 0.04)</w:t>
            </w:r>
          </w:p>
        </w:tc>
        <w:tc>
          <w:tcPr>
            <w:tcW w:w="972" w:type="pct"/>
          </w:tcPr>
          <w:p w:rsidR="00B6569C" w:rsidRDefault="00E82474">
            <w:pPr>
              <w:pStyle w:val="Tabletext"/>
              <w:keepNext/>
              <w:jc w:val="center"/>
            </w:pPr>
            <w:r>
              <w:t>1.60 (0.87, 2.95)</w:t>
            </w:r>
          </w:p>
        </w:tc>
      </w:tr>
      <w:tr w:rsidR="00B6569C">
        <w:tc>
          <w:tcPr>
            <w:tcW w:w="1493" w:type="pct"/>
          </w:tcPr>
          <w:p w:rsidR="00B6569C" w:rsidRDefault="00E82474">
            <w:pPr>
              <w:pStyle w:val="Tabletext"/>
              <w:keepNext/>
            </w:pPr>
            <w:r>
              <w:t>Myalgia</w:t>
            </w:r>
          </w:p>
        </w:tc>
        <w:tc>
          <w:tcPr>
            <w:tcW w:w="786" w:type="pct"/>
            <w:gridSpan w:val="2"/>
          </w:tcPr>
          <w:p w:rsidR="00B6569C" w:rsidRDefault="00E82474">
            <w:pPr>
              <w:pStyle w:val="Tabletext"/>
              <w:keepNext/>
              <w:jc w:val="center"/>
            </w:pPr>
            <w:r>
              <w:t>26 (5.1%)</w:t>
            </w:r>
          </w:p>
        </w:tc>
        <w:tc>
          <w:tcPr>
            <w:tcW w:w="786" w:type="pct"/>
            <w:gridSpan w:val="2"/>
          </w:tcPr>
          <w:p w:rsidR="00B6569C" w:rsidRDefault="00E82474">
            <w:pPr>
              <w:pStyle w:val="Tabletext"/>
              <w:keepNext/>
              <w:jc w:val="center"/>
            </w:pPr>
            <w:r>
              <w:t>15 (3.0%)</w:t>
            </w:r>
          </w:p>
        </w:tc>
        <w:tc>
          <w:tcPr>
            <w:tcW w:w="963" w:type="pct"/>
          </w:tcPr>
          <w:p w:rsidR="00B6569C" w:rsidRDefault="00E82474">
            <w:pPr>
              <w:pStyle w:val="Tabletext"/>
              <w:keepNext/>
              <w:jc w:val="center"/>
            </w:pPr>
            <w:r>
              <w:t>0.02 (-0.00, 0.05)</w:t>
            </w:r>
          </w:p>
        </w:tc>
        <w:tc>
          <w:tcPr>
            <w:tcW w:w="972" w:type="pct"/>
          </w:tcPr>
          <w:p w:rsidR="00B6569C" w:rsidRDefault="00E82474">
            <w:pPr>
              <w:pStyle w:val="Tabletext"/>
              <w:keepNext/>
              <w:jc w:val="center"/>
            </w:pPr>
            <w:r>
              <w:t>1.71 (0.92, 3.19)</w:t>
            </w:r>
          </w:p>
        </w:tc>
      </w:tr>
    </w:tbl>
    <w:p w:rsidR="00B6569C" w:rsidRDefault="00E82474">
      <w:pPr>
        <w:pStyle w:val="TableFooter"/>
        <w:widowControl/>
      </w:pPr>
      <w:r>
        <w:rPr>
          <w:szCs w:val="18"/>
        </w:rPr>
        <w:t xml:space="preserve">AJCC = American Joint Committee on Cancer; </w:t>
      </w:r>
      <w:r>
        <w:t xml:space="preserve">ALT = alanine aminotransferase; </w:t>
      </w:r>
      <w:r>
        <w:rPr>
          <w:szCs w:val="18"/>
        </w:rPr>
        <w:t>AEOSI = adverse event of special interest</w:t>
      </w:r>
    </w:p>
    <w:p w:rsidR="00B6569C" w:rsidRDefault="00E82474">
      <w:pPr>
        <w:pStyle w:val="TableFooter"/>
        <w:widowControl/>
      </w:pPr>
      <w:r>
        <w:t>Source: Tables 2.5-5 and 2.5-6, pp.84-86 of the resubmission</w:t>
      </w:r>
    </w:p>
    <w:p w:rsidR="00B6569C" w:rsidRDefault="00B6569C">
      <w:pPr>
        <w:pStyle w:val="ListParagraph"/>
        <w:widowControl/>
        <w:spacing w:after="0"/>
        <w:ind w:left="0"/>
      </w:pPr>
    </w:p>
    <w:p w:rsidR="00B6569C" w:rsidRDefault="00E82474">
      <w:pPr>
        <w:pStyle w:val="ListParagraph"/>
        <w:widowControl/>
        <w:numPr>
          <w:ilvl w:val="1"/>
          <w:numId w:val="3"/>
        </w:numPr>
      </w:pPr>
      <w:r>
        <w:t xml:space="preserve">No new adverse event data were presented in the resubmission. Larger proportions of patients treated with pembrolizumab experienced any adverse events, treatment related adverse events and grade 3-5 adverse events compared to patients receiving placebo. A larger proportion of patients treated with pembrolizumab discontinued participation due to adverse events. </w:t>
      </w:r>
    </w:p>
    <w:p w:rsidR="00B6569C" w:rsidRDefault="00E82474">
      <w:pPr>
        <w:pStyle w:val="ListParagraph"/>
        <w:widowControl/>
        <w:numPr>
          <w:ilvl w:val="1"/>
          <w:numId w:val="3"/>
        </w:numPr>
      </w:pPr>
      <w:r>
        <w:t xml:space="preserve">The most frequent treatment related adverse events reported by patients treated with pembrolizumab were fatigue (28.1%), diarrhoea (18.5%), pruritus (16.7%), hypothyroidism (14.3%), nausea (11.4%) and arthralgia (10.0%). </w:t>
      </w:r>
    </w:p>
    <w:p w:rsidR="00B6569C" w:rsidRDefault="00E82474">
      <w:pPr>
        <w:pStyle w:val="ListParagraph"/>
        <w:widowControl/>
        <w:numPr>
          <w:ilvl w:val="1"/>
          <w:numId w:val="3"/>
        </w:numPr>
      </w:pPr>
      <w:r>
        <w:t xml:space="preserve">Overall, adverse events reported in Trial KN054 were consistent with the immune mediated events (pneumonitis, colitis, hepatitis, nephritis) and immune mediated endocrinopathies (hyperthyroidism, hypothyroidism, hypophysitis, type 1 diabetes) reported in other pembrolizumab trials for different indications. No new safety signals were identified. </w:t>
      </w:r>
    </w:p>
    <w:p w:rsidR="00B6569C" w:rsidRDefault="00E82474">
      <w:pPr>
        <w:pStyle w:val="ListParagraph"/>
        <w:widowControl/>
        <w:numPr>
          <w:ilvl w:val="1"/>
          <w:numId w:val="3"/>
        </w:numPr>
      </w:pPr>
      <w:r>
        <w:lastRenderedPageBreak/>
        <w:t>No new data were available to inform the indirect comparisons of safety outcomes for pembrolizumab versus its near market comparators nivolumab and dabrafenib+trametinib.</w:t>
      </w:r>
    </w:p>
    <w:p w:rsidR="00B6569C" w:rsidRDefault="00E82474">
      <w:pPr>
        <w:pStyle w:val="ListParagraph"/>
        <w:widowControl/>
        <w:numPr>
          <w:ilvl w:val="1"/>
          <w:numId w:val="3"/>
        </w:numPr>
      </w:pPr>
      <w:r>
        <w:t>The resubmission argued that the adverse event profiles for pembrolizumab and nivolumab do not appear to be different across multiple tumours and maintained that in terms of adverse events, pembrolizumab is no worse than nivolumab in patients receiving these treatments as adjuvant therapy for resected Stage III melanoma.</w:t>
      </w:r>
    </w:p>
    <w:p w:rsidR="00B6569C" w:rsidRDefault="00E82474">
      <w:pPr>
        <w:pStyle w:val="ListParagraph"/>
        <w:widowControl/>
        <w:numPr>
          <w:ilvl w:val="1"/>
          <w:numId w:val="3"/>
        </w:numPr>
      </w:pPr>
      <w:r>
        <w:t>For the indirect comparison of pembrolizumab versus dabrafenib+trametinib, the results of any adverse events, Grade 3-5 (or Grade 3-4) adverse events and discontinuation due to AEs consistently favoured pembrolizumab compared with dabrafenib+trametinib.</w:t>
      </w:r>
    </w:p>
    <w:p w:rsidR="00B6569C" w:rsidRDefault="00E82474">
      <w:pPr>
        <w:pStyle w:val="Heading2"/>
        <w:widowControl/>
      </w:pPr>
      <w:bookmarkStart w:id="8" w:name="_Toc9330472"/>
      <w:r>
        <w:t>Benefits/harms</w:t>
      </w:r>
      <w:bookmarkEnd w:id="8"/>
    </w:p>
    <w:p w:rsidR="00B6569C" w:rsidRDefault="00B6569C">
      <w:pPr>
        <w:widowControl/>
      </w:pPr>
    </w:p>
    <w:p w:rsidR="00B6569C" w:rsidRDefault="00E82474">
      <w:pPr>
        <w:pStyle w:val="ListParagraph"/>
        <w:widowControl/>
        <w:numPr>
          <w:ilvl w:val="1"/>
          <w:numId w:val="3"/>
        </w:numPr>
      </w:pPr>
      <w:r>
        <w:t>A summary of the comparative benefits and harms for pembrolizumab versus placebo is presented in the table below.</w:t>
      </w:r>
    </w:p>
    <w:p w:rsidR="001F7C95" w:rsidRDefault="001F7C95" w:rsidP="001F7C95">
      <w:pPr>
        <w:pStyle w:val="TableHeading0"/>
      </w:pPr>
      <w:r>
        <w:t xml:space="preserve">Table </w:t>
      </w:r>
      <w:fldSimple w:instr=" SEQ Table \* ARABIC ">
        <w:r w:rsidR="00632FE3">
          <w:rPr>
            <w:noProof/>
          </w:rPr>
          <w:t>12</w:t>
        </w:r>
      </w:fldSimple>
      <w:r w:rsidRPr="009F2CD3">
        <w:t>: Summary of comparative benefits and harms for pembrolizumab and placebo</w:t>
      </w:r>
    </w:p>
    <w:tbl>
      <w:tblPr>
        <w:tblW w:w="5000" w:type="pct"/>
        <w:tblLayout w:type="fixed"/>
        <w:tblCellMar>
          <w:left w:w="28" w:type="dxa"/>
          <w:right w:w="28" w:type="dxa"/>
        </w:tblCellMar>
        <w:tblLook w:val="04A0" w:firstRow="1" w:lastRow="0" w:firstColumn="1" w:lastColumn="0" w:noHBand="0" w:noVBand="1"/>
        <w:tblCaption w:val="Table 12: Summary of comparative benefits and harms for pembrolizumab and placebo"/>
      </w:tblPr>
      <w:tblGrid>
        <w:gridCol w:w="2405"/>
        <w:gridCol w:w="855"/>
        <w:gridCol w:w="137"/>
        <w:gridCol w:w="994"/>
        <w:gridCol w:w="426"/>
        <w:gridCol w:w="851"/>
        <w:gridCol w:w="702"/>
        <w:gridCol w:w="292"/>
        <w:gridCol w:w="851"/>
        <w:gridCol w:w="144"/>
        <w:gridCol w:w="1360"/>
      </w:tblGrid>
      <w:tr w:rsidR="00B6569C">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6569C" w:rsidRDefault="00E82474">
            <w:pPr>
              <w:keepNext/>
              <w:keepLines/>
              <w:widowControl/>
              <w:rPr>
                <w:rFonts w:ascii="Arial Narrow" w:hAnsi="Arial Narrow"/>
                <w:b/>
                <w:color w:val="000000"/>
                <w:sz w:val="20"/>
                <w:szCs w:val="18"/>
              </w:rPr>
            </w:pPr>
            <w:r>
              <w:rPr>
                <w:rFonts w:ascii="Arial Narrow" w:hAnsi="Arial Narrow"/>
                <w:b/>
                <w:color w:val="000000"/>
                <w:sz w:val="20"/>
                <w:szCs w:val="18"/>
              </w:rPr>
              <w:t>Benefits</w:t>
            </w:r>
          </w:p>
        </w:tc>
      </w:tr>
      <w:tr w:rsidR="00B6569C">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6569C" w:rsidRDefault="00E82474">
            <w:pPr>
              <w:keepNext/>
              <w:keepLines/>
              <w:widowControl/>
              <w:rPr>
                <w:rFonts w:ascii="Arial Narrow" w:hAnsi="Arial Narrow"/>
                <w:b/>
                <w:color w:val="000000"/>
                <w:sz w:val="20"/>
                <w:szCs w:val="20"/>
              </w:rPr>
            </w:pPr>
            <w:r>
              <w:rPr>
                <w:rFonts w:ascii="Arial Narrow" w:hAnsi="Arial Narrow"/>
                <w:b/>
                <w:color w:val="000000"/>
                <w:sz w:val="20"/>
                <w:szCs w:val="20"/>
              </w:rPr>
              <w:t>Trial KN054</w:t>
            </w:r>
            <w:r>
              <w:rPr>
                <w:rFonts w:ascii="Arial Narrow" w:hAnsi="Arial Narrow"/>
                <w:b/>
                <w:color w:val="000000"/>
                <w:sz w:val="20"/>
                <w:szCs w:val="20"/>
                <w:vertAlign w:val="superscript"/>
              </w:rPr>
              <w:t>a</w:t>
            </w:r>
            <w:r>
              <w:rPr>
                <w:rFonts w:ascii="Arial Narrow" w:hAnsi="Arial Narrow"/>
                <w:b/>
                <w:sz w:val="20"/>
                <w:szCs w:val="20"/>
              </w:rPr>
              <w:t xml:space="preserve"> </w:t>
            </w:r>
            <w:r>
              <w:rPr>
                <w:rFonts w:ascii="Arial Narrow" w:hAnsi="Arial Narrow"/>
                <w:b/>
                <w:color w:val="000000"/>
                <w:sz w:val="20"/>
                <w:szCs w:val="20"/>
              </w:rPr>
              <w:t>Recurrence free survival (</w:t>
            </w:r>
            <w:r>
              <w:rPr>
                <w:rFonts w:ascii="Arial Narrow" w:hAnsi="Arial Narrow"/>
                <w:b/>
                <w:sz w:val="20"/>
                <w:szCs w:val="20"/>
              </w:rPr>
              <w:t>median duration of follow-up 16 months)</w:t>
            </w:r>
          </w:p>
        </w:tc>
      </w:tr>
      <w:tr w:rsidR="00B6569C">
        <w:tc>
          <w:tcPr>
            <w:tcW w:w="18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6569C" w:rsidRDefault="00B6569C">
            <w:pPr>
              <w:keepNext/>
              <w:keepLines/>
              <w:widowControl/>
              <w:jc w:val="center"/>
              <w:rPr>
                <w:rFonts w:ascii="Arial Narrow" w:hAnsi="Arial Narrow"/>
                <w:color w:val="000000"/>
                <w:sz w:val="20"/>
                <w:szCs w:val="18"/>
              </w:rPr>
            </w:pPr>
          </w:p>
        </w:tc>
        <w:tc>
          <w:tcPr>
            <w:tcW w:w="863" w:type="pct"/>
            <w:gridSpan w:val="3"/>
            <w:tcBorders>
              <w:top w:val="single" w:sz="4" w:space="0" w:color="auto"/>
              <w:left w:val="single" w:sz="4" w:space="0" w:color="auto"/>
              <w:bottom w:val="single" w:sz="4" w:space="0" w:color="auto"/>
              <w:right w:val="single" w:sz="4" w:space="0" w:color="auto"/>
            </w:tcBorders>
            <w:vAlign w:val="center"/>
          </w:tcPr>
          <w:p w:rsidR="00B6569C" w:rsidRDefault="00E82474">
            <w:pPr>
              <w:keepNext/>
              <w:keepLines/>
              <w:widowControl/>
              <w:jc w:val="center"/>
              <w:rPr>
                <w:rFonts w:ascii="Arial Narrow" w:hAnsi="Arial Narrow"/>
                <w:b/>
                <w:color w:val="000000"/>
                <w:sz w:val="20"/>
                <w:szCs w:val="18"/>
              </w:rPr>
            </w:pPr>
            <w:r>
              <w:rPr>
                <w:rFonts w:ascii="Arial Narrow" w:hAnsi="Arial Narrow"/>
                <w:b/>
                <w:color w:val="000000"/>
                <w:sz w:val="20"/>
                <w:szCs w:val="18"/>
              </w:rPr>
              <w:t xml:space="preserve">PEMBRO, </w:t>
            </w:r>
            <w:r>
              <w:rPr>
                <w:rFonts w:ascii="Arial Narrow" w:hAnsi="Arial Narrow"/>
                <w:b/>
                <w:color w:val="000000"/>
                <w:sz w:val="20"/>
                <w:szCs w:val="18"/>
              </w:rPr>
              <w:br/>
              <w:t>n/N (%)</w:t>
            </w:r>
          </w:p>
        </w:tc>
        <w:tc>
          <w:tcPr>
            <w:tcW w:w="861" w:type="pct"/>
            <w:gridSpan w:val="2"/>
            <w:tcBorders>
              <w:top w:val="single" w:sz="4" w:space="0" w:color="auto"/>
              <w:left w:val="single" w:sz="4" w:space="0" w:color="auto"/>
              <w:bottom w:val="single" w:sz="4" w:space="0" w:color="auto"/>
              <w:right w:val="single" w:sz="4" w:space="0" w:color="auto"/>
            </w:tcBorders>
            <w:vAlign w:val="center"/>
          </w:tcPr>
          <w:p w:rsidR="00B6569C" w:rsidRDefault="00E82474">
            <w:pPr>
              <w:keepNext/>
              <w:keepLines/>
              <w:widowControl/>
              <w:jc w:val="center"/>
              <w:rPr>
                <w:rFonts w:ascii="Arial Narrow" w:hAnsi="Arial Narrow"/>
                <w:b/>
                <w:color w:val="000000"/>
                <w:sz w:val="20"/>
                <w:szCs w:val="18"/>
              </w:rPr>
            </w:pPr>
            <w:r>
              <w:rPr>
                <w:rFonts w:ascii="Arial Narrow" w:hAnsi="Arial Narrow"/>
                <w:b/>
                <w:color w:val="000000"/>
                <w:sz w:val="20"/>
                <w:szCs w:val="18"/>
              </w:rPr>
              <w:t>Placebo,</w:t>
            </w:r>
          </w:p>
          <w:p w:rsidR="00B6569C" w:rsidRDefault="00E82474">
            <w:pPr>
              <w:keepNext/>
              <w:keepLines/>
              <w:widowControl/>
              <w:jc w:val="center"/>
              <w:rPr>
                <w:rFonts w:ascii="Arial Narrow" w:hAnsi="Arial Narrow"/>
                <w:b/>
                <w:color w:val="000000"/>
                <w:sz w:val="20"/>
                <w:szCs w:val="18"/>
              </w:rPr>
            </w:pPr>
            <w:r>
              <w:rPr>
                <w:rFonts w:ascii="Arial Narrow" w:hAnsi="Arial Narrow"/>
                <w:b/>
                <w:color w:val="000000"/>
                <w:sz w:val="20"/>
                <w:szCs w:val="18"/>
              </w:rPr>
              <w:t>n/N (%)</w:t>
            </w:r>
          </w:p>
        </w:tc>
        <w:tc>
          <w:tcPr>
            <w:tcW w:w="634" w:type="pct"/>
            <w:gridSpan w:val="2"/>
            <w:tcBorders>
              <w:top w:val="single" w:sz="4" w:space="0" w:color="auto"/>
              <w:left w:val="single" w:sz="4" w:space="0" w:color="auto"/>
              <w:bottom w:val="single" w:sz="4" w:space="0" w:color="auto"/>
              <w:right w:val="single" w:sz="4" w:space="0" w:color="auto"/>
            </w:tcBorders>
            <w:vAlign w:val="center"/>
          </w:tcPr>
          <w:p w:rsidR="00B6569C" w:rsidRDefault="00E82474">
            <w:pPr>
              <w:keepNext/>
              <w:keepLines/>
              <w:widowControl/>
              <w:jc w:val="center"/>
              <w:rPr>
                <w:rFonts w:ascii="Arial Narrow" w:hAnsi="Arial Narrow"/>
                <w:b/>
                <w:color w:val="000000"/>
                <w:sz w:val="20"/>
                <w:szCs w:val="18"/>
              </w:rPr>
            </w:pPr>
            <w:r>
              <w:rPr>
                <w:rFonts w:ascii="Arial Narrow" w:hAnsi="Arial Narrow"/>
                <w:b/>
                <w:color w:val="000000"/>
                <w:sz w:val="20"/>
                <w:szCs w:val="18"/>
              </w:rPr>
              <w:t>Absolute difference</w:t>
            </w:r>
          </w:p>
        </w:tc>
        <w:tc>
          <w:tcPr>
            <w:tcW w:w="834" w:type="pct"/>
            <w:gridSpan w:val="2"/>
            <w:tcBorders>
              <w:top w:val="single" w:sz="4" w:space="0" w:color="auto"/>
              <w:left w:val="single" w:sz="4" w:space="0" w:color="auto"/>
              <w:bottom w:val="single" w:sz="4" w:space="0" w:color="auto"/>
              <w:right w:val="single" w:sz="4" w:space="0" w:color="auto"/>
            </w:tcBorders>
            <w:vAlign w:val="center"/>
          </w:tcPr>
          <w:p w:rsidR="00B6569C" w:rsidRDefault="00E82474">
            <w:pPr>
              <w:keepNext/>
              <w:keepLines/>
              <w:widowControl/>
              <w:jc w:val="center"/>
              <w:rPr>
                <w:rFonts w:ascii="Arial Narrow" w:hAnsi="Arial Narrow"/>
                <w:b/>
                <w:color w:val="000000"/>
                <w:sz w:val="20"/>
                <w:szCs w:val="18"/>
              </w:rPr>
            </w:pPr>
            <w:r>
              <w:rPr>
                <w:rFonts w:ascii="Arial Narrow" w:hAnsi="Arial Narrow"/>
                <w:b/>
                <w:color w:val="000000"/>
                <w:sz w:val="20"/>
                <w:szCs w:val="18"/>
              </w:rPr>
              <w:t xml:space="preserve">Hazard ratio </w:t>
            </w:r>
            <w:r>
              <w:rPr>
                <w:rFonts w:ascii="Arial Narrow" w:hAnsi="Arial Narrow"/>
                <w:b/>
                <w:color w:val="000000"/>
                <w:sz w:val="20"/>
                <w:szCs w:val="18"/>
              </w:rPr>
              <w:br/>
              <w:t>(98.4% CI)</w:t>
            </w:r>
          </w:p>
        </w:tc>
      </w:tr>
      <w:tr w:rsidR="00B6569C">
        <w:tc>
          <w:tcPr>
            <w:tcW w:w="18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6569C" w:rsidRDefault="00E82474">
            <w:pPr>
              <w:widowControl/>
              <w:jc w:val="left"/>
              <w:rPr>
                <w:rFonts w:ascii="Arial Narrow" w:hAnsi="Arial Narrow"/>
                <w:color w:val="000000"/>
                <w:sz w:val="20"/>
                <w:szCs w:val="18"/>
              </w:rPr>
            </w:pPr>
            <w:r>
              <w:rPr>
                <w:rFonts w:ascii="Arial Narrow" w:hAnsi="Arial Narrow"/>
                <w:color w:val="000000"/>
                <w:sz w:val="20"/>
                <w:szCs w:val="18"/>
              </w:rPr>
              <w:t>Recurrence or death events, n/N (%)</w:t>
            </w:r>
          </w:p>
        </w:tc>
        <w:tc>
          <w:tcPr>
            <w:tcW w:w="863" w:type="pct"/>
            <w:gridSpan w:val="3"/>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sz w:val="20"/>
              </w:rPr>
            </w:pPr>
            <w:r>
              <w:rPr>
                <w:rFonts w:ascii="Arial Narrow" w:hAnsi="Arial Narrow"/>
                <w:sz w:val="20"/>
              </w:rPr>
              <w:t>135/514 (26.3%)</w:t>
            </w:r>
          </w:p>
        </w:tc>
        <w:tc>
          <w:tcPr>
            <w:tcW w:w="861" w:type="pct"/>
            <w:gridSpan w:val="2"/>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sz w:val="20"/>
              </w:rPr>
            </w:pPr>
            <w:r>
              <w:rPr>
                <w:rFonts w:ascii="Arial Narrow" w:hAnsi="Arial Narrow"/>
                <w:sz w:val="20"/>
              </w:rPr>
              <w:t>216/505 (42.8%)</w:t>
            </w:r>
          </w:p>
        </w:tc>
        <w:tc>
          <w:tcPr>
            <w:tcW w:w="634" w:type="pct"/>
            <w:gridSpan w:val="2"/>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color w:val="000000"/>
                <w:sz w:val="20"/>
                <w:szCs w:val="18"/>
              </w:rPr>
            </w:pPr>
            <w:r>
              <w:rPr>
                <w:rFonts w:ascii="Arial Narrow" w:hAnsi="Arial Narrow"/>
                <w:color w:val="000000"/>
                <w:sz w:val="20"/>
                <w:szCs w:val="18"/>
              </w:rPr>
              <w:t>-</w:t>
            </w:r>
          </w:p>
        </w:tc>
        <w:tc>
          <w:tcPr>
            <w:tcW w:w="834" w:type="pct"/>
            <w:gridSpan w:val="2"/>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color w:val="000000"/>
                <w:sz w:val="20"/>
                <w:szCs w:val="18"/>
              </w:rPr>
            </w:pPr>
            <w:r>
              <w:rPr>
                <w:rFonts w:ascii="Arial Narrow" w:hAnsi="Arial Narrow"/>
                <w:color w:val="000000"/>
                <w:sz w:val="20"/>
                <w:szCs w:val="18"/>
              </w:rPr>
              <w:t>-</w:t>
            </w:r>
          </w:p>
        </w:tc>
      </w:tr>
      <w:tr w:rsidR="00B6569C">
        <w:tc>
          <w:tcPr>
            <w:tcW w:w="1808" w:type="pct"/>
            <w:gridSpan w:val="2"/>
            <w:vMerge w:val="restart"/>
            <w:tcBorders>
              <w:top w:val="single" w:sz="4" w:space="0" w:color="auto"/>
              <w:left w:val="single" w:sz="4" w:space="0" w:color="auto"/>
              <w:right w:val="single" w:sz="4" w:space="0" w:color="auto"/>
            </w:tcBorders>
            <w:shd w:val="clear" w:color="auto" w:fill="auto"/>
            <w:vAlign w:val="center"/>
          </w:tcPr>
          <w:p w:rsidR="00B6569C" w:rsidRDefault="00E82474">
            <w:pPr>
              <w:widowControl/>
              <w:tabs>
                <w:tab w:val="right" w:pos="2664"/>
              </w:tabs>
              <w:rPr>
                <w:rFonts w:ascii="Arial Narrow" w:hAnsi="Arial Narrow"/>
                <w:color w:val="000000"/>
                <w:sz w:val="20"/>
                <w:szCs w:val="18"/>
              </w:rPr>
            </w:pPr>
            <w:r>
              <w:rPr>
                <w:rFonts w:ascii="Arial Narrow" w:hAnsi="Arial Narrow"/>
                <w:color w:val="000000"/>
                <w:sz w:val="20"/>
                <w:szCs w:val="18"/>
              </w:rPr>
              <w:t xml:space="preserve">Median RFS, months </w:t>
            </w:r>
            <w:r>
              <w:rPr>
                <w:rFonts w:ascii="Arial Narrow" w:hAnsi="Arial Narrow"/>
                <w:color w:val="000000"/>
                <w:sz w:val="20"/>
                <w:szCs w:val="18"/>
              </w:rPr>
              <w:tab/>
              <w:t>7th edition</w:t>
            </w:r>
          </w:p>
          <w:p w:rsidR="00B6569C" w:rsidRDefault="00E82474">
            <w:pPr>
              <w:widowControl/>
              <w:tabs>
                <w:tab w:val="right" w:pos="2664"/>
              </w:tabs>
              <w:rPr>
                <w:rFonts w:ascii="Arial Narrow" w:hAnsi="Arial Narrow"/>
                <w:color w:val="000000"/>
                <w:sz w:val="20"/>
                <w:szCs w:val="18"/>
              </w:rPr>
            </w:pPr>
            <w:r>
              <w:rPr>
                <w:rFonts w:ascii="Arial Narrow" w:hAnsi="Arial Narrow"/>
                <w:color w:val="000000"/>
                <w:sz w:val="20"/>
                <w:szCs w:val="18"/>
              </w:rPr>
              <w:tab/>
              <w:t>8th edition</w:t>
            </w:r>
          </w:p>
        </w:tc>
        <w:tc>
          <w:tcPr>
            <w:tcW w:w="863" w:type="pct"/>
            <w:gridSpan w:val="3"/>
            <w:vMerge w:val="restart"/>
            <w:tcBorders>
              <w:top w:val="single" w:sz="4" w:space="0" w:color="auto"/>
              <w:left w:val="single" w:sz="4" w:space="0" w:color="auto"/>
              <w:right w:val="single" w:sz="4" w:space="0" w:color="auto"/>
            </w:tcBorders>
            <w:vAlign w:val="center"/>
          </w:tcPr>
          <w:p w:rsidR="00B6569C" w:rsidRDefault="00E82474">
            <w:pPr>
              <w:widowControl/>
              <w:jc w:val="center"/>
              <w:rPr>
                <w:rFonts w:ascii="Arial Narrow" w:hAnsi="Arial Narrow"/>
                <w:sz w:val="20"/>
              </w:rPr>
            </w:pPr>
            <w:r>
              <w:rPr>
                <w:rFonts w:ascii="Arial Narrow" w:hAnsi="Arial Narrow"/>
                <w:sz w:val="20"/>
              </w:rPr>
              <w:t>Not reached</w:t>
            </w:r>
          </w:p>
        </w:tc>
        <w:tc>
          <w:tcPr>
            <w:tcW w:w="861" w:type="pct"/>
            <w:gridSpan w:val="2"/>
            <w:vMerge w:val="restart"/>
            <w:tcBorders>
              <w:top w:val="single" w:sz="4" w:space="0" w:color="auto"/>
              <w:left w:val="single" w:sz="4" w:space="0" w:color="auto"/>
              <w:right w:val="single" w:sz="4" w:space="0" w:color="auto"/>
            </w:tcBorders>
            <w:vAlign w:val="center"/>
          </w:tcPr>
          <w:p w:rsidR="00B6569C" w:rsidRDefault="00E82474">
            <w:pPr>
              <w:widowControl/>
              <w:jc w:val="center"/>
              <w:rPr>
                <w:rFonts w:ascii="Arial Narrow" w:hAnsi="Arial Narrow"/>
                <w:sz w:val="20"/>
              </w:rPr>
            </w:pPr>
            <w:r>
              <w:rPr>
                <w:rFonts w:ascii="Arial Narrow" w:hAnsi="Arial Narrow"/>
                <w:sz w:val="20"/>
              </w:rPr>
              <w:t>20.4 (16.2, -)</w:t>
            </w:r>
          </w:p>
        </w:tc>
        <w:tc>
          <w:tcPr>
            <w:tcW w:w="634" w:type="pct"/>
            <w:gridSpan w:val="2"/>
            <w:vMerge w:val="restart"/>
            <w:tcBorders>
              <w:top w:val="single" w:sz="4" w:space="0" w:color="auto"/>
              <w:left w:val="single" w:sz="4" w:space="0" w:color="auto"/>
              <w:right w:val="single" w:sz="4" w:space="0" w:color="auto"/>
            </w:tcBorders>
            <w:vAlign w:val="center"/>
          </w:tcPr>
          <w:p w:rsidR="00B6569C" w:rsidRDefault="00E82474">
            <w:pPr>
              <w:widowControl/>
              <w:jc w:val="center"/>
              <w:rPr>
                <w:rFonts w:ascii="Arial Narrow" w:hAnsi="Arial Narrow"/>
                <w:color w:val="000000"/>
                <w:sz w:val="20"/>
                <w:szCs w:val="18"/>
              </w:rPr>
            </w:pPr>
            <w:r>
              <w:rPr>
                <w:rFonts w:ascii="Arial Narrow" w:hAnsi="Arial Narrow"/>
                <w:sz w:val="20"/>
              </w:rPr>
              <w:t>-</w:t>
            </w:r>
          </w:p>
        </w:tc>
        <w:tc>
          <w:tcPr>
            <w:tcW w:w="834" w:type="pct"/>
            <w:gridSpan w:val="2"/>
            <w:tcBorders>
              <w:top w:val="single" w:sz="4" w:space="0" w:color="auto"/>
              <w:left w:val="single" w:sz="4" w:space="0" w:color="auto"/>
              <w:right w:val="single" w:sz="4" w:space="0" w:color="auto"/>
            </w:tcBorders>
            <w:vAlign w:val="center"/>
          </w:tcPr>
          <w:p w:rsidR="00B6569C" w:rsidRDefault="00E82474">
            <w:pPr>
              <w:widowControl/>
              <w:jc w:val="center"/>
              <w:rPr>
                <w:rFonts w:ascii="Arial Narrow" w:hAnsi="Arial Narrow"/>
                <w:b/>
                <w:color w:val="000000"/>
                <w:sz w:val="20"/>
                <w:szCs w:val="18"/>
                <w:vertAlign w:val="superscript"/>
              </w:rPr>
            </w:pPr>
            <w:r>
              <w:rPr>
                <w:rFonts w:ascii="Arial Narrow" w:hAnsi="Arial Narrow"/>
                <w:b/>
                <w:sz w:val="20"/>
              </w:rPr>
              <w:t>0.57 (0.43, 0.74)</w:t>
            </w:r>
          </w:p>
        </w:tc>
      </w:tr>
      <w:tr w:rsidR="00B6569C">
        <w:tc>
          <w:tcPr>
            <w:tcW w:w="1808" w:type="pct"/>
            <w:gridSpan w:val="2"/>
            <w:vMerge/>
            <w:tcBorders>
              <w:left w:val="single" w:sz="4" w:space="0" w:color="auto"/>
              <w:bottom w:val="single" w:sz="4" w:space="0" w:color="auto"/>
              <w:right w:val="single" w:sz="4" w:space="0" w:color="auto"/>
            </w:tcBorders>
            <w:shd w:val="clear" w:color="auto" w:fill="auto"/>
            <w:vAlign w:val="center"/>
          </w:tcPr>
          <w:p w:rsidR="00B6569C" w:rsidRDefault="00B6569C">
            <w:pPr>
              <w:widowControl/>
              <w:rPr>
                <w:rFonts w:ascii="Arial Narrow" w:hAnsi="Arial Narrow"/>
                <w:color w:val="000000"/>
                <w:sz w:val="20"/>
                <w:szCs w:val="18"/>
              </w:rPr>
            </w:pPr>
          </w:p>
        </w:tc>
        <w:tc>
          <w:tcPr>
            <w:tcW w:w="863" w:type="pct"/>
            <w:gridSpan w:val="3"/>
            <w:vMerge/>
            <w:tcBorders>
              <w:left w:val="single" w:sz="4" w:space="0" w:color="auto"/>
              <w:bottom w:val="single" w:sz="4" w:space="0" w:color="auto"/>
              <w:right w:val="single" w:sz="4" w:space="0" w:color="auto"/>
            </w:tcBorders>
            <w:vAlign w:val="center"/>
          </w:tcPr>
          <w:p w:rsidR="00B6569C" w:rsidRDefault="00B6569C">
            <w:pPr>
              <w:widowControl/>
              <w:jc w:val="center"/>
              <w:rPr>
                <w:rFonts w:ascii="Arial Narrow" w:hAnsi="Arial Narrow"/>
                <w:sz w:val="20"/>
              </w:rPr>
            </w:pPr>
          </w:p>
        </w:tc>
        <w:tc>
          <w:tcPr>
            <w:tcW w:w="861" w:type="pct"/>
            <w:gridSpan w:val="2"/>
            <w:vMerge/>
            <w:tcBorders>
              <w:left w:val="single" w:sz="4" w:space="0" w:color="auto"/>
              <w:bottom w:val="single" w:sz="4" w:space="0" w:color="auto"/>
              <w:right w:val="single" w:sz="4" w:space="0" w:color="auto"/>
            </w:tcBorders>
            <w:vAlign w:val="center"/>
          </w:tcPr>
          <w:p w:rsidR="00B6569C" w:rsidRDefault="00B6569C">
            <w:pPr>
              <w:widowControl/>
              <w:jc w:val="center"/>
              <w:rPr>
                <w:rFonts w:ascii="Arial Narrow" w:hAnsi="Arial Narrow"/>
                <w:sz w:val="20"/>
              </w:rPr>
            </w:pPr>
          </w:p>
        </w:tc>
        <w:tc>
          <w:tcPr>
            <w:tcW w:w="634" w:type="pct"/>
            <w:gridSpan w:val="2"/>
            <w:vMerge/>
            <w:tcBorders>
              <w:left w:val="single" w:sz="4" w:space="0" w:color="auto"/>
              <w:bottom w:val="single" w:sz="4" w:space="0" w:color="auto"/>
              <w:right w:val="single" w:sz="4" w:space="0" w:color="auto"/>
            </w:tcBorders>
            <w:vAlign w:val="center"/>
          </w:tcPr>
          <w:p w:rsidR="00B6569C" w:rsidRDefault="00B6569C">
            <w:pPr>
              <w:widowControl/>
              <w:jc w:val="center"/>
              <w:rPr>
                <w:rFonts w:ascii="Arial Narrow" w:hAnsi="Arial Narrow"/>
                <w:sz w:val="20"/>
              </w:rPr>
            </w:pPr>
          </w:p>
        </w:tc>
        <w:tc>
          <w:tcPr>
            <w:tcW w:w="834" w:type="pct"/>
            <w:gridSpan w:val="2"/>
            <w:tcBorders>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b/>
                <w:sz w:val="20"/>
                <w:vertAlign w:val="superscript"/>
              </w:rPr>
            </w:pPr>
            <w:r>
              <w:rPr>
                <w:rFonts w:ascii="Arial Narrow" w:hAnsi="Arial Narrow"/>
                <w:b/>
                <w:sz w:val="20"/>
              </w:rPr>
              <w:t>0.55 (0.42, 0.71)</w:t>
            </w:r>
          </w:p>
        </w:tc>
      </w:tr>
      <w:tr w:rsidR="00B6569C">
        <w:tc>
          <w:tcPr>
            <w:tcW w:w="18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6569C" w:rsidRDefault="00E82474">
            <w:pPr>
              <w:widowControl/>
              <w:rPr>
                <w:rFonts w:ascii="Arial Narrow" w:hAnsi="Arial Narrow"/>
                <w:color w:val="000000"/>
                <w:sz w:val="20"/>
                <w:szCs w:val="18"/>
              </w:rPr>
            </w:pPr>
            <w:r>
              <w:rPr>
                <w:rFonts w:ascii="Arial Narrow" w:hAnsi="Arial Narrow"/>
                <w:color w:val="000000"/>
                <w:sz w:val="20"/>
                <w:szCs w:val="18"/>
              </w:rPr>
              <w:t>No recurrence at 6 months, % (95% CI)</w:t>
            </w:r>
          </w:p>
        </w:tc>
        <w:tc>
          <w:tcPr>
            <w:tcW w:w="863" w:type="pct"/>
            <w:gridSpan w:val="3"/>
            <w:tcBorders>
              <w:top w:val="single" w:sz="4" w:space="0" w:color="auto"/>
              <w:left w:val="single" w:sz="4" w:space="0" w:color="auto"/>
              <w:bottom w:val="single" w:sz="4" w:space="0" w:color="auto"/>
              <w:right w:val="single" w:sz="4" w:space="0" w:color="auto"/>
            </w:tcBorders>
          </w:tcPr>
          <w:p w:rsidR="00B6569C" w:rsidRDefault="00E82474">
            <w:pPr>
              <w:widowControl/>
              <w:jc w:val="center"/>
              <w:rPr>
                <w:rFonts w:ascii="Arial Narrow" w:hAnsi="Arial Narrow"/>
                <w:sz w:val="20"/>
              </w:rPr>
            </w:pPr>
            <w:r>
              <w:rPr>
                <w:rFonts w:ascii="Arial Narrow" w:hAnsi="Arial Narrow"/>
                <w:sz w:val="20"/>
              </w:rPr>
              <w:t>82.2% (78.6, 85.3)</w:t>
            </w:r>
          </w:p>
        </w:tc>
        <w:tc>
          <w:tcPr>
            <w:tcW w:w="861" w:type="pct"/>
            <w:gridSpan w:val="2"/>
            <w:tcBorders>
              <w:top w:val="single" w:sz="4" w:space="0" w:color="auto"/>
              <w:left w:val="single" w:sz="4" w:space="0" w:color="auto"/>
              <w:bottom w:val="single" w:sz="4" w:space="0" w:color="auto"/>
              <w:right w:val="single" w:sz="4" w:space="0" w:color="auto"/>
            </w:tcBorders>
          </w:tcPr>
          <w:p w:rsidR="00B6569C" w:rsidRDefault="00E82474">
            <w:pPr>
              <w:widowControl/>
              <w:jc w:val="center"/>
              <w:rPr>
                <w:rFonts w:ascii="Arial Narrow" w:hAnsi="Arial Narrow"/>
                <w:sz w:val="20"/>
              </w:rPr>
            </w:pPr>
            <w:r>
              <w:rPr>
                <w:rFonts w:ascii="Arial Narrow" w:hAnsi="Arial Narrow"/>
                <w:sz w:val="20"/>
              </w:rPr>
              <w:t>73.3% (69.2, 77.0)</w:t>
            </w:r>
          </w:p>
        </w:tc>
        <w:tc>
          <w:tcPr>
            <w:tcW w:w="634" w:type="pct"/>
            <w:gridSpan w:val="2"/>
            <w:tcBorders>
              <w:top w:val="single" w:sz="4" w:space="0" w:color="auto"/>
              <w:left w:val="single" w:sz="4" w:space="0" w:color="auto"/>
              <w:bottom w:val="single" w:sz="4" w:space="0" w:color="auto"/>
              <w:right w:val="single" w:sz="4" w:space="0" w:color="auto"/>
            </w:tcBorders>
          </w:tcPr>
          <w:p w:rsidR="00B6569C" w:rsidRDefault="00E82474">
            <w:pPr>
              <w:widowControl/>
              <w:jc w:val="center"/>
              <w:rPr>
                <w:rFonts w:ascii="Arial Narrow" w:hAnsi="Arial Narrow"/>
                <w:sz w:val="20"/>
              </w:rPr>
            </w:pPr>
            <w:r>
              <w:rPr>
                <w:rFonts w:ascii="Arial Narrow" w:hAnsi="Arial Narrow"/>
                <w:sz w:val="20"/>
              </w:rPr>
              <w:t>8.9%</w:t>
            </w:r>
          </w:p>
        </w:tc>
        <w:tc>
          <w:tcPr>
            <w:tcW w:w="834" w:type="pct"/>
            <w:gridSpan w:val="2"/>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sz w:val="20"/>
              </w:rPr>
            </w:pPr>
            <w:r>
              <w:rPr>
                <w:rFonts w:ascii="Arial Narrow" w:hAnsi="Arial Narrow"/>
                <w:sz w:val="20"/>
              </w:rPr>
              <w:t>-</w:t>
            </w:r>
          </w:p>
        </w:tc>
      </w:tr>
      <w:tr w:rsidR="00B6569C">
        <w:tc>
          <w:tcPr>
            <w:tcW w:w="18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6569C" w:rsidRDefault="00E82474">
            <w:pPr>
              <w:widowControl/>
              <w:rPr>
                <w:rFonts w:ascii="Arial Narrow" w:hAnsi="Arial Narrow"/>
                <w:color w:val="000000"/>
                <w:sz w:val="20"/>
                <w:szCs w:val="18"/>
              </w:rPr>
            </w:pPr>
            <w:r>
              <w:rPr>
                <w:rFonts w:ascii="Arial Narrow" w:hAnsi="Arial Narrow"/>
                <w:color w:val="000000"/>
                <w:sz w:val="20"/>
                <w:szCs w:val="18"/>
              </w:rPr>
              <w:t>No recurrence at 12 months, % (95% CI)</w:t>
            </w:r>
          </w:p>
        </w:tc>
        <w:tc>
          <w:tcPr>
            <w:tcW w:w="863" w:type="pct"/>
            <w:gridSpan w:val="3"/>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sz w:val="20"/>
              </w:rPr>
            </w:pPr>
            <w:r>
              <w:rPr>
                <w:rFonts w:ascii="Arial Narrow" w:hAnsi="Arial Narrow"/>
                <w:sz w:val="20"/>
              </w:rPr>
              <w:t>75.4% (71.3, 78.9)</w:t>
            </w:r>
          </w:p>
        </w:tc>
        <w:tc>
          <w:tcPr>
            <w:tcW w:w="861" w:type="pct"/>
            <w:gridSpan w:val="2"/>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sz w:val="20"/>
              </w:rPr>
            </w:pPr>
            <w:r>
              <w:rPr>
                <w:rFonts w:ascii="Arial Narrow" w:hAnsi="Arial Narrow"/>
                <w:sz w:val="20"/>
              </w:rPr>
              <w:t>61.0% (56.5, 65.1)</w:t>
            </w:r>
          </w:p>
        </w:tc>
        <w:tc>
          <w:tcPr>
            <w:tcW w:w="634" w:type="pct"/>
            <w:gridSpan w:val="2"/>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sz w:val="20"/>
              </w:rPr>
            </w:pPr>
            <w:r>
              <w:rPr>
                <w:rFonts w:ascii="Arial Narrow" w:hAnsi="Arial Narrow"/>
                <w:sz w:val="20"/>
              </w:rPr>
              <w:t>14.4%</w:t>
            </w:r>
          </w:p>
        </w:tc>
        <w:tc>
          <w:tcPr>
            <w:tcW w:w="834" w:type="pct"/>
            <w:gridSpan w:val="2"/>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sz w:val="20"/>
              </w:rPr>
            </w:pPr>
            <w:r>
              <w:rPr>
                <w:rFonts w:ascii="Arial Narrow" w:hAnsi="Arial Narrow"/>
                <w:sz w:val="20"/>
              </w:rPr>
              <w:t>-</w:t>
            </w:r>
          </w:p>
        </w:tc>
      </w:tr>
      <w:tr w:rsidR="00B6569C">
        <w:tc>
          <w:tcPr>
            <w:tcW w:w="18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6569C" w:rsidRDefault="00E82474">
            <w:pPr>
              <w:widowControl/>
              <w:rPr>
                <w:rFonts w:ascii="Arial Narrow" w:hAnsi="Arial Narrow"/>
                <w:color w:val="000000"/>
                <w:sz w:val="20"/>
                <w:szCs w:val="18"/>
              </w:rPr>
            </w:pPr>
            <w:r>
              <w:rPr>
                <w:rFonts w:ascii="Arial Narrow" w:hAnsi="Arial Narrow"/>
                <w:color w:val="000000"/>
                <w:sz w:val="20"/>
                <w:szCs w:val="18"/>
              </w:rPr>
              <w:t>No recurrence at 18 months, % (95% CI)</w:t>
            </w:r>
          </w:p>
        </w:tc>
        <w:tc>
          <w:tcPr>
            <w:tcW w:w="863" w:type="pct"/>
            <w:gridSpan w:val="3"/>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sz w:val="20"/>
              </w:rPr>
            </w:pPr>
            <w:r>
              <w:rPr>
                <w:rFonts w:ascii="Arial Narrow" w:hAnsi="Arial Narrow"/>
                <w:sz w:val="20"/>
              </w:rPr>
              <w:t>71.4% (66.8, 75.4)</w:t>
            </w:r>
          </w:p>
        </w:tc>
        <w:tc>
          <w:tcPr>
            <w:tcW w:w="861" w:type="pct"/>
            <w:gridSpan w:val="2"/>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sz w:val="20"/>
              </w:rPr>
            </w:pPr>
            <w:r>
              <w:rPr>
                <w:rFonts w:ascii="Arial Narrow" w:hAnsi="Arial Narrow"/>
                <w:sz w:val="20"/>
              </w:rPr>
              <w:t>53.2% (47.9, 58.2)</w:t>
            </w:r>
          </w:p>
        </w:tc>
        <w:tc>
          <w:tcPr>
            <w:tcW w:w="634" w:type="pct"/>
            <w:gridSpan w:val="2"/>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sz w:val="20"/>
              </w:rPr>
            </w:pPr>
            <w:r>
              <w:rPr>
                <w:rFonts w:ascii="Arial Narrow" w:hAnsi="Arial Narrow"/>
                <w:sz w:val="20"/>
              </w:rPr>
              <w:t>18.2%</w:t>
            </w:r>
          </w:p>
        </w:tc>
        <w:tc>
          <w:tcPr>
            <w:tcW w:w="834" w:type="pct"/>
            <w:gridSpan w:val="2"/>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sz w:val="20"/>
              </w:rPr>
            </w:pPr>
            <w:r>
              <w:rPr>
                <w:rFonts w:ascii="Arial Narrow" w:hAnsi="Arial Narrow"/>
                <w:color w:val="000000"/>
                <w:sz w:val="20"/>
                <w:szCs w:val="18"/>
              </w:rPr>
              <w:t>-</w:t>
            </w:r>
          </w:p>
        </w:tc>
      </w:tr>
      <w:tr w:rsidR="00B6569C">
        <w:tc>
          <w:tcPr>
            <w:tcW w:w="5000" w:type="pct"/>
            <w:gridSpan w:val="11"/>
            <w:tcBorders>
              <w:top w:val="double" w:sz="4" w:space="0" w:color="auto"/>
              <w:left w:val="single" w:sz="4" w:space="0" w:color="auto"/>
              <w:bottom w:val="single" w:sz="4" w:space="0" w:color="auto"/>
              <w:right w:val="single" w:sz="4" w:space="0" w:color="auto"/>
            </w:tcBorders>
            <w:shd w:val="clear" w:color="auto" w:fill="auto"/>
            <w:vAlign w:val="center"/>
          </w:tcPr>
          <w:p w:rsidR="00B6569C" w:rsidRDefault="00E82474">
            <w:pPr>
              <w:widowControl/>
              <w:rPr>
                <w:rFonts w:ascii="Arial Narrow" w:hAnsi="Arial Narrow"/>
                <w:b/>
                <w:color w:val="000000"/>
                <w:sz w:val="20"/>
                <w:szCs w:val="18"/>
              </w:rPr>
            </w:pPr>
            <w:r>
              <w:rPr>
                <w:rFonts w:ascii="Arial Narrow" w:hAnsi="Arial Narrow"/>
                <w:b/>
                <w:color w:val="000000"/>
                <w:sz w:val="20"/>
                <w:szCs w:val="18"/>
              </w:rPr>
              <w:t xml:space="preserve">Harms </w:t>
            </w:r>
          </w:p>
        </w:tc>
      </w:tr>
      <w:tr w:rsidR="00B6569C">
        <w:trPr>
          <w:trHeight w:val="70"/>
        </w:trPr>
        <w:tc>
          <w:tcPr>
            <w:tcW w:w="13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569C" w:rsidRDefault="00B6569C">
            <w:pPr>
              <w:widowControl/>
              <w:rPr>
                <w:rFonts w:ascii="Arial Narrow" w:hAnsi="Arial Narrow"/>
                <w:b/>
                <w:color w:val="000000"/>
                <w:sz w:val="20"/>
                <w:szCs w:val="18"/>
              </w:rPr>
            </w:pPr>
          </w:p>
        </w:tc>
        <w:tc>
          <w:tcPr>
            <w:tcW w:w="550" w:type="pct"/>
            <w:gridSpan w:val="2"/>
            <w:vMerge w:val="restart"/>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b/>
                <w:color w:val="000000"/>
                <w:sz w:val="20"/>
                <w:szCs w:val="18"/>
              </w:rPr>
            </w:pPr>
            <w:r>
              <w:rPr>
                <w:rFonts w:ascii="Arial Narrow" w:hAnsi="Arial Narrow"/>
                <w:b/>
                <w:color w:val="000000"/>
                <w:sz w:val="20"/>
                <w:szCs w:val="18"/>
              </w:rPr>
              <w:t>PEMBRO,</w:t>
            </w:r>
          </w:p>
          <w:p w:rsidR="00B6569C" w:rsidRDefault="00E82474">
            <w:pPr>
              <w:widowControl/>
              <w:jc w:val="center"/>
              <w:rPr>
                <w:rFonts w:ascii="Arial Narrow" w:hAnsi="Arial Narrow"/>
                <w:b/>
                <w:color w:val="000000"/>
                <w:sz w:val="20"/>
                <w:szCs w:val="18"/>
              </w:rPr>
            </w:pPr>
            <w:r>
              <w:rPr>
                <w:rFonts w:ascii="Arial Narrow" w:hAnsi="Arial Narrow"/>
                <w:b/>
                <w:color w:val="000000"/>
                <w:sz w:val="20"/>
                <w:szCs w:val="18"/>
              </w:rPr>
              <w:t>n/N</w:t>
            </w:r>
          </w:p>
        </w:tc>
        <w:tc>
          <w:tcPr>
            <w:tcW w:w="551" w:type="pct"/>
            <w:vMerge w:val="restart"/>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b/>
                <w:color w:val="000000"/>
                <w:sz w:val="20"/>
                <w:szCs w:val="18"/>
              </w:rPr>
            </w:pPr>
            <w:r>
              <w:rPr>
                <w:rFonts w:ascii="Arial Narrow" w:hAnsi="Arial Narrow"/>
                <w:b/>
                <w:color w:val="000000"/>
                <w:sz w:val="20"/>
                <w:szCs w:val="18"/>
              </w:rPr>
              <w:t>Placebo,</w:t>
            </w:r>
          </w:p>
          <w:p w:rsidR="00B6569C" w:rsidRDefault="00E82474">
            <w:pPr>
              <w:widowControl/>
              <w:jc w:val="center"/>
              <w:rPr>
                <w:rFonts w:ascii="Arial Narrow" w:hAnsi="Arial Narrow"/>
                <w:b/>
                <w:color w:val="000000"/>
                <w:sz w:val="20"/>
                <w:szCs w:val="18"/>
              </w:rPr>
            </w:pPr>
            <w:r>
              <w:rPr>
                <w:rFonts w:ascii="Arial Narrow" w:hAnsi="Arial Narrow"/>
                <w:b/>
                <w:color w:val="000000"/>
                <w:sz w:val="20"/>
                <w:szCs w:val="18"/>
              </w:rPr>
              <w:t>n/N</w:t>
            </w:r>
          </w:p>
        </w:tc>
        <w:tc>
          <w:tcPr>
            <w:tcW w:w="708" w:type="pct"/>
            <w:gridSpan w:val="2"/>
            <w:vMerge w:val="restart"/>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b/>
                <w:color w:val="000000"/>
                <w:sz w:val="20"/>
                <w:szCs w:val="18"/>
              </w:rPr>
            </w:pPr>
            <w:r>
              <w:rPr>
                <w:rFonts w:ascii="Arial Narrow" w:hAnsi="Arial Narrow"/>
                <w:b/>
                <w:color w:val="000000"/>
                <w:sz w:val="20"/>
                <w:szCs w:val="18"/>
              </w:rPr>
              <w:t>Relative risk</w:t>
            </w:r>
          </w:p>
          <w:p w:rsidR="00B6569C" w:rsidRDefault="00E82474">
            <w:pPr>
              <w:widowControl/>
              <w:jc w:val="center"/>
              <w:rPr>
                <w:rFonts w:ascii="Arial Narrow" w:hAnsi="Arial Narrow"/>
                <w:b/>
                <w:color w:val="000000"/>
                <w:sz w:val="20"/>
                <w:szCs w:val="18"/>
              </w:rPr>
            </w:pPr>
            <w:r>
              <w:rPr>
                <w:rFonts w:ascii="Arial Narrow" w:hAnsi="Arial Narrow"/>
                <w:b/>
                <w:color w:val="000000"/>
                <w:sz w:val="20"/>
                <w:szCs w:val="18"/>
              </w:rPr>
              <w:t>(95% CI)</w:t>
            </w:r>
          </w:p>
        </w:tc>
        <w:tc>
          <w:tcPr>
            <w:tcW w:w="1103" w:type="pct"/>
            <w:gridSpan w:val="4"/>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b/>
                <w:color w:val="000000"/>
                <w:sz w:val="20"/>
                <w:szCs w:val="18"/>
              </w:rPr>
            </w:pPr>
            <w:r>
              <w:rPr>
                <w:rFonts w:ascii="Arial Narrow" w:hAnsi="Arial Narrow"/>
                <w:b/>
                <w:color w:val="000000"/>
                <w:sz w:val="20"/>
                <w:szCs w:val="18"/>
              </w:rPr>
              <w:t xml:space="preserve">Event rate/100 patients </w:t>
            </w:r>
          </w:p>
        </w:tc>
        <w:tc>
          <w:tcPr>
            <w:tcW w:w="754" w:type="pct"/>
            <w:vMerge w:val="restart"/>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b/>
                <w:color w:val="000000"/>
                <w:sz w:val="20"/>
                <w:szCs w:val="18"/>
              </w:rPr>
            </w:pPr>
            <w:r>
              <w:rPr>
                <w:rFonts w:ascii="Arial Narrow" w:hAnsi="Arial Narrow"/>
                <w:b/>
                <w:color w:val="000000"/>
                <w:sz w:val="20"/>
                <w:szCs w:val="18"/>
              </w:rPr>
              <w:t>Risk difference</w:t>
            </w:r>
          </w:p>
          <w:p w:rsidR="00B6569C" w:rsidRDefault="00E82474">
            <w:pPr>
              <w:widowControl/>
              <w:jc w:val="center"/>
              <w:rPr>
                <w:rFonts w:ascii="Arial Narrow" w:hAnsi="Arial Narrow"/>
                <w:b/>
                <w:color w:val="000000"/>
                <w:sz w:val="20"/>
                <w:szCs w:val="18"/>
              </w:rPr>
            </w:pPr>
            <w:r>
              <w:rPr>
                <w:rFonts w:ascii="Arial Narrow" w:hAnsi="Arial Narrow"/>
                <w:b/>
                <w:color w:val="000000"/>
                <w:sz w:val="20"/>
                <w:szCs w:val="18"/>
              </w:rPr>
              <w:t>(95% CI)</w:t>
            </w:r>
          </w:p>
        </w:tc>
      </w:tr>
      <w:tr w:rsidR="00B6569C">
        <w:trPr>
          <w:trHeight w:val="50"/>
        </w:trPr>
        <w:tc>
          <w:tcPr>
            <w:tcW w:w="13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B6569C" w:rsidRDefault="00B6569C">
            <w:pPr>
              <w:widowControl/>
              <w:rPr>
                <w:rFonts w:ascii="Arial Narrow" w:hAnsi="Arial Narrow"/>
                <w:b/>
                <w:color w:val="000000"/>
                <w:sz w:val="20"/>
                <w:szCs w:val="18"/>
              </w:rPr>
            </w:pPr>
          </w:p>
        </w:tc>
        <w:tc>
          <w:tcPr>
            <w:tcW w:w="550" w:type="pct"/>
            <w:gridSpan w:val="2"/>
            <w:vMerge/>
            <w:tcBorders>
              <w:top w:val="single" w:sz="4" w:space="0" w:color="auto"/>
              <w:left w:val="single" w:sz="4" w:space="0" w:color="auto"/>
              <w:bottom w:val="single" w:sz="4" w:space="0" w:color="auto"/>
              <w:right w:val="single" w:sz="4" w:space="0" w:color="auto"/>
            </w:tcBorders>
            <w:vAlign w:val="center"/>
          </w:tcPr>
          <w:p w:rsidR="00B6569C" w:rsidRDefault="00B6569C">
            <w:pPr>
              <w:widowControl/>
              <w:jc w:val="center"/>
              <w:rPr>
                <w:rFonts w:ascii="Arial Narrow" w:hAnsi="Arial Narrow"/>
                <w:b/>
                <w:color w:val="000000"/>
                <w:sz w:val="20"/>
                <w:szCs w:val="18"/>
              </w:rPr>
            </w:pPr>
          </w:p>
        </w:tc>
        <w:tc>
          <w:tcPr>
            <w:tcW w:w="551" w:type="pct"/>
            <w:vMerge/>
            <w:tcBorders>
              <w:top w:val="single" w:sz="4" w:space="0" w:color="auto"/>
              <w:left w:val="single" w:sz="4" w:space="0" w:color="auto"/>
              <w:bottom w:val="single" w:sz="4" w:space="0" w:color="auto"/>
              <w:right w:val="single" w:sz="4" w:space="0" w:color="auto"/>
            </w:tcBorders>
            <w:vAlign w:val="center"/>
          </w:tcPr>
          <w:p w:rsidR="00B6569C" w:rsidRDefault="00B6569C">
            <w:pPr>
              <w:widowControl/>
              <w:jc w:val="center"/>
              <w:rPr>
                <w:rFonts w:ascii="Arial Narrow" w:hAnsi="Arial Narrow"/>
                <w:b/>
                <w:color w:val="000000"/>
                <w:sz w:val="20"/>
                <w:szCs w:val="18"/>
              </w:rPr>
            </w:pPr>
          </w:p>
        </w:tc>
        <w:tc>
          <w:tcPr>
            <w:tcW w:w="708" w:type="pct"/>
            <w:gridSpan w:val="2"/>
            <w:vMerge/>
            <w:tcBorders>
              <w:top w:val="single" w:sz="4" w:space="0" w:color="auto"/>
              <w:left w:val="single" w:sz="4" w:space="0" w:color="auto"/>
              <w:bottom w:val="single" w:sz="4" w:space="0" w:color="auto"/>
              <w:right w:val="single" w:sz="4" w:space="0" w:color="auto"/>
            </w:tcBorders>
            <w:vAlign w:val="center"/>
          </w:tcPr>
          <w:p w:rsidR="00B6569C" w:rsidRDefault="00B6569C">
            <w:pPr>
              <w:widowControl/>
              <w:jc w:val="center"/>
              <w:rPr>
                <w:rFonts w:ascii="Arial Narrow" w:hAnsi="Arial Narrow"/>
                <w:b/>
                <w:color w:val="000000"/>
                <w:sz w:val="20"/>
                <w:szCs w:val="18"/>
              </w:rPr>
            </w:pPr>
          </w:p>
        </w:tc>
        <w:tc>
          <w:tcPr>
            <w:tcW w:w="551" w:type="pct"/>
            <w:gridSpan w:val="2"/>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b/>
                <w:color w:val="000000"/>
                <w:sz w:val="20"/>
                <w:szCs w:val="18"/>
              </w:rPr>
            </w:pPr>
            <w:r>
              <w:rPr>
                <w:rFonts w:ascii="Arial Narrow" w:hAnsi="Arial Narrow"/>
                <w:b/>
                <w:color w:val="000000"/>
                <w:sz w:val="20"/>
                <w:szCs w:val="18"/>
              </w:rPr>
              <w:t>PEMBRO</w:t>
            </w:r>
          </w:p>
        </w:tc>
        <w:tc>
          <w:tcPr>
            <w:tcW w:w="552" w:type="pct"/>
            <w:gridSpan w:val="2"/>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b/>
                <w:color w:val="000000"/>
                <w:sz w:val="20"/>
                <w:szCs w:val="18"/>
              </w:rPr>
            </w:pPr>
            <w:r>
              <w:rPr>
                <w:rFonts w:ascii="Arial Narrow" w:hAnsi="Arial Narrow"/>
                <w:b/>
                <w:color w:val="000000"/>
                <w:sz w:val="20"/>
                <w:szCs w:val="18"/>
              </w:rPr>
              <w:t xml:space="preserve">Placebo </w:t>
            </w:r>
          </w:p>
        </w:tc>
        <w:tc>
          <w:tcPr>
            <w:tcW w:w="754" w:type="pct"/>
            <w:vMerge/>
            <w:tcBorders>
              <w:top w:val="single" w:sz="4" w:space="0" w:color="auto"/>
              <w:left w:val="single" w:sz="4" w:space="0" w:color="auto"/>
              <w:bottom w:val="single" w:sz="4" w:space="0" w:color="auto"/>
              <w:right w:val="single" w:sz="4" w:space="0" w:color="auto"/>
            </w:tcBorders>
            <w:vAlign w:val="center"/>
          </w:tcPr>
          <w:p w:rsidR="00B6569C" w:rsidRDefault="00B6569C">
            <w:pPr>
              <w:widowControl/>
              <w:jc w:val="center"/>
              <w:rPr>
                <w:rFonts w:ascii="Arial Narrow" w:hAnsi="Arial Narrow"/>
                <w:b/>
                <w:color w:val="000000"/>
                <w:sz w:val="20"/>
                <w:szCs w:val="18"/>
              </w:rPr>
            </w:pPr>
          </w:p>
        </w:tc>
      </w:tr>
      <w:tr w:rsidR="00B6569C">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rsidR="00B6569C" w:rsidRDefault="00E82474">
            <w:pPr>
              <w:widowControl/>
              <w:jc w:val="left"/>
              <w:rPr>
                <w:rFonts w:ascii="Arial Narrow" w:hAnsi="Arial Narrow"/>
                <w:color w:val="000000"/>
                <w:sz w:val="20"/>
                <w:szCs w:val="18"/>
              </w:rPr>
            </w:pPr>
            <w:r>
              <w:rPr>
                <w:rFonts w:ascii="Arial Narrow" w:hAnsi="Arial Narrow"/>
                <w:color w:val="000000"/>
                <w:sz w:val="20"/>
                <w:szCs w:val="18"/>
              </w:rPr>
              <w:t>Grade 3-5 AEs</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color w:val="000000"/>
                <w:sz w:val="20"/>
                <w:szCs w:val="18"/>
              </w:rPr>
            </w:pPr>
            <w:r>
              <w:rPr>
                <w:rFonts w:ascii="Arial Narrow" w:hAnsi="Arial Narrow"/>
                <w:color w:val="000000"/>
                <w:sz w:val="20"/>
                <w:szCs w:val="18"/>
              </w:rPr>
              <w:t>158/509</w:t>
            </w:r>
          </w:p>
        </w:tc>
        <w:tc>
          <w:tcPr>
            <w:tcW w:w="551" w:type="pct"/>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color w:val="000000"/>
                <w:sz w:val="20"/>
                <w:szCs w:val="18"/>
              </w:rPr>
            </w:pPr>
            <w:r>
              <w:rPr>
                <w:rFonts w:ascii="Arial Narrow" w:hAnsi="Arial Narrow"/>
                <w:color w:val="000000"/>
                <w:sz w:val="20"/>
                <w:szCs w:val="18"/>
              </w:rPr>
              <w:t>96/502</w:t>
            </w:r>
          </w:p>
        </w:tc>
        <w:tc>
          <w:tcPr>
            <w:tcW w:w="708" w:type="pct"/>
            <w:gridSpan w:val="2"/>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color w:val="000000"/>
                <w:sz w:val="20"/>
                <w:szCs w:val="18"/>
              </w:rPr>
            </w:pPr>
            <w:r>
              <w:rPr>
                <w:rFonts w:ascii="Arial Narrow" w:hAnsi="Arial Narrow"/>
                <w:color w:val="000000"/>
                <w:sz w:val="20"/>
                <w:szCs w:val="18"/>
              </w:rPr>
              <w:t>1.62</w:t>
            </w:r>
          </w:p>
          <w:p w:rsidR="00B6569C" w:rsidRDefault="00E82474">
            <w:pPr>
              <w:widowControl/>
              <w:jc w:val="center"/>
              <w:rPr>
                <w:rFonts w:ascii="Arial Narrow" w:hAnsi="Arial Narrow"/>
                <w:color w:val="000000"/>
                <w:sz w:val="20"/>
                <w:szCs w:val="18"/>
              </w:rPr>
            </w:pPr>
            <w:r>
              <w:rPr>
                <w:rFonts w:ascii="Arial Narrow" w:hAnsi="Arial Narrow"/>
                <w:color w:val="000000"/>
                <w:sz w:val="20"/>
                <w:szCs w:val="18"/>
              </w:rPr>
              <w:t>(1.30, 2.03)</w:t>
            </w:r>
          </w:p>
        </w:tc>
        <w:tc>
          <w:tcPr>
            <w:tcW w:w="551" w:type="pct"/>
            <w:gridSpan w:val="2"/>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color w:val="000000"/>
                <w:sz w:val="20"/>
                <w:szCs w:val="18"/>
              </w:rPr>
            </w:pPr>
            <w:r>
              <w:rPr>
                <w:rFonts w:ascii="Arial Narrow" w:hAnsi="Arial Narrow"/>
                <w:color w:val="000000"/>
                <w:sz w:val="20"/>
                <w:szCs w:val="18"/>
              </w:rPr>
              <w:t>31.0</w:t>
            </w:r>
          </w:p>
        </w:tc>
        <w:tc>
          <w:tcPr>
            <w:tcW w:w="552" w:type="pct"/>
            <w:gridSpan w:val="2"/>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color w:val="000000"/>
                <w:sz w:val="20"/>
                <w:szCs w:val="18"/>
              </w:rPr>
            </w:pPr>
            <w:r>
              <w:rPr>
                <w:rFonts w:ascii="Arial Narrow" w:hAnsi="Arial Narrow"/>
                <w:color w:val="000000"/>
                <w:sz w:val="20"/>
                <w:szCs w:val="18"/>
              </w:rPr>
              <w:t>19.1</w:t>
            </w:r>
          </w:p>
        </w:tc>
        <w:tc>
          <w:tcPr>
            <w:tcW w:w="754" w:type="pct"/>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color w:val="000000"/>
                <w:sz w:val="20"/>
                <w:szCs w:val="18"/>
              </w:rPr>
            </w:pPr>
            <w:r>
              <w:rPr>
                <w:rFonts w:ascii="Arial Narrow" w:hAnsi="Arial Narrow"/>
                <w:color w:val="000000"/>
                <w:sz w:val="20"/>
                <w:szCs w:val="18"/>
              </w:rPr>
              <w:t>0.12</w:t>
            </w:r>
          </w:p>
          <w:p w:rsidR="00B6569C" w:rsidRDefault="00E82474">
            <w:pPr>
              <w:widowControl/>
              <w:jc w:val="center"/>
              <w:rPr>
                <w:rFonts w:ascii="Arial Narrow" w:hAnsi="Arial Narrow"/>
                <w:color w:val="000000"/>
                <w:sz w:val="20"/>
                <w:szCs w:val="18"/>
              </w:rPr>
            </w:pPr>
            <w:r>
              <w:rPr>
                <w:rFonts w:ascii="Arial Narrow" w:hAnsi="Arial Narrow"/>
                <w:color w:val="000000"/>
                <w:sz w:val="20"/>
                <w:szCs w:val="18"/>
              </w:rPr>
              <w:t>(0.07, 0.17)</w:t>
            </w:r>
          </w:p>
        </w:tc>
      </w:tr>
      <w:tr w:rsidR="00B6569C">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rsidR="00B6569C" w:rsidRDefault="00E82474">
            <w:pPr>
              <w:widowControl/>
              <w:jc w:val="left"/>
              <w:rPr>
                <w:rFonts w:ascii="Arial Narrow" w:hAnsi="Arial Narrow"/>
                <w:color w:val="000000"/>
                <w:sz w:val="20"/>
                <w:szCs w:val="18"/>
              </w:rPr>
            </w:pPr>
            <w:r>
              <w:rPr>
                <w:rFonts w:ascii="Arial Narrow" w:hAnsi="Arial Narrow"/>
                <w:color w:val="000000"/>
                <w:sz w:val="20"/>
                <w:szCs w:val="18"/>
              </w:rPr>
              <w:t>Treatment related AEs leading to discontinuation</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color w:val="000000"/>
                <w:sz w:val="20"/>
                <w:szCs w:val="18"/>
              </w:rPr>
            </w:pPr>
            <w:r>
              <w:rPr>
                <w:rFonts w:ascii="Arial Narrow" w:hAnsi="Arial Narrow"/>
                <w:color w:val="000000"/>
                <w:sz w:val="20"/>
                <w:szCs w:val="18"/>
              </w:rPr>
              <w:t>62/509</w:t>
            </w:r>
          </w:p>
        </w:tc>
        <w:tc>
          <w:tcPr>
            <w:tcW w:w="551" w:type="pct"/>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color w:val="000000"/>
                <w:sz w:val="20"/>
                <w:szCs w:val="18"/>
              </w:rPr>
            </w:pPr>
            <w:r>
              <w:rPr>
                <w:rFonts w:ascii="Arial Narrow" w:hAnsi="Arial Narrow"/>
                <w:color w:val="000000"/>
                <w:sz w:val="20"/>
                <w:szCs w:val="18"/>
              </w:rPr>
              <w:t>8/502</w:t>
            </w:r>
          </w:p>
        </w:tc>
        <w:tc>
          <w:tcPr>
            <w:tcW w:w="708" w:type="pct"/>
            <w:gridSpan w:val="2"/>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color w:val="000000"/>
                <w:sz w:val="20"/>
                <w:szCs w:val="18"/>
              </w:rPr>
            </w:pPr>
            <w:r>
              <w:rPr>
                <w:rFonts w:ascii="Arial Narrow" w:hAnsi="Arial Narrow"/>
                <w:color w:val="000000"/>
                <w:sz w:val="20"/>
                <w:szCs w:val="18"/>
              </w:rPr>
              <w:t>7.64</w:t>
            </w:r>
          </w:p>
          <w:p w:rsidR="00B6569C" w:rsidRDefault="00E82474">
            <w:pPr>
              <w:widowControl/>
              <w:jc w:val="center"/>
              <w:rPr>
                <w:rFonts w:ascii="Arial Narrow" w:hAnsi="Arial Narrow"/>
                <w:color w:val="000000"/>
                <w:sz w:val="20"/>
                <w:szCs w:val="18"/>
              </w:rPr>
            </w:pPr>
            <w:r>
              <w:rPr>
                <w:rFonts w:ascii="Arial Narrow" w:hAnsi="Arial Narrow"/>
                <w:color w:val="000000"/>
                <w:sz w:val="20"/>
                <w:szCs w:val="18"/>
              </w:rPr>
              <w:t>(3.70, 15.8)</w:t>
            </w:r>
          </w:p>
        </w:tc>
        <w:tc>
          <w:tcPr>
            <w:tcW w:w="551" w:type="pct"/>
            <w:gridSpan w:val="2"/>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color w:val="000000"/>
                <w:sz w:val="20"/>
                <w:szCs w:val="18"/>
              </w:rPr>
            </w:pPr>
            <w:r>
              <w:rPr>
                <w:rFonts w:ascii="Arial Narrow" w:hAnsi="Arial Narrow"/>
                <w:color w:val="000000"/>
                <w:sz w:val="20"/>
                <w:szCs w:val="18"/>
              </w:rPr>
              <w:t>12.2</w:t>
            </w:r>
          </w:p>
        </w:tc>
        <w:tc>
          <w:tcPr>
            <w:tcW w:w="552" w:type="pct"/>
            <w:gridSpan w:val="2"/>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color w:val="000000"/>
                <w:sz w:val="20"/>
                <w:szCs w:val="18"/>
              </w:rPr>
            </w:pPr>
            <w:r>
              <w:rPr>
                <w:rFonts w:ascii="Arial Narrow" w:hAnsi="Arial Narrow"/>
                <w:color w:val="000000"/>
                <w:sz w:val="20"/>
                <w:szCs w:val="18"/>
              </w:rPr>
              <w:t>1.6</w:t>
            </w:r>
          </w:p>
        </w:tc>
        <w:tc>
          <w:tcPr>
            <w:tcW w:w="754" w:type="pct"/>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color w:val="000000"/>
                <w:sz w:val="20"/>
                <w:szCs w:val="18"/>
              </w:rPr>
            </w:pPr>
            <w:r>
              <w:rPr>
                <w:rFonts w:ascii="Arial Narrow" w:hAnsi="Arial Narrow"/>
                <w:color w:val="000000"/>
                <w:sz w:val="20"/>
                <w:szCs w:val="18"/>
              </w:rPr>
              <w:t>0.11</w:t>
            </w:r>
          </w:p>
          <w:p w:rsidR="00B6569C" w:rsidRDefault="00E82474">
            <w:pPr>
              <w:widowControl/>
              <w:jc w:val="center"/>
              <w:rPr>
                <w:rFonts w:ascii="Arial Narrow" w:hAnsi="Arial Narrow"/>
                <w:color w:val="000000"/>
                <w:sz w:val="20"/>
                <w:szCs w:val="18"/>
              </w:rPr>
            </w:pPr>
            <w:r>
              <w:rPr>
                <w:rFonts w:ascii="Arial Narrow" w:hAnsi="Arial Narrow"/>
                <w:color w:val="000000"/>
                <w:sz w:val="20"/>
                <w:szCs w:val="18"/>
              </w:rPr>
              <w:t>(0.08, 0.14)</w:t>
            </w:r>
          </w:p>
        </w:tc>
      </w:tr>
      <w:tr w:rsidR="00B6569C">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rsidR="00B6569C" w:rsidRDefault="00E82474">
            <w:pPr>
              <w:widowControl/>
              <w:jc w:val="left"/>
              <w:rPr>
                <w:rFonts w:ascii="Arial Narrow" w:hAnsi="Arial Narrow"/>
                <w:color w:val="000000"/>
                <w:sz w:val="20"/>
                <w:szCs w:val="18"/>
              </w:rPr>
            </w:pPr>
            <w:r>
              <w:rPr>
                <w:rFonts w:ascii="Arial Narrow" w:hAnsi="Arial Narrow"/>
                <w:color w:val="000000"/>
                <w:sz w:val="20"/>
                <w:szCs w:val="18"/>
              </w:rPr>
              <w:t>Treatment-related Grade 3-5 AEOSI</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color w:val="000000"/>
                <w:sz w:val="20"/>
                <w:szCs w:val="18"/>
              </w:rPr>
            </w:pPr>
            <w:r>
              <w:rPr>
                <w:rFonts w:ascii="Arial Narrow" w:hAnsi="Arial Narrow"/>
                <w:color w:val="000000"/>
                <w:sz w:val="20"/>
              </w:rPr>
              <w:t>36/509</w:t>
            </w:r>
          </w:p>
        </w:tc>
        <w:tc>
          <w:tcPr>
            <w:tcW w:w="551" w:type="pct"/>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color w:val="000000"/>
                <w:sz w:val="20"/>
                <w:szCs w:val="18"/>
              </w:rPr>
            </w:pPr>
            <w:r>
              <w:rPr>
                <w:rFonts w:ascii="Arial Narrow" w:hAnsi="Arial Narrow"/>
                <w:color w:val="000000"/>
                <w:sz w:val="20"/>
              </w:rPr>
              <w:t>3/502</w:t>
            </w:r>
          </w:p>
        </w:tc>
        <w:tc>
          <w:tcPr>
            <w:tcW w:w="708" w:type="pct"/>
            <w:gridSpan w:val="2"/>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color w:val="000000"/>
                <w:sz w:val="20"/>
              </w:rPr>
            </w:pPr>
            <w:r>
              <w:rPr>
                <w:rFonts w:ascii="Arial Narrow" w:hAnsi="Arial Narrow"/>
                <w:color w:val="000000"/>
                <w:sz w:val="20"/>
              </w:rPr>
              <w:t>11.83</w:t>
            </w:r>
          </w:p>
          <w:p w:rsidR="00B6569C" w:rsidRDefault="00E82474">
            <w:pPr>
              <w:widowControl/>
              <w:jc w:val="center"/>
              <w:rPr>
                <w:rFonts w:ascii="Arial Narrow" w:hAnsi="Arial Narrow"/>
                <w:color w:val="000000"/>
                <w:sz w:val="20"/>
                <w:szCs w:val="18"/>
              </w:rPr>
            </w:pPr>
            <w:r>
              <w:rPr>
                <w:rFonts w:ascii="Arial Narrow" w:hAnsi="Arial Narrow"/>
                <w:color w:val="000000"/>
                <w:sz w:val="20"/>
              </w:rPr>
              <w:t>(3.67, 38.18)</w:t>
            </w:r>
          </w:p>
        </w:tc>
        <w:tc>
          <w:tcPr>
            <w:tcW w:w="551" w:type="pct"/>
            <w:gridSpan w:val="2"/>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color w:val="000000"/>
                <w:sz w:val="20"/>
                <w:szCs w:val="18"/>
              </w:rPr>
            </w:pPr>
            <w:r>
              <w:rPr>
                <w:rFonts w:ascii="Arial Narrow" w:hAnsi="Arial Narrow"/>
                <w:color w:val="000000"/>
                <w:sz w:val="20"/>
              </w:rPr>
              <w:t>7.1</w:t>
            </w:r>
          </w:p>
        </w:tc>
        <w:tc>
          <w:tcPr>
            <w:tcW w:w="552" w:type="pct"/>
            <w:gridSpan w:val="2"/>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color w:val="000000"/>
                <w:sz w:val="20"/>
                <w:szCs w:val="18"/>
              </w:rPr>
            </w:pPr>
            <w:r>
              <w:rPr>
                <w:rFonts w:ascii="Arial Narrow" w:hAnsi="Arial Narrow"/>
                <w:color w:val="000000"/>
                <w:sz w:val="20"/>
              </w:rPr>
              <w:t>0.6</w:t>
            </w:r>
          </w:p>
        </w:tc>
        <w:tc>
          <w:tcPr>
            <w:tcW w:w="754" w:type="pct"/>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color w:val="000000"/>
                <w:sz w:val="20"/>
              </w:rPr>
            </w:pPr>
            <w:r>
              <w:rPr>
                <w:rFonts w:ascii="Arial Narrow" w:hAnsi="Arial Narrow"/>
                <w:color w:val="000000"/>
                <w:sz w:val="20"/>
              </w:rPr>
              <w:t>0.06</w:t>
            </w:r>
          </w:p>
          <w:p w:rsidR="00B6569C" w:rsidRDefault="00E82474">
            <w:pPr>
              <w:widowControl/>
              <w:jc w:val="center"/>
              <w:rPr>
                <w:rFonts w:ascii="Arial Narrow" w:hAnsi="Arial Narrow"/>
                <w:color w:val="000000"/>
                <w:sz w:val="20"/>
                <w:szCs w:val="18"/>
              </w:rPr>
            </w:pPr>
            <w:r>
              <w:rPr>
                <w:rFonts w:ascii="Arial Narrow" w:hAnsi="Arial Narrow"/>
                <w:color w:val="000000"/>
                <w:sz w:val="20"/>
              </w:rPr>
              <w:t>(0.04, 0.09)</w:t>
            </w:r>
          </w:p>
        </w:tc>
      </w:tr>
    </w:tbl>
    <w:p w:rsidR="00B6569C" w:rsidRDefault="00E82474">
      <w:pPr>
        <w:widowControl/>
        <w:rPr>
          <w:rFonts w:ascii="Arial Narrow" w:hAnsi="Arial Narrow"/>
          <w:b/>
          <w:sz w:val="18"/>
          <w:szCs w:val="18"/>
        </w:rPr>
      </w:pPr>
      <w:r>
        <w:rPr>
          <w:rFonts w:ascii="Arial Narrow" w:hAnsi="Arial Narrow"/>
          <w:sz w:val="18"/>
          <w:szCs w:val="18"/>
        </w:rPr>
        <w:t>AE = adverse event; AEOSI = adverse event of special interest; CI = confidence interval; PEMBRO = pembrolizumab; RFS = recurrence free survival</w:t>
      </w:r>
    </w:p>
    <w:p w:rsidR="00B6569C" w:rsidRDefault="00E82474">
      <w:pPr>
        <w:widowControl/>
        <w:rPr>
          <w:rFonts w:ascii="Arial Narrow" w:hAnsi="Arial Narrow"/>
          <w:b/>
          <w:sz w:val="18"/>
          <w:szCs w:val="18"/>
        </w:rPr>
      </w:pPr>
      <w:r>
        <w:rPr>
          <w:rFonts w:ascii="Arial Narrow" w:hAnsi="Arial Narrow"/>
          <w:sz w:val="18"/>
          <w:szCs w:val="18"/>
          <w:vertAlign w:val="superscript"/>
        </w:rPr>
        <w:t>a</w:t>
      </w:r>
      <w:r>
        <w:rPr>
          <w:rFonts w:ascii="Arial Narrow" w:hAnsi="Arial Narrow"/>
          <w:sz w:val="18"/>
          <w:szCs w:val="18"/>
        </w:rPr>
        <w:t xml:space="preserve"> Based on AJCC 7th edition staging system unless otherwise noted. Statistically significant results in bold</w:t>
      </w:r>
    </w:p>
    <w:p w:rsidR="00B6569C" w:rsidRDefault="00E82474">
      <w:pPr>
        <w:widowControl/>
        <w:rPr>
          <w:rFonts w:ascii="Arial Narrow" w:hAnsi="Arial Narrow"/>
          <w:b/>
          <w:sz w:val="18"/>
          <w:szCs w:val="18"/>
        </w:rPr>
      </w:pPr>
      <w:r>
        <w:rPr>
          <w:rFonts w:ascii="Arial Narrow" w:hAnsi="Arial Narrow"/>
          <w:sz w:val="18"/>
          <w:szCs w:val="18"/>
        </w:rPr>
        <w:t>Source: Tables 2.5-5 and 2.5-6, pp.84-86 of the resubmission</w:t>
      </w:r>
    </w:p>
    <w:p w:rsidR="00B6569C" w:rsidRDefault="00B6569C">
      <w:pPr>
        <w:widowControl/>
      </w:pPr>
    </w:p>
    <w:p w:rsidR="00B6569C" w:rsidRDefault="00E82474">
      <w:pPr>
        <w:pStyle w:val="ListParagraph"/>
        <w:widowControl/>
        <w:numPr>
          <w:ilvl w:val="1"/>
          <w:numId w:val="3"/>
        </w:numPr>
        <w:rPr>
          <w:lang w:val="en-US"/>
        </w:rPr>
      </w:pPr>
      <w:r>
        <w:t>The assessment of benefits and harms for patients with Stage III malignant melanoma (KN054, ITT population) has been updated from the November 2018 submission, including AJCC 8th edition subgroups.</w:t>
      </w:r>
    </w:p>
    <w:p w:rsidR="00B6569C" w:rsidRDefault="00E82474">
      <w:pPr>
        <w:pStyle w:val="ListParagraph"/>
        <w:widowControl/>
        <w:numPr>
          <w:ilvl w:val="1"/>
          <w:numId w:val="3"/>
        </w:numPr>
        <w:rPr>
          <w:lang w:val="en-US"/>
        </w:rPr>
      </w:pPr>
      <w:r>
        <w:t>On the basis of evidence presented in the resubmission for Trial KN054, for every 100 patients treated with pembrolizumab in comparison to placebo:</w:t>
      </w:r>
    </w:p>
    <w:p w:rsidR="00B6569C" w:rsidRDefault="00E82474">
      <w:pPr>
        <w:pStyle w:val="ListParagraph"/>
        <w:widowControl/>
        <w:numPr>
          <w:ilvl w:val="0"/>
          <w:numId w:val="2"/>
        </w:numPr>
        <w:spacing w:after="120"/>
        <w:ind w:left="993" w:hanging="284"/>
      </w:pPr>
      <w:r>
        <w:rPr>
          <w:rFonts w:cs="Calibri"/>
          <w:snapToGrid/>
          <w:szCs w:val="24"/>
          <w:lang w:val="en-US" w:eastAsia="en-AU"/>
        </w:rPr>
        <w:lastRenderedPageBreak/>
        <w:t xml:space="preserve">Approximately 18 fewer patients would experience recurrence, </w:t>
      </w:r>
      <w:r>
        <w:t>based on Kaplan-Meier event rates at 18 months;</w:t>
      </w:r>
    </w:p>
    <w:p w:rsidR="00B6569C" w:rsidRDefault="00E82474">
      <w:pPr>
        <w:pStyle w:val="ListParagraph"/>
        <w:widowControl/>
        <w:numPr>
          <w:ilvl w:val="0"/>
          <w:numId w:val="2"/>
        </w:numPr>
        <w:spacing w:after="120"/>
        <w:ind w:left="993" w:hanging="284"/>
        <w:rPr>
          <w:rFonts w:cs="Calibri"/>
          <w:snapToGrid/>
          <w:szCs w:val="24"/>
          <w:lang w:val="en-US" w:eastAsia="en-AU"/>
        </w:rPr>
      </w:pPr>
      <w:r>
        <w:rPr>
          <w:rFonts w:cs="Calibri"/>
          <w:snapToGrid/>
          <w:szCs w:val="24"/>
          <w:lang w:val="en-US" w:eastAsia="en-AU"/>
        </w:rPr>
        <w:t>Approximately 12 additional patients would experience a Grade 3-5 all-cause AE based on a median duration of follow-up of 16 months;</w:t>
      </w:r>
    </w:p>
    <w:p w:rsidR="00B6569C" w:rsidRDefault="00E82474">
      <w:pPr>
        <w:pStyle w:val="ListParagraph"/>
        <w:widowControl/>
        <w:numPr>
          <w:ilvl w:val="0"/>
          <w:numId w:val="2"/>
        </w:numPr>
        <w:spacing w:after="120"/>
        <w:ind w:left="993" w:hanging="284"/>
        <w:rPr>
          <w:rFonts w:cs="Calibri"/>
          <w:snapToGrid/>
          <w:szCs w:val="24"/>
          <w:lang w:val="en-US" w:eastAsia="en-AU"/>
        </w:rPr>
      </w:pPr>
      <w:r>
        <w:rPr>
          <w:rFonts w:cs="Calibri"/>
          <w:snapToGrid/>
          <w:szCs w:val="24"/>
          <w:lang w:val="en-US" w:eastAsia="en-AU"/>
        </w:rPr>
        <w:t>Approximately 11 additional patients would experience a treatment related AE leading to discontinuation based on a median duration of follow-up of 16 months;</w:t>
      </w:r>
    </w:p>
    <w:p w:rsidR="00B6569C" w:rsidRPr="008C4C5B" w:rsidRDefault="00E82474" w:rsidP="008C4C5B">
      <w:pPr>
        <w:pStyle w:val="ListParagraph"/>
        <w:widowControl/>
        <w:numPr>
          <w:ilvl w:val="0"/>
          <w:numId w:val="2"/>
        </w:numPr>
        <w:spacing w:after="120"/>
        <w:ind w:left="993" w:hanging="284"/>
      </w:pPr>
      <w:r>
        <w:rPr>
          <w:rFonts w:cs="Calibri"/>
          <w:snapToGrid/>
          <w:szCs w:val="24"/>
          <w:lang w:val="en-US" w:eastAsia="en-AU"/>
        </w:rPr>
        <w:t>Approximately 6 additional patients would experience a treatment related Grade</w:t>
      </w:r>
      <w:r>
        <w:t xml:space="preserve"> 3-5 adverse events of special interest</w:t>
      </w:r>
      <w:r>
        <w:rPr>
          <w:rFonts w:cs="Calibri"/>
          <w:snapToGrid/>
          <w:szCs w:val="24"/>
          <w:lang w:val="en-US" w:eastAsia="en-AU"/>
        </w:rPr>
        <w:t xml:space="preserve"> based on a median duration of follow-up of 16 months</w:t>
      </w:r>
      <w:r>
        <w:t>.</w:t>
      </w:r>
    </w:p>
    <w:p w:rsidR="00B6569C" w:rsidRDefault="00E82474">
      <w:pPr>
        <w:pStyle w:val="ListParagraph"/>
        <w:widowControl/>
        <w:numPr>
          <w:ilvl w:val="1"/>
          <w:numId w:val="3"/>
        </w:numPr>
      </w:pPr>
      <w:r>
        <w:t xml:space="preserve">On the basis of </w:t>
      </w:r>
      <w:r>
        <w:rPr>
          <w:i/>
        </w:rPr>
        <w:t>post hoc</w:t>
      </w:r>
      <w:r>
        <w:t xml:space="preserve"> subgroup analyses of Trial KN054 by AJCC 8th edition staging system Stage III subgroups, for every 100 patients treated with pembrolizumab in comparison to placebo (estimates calculated by applying the hazard ratio from the ITT population to the Kaplan-Meier event rates at 6 months reported in the placebo arm of each subgroup):</w:t>
      </w:r>
    </w:p>
    <w:p w:rsidR="00B6569C" w:rsidRDefault="00E82474">
      <w:pPr>
        <w:pStyle w:val="ListParagraph"/>
        <w:widowControl/>
        <w:numPr>
          <w:ilvl w:val="0"/>
          <w:numId w:val="2"/>
        </w:numPr>
        <w:spacing w:after="120"/>
        <w:ind w:left="993" w:hanging="284"/>
        <w:rPr>
          <w:rFonts w:cs="Calibri"/>
          <w:snapToGrid/>
          <w:szCs w:val="24"/>
          <w:lang w:val="en-US" w:eastAsia="en-AU"/>
        </w:rPr>
      </w:pPr>
      <w:r>
        <w:rPr>
          <w:rFonts w:cs="Calibri"/>
          <w:snapToGrid/>
          <w:szCs w:val="24"/>
          <w:lang w:val="en-US" w:eastAsia="en-AU"/>
        </w:rPr>
        <w:t>Approximately 2 fewer patients with Stage IIIA disease would experience recurrence;</w:t>
      </w:r>
    </w:p>
    <w:p w:rsidR="00B6569C" w:rsidRDefault="00E82474">
      <w:pPr>
        <w:pStyle w:val="ListParagraph"/>
        <w:widowControl/>
        <w:numPr>
          <w:ilvl w:val="0"/>
          <w:numId w:val="2"/>
        </w:numPr>
        <w:spacing w:after="120"/>
        <w:ind w:left="993" w:hanging="284"/>
        <w:rPr>
          <w:rFonts w:cs="Calibri"/>
          <w:snapToGrid/>
          <w:szCs w:val="24"/>
          <w:lang w:val="en-US" w:eastAsia="en-AU"/>
        </w:rPr>
      </w:pPr>
      <w:r>
        <w:rPr>
          <w:rFonts w:cs="Calibri"/>
          <w:snapToGrid/>
          <w:szCs w:val="24"/>
          <w:lang w:val="en-US" w:eastAsia="en-AU"/>
        </w:rPr>
        <w:t>Approximately 9 fewer patients with Stage IIIB disease would experience recurrence;</w:t>
      </w:r>
    </w:p>
    <w:p w:rsidR="00B6569C" w:rsidRDefault="00E82474">
      <w:pPr>
        <w:pStyle w:val="ListParagraph"/>
        <w:widowControl/>
        <w:numPr>
          <w:ilvl w:val="0"/>
          <w:numId w:val="2"/>
        </w:numPr>
        <w:spacing w:after="120"/>
        <w:ind w:left="993" w:hanging="284"/>
        <w:rPr>
          <w:rFonts w:cs="Calibri"/>
          <w:snapToGrid/>
          <w:szCs w:val="24"/>
          <w:lang w:val="en-US" w:eastAsia="en-AU"/>
        </w:rPr>
      </w:pPr>
      <w:r>
        <w:rPr>
          <w:rFonts w:cs="Calibri"/>
          <w:snapToGrid/>
          <w:szCs w:val="24"/>
          <w:lang w:val="en-US" w:eastAsia="en-AU"/>
        </w:rPr>
        <w:t>Approximately 15 fewer patients with Stage IIIC disease would experience recurrence; and</w:t>
      </w:r>
    </w:p>
    <w:p w:rsidR="00B6569C" w:rsidRPr="008C4C5B" w:rsidRDefault="00E82474" w:rsidP="008C4C5B">
      <w:pPr>
        <w:pStyle w:val="ListParagraph"/>
        <w:widowControl/>
        <w:numPr>
          <w:ilvl w:val="0"/>
          <w:numId w:val="2"/>
        </w:numPr>
        <w:spacing w:after="120"/>
        <w:ind w:left="993" w:hanging="284"/>
        <w:rPr>
          <w:rFonts w:cs="Calibri"/>
          <w:snapToGrid/>
          <w:szCs w:val="24"/>
          <w:lang w:val="en-US" w:eastAsia="en-AU"/>
        </w:rPr>
      </w:pPr>
      <w:r>
        <w:rPr>
          <w:rFonts w:cs="Calibri"/>
          <w:snapToGrid/>
          <w:szCs w:val="24"/>
          <w:lang w:val="en-US" w:eastAsia="en-AU"/>
        </w:rPr>
        <w:t xml:space="preserve">Approximately 25 fewer patients with Stage IIID disease would experience recurrence. </w:t>
      </w:r>
    </w:p>
    <w:p w:rsidR="00B6569C" w:rsidRDefault="00E82474">
      <w:pPr>
        <w:pStyle w:val="Heading2"/>
        <w:widowControl/>
      </w:pPr>
      <w:bookmarkStart w:id="9" w:name="_Toc9330473"/>
      <w:r>
        <w:t>Clinical claim</w:t>
      </w:r>
      <w:bookmarkEnd w:id="9"/>
    </w:p>
    <w:p w:rsidR="00B6569C" w:rsidRDefault="00B6569C">
      <w:pPr>
        <w:widowControl/>
        <w:ind w:left="720" w:hanging="720"/>
      </w:pPr>
    </w:p>
    <w:p w:rsidR="00B6569C" w:rsidRDefault="00E82474">
      <w:pPr>
        <w:pStyle w:val="ListParagraph"/>
        <w:widowControl/>
        <w:numPr>
          <w:ilvl w:val="1"/>
          <w:numId w:val="3"/>
        </w:numPr>
      </w:pPr>
      <w:r>
        <w:t>The resubmission described pembrolizumab as superior in terms of effectiveness with inferior, but manageable, safety compared to current standard of care (observation/placebo). The ESC and PBAC considered that the claim of superior efficacy presented in the resubmission was reasonable in terms of recurrence free survival; however the magnitude of any benefit remained uncertain. The ESC and PBAC considered that the claim of inferior safety was reasonable and adequately supported by the data.</w:t>
      </w:r>
    </w:p>
    <w:p w:rsidR="00B6569C" w:rsidRDefault="00E82474">
      <w:pPr>
        <w:pStyle w:val="ListParagraph"/>
        <w:widowControl/>
        <w:numPr>
          <w:ilvl w:val="1"/>
          <w:numId w:val="3"/>
        </w:numPr>
        <w:spacing w:after="120"/>
      </w:pPr>
      <w:r>
        <w:t>Based on the indirect comparisons between pembrolizumab and the near market comparators as adjuvant therapy for patients with completely resected Stage III malignant melanoma, the resubmission claimed that pembrolizumab is no worse in terms of efficacy and safety compared to nivolumab and no worse in terms of efficacy compared to dabrafenib+trametinib, with a more favourable safety profile.</w:t>
      </w:r>
    </w:p>
    <w:p w:rsidR="008C4C5B" w:rsidRDefault="008C4C5B">
      <w:pPr>
        <w:widowControl/>
        <w:jc w:val="left"/>
        <w:rPr>
          <w:b/>
          <w:i/>
          <w:sz w:val="28"/>
        </w:rPr>
      </w:pPr>
      <w:bookmarkStart w:id="10" w:name="_Toc9330474"/>
      <w:r>
        <w:lastRenderedPageBreak/>
        <w:br w:type="page"/>
      </w:r>
    </w:p>
    <w:p w:rsidR="00B6569C" w:rsidRDefault="00E82474">
      <w:pPr>
        <w:pStyle w:val="Heading2"/>
        <w:widowControl/>
      </w:pPr>
      <w:r>
        <w:t>Economic analysis</w:t>
      </w:r>
      <w:bookmarkEnd w:id="10"/>
      <w:r>
        <w:t xml:space="preserve"> </w:t>
      </w:r>
    </w:p>
    <w:p w:rsidR="00B6569C" w:rsidRDefault="00B6569C">
      <w:pPr>
        <w:widowControl/>
        <w:ind w:left="720" w:hanging="720"/>
      </w:pPr>
    </w:p>
    <w:p w:rsidR="00B6569C" w:rsidRDefault="00E82474">
      <w:pPr>
        <w:pStyle w:val="ListParagraph"/>
        <w:widowControl/>
        <w:numPr>
          <w:ilvl w:val="1"/>
          <w:numId w:val="3"/>
        </w:numPr>
        <w:rPr>
          <w:color w:val="000000" w:themeColor="text1"/>
        </w:rPr>
      </w:pPr>
      <w:r>
        <w:rPr>
          <w:rFonts w:cs="Calibri"/>
          <w:snapToGrid/>
          <w:color w:val="000000" w:themeColor="text1"/>
          <w:szCs w:val="24"/>
          <w:lang w:val="en-US" w:eastAsia="en-AU"/>
        </w:rPr>
        <w:t xml:space="preserve">The resubmission presented a modelled economic evaluation of adjuvant treatment with pembrolizumab for patients with Stage III resected melanoma compared to no active treatment (watchful waiting) based on the KN054 trial. KN054 provided a direct comparison of pembrolizumab versus placebo for transitions commencing in the recurrence free survival health state; data from external sources was used to model transitions from the locoregional and distant metastases health states and overall survival. The type of economic evaluation presented was a cost utility analysis. </w:t>
      </w:r>
    </w:p>
    <w:p w:rsidR="00B6569C" w:rsidRDefault="00E82474">
      <w:pPr>
        <w:pStyle w:val="ListParagraph"/>
        <w:keepNext/>
        <w:widowControl/>
        <w:numPr>
          <w:ilvl w:val="1"/>
          <w:numId w:val="3"/>
        </w:numPr>
      </w:pPr>
      <w:r>
        <w:rPr>
          <w:rFonts w:cs="Calibri"/>
          <w:snapToGrid/>
          <w:szCs w:val="24"/>
          <w:lang w:val="en-US" w:eastAsia="en-AU"/>
        </w:rPr>
        <w:t>Compared with the previous submission, the resubmission included additional analyses by Stage III melanoma substage according to the AJCC 8th edition staging system; new analyses comparing modelled outcomes with comparable published outcomes; and substates within the distant metastases health state to explore the impact of eligibility for treatments for advanced melanoma in the pembrolizumab treatment arm.</w:t>
      </w:r>
    </w:p>
    <w:p w:rsidR="001F7C95" w:rsidRDefault="001F7C95" w:rsidP="001F7C95">
      <w:pPr>
        <w:pStyle w:val="TableHeading0"/>
      </w:pPr>
      <w:r>
        <w:t xml:space="preserve">Table </w:t>
      </w:r>
      <w:fldSimple w:instr=" SEQ Table \* ARABIC ">
        <w:r w:rsidR="00632FE3">
          <w:rPr>
            <w:noProof/>
          </w:rPr>
          <w:t>13</w:t>
        </w:r>
      </w:fldSimple>
      <w:r w:rsidRPr="0045599F">
        <w:t>: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3: Key components of the economic evaluation"/>
      </w:tblPr>
      <w:tblGrid>
        <w:gridCol w:w="1414"/>
        <w:gridCol w:w="7603"/>
      </w:tblGrid>
      <w:tr w:rsidR="00B6569C">
        <w:trPr>
          <w:tblHeader/>
        </w:trPr>
        <w:tc>
          <w:tcPr>
            <w:tcW w:w="784" w:type="pct"/>
            <w:shd w:val="clear" w:color="auto" w:fill="auto"/>
            <w:tcMar>
              <w:left w:w="28" w:type="dxa"/>
              <w:right w:w="28" w:type="dxa"/>
            </w:tcMar>
          </w:tcPr>
          <w:p w:rsidR="00B6569C" w:rsidRDefault="00E82474">
            <w:pPr>
              <w:pStyle w:val="TableText0"/>
              <w:spacing w:before="0" w:after="0"/>
              <w:rPr>
                <w:b/>
              </w:rPr>
            </w:pPr>
            <w:r>
              <w:rPr>
                <w:b/>
              </w:rPr>
              <w:t xml:space="preserve">Component </w:t>
            </w:r>
          </w:p>
        </w:tc>
        <w:tc>
          <w:tcPr>
            <w:tcW w:w="4216" w:type="pct"/>
            <w:shd w:val="clear" w:color="auto" w:fill="auto"/>
            <w:tcMar>
              <w:left w:w="28" w:type="dxa"/>
              <w:right w:w="28" w:type="dxa"/>
            </w:tcMar>
          </w:tcPr>
          <w:p w:rsidR="00B6569C" w:rsidRDefault="00E82474">
            <w:pPr>
              <w:pStyle w:val="TableText0"/>
              <w:spacing w:before="0" w:after="0"/>
              <w:rPr>
                <w:b/>
              </w:rPr>
            </w:pPr>
            <w:r>
              <w:rPr>
                <w:b/>
              </w:rPr>
              <w:t>Description</w:t>
            </w:r>
          </w:p>
        </w:tc>
      </w:tr>
      <w:tr w:rsidR="00B6569C">
        <w:tc>
          <w:tcPr>
            <w:tcW w:w="784" w:type="pct"/>
            <w:shd w:val="clear" w:color="auto" w:fill="auto"/>
            <w:tcMar>
              <w:left w:w="28" w:type="dxa"/>
              <w:right w:w="28" w:type="dxa"/>
            </w:tcMar>
          </w:tcPr>
          <w:p w:rsidR="00B6569C" w:rsidRDefault="00E82474">
            <w:pPr>
              <w:pStyle w:val="TableText0"/>
              <w:spacing w:before="0" w:after="0"/>
            </w:pPr>
            <w:r>
              <w:t xml:space="preserve">Type of analysis </w:t>
            </w:r>
          </w:p>
        </w:tc>
        <w:tc>
          <w:tcPr>
            <w:tcW w:w="4216" w:type="pct"/>
            <w:shd w:val="clear" w:color="auto" w:fill="auto"/>
            <w:tcMar>
              <w:left w:w="28" w:type="dxa"/>
              <w:right w:w="28" w:type="dxa"/>
            </w:tcMar>
            <w:vAlign w:val="center"/>
          </w:tcPr>
          <w:p w:rsidR="00B6569C" w:rsidRDefault="00E82474">
            <w:pPr>
              <w:pStyle w:val="TableText0"/>
              <w:spacing w:before="0" w:after="0"/>
              <w:rPr>
                <w:rFonts w:ascii="Times" w:eastAsia="Times New Roman" w:hAnsi="Times" w:cs="Times New Roman"/>
                <w:szCs w:val="20"/>
                <w:lang w:val="en-US"/>
              </w:rPr>
            </w:pPr>
            <w:r>
              <w:t>Cost-effectiveness analysis/cost-utility analysis</w:t>
            </w:r>
          </w:p>
        </w:tc>
      </w:tr>
      <w:tr w:rsidR="00B6569C">
        <w:tc>
          <w:tcPr>
            <w:tcW w:w="784" w:type="pct"/>
            <w:shd w:val="clear" w:color="auto" w:fill="auto"/>
            <w:tcMar>
              <w:left w:w="28" w:type="dxa"/>
              <w:right w:w="28" w:type="dxa"/>
            </w:tcMar>
          </w:tcPr>
          <w:p w:rsidR="00B6569C" w:rsidRDefault="00E82474">
            <w:pPr>
              <w:pStyle w:val="TableText0"/>
              <w:spacing w:before="0" w:after="0"/>
              <w:rPr>
                <w:rFonts w:ascii="Times" w:eastAsia="Times New Roman" w:hAnsi="Times" w:cs="Times New Roman"/>
                <w:szCs w:val="20"/>
                <w:lang w:val="en-US"/>
              </w:rPr>
            </w:pPr>
            <w:r>
              <w:t>Outcomes</w:t>
            </w:r>
          </w:p>
        </w:tc>
        <w:tc>
          <w:tcPr>
            <w:tcW w:w="4216" w:type="pct"/>
            <w:shd w:val="clear" w:color="auto" w:fill="auto"/>
            <w:tcMar>
              <w:left w:w="28" w:type="dxa"/>
              <w:right w:w="28" w:type="dxa"/>
            </w:tcMar>
            <w:vAlign w:val="center"/>
          </w:tcPr>
          <w:p w:rsidR="00B6569C" w:rsidRDefault="00E82474">
            <w:pPr>
              <w:pStyle w:val="TableText0"/>
              <w:spacing w:before="0" w:after="0"/>
            </w:pPr>
            <w:r>
              <w:t>Life years; quality-adjusted life years</w:t>
            </w:r>
          </w:p>
        </w:tc>
      </w:tr>
      <w:tr w:rsidR="00B6569C">
        <w:tc>
          <w:tcPr>
            <w:tcW w:w="784" w:type="pct"/>
            <w:shd w:val="clear" w:color="auto" w:fill="auto"/>
            <w:tcMar>
              <w:left w:w="28" w:type="dxa"/>
              <w:right w:w="28" w:type="dxa"/>
            </w:tcMar>
          </w:tcPr>
          <w:p w:rsidR="00B6569C" w:rsidRDefault="00E82474">
            <w:pPr>
              <w:pStyle w:val="TableText0"/>
              <w:spacing w:before="0" w:after="0"/>
              <w:rPr>
                <w:rFonts w:ascii="Times" w:eastAsia="Times New Roman" w:hAnsi="Times" w:cs="Times New Roman"/>
                <w:szCs w:val="20"/>
                <w:lang w:val="en-US"/>
              </w:rPr>
            </w:pPr>
            <w:r>
              <w:t>Time horizon</w:t>
            </w:r>
          </w:p>
        </w:tc>
        <w:tc>
          <w:tcPr>
            <w:tcW w:w="4216" w:type="pct"/>
            <w:shd w:val="clear" w:color="auto" w:fill="auto"/>
            <w:tcMar>
              <w:left w:w="28" w:type="dxa"/>
              <w:right w:w="28" w:type="dxa"/>
            </w:tcMar>
            <w:vAlign w:val="center"/>
          </w:tcPr>
          <w:p w:rsidR="00B6569C" w:rsidRDefault="00E82474">
            <w:pPr>
              <w:pStyle w:val="TableText0"/>
              <w:spacing w:before="0" w:after="0"/>
              <w:rPr>
                <w:rFonts w:ascii="Times" w:eastAsia="Times New Roman" w:hAnsi="Times" w:cs="Times New Roman"/>
                <w:szCs w:val="20"/>
                <w:lang w:val="en-US"/>
              </w:rPr>
            </w:pPr>
            <w:r>
              <w:t>10 years (up to lifetime in sensitivity analysis)</w:t>
            </w:r>
          </w:p>
        </w:tc>
      </w:tr>
      <w:tr w:rsidR="00B6569C">
        <w:tc>
          <w:tcPr>
            <w:tcW w:w="784" w:type="pct"/>
            <w:shd w:val="clear" w:color="auto" w:fill="auto"/>
            <w:tcMar>
              <w:left w:w="28" w:type="dxa"/>
              <w:right w:w="28" w:type="dxa"/>
            </w:tcMar>
          </w:tcPr>
          <w:p w:rsidR="00B6569C" w:rsidRDefault="00E82474">
            <w:pPr>
              <w:pStyle w:val="TableText0"/>
              <w:spacing w:before="0" w:after="0"/>
              <w:rPr>
                <w:rFonts w:ascii="Times" w:eastAsia="Times New Roman" w:hAnsi="Times" w:cs="Times New Roman"/>
                <w:szCs w:val="20"/>
                <w:lang w:val="en-US"/>
              </w:rPr>
            </w:pPr>
            <w:r>
              <w:t>Methods used to generate results</w:t>
            </w:r>
          </w:p>
        </w:tc>
        <w:tc>
          <w:tcPr>
            <w:tcW w:w="4216" w:type="pct"/>
            <w:shd w:val="clear" w:color="auto" w:fill="auto"/>
            <w:tcMar>
              <w:left w:w="28" w:type="dxa"/>
              <w:right w:w="28" w:type="dxa"/>
            </w:tcMar>
            <w:vAlign w:val="center"/>
          </w:tcPr>
          <w:p w:rsidR="00B6569C" w:rsidRDefault="00E82474">
            <w:pPr>
              <w:pStyle w:val="TableText0"/>
              <w:spacing w:before="0" w:after="0"/>
              <w:rPr>
                <w:rFonts w:ascii="Times" w:eastAsia="Times New Roman" w:hAnsi="Times" w:cs="Times New Roman"/>
                <w:szCs w:val="20"/>
                <w:lang w:val="en-US"/>
              </w:rPr>
            </w:pPr>
            <w:r>
              <w:t>Markov cohort expected value analysis (with half-cycle correction)</w:t>
            </w:r>
          </w:p>
        </w:tc>
      </w:tr>
      <w:tr w:rsidR="00B6569C">
        <w:tc>
          <w:tcPr>
            <w:tcW w:w="784" w:type="pct"/>
            <w:shd w:val="clear" w:color="auto" w:fill="auto"/>
            <w:tcMar>
              <w:left w:w="28" w:type="dxa"/>
              <w:right w:w="28" w:type="dxa"/>
            </w:tcMar>
          </w:tcPr>
          <w:p w:rsidR="00B6569C" w:rsidRDefault="00E82474">
            <w:pPr>
              <w:pStyle w:val="TableText0"/>
              <w:spacing w:before="0" w:after="0"/>
            </w:pPr>
            <w:r>
              <w:t>Treatments</w:t>
            </w:r>
          </w:p>
        </w:tc>
        <w:tc>
          <w:tcPr>
            <w:tcW w:w="4216" w:type="pct"/>
            <w:shd w:val="clear" w:color="auto" w:fill="auto"/>
            <w:tcMar>
              <w:left w:w="28" w:type="dxa"/>
              <w:right w:w="28" w:type="dxa"/>
            </w:tcMar>
            <w:vAlign w:val="center"/>
          </w:tcPr>
          <w:p w:rsidR="00B6569C" w:rsidRDefault="00E82474">
            <w:pPr>
              <w:pStyle w:val="TableText0"/>
              <w:spacing w:before="0" w:after="0"/>
            </w:pPr>
            <w:r>
              <w:t>Pembrolizumab, watchful waiting</w:t>
            </w:r>
          </w:p>
        </w:tc>
      </w:tr>
      <w:tr w:rsidR="00B6569C">
        <w:tc>
          <w:tcPr>
            <w:tcW w:w="784" w:type="pct"/>
            <w:shd w:val="clear" w:color="auto" w:fill="auto"/>
            <w:tcMar>
              <w:left w:w="28" w:type="dxa"/>
              <w:right w:w="28" w:type="dxa"/>
            </w:tcMar>
          </w:tcPr>
          <w:p w:rsidR="00B6569C" w:rsidRDefault="00E82474">
            <w:pPr>
              <w:pStyle w:val="TableText0"/>
              <w:spacing w:before="0" w:after="0"/>
              <w:rPr>
                <w:rFonts w:ascii="Times" w:eastAsia="Times New Roman" w:hAnsi="Times" w:cs="Times New Roman"/>
                <w:szCs w:val="20"/>
                <w:lang w:val="en-US"/>
              </w:rPr>
            </w:pPr>
            <w:r>
              <w:t>Health states</w:t>
            </w:r>
          </w:p>
        </w:tc>
        <w:tc>
          <w:tcPr>
            <w:tcW w:w="4216" w:type="pct"/>
            <w:shd w:val="clear" w:color="auto" w:fill="auto"/>
            <w:tcMar>
              <w:left w:w="28" w:type="dxa"/>
              <w:right w:w="28" w:type="dxa"/>
            </w:tcMar>
            <w:vAlign w:val="center"/>
          </w:tcPr>
          <w:p w:rsidR="00B6569C" w:rsidRDefault="00E82474">
            <w:pPr>
              <w:pStyle w:val="TableText0"/>
              <w:spacing w:before="0" w:after="0"/>
              <w:jc w:val="both"/>
            </w:pPr>
            <w:r>
              <w:t>Four health states: recurrence-free; locoregional recurrence; distant metastases; death</w:t>
            </w:r>
          </w:p>
        </w:tc>
      </w:tr>
      <w:tr w:rsidR="00B6569C">
        <w:tc>
          <w:tcPr>
            <w:tcW w:w="784" w:type="pct"/>
            <w:shd w:val="clear" w:color="auto" w:fill="auto"/>
            <w:tcMar>
              <w:left w:w="28" w:type="dxa"/>
              <w:right w:w="28" w:type="dxa"/>
            </w:tcMar>
          </w:tcPr>
          <w:p w:rsidR="00B6569C" w:rsidRDefault="00E82474">
            <w:pPr>
              <w:pStyle w:val="TableText0"/>
              <w:spacing w:before="0" w:after="0"/>
              <w:rPr>
                <w:rFonts w:ascii="Times" w:eastAsia="Times New Roman" w:hAnsi="Times" w:cs="Times New Roman"/>
                <w:szCs w:val="20"/>
                <w:lang w:val="en-US"/>
              </w:rPr>
            </w:pPr>
            <w:r>
              <w:t>Cycle length</w:t>
            </w:r>
          </w:p>
        </w:tc>
        <w:tc>
          <w:tcPr>
            <w:tcW w:w="4216" w:type="pct"/>
            <w:shd w:val="clear" w:color="auto" w:fill="auto"/>
            <w:tcMar>
              <w:left w:w="28" w:type="dxa"/>
              <w:right w:w="28" w:type="dxa"/>
            </w:tcMar>
            <w:vAlign w:val="center"/>
          </w:tcPr>
          <w:p w:rsidR="00B6569C" w:rsidRDefault="00E82474">
            <w:pPr>
              <w:pStyle w:val="TableText0"/>
              <w:spacing w:before="0" w:after="0"/>
            </w:pPr>
            <w:r>
              <w:t>Weekly</w:t>
            </w:r>
          </w:p>
        </w:tc>
      </w:tr>
      <w:tr w:rsidR="00B6569C">
        <w:tc>
          <w:tcPr>
            <w:tcW w:w="784" w:type="pct"/>
            <w:shd w:val="clear" w:color="auto" w:fill="auto"/>
            <w:tcMar>
              <w:left w:w="28" w:type="dxa"/>
              <w:right w:w="28" w:type="dxa"/>
            </w:tcMar>
          </w:tcPr>
          <w:p w:rsidR="00B6569C" w:rsidRDefault="00E82474">
            <w:pPr>
              <w:pStyle w:val="TableText0"/>
              <w:spacing w:before="0" w:after="0"/>
            </w:pPr>
            <w:r>
              <w:t xml:space="preserve">Transition probability </w:t>
            </w:r>
          </w:p>
        </w:tc>
        <w:tc>
          <w:tcPr>
            <w:tcW w:w="4216" w:type="pct"/>
            <w:shd w:val="clear" w:color="auto" w:fill="auto"/>
            <w:tcMar>
              <w:left w:w="28" w:type="dxa"/>
              <w:right w:w="28" w:type="dxa"/>
            </w:tcMar>
            <w:vAlign w:val="center"/>
          </w:tcPr>
          <w:p w:rsidR="00B6569C" w:rsidRDefault="00E82474">
            <w:pPr>
              <w:pStyle w:val="TableText0"/>
              <w:spacing w:before="0" w:after="0"/>
              <w:jc w:val="both"/>
            </w:pPr>
            <w:r>
              <w:t>Transition probabilities were derived through primary analyses of patient-level data from the KN054 trial and a targeted literature search for relevant clinical inputs not estimable using trial data. Transitions between health states were informed by parametric functions fitted to observed data (trial data not used in the model)</w:t>
            </w:r>
          </w:p>
        </w:tc>
      </w:tr>
      <w:tr w:rsidR="00B6569C">
        <w:tc>
          <w:tcPr>
            <w:tcW w:w="784" w:type="pct"/>
            <w:shd w:val="clear" w:color="auto" w:fill="auto"/>
            <w:tcMar>
              <w:left w:w="28" w:type="dxa"/>
              <w:right w:w="28" w:type="dxa"/>
            </w:tcMar>
          </w:tcPr>
          <w:p w:rsidR="00B6569C" w:rsidRDefault="00E82474">
            <w:pPr>
              <w:pStyle w:val="TableText0"/>
              <w:spacing w:before="0" w:after="0"/>
            </w:pPr>
            <w:r>
              <w:t>Discount rate</w:t>
            </w:r>
          </w:p>
        </w:tc>
        <w:tc>
          <w:tcPr>
            <w:tcW w:w="4216" w:type="pct"/>
            <w:shd w:val="clear" w:color="auto" w:fill="auto"/>
            <w:tcMar>
              <w:left w:w="28" w:type="dxa"/>
              <w:right w:w="28" w:type="dxa"/>
            </w:tcMar>
            <w:vAlign w:val="center"/>
          </w:tcPr>
          <w:p w:rsidR="00B6569C" w:rsidRDefault="00E82474">
            <w:pPr>
              <w:pStyle w:val="TableText0"/>
              <w:spacing w:before="0" w:after="0"/>
            </w:pPr>
            <w:r>
              <w:t>5% for costs and outcomes</w:t>
            </w:r>
          </w:p>
        </w:tc>
      </w:tr>
      <w:tr w:rsidR="00B6569C">
        <w:tc>
          <w:tcPr>
            <w:tcW w:w="784" w:type="pct"/>
            <w:shd w:val="clear" w:color="auto" w:fill="auto"/>
            <w:tcMar>
              <w:left w:w="28" w:type="dxa"/>
              <w:right w:w="28" w:type="dxa"/>
            </w:tcMar>
          </w:tcPr>
          <w:p w:rsidR="00B6569C" w:rsidRDefault="00E82474">
            <w:pPr>
              <w:pStyle w:val="TableText0"/>
              <w:spacing w:before="0" w:after="0"/>
              <w:rPr>
                <w:rFonts w:ascii="Times" w:eastAsia="Times New Roman" w:hAnsi="Times" w:cs="Times New Roman"/>
                <w:szCs w:val="20"/>
                <w:lang w:val="en-US"/>
              </w:rPr>
            </w:pPr>
            <w:r>
              <w:t>Software package</w:t>
            </w:r>
          </w:p>
        </w:tc>
        <w:tc>
          <w:tcPr>
            <w:tcW w:w="4216" w:type="pct"/>
            <w:shd w:val="clear" w:color="auto" w:fill="auto"/>
            <w:tcMar>
              <w:left w:w="28" w:type="dxa"/>
              <w:right w:w="28" w:type="dxa"/>
            </w:tcMar>
            <w:vAlign w:val="center"/>
          </w:tcPr>
          <w:p w:rsidR="00B6569C" w:rsidRDefault="00E82474">
            <w:pPr>
              <w:pStyle w:val="TableText0"/>
              <w:spacing w:before="0" w:after="0"/>
            </w:pPr>
            <w:r>
              <w:t>Excel 2016</w:t>
            </w:r>
          </w:p>
        </w:tc>
      </w:tr>
    </w:tbl>
    <w:p w:rsidR="00B6569C" w:rsidRDefault="00E82474">
      <w:pPr>
        <w:pStyle w:val="TableFooter"/>
        <w:widowControl/>
      </w:pPr>
      <w:r>
        <w:t>Source: Table 3.1-1, p.120 of the resubmission</w:t>
      </w:r>
    </w:p>
    <w:p w:rsidR="00B6569C" w:rsidRDefault="00B6569C">
      <w:pPr>
        <w:widowControl/>
      </w:pPr>
    </w:p>
    <w:p w:rsidR="00B6569C" w:rsidRDefault="00E82474">
      <w:pPr>
        <w:pStyle w:val="ListParagraph"/>
        <w:widowControl/>
        <w:numPr>
          <w:ilvl w:val="1"/>
          <w:numId w:val="3"/>
        </w:numPr>
        <w:rPr>
          <w:color w:val="000000" w:themeColor="text1"/>
        </w:rPr>
      </w:pPr>
      <w:r>
        <w:rPr>
          <w:color w:val="000000" w:themeColor="text1"/>
        </w:rPr>
        <w:t xml:space="preserve">All patients start in the recurrence-free health state, following resection of their melanoma. During each weekly cycle, patients could remain recurrence-free, experience locoregional recurrence, distant metastases, or die. Patients in the recurrent health states (locoregional recurrence and distant metastases) accrued higher costs and lower utilities than patients who remained recurrence free. </w:t>
      </w:r>
    </w:p>
    <w:p w:rsidR="00B6569C" w:rsidRDefault="00E82474">
      <w:pPr>
        <w:pStyle w:val="ListParagraph"/>
        <w:widowControl/>
        <w:numPr>
          <w:ilvl w:val="1"/>
          <w:numId w:val="3"/>
        </w:numPr>
        <w:rPr>
          <w:color w:val="000000" w:themeColor="text1"/>
        </w:rPr>
      </w:pPr>
      <w:r>
        <w:rPr>
          <w:color w:val="000000" w:themeColor="text1"/>
        </w:rPr>
        <w:t>Key drivers of the economic model are summarised in the table below.</w:t>
      </w:r>
    </w:p>
    <w:p w:rsidR="00C30C67" w:rsidRDefault="00C30C67" w:rsidP="00C30C67">
      <w:pPr>
        <w:pStyle w:val="TableHeading0"/>
      </w:pPr>
      <w:r>
        <w:lastRenderedPageBreak/>
        <w:t xml:space="preserve">Table </w:t>
      </w:r>
      <w:fldSimple w:instr=" SEQ Table \* ARABIC ">
        <w:r w:rsidR="00632FE3">
          <w:rPr>
            <w:noProof/>
          </w:rPr>
          <w:t>14</w:t>
        </w:r>
      </w:fldSimple>
      <w:r w:rsidRPr="002934FB">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Key drivers of the model"/>
      </w:tblPr>
      <w:tblGrid>
        <w:gridCol w:w="1496"/>
        <w:gridCol w:w="6296"/>
        <w:gridCol w:w="1225"/>
      </w:tblGrid>
      <w:tr w:rsidR="00B6569C">
        <w:trPr>
          <w:tblHeader/>
        </w:trPr>
        <w:tc>
          <w:tcPr>
            <w:tcW w:w="830" w:type="pct"/>
            <w:shd w:val="clear" w:color="auto" w:fill="auto"/>
            <w:vAlign w:val="center"/>
          </w:tcPr>
          <w:p w:rsidR="00B6569C" w:rsidRDefault="00E82474">
            <w:pPr>
              <w:pStyle w:val="Tabletext"/>
              <w:keepNext/>
              <w:rPr>
                <w:b/>
                <w:lang w:val="en-US"/>
              </w:rPr>
            </w:pPr>
            <w:r>
              <w:rPr>
                <w:b/>
                <w:lang w:val="en-US"/>
              </w:rPr>
              <w:t>Description</w:t>
            </w:r>
          </w:p>
        </w:tc>
        <w:tc>
          <w:tcPr>
            <w:tcW w:w="3491" w:type="pct"/>
            <w:shd w:val="clear" w:color="auto" w:fill="auto"/>
            <w:vAlign w:val="center"/>
          </w:tcPr>
          <w:p w:rsidR="00B6569C" w:rsidRDefault="00E82474">
            <w:pPr>
              <w:pStyle w:val="Tabletext"/>
              <w:keepNext/>
              <w:jc w:val="center"/>
              <w:rPr>
                <w:b/>
                <w:lang w:val="en-US"/>
              </w:rPr>
            </w:pPr>
            <w:r>
              <w:rPr>
                <w:b/>
                <w:lang w:val="en-US"/>
              </w:rPr>
              <w:t>Method/Value</w:t>
            </w:r>
          </w:p>
        </w:tc>
        <w:tc>
          <w:tcPr>
            <w:tcW w:w="679" w:type="pct"/>
            <w:shd w:val="clear" w:color="auto" w:fill="auto"/>
            <w:vAlign w:val="center"/>
          </w:tcPr>
          <w:p w:rsidR="00B6569C" w:rsidRDefault="00E82474">
            <w:pPr>
              <w:pStyle w:val="Tabletext"/>
              <w:keepNext/>
              <w:jc w:val="center"/>
              <w:rPr>
                <w:b/>
                <w:lang w:val="en-US"/>
              </w:rPr>
            </w:pPr>
            <w:r>
              <w:rPr>
                <w:b/>
                <w:lang w:val="en-US"/>
              </w:rPr>
              <w:t>Impact</w:t>
            </w:r>
          </w:p>
        </w:tc>
      </w:tr>
      <w:tr w:rsidR="00B6569C">
        <w:tc>
          <w:tcPr>
            <w:tcW w:w="830" w:type="pct"/>
            <w:shd w:val="clear" w:color="auto" w:fill="auto"/>
            <w:vAlign w:val="center"/>
          </w:tcPr>
          <w:p w:rsidR="00B6569C" w:rsidRDefault="00E82474">
            <w:pPr>
              <w:pStyle w:val="Tabletext"/>
              <w:keepNext/>
              <w:rPr>
                <w:lang w:val="en-US"/>
              </w:rPr>
            </w:pPr>
            <w:r>
              <w:rPr>
                <w:lang w:val="en-US"/>
              </w:rPr>
              <w:t>Transitions from the recurrence free health state</w:t>
            </w:r>
          </w:p>
        </w:tc>
        <w:tc>
          <w:tcPr>
            <w:tcW w:w="3491" w:type="pct"/>
            <w:shd w:val="clear" w:color="auto" w:fill="auto"/>
            <w:vAlign w:val="center"/>
          </w:tcPr>
          <w:p w:rsidR="00B6569C" w:rsidRDefault="00E82474">
            <w:pPr>
              <w:pStyle w:val="Tabletext"/>
              <w:keepNext/>
              <w:rPr>
                <w:lang w:val="en-US"/>
              </w:rPr>
            </w:pPr>
            <w:r>
              <w:rPr>
                <w:lang w:val="en-US"/>
              </w:rPr>
              <w:t>Transitions from the recurrence free health states were informed by a parametric multistate modelling approach fitted to data from KN054. In the base case, separate parametric models were fitted for each treatment arm of KN054 to inform the transition probabilities. Trial data were not directly included in the model base case.</w:t>
            </w:r>
          </w:p>
          <w:p w:rsidR="00B6569C" w:rsidRDefault="00E82474">
            <w:pPr>
              <w:pStyle w:val="Tabletext"/>
              <w:keepNext/>
              <w:rPr>
                <w:lang w:val="en-US"/>
              </w:rPr>
            </w:pPr>
            <w:r>
              <w:rPr>
                <w:lang w:val="en-US"/>
              </w:rPr>
              <w:t>The ESC again considered that given the short duration of follow up in KN054 (median follow up of 16 months), extrapolations based on these data were highly uncertain. Overall, transition probabilities and extrapolation from the recurrence free health state had a large impact on the economic model</w:t>
            </w:r>
            <w:r>
              <w:t>.</w:t>
            </w:r>
          </w:p>
        </w:tc>
        <w:tc>
          <w:tcPr>
            <w:tcW w:w="679" w:type="pct"/>
            <w:shd w:val="clear" w:color="auto" w:fill="auto"/>
            <w:vAlign w:val="center"/>
          </w:tcPr>
          <w:p w:rsidR="00B6569C" w:rsidRDefault="00E82474">
            <w:pPr>
              <w:pStyle w:val="Tabletext"/>
              <w:keepNext/>
              <w:rPr>
                <w:lang w:val="en-US"/>
              </w:rPr>
            </w:pPr>
            <w:r>
              <w:rPr>
                <w:lang w:val="en-US"/>
              </w:rPr>
              <w:t>High, favours pembrolizumab</w:t>
            </w:r>
          </w:p>
        </w:tc>
      </w:tr>
      <w:tr w:rsidR="00B6569C">
        <w:tc>
          <w:tcPr>
            <w:tcW w:w="830" w:type="pct"/>
            <w:shd w:val="clear" w:color="auto" w:fill="auto"/>
            <w:vAlign w:val="center"/>
          </w:tcPr>
          <w:p w:rsidR="00B6569C" w:rsidRDefault="00E82474">
            <w:pPr>
              <w:pStyle w:val="Tabletext"/>
              <w:keepNext/>
              <w:rPr>
                <w:lang w:val="en-US"/>
              </w:rPr>
            </w:pPr>
            <w:r>
              <w:rPr>
                <w:lang w:val="en-US"/>
              </w:rPr>
              <w:t>Transitions from the distant metastases health state</w:t>
            </w:r>
          </w:p>
        </w:tc>
        <w:tc>
          <w:tcPr>
            <w:tcW w:w="3491" w:type="pct"/>
            <w:shd w:val="clear" w:color="auto" w:fill="auto"/>
            <w:vAlign w:val="center"/>
          </w:tcPr>
          <w:p w:rsidR="00B6569C" w:rsidRDefault="00E82474">
            <w:pPr>
              <w:pStyle w:val="Tabletext"/>
              <w:keepNext/>
              <w:rPr>
                <w:lang w:val="en-US"/>
              </w:rPr>
            </w:pPr>
            <w:r>
              <w:rPr>
                <w:lang w:val="en-US"/>
              </w:rPr>
              <w:t>The ESC again noted that transitions from distant metastases to death were not informed by trial data, rather they were informed by published overall survival and RFS results for pembrolizumab 2 mg/kg in advanced melanoma (Trial KN006), and a network meta-analysis comparing treatments for advanced melanoma in terms of overall survival and PFS, neither of which were representative of the modelled population. The ESC noted that t</w:t>
            </w:r>
            <w:r>
              <w:t>here was no reliable evidence to determine the extent to which adjuvant treatment of Stage III melanoma with pembrolizumab delivers an overall survival benefit. The ESC also considered that the use of external evidence data introduced substantial uncertainty.</w:t>
            </w:r>
          </w:p>
        </w:tc>
        <w:tc>
          <w:tcPr>
            <w:tcW w:w="679" w:type="pct"/>
            <w:shd w:val="clear" w:color="auto" w:fill="auto"/>
            <w:vAlign w:val="center"/>
          </w:tcPr>
          <w:p w:rsidR="00B6569C" w:rsidRDefault="00E82474">
            <w:pPr>
              <w:pStyle w:val="Tabletext"/>
              <w:keepNext/>
              <w:rPr>
                <w:lang w:val="en-US"/>
              </w:rPr>
            </w:pPr>
            <w:r>
              <w:rPr>
                <w:lang w:val="en-US"/>
              </w:rPr>
              <w:t>High, favours pembrolizumab</w:t>
            </w:r>
          </w:p>
        </w:tc>
      </w:tr>
      <w:tr w:rsidR="00B6569C">
        <w:tc>
          <w:tcPr>
            <w:tcW w:w="830" w:type="pct"/>
            <w:shd w:val="clear" w:color="auto" w:fill="auto"/>
            <w:vAlign w:val="center"/>
          </w:tcPr>
          <w:p w:rsidR="00B6569C" w:rsidRDefault="00E82474">
            <w:pPr>
              <w:pStyle w:val="Tabletext"/>
              <w:keepNext/>
              <w:rPr>
                <w:lang w:val="en-US"/>
              </w:rPr>
            </w:pPr>
            <w:r>
              <w:rPr>
                <w:lang w:val="en-US"/>
              </w:rPr>
              <w:t>Treatment effect maintained over the duration of the model</w:t>
            </w:r>
          </w:p>
        </w:tc>
        <w:tc>
          <w:tcPr>
            <w:tcW w:w="3491" w:type="pct"/>
            <w:shd w:val="clear" w:color="auto" w:fill="auto"/>
            <w:vAlign w:val="center"/>
          </w:tcPr>
          <w:p w:rsidR="00B6569C" w:rsidRDefault="00E82474">
            <w:pPr>
              <w:pStyle w:val="Tabletext"/>
              <w:keepNext/>
              <w:rPr>
                <w:lang w:val="en-US"/>
              </w:rPr>
            </w:pPr>
            <w:r>
              <w:rPr>
                <w:lang w:val="en-US"/>
              </w:rPr>
              <w:t xml:space="preserve">The model assumed an ongoing treatment effect of adjuvant pembrolizumab over the duration of the model. </w:t>
            </w:r>
            <w:r>
              <w:rPr>
                <w:lang w:val="en-US"/>
              </w:rPr>
              <w:br/>
              <w:t xml:space="preserve">Only limited trial data were available to inform the model and extrapolation beyond this period was uncertain. The ESC considered that the duration of treatment effect relating to adjuvant treatment of Stage III melanoma with pembrolizumab was highly uncertain. The continued treatment effect in terms of recurrence free survival for the model duration provided a large incremental gain in recurrence free survival in the pembrolizumab arm, compared with the watchful waiting arm. The structure of the model did not allow sensitivity analyses to adequately quantify the uncertainty associated with the extrapolation of treatment effect over the 10 year duration of the model. </w:t>
            </w:r>
          </w:p>
        </w:tc>
        <w:tc>
          <w:tcPr>
            <w:tcW w:w="679" w:type="pct"/>
            <w:shd w:val="clear" w:color="auto" w:fill="auto"/>
            <w:vAlign w:val="center"/>
          </w:tcPr>
          <w:p w:rsidR="00B6569C" w:rsidRDefault="00E82474">
            <w:pPr>
              <w:pStyle w:val="Tabletext"/>
              <w:keepNext/>
              <w:rPr>
                <w:lang w:val="en-US"/>
              </w:rPr>
            </w:pPr>
            <w:r>
              <w:rPr>
                <w:lang w:val="en-US"/>
              </w:rPr>
              <w:t>High, favours pembrolizumab</w:t>
            </w:r>
          </w:p>
        </w:tc>
      </w:tr>
      <w:tr w:rsidR="00B6569C">
        <w:tc>
          <w:tcPr>
            <w:tcW w:w="830" w:type="pct"/>
            <w:shd w:val="clear" w:color="auto" w:fill="auto"/>
            <w:vAlign w:val="center"/>
          </w:tcPr>
          <w:p w:rsidR="00B6569C" w:rsidRDefault="00E82474">
            <w:pPr>
              <w:pStyle w:val="Tabletext"/>
              <w:rPr>
                <w:lang w:val="en-US"/>
              </w:rPr>
            </w:pPr>
            <w:r>
              <w:rPr>
                <w:lang w:val="en-US"/>
              </w:rPr>
              <w:t>Cost of treatments for advanced melanoma</w:t>
            </w:r>
          </w:p>
        </w:tc>
        <w:tc>
          <w:tcPr>
            <w:tcW w:w="3491" w:type="pct"/>
            <w:shd w:val="clear" w:color="auto" w:fill="auto"/>
            <w:vAlign w:val="center"/>
          </w:tcPr>
          <w:p w:rsidR="00B6569C" w:rsidRDefault="00E82474">
            <w:pPr>
              <w:pStyle w:val="Tabletext"/>
              <w:rPr>
                <w:lang w:val="en-US"/>
              </w:rPr>
            </w:pPr>
            <w:r>
              <w:rPr>
                <w:lang w:val="en-US"/>
              </w:rPr>
              <w:t>The cost of subsequent therapies, plus disease management costs, in the advanced setting for unresectable melanoma (approximately $</w:t>
            </w:r>
            <w:r w:rsidR="00277D7E">
              <w:rPr>
                <w:noProof/>
                <w:color w:val="000000"/>
                <w:highlight w:val="black"/>
                <w:lang w:val="en-US"/>
              </w:rPr>
              <w:t>'''''''''''''''</w:t>
            </w:r>
            <w:r>
              <w:rPr>
                <w:lang w:val="en-US"/>
              </w:rPr>
              <w:t xml:space="preserve"> per patient) contributed substantially to the cost offsets, reducing the total incremental costs of pembrolizumab over watchful waiting. </w:t>
            </w:r>
            <w:r>
              <w:rPr>
                <w:lang w:val="en-US"/>
              </w:rPr>
              <w:br/>
              <w:t>The proportion of the patients who progress to the distant metastases health state where costs of advanced treatment are applied in each arm was uncertain as it was based on immature recurrence free survival data. The ESC noted that the cost offsets were high and that removing them from the analysis resulted in the ICER increasing by more than double.</w:t>
            </w:r>
          </w:p>
        </w:tc>
        <w:tc>
          <w:tcPr>
            <w:tcW w:w="679" w:type="pct"/>
            <w:shd w:val="clear" w:color="auto" w:fill="auto"/>
            <w:vAlign w:val="center"/>
          </w:tcPr>
          <w:p w:rsidR="00B6569C" w:rsidRDefault="00E82474">
            <w:pPr>
              <w:pStyle w:val="Tabletext"/>
              <w:rPr>
                <w:lang w:val="en-US"/>
              </w:rPr>
            </w:pPr>
            <w:r>
              <w:rPr>
                <w:lang w:val="en-US"/>
              </w:rPr>
              <w:t>High, favours pembrolizumab</w:t>
            </w:r>
          </w:p>
        </w:tc>
      </w:tr>
    </w:tbl>
    <w:p w:rsidR="00B6569C" w:rsidRDefault="00E82474">
      <w:pPr>
        <w:pStyle w:val="TableFooter"/>
        <w:widowControl/>
      </w:pPr>
      <w:r>
        <w:t xml:space="preserve">PFS = progression free survival </w:t>
      </w:r>
    </w:p>
    <w:p w:rsidR="00B6569C" w:rsidRDefault="00E82474">
      <w:pPr>
        <w:pStyle w:val="TableFooter"/>
        <w:widowControl/>
      </w:pPr>
      <w:r>
        <w:t>Source: compiled during the evaluation using information in Section 3 of the resubmission</w:t>
      </w:r>
    </w:p>
    <w:p w:rsidR="00B6569C" w:rsidRDefault="00B6569C">
      <w:pPr>
        <w:pStyle w:val="TableFooter"/>
        <w:widowControl/>
      </w:pPr>
    </w:p>
    <w:p w:rsidR="00B6569C" w:rsidRDefault="00E82474">
      <w:pPr>
        <w:pStyle w:val="ListParagraph"/>
        <w:widowControl/>
        <w:numPr>
          <w:ilvl w:val="1"/>
          <w:numId w:val="3"/>
        </w:numPr>
      </w:pPr>
      <w:r>
        <w:t>In the model base case, separate parametric models were fitted for each treatment arm to inform transition probabilities, rather than applying hazard ratios to the watchful waiting arm to inform the pembrolizumab arm. This approach was not justified in the resubmission.</w:t>
      </w:r>
    </w:p>
    <w:p w:rsidR="00B6569C" w:rsidRDefault="00E82474">
      <w:pPr>
        <w:pStyle w:val="ListParagraph"/>
        <w:widowControl/>
        <w:numPr>
          <w:ilvl w:val="1"/>
          <w:numId w:val="3"/>
        </w:numPr>
      </w:pPr>
      <w:r>
        <w:t xml:space="preserve">Transition probabilities from the recurrence free health state were unchanged compared with the previous submission. To fit parametric models to each of the individual health state transitions, standard survival-analysis methods were applied to each cause-specific event with one modification to account for competing risks. When analysing time to each specific type of recurrence-free survival failure, the two competing failure types were treated as censoring events. It was unclear if the </w:t>
      </w:r>
      <w:r>
        <w:lastRenderedPageBreak/>
        <w:t>resubmission used an appropriate model for competing risks analysis. Censoring competing events will bias standard survival analysis (such as the Kaplan-Meier method which assumes that censoring is non-informative and independent of the outcome of interest). Therefore, merely censoring other events violated both of these assumptions (as competing events are known, and unlikely to be independent) and was not an</w:t>
      </w:r>
      <w:r>
        <w:rPr>
          <w:i/>
        </w:rPr>
        <w:t xml:space="preserve"> </w:t>
      </w:r>
      <w:r>
        <w:t>appropriate adjustment for competing risks. Censoring competing events was likely to overestimate the probability of the event of interest and would provide misleading results. The NICE Decision Support Unit Technical Support Document 19 (Partitioned survival analysis for decision modelling in health care) recommends analysis in the presence of competing risks be conducted using cumulative incidence curves. The PSCR agreed that treating competing failure types as censoring events might overestimated the probabilities of each individual transition, but that this was addressed in the model as the probability of each transition starting from the recurrence free state depended on all three cause-specific hazards functions. Occurrence of individual events may still be overestimated in the model.</w:t>
      </w:r>
    </w:p>
    <w:p w:rsidR="00B6569C" w:rsidRDefault="00E82474">
      <w:pPr>
        <w:pStyle w:val="ListParagraph"/>
        <w:widowControl/>
        <w:numPr>
          <w:ilvl w:val="1"/>
          <w:numId w:val="3"/>
        </w:numPr>
      </w:pPr>
      <w:r>
        <w:t>Large proportions of patients in the watchful waiting arm enter the distant metastases health state, where most of the costs and disutility weights were applied. After 5 years, 55.7% of patients in the pembrolizumab arm were alive without distant metastases, compared with 30.2% in the watchful waiting arm. At 10 years, this was 42.4% and 16.7% respectively. This did not align with published survival estimates (see Table 15).</w:t>
      </w:r>
    </w:p>
    <w:p w:rsidR="00B6569C" w:rsidRDefault="00E82474">
      <w:pPr>
        <w:pStyle w:val="ListParagraph"/>
        <w:widowControl/>
        <w:numPr>
          <w:ilvl w:val="1"/>
          <w:numId w:val="3"/>
        </w:numPr>
      </w:pPr>
      <w:r>
        <w:t>Transition probabilities from the locoregional recurrence and distant metastases health states were unchanged compared with the previous submission. The ESC remained concerned that the trial data were immature.</w:t>
      </w:r>
      <w:r>
        <w:rPr>
          <w:i/>
        </w:rPr>
        <w:t xml:space="preserve"> </w:t>
      </w:r>
      <w:r>
        <w:t xml:space="preserve">The PBAC considered that as overall survival data were not yet available from the KN054 trial, there was no reliable evidence to determine the extent to which adjuvant treatment of Stage III melanoma with pembrolizumab delivered an overall survival benefit. </w:t>
      </w:r>
    </w:p>
    <w:p w:rsidR="00B6569C" w:rsidRDefault="00E82474">
      <w:pPr>
        <w:pStyle w:val="ListParagraph"/>
        <w:widowControl/>
        <w:numPr>
          <w:ilvl w:val="1"/>
          <w:numId w:val="3"/>
        </w:numPr>
      </w:pPr>
      <w:r>
        <w:t>The hazard ratios generated in the network meta-analysis and used to inform transitions from distant metastases to death were based on studies of patients who did not receive adjuvant therapy with a PD-1 or PD-L1 inhibitor. Furthermore, the resubmission did not assess the transitivity of the trials in the network meta-analysis. Transitions from the distant metastases health state were therefore highly uncertain. The model was sensitive to costs of therapies for advanced melanoma.</w:t>
      </w:r>
    </w:p>
    <w:p w:rsidR="00B6569C" w:rsidRDefault="00E82474">
      <w:pPr>
        <w:pStyle w:val="ListParagraph"/>
        <w:widowControl/>
        <w:numPr>
          <w:ilvl w:val="1"/>
          <w:numId w:val="3"/>
        </w:numPr>
      </w:pPr>
      <w:r>
        <w:t xml:space="preserve">The distant metastases health state included new modelled substates according to the patient’s eligibility for treatment in the advanced setting in the pembrolizumab treatment arm: rechallenge-eligible (can receive pembrolizumab in the advanced setting, subject to specific criteria for retreatment); immunotherapy-eligible (no restriction on receiving treatment in the advanced setting) or immunotherapy-ineligible (cannot receive pembrolizumab or nivolumab in the advanced setting). In the watchful waiting arm, all patients received treatment according to the immunotherapy-eligible mix. In the base case, it was assumed that for the </w:t>
      </w:r>
      <w:r>
        <w:lastRenderedPageBreak/>
        <w:t xml:space="preserve">pembrolizumab arm patients would receive no further treatment with pembrolizumab (i.e. for advanced melanoma) unless they transition from recurrence-free to distant metastases at least 18 months after adjuvant treatment initiation. Given the current data cut off (median 16 months follow up) the proportion who become eligible for retreatment is unknown. </w:t>
      </w:r>
    </w:p>
    <w:p w:rsidR="00B6569C" w:rsidRDefault="00E82474">
      <w:pPr>
        <w:pStyle w:val="ListParagraph"/>
        <w:widowControl/>
        <w:numPr>
          <w:ilvl w:val="1"/>
          <w:numId w:val="3"/>
        </w:numPr>
      </w:pPr>
      <w:r>
        <w:t>The resubmission included a comparison of modelled outcomes for overall survival in the watchful waiting arm with published estimates. Although there are limitations associated with comparing across different patient cohorts, and in comparing overall survival to melanoma-specific survival, the AJCC publications provide some of the most recent estimates of melanoma specific survival by melanoma substage. The resubmission also included a comparison against an Australian natural history publication (Haydu 2017). The results of the comparison of modelled overall survival with published survival rates are summarised in Table 12.</w:t>
      </w:r>
    </w:p>
    <w:p w:rsidR="00B6569C" w:rsidRDefault="00B6569C">
      <w:pPr>
        <w:keepNext/>
        <w:widowControl/>
        <w:rPr>
          <w:rFonts w:ascii="Arial Narrow" w:hAnsi="Arial Narrow"/>
          <w:b/>
          <w:sz w:val="20"/>
          <w:szCs w:val="16"/>
        </w:rPr>
      </w:pPr>
    </w:p>
    <w:p w:rsidR="00C30C67" w:rsidRDefault="00C30C67" w:rsidP="00C30C67">
      <w:pPr>
        <w:pStyle w:val="TableHeading0"/>
      </w:pPr>
      <w:r>
        <w:t xml:space="preserve">Table </w:t>
      </w:r>
      <w:fldSimple w:instr=" SEQ Table \* ARABIC ">
        <w:r w:rsidR="00632FE3">
          <w:rPr>
            <w:noProof/>
          </w:rPr>
          <w:t>15</w:t>
        </w:r>
      </w:fldSimple>
      <w:r w:rsidRPr="00804111">
        <w:t>: Comparison between modelled overall survival and published overall survival rates</w:t>
      </w:r>
    </w:p>
    <w:tbl>
      <w:tblPr>
        <w:tblStyle w:val="TableGrid"/>
        <w:tblW w:w="0" w:type="auto"/>
        <w:tblLook w:val="04A0" w:firstRow="1" w:lastRow="0" w:firstColumn="1" w:lastColumn="0" w:noHBand="0" w:noVBand="1"/>
        <w:tblCaption w:val="Table 15: Comparison between modelled overall survival and published overall survival rates"/>
      </w:tblPr>
      <w:tblGrid>
        <w:gridCol w:w="2003"/>
        <w:gridCol w:w="2321"/>
        <w:gridCol w:w="2485"/>
        <w:gridCol w:w="2208"/>
      </w:tblGrid>
      <w:tr w:rsidR="00B6569C" w:rsidTr="00C30C67">
        <w:tc>
          <w:tcPr>
            <w:tcW w:w="2003" w:type="dxa"/>
            <w:vAlign w:val="center"/>
          </w:tcPr>
          <w:p w:rsidR="00B6569C" w:rsidRDefault="00E82474">
            <w:pPr>
              <w:widowControl/>
              <w:jc w:val="left"/>
              <w:rPr>
                <w:rFonts w:ascii="Arial Narrow" w:hAnsi="Arial Narrow" w:cs="Times New Roman"/>
                <w:b/>
                <w:snapToGrid/>
                <w:sz w:val="20"/>
              </w:rPr>
            </w:pPr>
            <w:r>
              <w:rPr>
                <w:rFonts w:ascii="Arial Narrow" w:hAnsi="Arial Narrow" w:cs="Times New Roman"/>
                <w:b/>
                <w:snapToGrid/>
                <w:sz w:val="20"/>
              </w:rPr>
              <w:t>Melanoma stage</w:t>
            </w:r>
          </w:p>
        </w:tc>
        <w:tc>
          <w:tcPr>
            <w:tcW w:w="2321" w:type="dxa"/>
          </w:tcPr>
          <w:p w:rsidR="00B6569C" w:rsidRDefault="00E82474">
            <w:pPr>
              <w:widowControl/>
              <w:jc w:val="center"/>
              <w:rPr>
                <w:rFonts w:ascii="Arial Narrow" w:hAnsi="Arial Narrow" w:cs="Times New Roman"/>
                <w:b/>
                <w:snapToGrid/>
                <w:sz w:val="20"/>
              </w:rPr>
            </w:pPr>
            <w:r>
              <w:rPr>
                <w:rFonts w:ascii="Arial Narrow" w:hAnsi="Arial Narrow" w:cs="Times New Roman"/>
                <w:b/>
                <w:snapToGrid/>
                <w:sz w:val="20"/>
              </w:rPr>
              <w:t>Modelled overall survival (watchful waiting arm)</w:t>
            </w:r>
          </w:p>
        </w:tc>
        <w:tc>
          <w:tcPr>
            <w:tcW w:w="2485" w:type="dxa"/>
          </w:tcPr>
          <w:p w:rsidR="00B6569C" w:rsidRDefault="00E82474">
            <w:pPr>
              <w:widowControl/>
              <w:jc w:val="center"/>
              <w:rPr>
                <w:rFonts w:ascii="Arial Narrow" w:hAnsi="Arial Narrow" w:cs="Times New Roman"/>
                <w:b/>
                <w:snapToGrid/>
                <w:sz w:val="20"/>
              </w:rPr>
            </w:pPr>
            <w:r>
              <w:rPr>
                <w:rFonts w:ascii="Arial Narrow" w:hAnsi="Arial Narrow" w:cs="Times New Roman"/>
                <w:b/>
                <w:snapToGrid/>
                <w:sz w:val="20"/>
              </w:rPr>
              <w:t>AJCC 8</w:t>
            </w:r>
            <w:r>
              <w:rPr>
                <w:rFonts w:ascii="Arial Narrow" w:hAnsi="Arial Narrow" w:cs="Times New Roman"/>
                <w:b/>
                <w:snapToGrid/>
                <w:sz w:val="20"/>
                <w:vertAlign w:val="superscript"/>
              </w:rPr>
              <w:t>th</w:t>
            </w:r>
            <w:r>
              <w:rPr>
                <w:rFonts w:ascii="Arial Narrow" w:hAnsi="Arial Narrow" w:cs="Times New Roman"/>
                <w:b/>
                <w:snapToGrid/>
                <w:sz w:val="20"/>
              </w:rPr>
              <w:t xml:space="preserve"> edition (Gershenwald 2017; 2018)</w:t>
            </w:r>
          </w:p>
        </w:tc>
        <w:tc>
          <w:tcPr>
            <w:tcW w:w="2208" w:type="dxa"/>
          </w:tcPr>
          <w:p w:rsidR="00B6569C" w:rsidRDefault="00E82474">
            <w:pPr>
              <w:widowControl/>
              <w:jc w:val="center"/>
              <w:rPr>
                <w:rFonts w:ascii="Arial Narrow" w:hAnsi="Arial Narrow" w:cs="Times New Roman"/>
                <w:b/>
                <w:snapToGrid/>
                <w:sz w:val="20"/>
              </w:rPr>
            </w:pPr>
            <w:r>
              <w:rPr>
                <w:rFonts w:ascii="Arial Narrow" w:hAnsi="Arial Narrow" w:cs="Times New Roman"/>
                <w:b/>
                <w:snapToGrid/>
                <w:sz w:val="20"/>
              </w:rPr>
              <w:t>Haydu (2017)</w:t>
            </w:r>
          </w:p>
        </w:tc>
      </w:tr>
      <w:tr w:rsidR="00B6569C" w:rsidTr="00C30C67">
        <w:tc>
          <w:tcPr>
            <w:tcW w:w="9017" w:type="dxa"/>
            <w:gridSpan w:val="4"/>
          </w:tcPr>
          <w:p w:rsidR="00B6569C" w:rsidRDefault="00E82474">
            <w:pPr>
              <w:widowControl/>
              <w:jc w:val="left"/>
              <w:rPr>
                <w:rFonts w:ascii="Arial Narrow" w:hAnsi="Arial Narrow" w:cs="Times New Roman"/>
                <w:b/>
                <w:snapToGrid/>
                <w:sz w:val="20"/>
              </w:rPr>
            </w:pPr>
            <w:r>
              <w:rPr>
                <w:rFonts w:ascii="Arial Narrow" w:hAnsi="Arial Narrow" w:cs="Times New Roman"/>
                <w:b/>
                <w:snapToGrid/>
                <w:sz w:val="20"/>
              </w:rPr>
              <w:t>5 year survival</w:t>
            </w:r>
          </w:p>
        </w:tc>
      </w:tr>
      <w:tr w:rsidR="00B6569C" w:rsidTr="00C30C67">
        <w:tc>
          <w:tcPr>
            <w:tcW w:w="2003" w:type="dxa"/>
          </w:tcPr>
          <w:p w:rsidR="00B6569C" w:rsidRDefault="00E82474">
            <w:pPr>
              <w:widowControl/>
              <w:jc w:val="left"/>
              <w:rPr>
                <w:rFonts w:ascii="Arial Narrow" w:hAnsi="Arial Narrow" w:cs="Times New Roman"/>
                <w:snapToGrid/>
                <w:sz w:val="20"/>
              </w:rPr>
            </w:pPr>
            <w:r>
              <w:rPr>
                <w:rFonts w:ascii="Arial Narrow" w:hAnsi="Arial Narrow" w:cs="Times New Roman"/>
                <w:snapToGrid/>
                <w:sz w:val="20"/>
              </w:rPr>
              <w:t>All Stage III</w:t>
            </w:r>
          </w:p>
        </w:tc>
        <w:tc>
          <w:tcPr>
            <w:tcW w:w="2321" w:type="dxa"/>
          </w:tcPr>
          <w:p w:rsidR="00B6569C" w:rsidRDefault="00E82474">
            <w:pPr>
              <w:widowControl/>
              <w:jc w:val="center"/>
              <w:rPr>
                <w:rFonts w:ascii="Arial Narrow" w:hAnsi="Arial Narrow" w:cs="Times New Roman"/>
                <w:snapToGrid/>
                <w:sz w:val="20"/>
              </w:rPr>
            </w:pPr>
            <w:r>
              <w:rPr>
                <w:rFonts w:ascii="Arial Narrow" w:hAnsi="Arial Narrow" w:cs="Times New Roman"/>
                <w:snapToGrid/>
                <w:sz w:val="20"/>
              </w:rPr>
              <w:t>55.4%</w:t>
            </w:r>
          </w:p>
        </w:tc>
        <w:tc>
          <w:tcPr>
            <w:tcW w:w="2485" w:type="dxa"/>
          </w:tcPr>
          <w:p w:rsidR="00B6569C" w:rsidRDefault="00E82474">
            <w:pPr>
              <w:widowControl/>
              <w:jc w:val="center"/>
              <w:rPr>
                <w:rFonts w:ascii="Arial Narrow" w:hAnsi="Arial Narrow" w:cs="Times New Roman"/>
                <w:snapToGrid/>
                <w:sz w:val="20"/>
              </w:rPr>
            </w:pPr>
            <w:r>
              <w:rPr>
                <w:rFonts w:ascii="Arial Narrow" w:hAnsi="Arial Narrow" w:cs="Times New Roman"/>
                <w:snapToGrid/>
                <w:sz w:val="20"/>
              </w:rPr>
              <w:t>77%</w:t>
            </w:r>
          </w:p>
        </w:tc>
        <w:tc>
          <w:tcPr>
            <w:tcW w:w="2208" w:type="dxa"/>
          </w:tcPr>
          <w:p w:rsidR="00B6569C" w:rsidRDefault="00E82474">
            <w:pPr>
              <w:widowControl/>
              <w:jc w:val="center"/>
              <w:rPr>
                <w:rFonts w:ascii="Arial Narrow" w:hAnsi="Arial Narrow" w:cs="Times New Roman"/>
                <w:snapToGrid/>
                <w:sz w:val="20"/>
              </w:rPr>
            </w:pPr>
            <w:r>
              <w:rPr>
                <w:rFonts w:ascii="Arial Narrow" w:hAnsi="Arial Narrow" w:cs="Times New Roman"/>
                <w:snapToGrid/>
                <w:sz w:val="20"/>
              </w:rPr>
              <w:t>NA</w:t>
            </w:r>
          </w:p>
        </w:tc>
      </w:tr>
      <w:tr w:rsidR="00B6569C" w:rsidTr="00C30C67">
        <w:tc>
          <w:tcPr>
            <w:tcW w:w="2003" w:type="dxa"/>
          </w:tcPr>
          <w:p w:rsidR="00B6569C" w:rsidRDefault="00E82474">
            <w:pPr>
              <w:widowControl/>
              <w:jc w:val="left"/>
              <w:rPr>
                <w:rFonts w:ascii="Arial Narrow" w:hAnsi="Arial Narrow" w:cs="Times New Roman"/>
                <w:snapToGrid/>
                <w:sz w:val="20"/>
              </w:rPr>
            </w:pPr>
            <w:r>
              <w:rPr>
                <w:rFonts w:ascii="Arial Narrow" w:hAnsi="Arial Narrow" w:cs="Times New Roman"/>
                <w:snapToGrid/>
                <w:sz w:val="20"/>
              </w:rPr>
              <w:t>Stage IIIA</w:t>
            </w:r>
          </w:p>
        </w:tc>
        <w:tc>
          <w:tcPr>
            <w:tcW w:w="2321" w:type="dxa"/>
            <w:vAlign w:val="center"/>
          </w:tcPr>
          <w:p w:rsidR="00B6569C" w:rsidRDefault="00E82474">
            <w:pPr>
              <w:widowControl/>
              <w:jc w:val="center"/>
              <w:rPr>
                <w:rFonts w:ascii="Arial Narrow" w:hAnsi="Arial Narrow" w:cs="Times New Roman"/>
                <w:snapToGrid/>
                <w:sz w:val="20"/>
              </w:rPr>
            </w:pPr>
            <w:r>
              <w:rPr>
                <w:rFonts w:ascii="Arial Narrow" w:hAnsi="Arial Narrow" w:cs="Times New Roman"/>
                <w:snapToGrid/>
                <w:sz w:val="20"/>
              </w:rPr>
              <w:t>87.7%</w:t>
            </w:r>
          </w:p>
        </w:tc>
        <w:tc>
          <w:tcPr>
            <w:tcW w:w="2485" w:type="dxa"/>
            <w:vAlign w:val="center"/>
          </w:tcPr>
          <w:p w:rsidR="00B6569C" w:rsidRDefault="00E82474">
            <w:pPr>
              <w:widowControl/>
              <w:jc w:val="center"/>
              <w:rPr>
                <w:rFonts w:ascii="Arial Narrow" w:hAnsi="Arial Narrow" w:cs="Times New Roman"/>
                <w:snapToGrid/>
                <w:sz w:val="20"/>
              </w:rPr>
            </w:pPr>
            <w:r>
              <w:rPr>
                <w:rFonts w:ascii="Arial Narrow" w:hAnsi="Arial Narrow" w:cs="Times New Roman"/>
                <w:snapToGrid/>
                <w:sz w:val="20"/>
              </w:rPr>
              <w:t>93%</w:t>
            </w:r>
          </w:p>
        </w:tc>
        <w:tc>
          <w:tcPr>
            <w:tcW w:w="2208" w:type="dxa"/>
            <w:vAlign w:val="center"/>
          </w:tcPr>
          <w:p w:rsidR="00B6569C" w:rsidRDefault="00E82474">
            <w:pPr>
              <w:widowControl/>
              <w:jc w:val="center"/>
              <w:rPr>
                <w:rFonts w:ascii="Arial Narrow" w:hAnsi="Arial Narrow" w:cs="Times New Roman"/>
                <w:snapToGrid/>
                <w:sz w:val="20"/>
              </w:rPr>
            </w:pPr>
            <w:r>
              <w:rPr>
                <w:rFonts w:ascii="Arial Narrow" w:hAnsi="Arial Narrow" w:cs="Times New Roman"/>
                <w:snapToGrid/>
                <w:sz w:val="20"/>
              </w:rPr>
              <w:t>81.4%</w:t>
            </w:r>
          </w:p>
        </w:tc>
      </w:tr>
      <w:tr w:rsidR="00B6569C" w:rsidTr="00C30C67">
        <w:tc>
          <w:tcPr>
            <w:tcW w:w="2003" w:type="dxa"/>
          </w:tcPr>
          <w:p w:rsidR="00B6569C" w:rsidRDefault="00E82474">
            <w:pPr>
              <w:widowControl/>
              <w:jc w:val="left"/>
              <w:rPr>
                <w:rFonts w:ascii="Arial Narrow" w:hAnsi="Arial Narrow" w:cs="Times New Roman"/>
                <w:snapToGrid/>
                <w:sz w:val="20"/>
              </w:rPr>
            </w:pPr>
            <w:r>
              <w:rPr>
                <w:rFonts w:ascii="Arial Narrow" w:hAnsi="Arial Narrow" w:cs="Times New Roman"/>
                <w:snapToGrid/>
                <w:sz w:val="20"/>
              </w:rPr>
              <w:t>Stage IIIB</w:t>
            </w:r>
          </w:p>
        </w:tc>
        <w:tc>
          <w:tcPr>
            <w:tcW w:w="2321" w:type="dxa"/>
            <w:tcBorders>
              <w:top w:val="single" w:sz="4" w:space="0" w:color="auto"/>
              <w:left w:val="nil"/>
              <w:bottom w:val="single" w:sz="4" w:space="0" w:color="auto"/>
              <w:right w:val="single" w:sz="4" w:space="0" w:color="auto"/>
            </w:tcBorders>
            <w:vAlign w:val="center"/>
          </w:tcPr>
          <w:p w:rsidR="00B6569C" w:rsidRDefault="00E82474">
            <w:pPr>
              <w:widowControl/>
              <w:jc w:val="center"/>
              <w:rPr>
                <w:rFonts w:ascii="Arial Narrow" w:hAnsi="Arial Narrow" w:cs="Times New Roman"/>
                <w:snapToGrid/>
                <w:sz w:val="20"/>
              </w:rPr>
            </w:pPr>
            <w:r>
              <w:rPr>
                <w:rFonts w:ascii="Arial Narrow" w:hAnsi="Arial Narrow" w:cs="Times New Roman"/>
                <w:snapToGrid/>
                <w:sz w:val="20"/>
              </w:rPr>
              <w:t>56.4%</w:t>
            </w:r>
          </w:p>
        </w:tc>
        <w:tc>
          <w:tcPr>
            <w:tcW w:w="2485" w:type="dxa"/>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cs="Times New Roman"/>
                <w:snapToGrid/>
                <w:sz w:val="20"/>
              </w:rPr>
            </w:pPr>
            <w:r>
              <w:rPr>
                <w:rFonts w:ascii="Arial Narrow" w:hAnsi="Arial Narrow" w:cs="Times New Roman"/>
                <w:snapToGrid/>
                <w:sz w:val="20"/>
              </w:rPr>
              <w:t>83%</w:t>
            </w:r>
          </w:p>
        </w:tc>
        <w:tc>
          <w:tcPr>
            <w:tcW w:w="2208" w:type="dxa"/>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cs="Times New Roman"/>
                <w:snapToGrid/>
                <w:sz w:val="20"/>
              </w:rPr>
            </w:pPr>
            <w:r>
              <w:rPr>
                <w:rFonts w:ascii="Arial Narrow" w:hAnsi="Arial Narrow" w:cs="Times New Roman"/>
                <w:snapToGrid/>
                <w:sz w:val="20"/>
              </w:rPr>
              <w:t>64.0%</w:t>
            </w:r>
          </w:p>
        </w:tc>
      </w:tr>
      <w:tr w:rsidR="00B6569C" w:rsidTr="00C30C67">
        <w:tc>
          <w:tcPr>
            <w:tcW w:w="2003" w:type="dxa"/>
          </w:tcPr>
          <w:p w:rsidR="00B6569C" w:rsidRDefault="00E82474">
            <w:pPr>
              <w:widowControl/>
              <w:jc w:val="left"/>
              <w:rPr>
                <w:rFonts w:ascii="Arial Narrow" w:hAnsi="Arial Narrow" w:cs="Times New Roman"/>
                <w:snapToGrid/>
                <w:sz w:val="20"/>
              </w:rPr>
            </w:pPr>
            <w:r>
              <w:rPr>
                <w:rFonts w:ascii="Arial Narrow" w:hAnsi="Arial Narrow" w:cs="Times New Roman"/>
                <w:snapToGrid/>
                <w:sz w:val="20"/>
              </w:rPr>
              <w:t>Stage IIIC</w:t>
            </w:r>
          </w:p>
        </w:tc>
        <w:tc>
          <w:tcPr>
            <w:tcW w:w="2321" w:type="dxa"/>
            <w:tcBorders>
              <w:top w:val="single" w:sz="4" w:space="0" w:color="auto"/>
              <w:left w:val="nil"/>
              <w:bottom w:val="single" w:sz="4" w:space="0" w:color="auto"/>
              <w:right w:val="single" w:sz="4" w:space="0" w:color="auto"/>
            </w:tcBorders>
            <w:vAlign w:val="center"/>
          </w:tcPr>
          <w:p w:rsidR="00B6569C" w:rsidRDefault="00E82474">
            <w:pPr>
              <w:widowControl/>
              <w:jc w:val="center"/>
              <w:rPr>
                <w:rFonts w:ascii="Arial Narrow" w:hAnsi="Arial Narrow" w:cs="Times New Roman"/>
                <w:snapToGrid/>
                <w:sz w:val="20"/>
              </w:rPr>
            </w:pPr>
            <w:r>
              <w:rPr>
                <w:rFonts w:ascii="Arial Narrow" w:hAnsi="Arial Narrow" w:cs="Times New Roman"/>
                <w:snapToGrid/>
                <w:sz w:val="20"/>
              </w:rPr>
              <w:t>47.9%</w:t>
            </w:r>
          </w:p>
        </w:tc>
        <w:tc>
          <w:tcPr>
            <w:tcW w:w="2485" w:type="dxa"/>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cs="Times New Roman"/>
                <w:snapToGrid/>
                <w:sz w:val="20"/>
              </w:rPr>
            </w:pPr>
            <w:r>
              <w:rPr>
                <w:rFonts w:ascii="Arial Narrow" w:hAnsi="Arial Narrow" w:cs="Times New Roman"/>
                <w:snapToGrid/>
                <w:sz w:val="20"/>
              </w:rPr>
              <w:t>69%</w:t>
            </w:r>
          </w:p>
        </w:tc>
        <w:tc>
          <w:tcPr>
            <w:tcW w:w="2208" w:type="dxa"/>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cs="Times New Roman"/>
                <w:snapToGrid/>
                <w:sz w:val="20"/>
              </w:rPr>
            </w:pPr>
            <w:r>
              <w:rPr>
                <w:rFonts w:ascii="Arial Narrow" w:hAnsi="Arial Narrow" w:cs="Times New Roman"/>
                <w:snapToGrid/>
                <w:sz w:val="20"/>
              </w:rPr>
              <w:t>44.5%</w:t>
            </w:r>
          </w:p>
        </w:tc>
      </w:tr>
      <w:tr w:rsidR="00B6569C" w:rsidTr="00C30C67">
        <w:tc>
          <w:tcPr>
            <w:tcW w:w="2003" w:type="dxa"/>
          </w:tcPr>
          <w:p w:rsidR="00B6569C" w:rsidRDefault="00E82474">
            <w:pPr>
              <w:widowControl/>
              <w:jc w:val="left"/>
              <w:rPr>
                <w:rFonts w:ascii="Arial Narrow" w:hAnsi="Arial Narrow" w:cs="Times New Roman"/>
                <w:snapToGrid/>
                <w:sz w:val="20"/>
              </w:rPr>
            </w:pPr>
            <w:r>
              <w:rPr>
                <w:rFonts w:ascii="Arial Narrow" w:hAnsi="Arial Narrow" w:cs="Times New Roman"/>
                <w:snapToGrid/>
                <w:sz w:val="20"/>
              </w:rPr>
              <w:t>Stage IIID</w:t>
            </w:r>
          </w:p>
        </w:tc>
        <w:tc>
          <w:tcPr>
            <w:tcW w:w="2321" w:type="dxa"/>
            <w:tcBorders>
              <w:top w:val="single" w:sz="4" w:space="0" w:color="auto"/>
              <w:left w:val="nil"/>
              <w:bottom w:val="single" w:sz="4" w:space="0" w:color="auto"/>
              <w:right w:val="single" w:sz="4" w:space="0" w:color="auto"/>
            </w:tcBorders>
            <w:vAlign w:val="center"/>
          </w:tcPr>
          <w:p w:rsidR="00B6569C" w:rsidRDefault="00E82474">
            <w:pPr>
              <w:widowControl/>
              <w:jc w:val="center"/>
              <w:rPr>
                <w:rFonts w:ascii="Arial Narrow" w:hAnsi="Arial Narrow" w:cs="Times New Roman"/>
                <w:snapToGrid/>
                <w:sz w:val="20"/>
              </w:rPr>
            </w:pPr>
            <w:r>
              <w:rPr>
                <w:rFonts w:ascii="Arial Narrow" w:hAnsi="Arial Narrow" w:cs="Times New Roman"/>
                <w:snapToGrid/>
                <w:sz w:val="20"/>
              </w:rPr>
              <w:t>38.8%</w:t>
            </w:r>
          </w:p>
        </w:tc>
        <w:tc>
          <w:tcPr>
            <w:tcW w:w="2485" w:type="dxa"/>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cs="Times New Roman"/>
                <w:snapToGrid/>
                <w:sz w:val="20"/>
              </w:rPr>
            </w:pPr>
            <w:r>
              <w:rPr>
                <w:rFonts w:ascii="Arial Narrow" w:hAnsi="Arial Narrow" w:cs="Times New Roman"/>
                <w:snapToGrid/>
                <w:sz w:val="20"/>
              </w:rPr>
              <w:t>32%</w:t>
            </w:r>
          </w:p>
        </w:tc>
        <w:tc>
          <w:tcPr>
            <w:tcW w:w="2208" w:type="dxa"/>
            <w:tcBorders>
              <w:top w:val="single" w:sz="4" w:space="0" w:color="auto"/>
              <w:left w:val="single" w:sz="4" w:space="0" w:color="auto"/>
              <w:bottom w:val="single" w:sz="4" w:space="0" w:color="auto"/>
              <w:right w:val="single" w:sz="4" w:space="0" w:color="auto"/>
            </w:tcBorders>
            <w:vAlign w:val="center"/>
          </w:tcPr>
          <w:p w:rsidR="00B6569C" w:rsidRDefault="00E82474">
            <w:pPr>
              <w:widowControl/>
              <w:jc w:val="center"/>
              <w:rPr>
                <w:rFonts w:ascii="Arial Narrow" w:hAnsi="Arial Narrow" w:cs="Times New Roman"/>
                <w:snapToGrid/>
                <w:sz w:val="20"/>
              </w:rPr>
            </w:pPr>
            <w:r>
              <w:rPr>
                <w:rFonts w:ascii="Arial Narrow" w:hAnsi="Arial Narrow" w:cs="Times New Roman"/>
                <w:snapToGrid/>
                <w:sz w:val="20"/>
              </w:rPr>
              <w:t>9.8%</w:t>
            </w:r>
          </w:p>
        </w:tc>
      </w:tr>
      <w:tr w:rsidR="00B6569C" w:rsidTr="00C30C67">
        <w:tc>
          <w:tcPr>
            <w:tcW w:w="9017" w:type="dxa"/>
            <w:gridSpan w:val="4"/>
          </w:tcPr>
          <w:p w:rsidR="00B6569C" w:rsidRDefault="00E82474">
            <w:pPr>
              <w:widowControl/>
              <w:jc w:val="left"/>
              <w:rPr>
                <w:rFonts w:ascii="Arial Narrow" w:hAnsi="Arial Narrow" w:cs="Times New Roman"/>
                <w:b/>
                <w:snapToGrid/>
                <w:sz w:val="20"/>
              </w:rPr>
            </w:pPr>
            <w:r>
              <w:rPr>
                <w:rFonts w:ascii="Arial Narrow" w:hAnsi="Arial Narrow" w:cs="Times New Roman"/>
                <w:b/>
                <w:snapToGrid/>
                <w:sz w:val="20"/>
              </w:rPr>
              <w:t>10 year survival</w:t>
            </w:r>
          </w:p>
        </w:tc>
      </w:tr>
      <w:tr w:rsidR="00B6569C" w:rsidTr="00C30C67">
        <w:tc>
          <w:tcPr>
            <w:tcW w:w="2003" w:type="dxa"/>
          </w:tcPr>
          <w:p w:rsidR="00B6569C" w:rsidRDefault="00E82474">
            <w:pPr>
              <w:widowControl/>
              <w:jc w:val="left"/>
              <w:rPr>
                <w:rFonts w:ascii="Arial Narrow" w:hAnsi="Arial Narrow" w:cs="Times New Roman"/>
                <w:snapToGrid/>
                <w:sz w:val="20"/>
              </w:rPr>
            </w:pPr>
            <w:r>
              <w:rPr>
                <w:rFonts w:ascii="Arial Narrow" w:hAnsi="Arial Narrow" w:cs="Times New Roman"/>
                <w:snapToGrid/>
                <w:sz w:val="20"/>
              </w:rPr>
              <w:t>All Stage III</w:t>
            </w:r>
          </w:p>
        </w:tc>
        <w:tc>
          <w:tcPr>
            <w:tcW w:w="2321" w:type="dxa"/>
          </w:tcPr>
          <w:p w:rsidR="00B6569C" w:rsidRDefault="00E82474">
            <w:pPr>
              <w:widowControl/>
              <w:jc w:val="center"/>
              <w:rPr>
                <w:rFonts w:ascii="Arial Narrow" w:hAnsi="Arial Narrow" w:cs="Times New Roman"/>
                <w:snapToGrid/>
                <w:sz w:val="20"/>
              </w:rPr>
            </w:pPr>
            <w:r>
              <w:rPr>
                <w:rFonts w:ascii="Arial Narrow" w:hAnsi="Arial Narrow" w:cs="Times New Roman"/>
                <w:snapToGrid/>
                <w:sz w:val="20"/>
              </w:rPr>
              <w:t>26.6%</w:t>
            </w:r>
          </w:p>
        </w:tc>
        <w:tc>
          <w:tcPr>
            <w:tcW w:w="2485" w:type="dxa"/>
            <w:vAlign w:val="center"/>
          </w:tcPr>
          <w:p w:rsidR="00B6569C" w:rsidRDefault="00E82474">
            <w:pPr>
              <w:widowControl/>
              <w:jc w:val="center"/>
              <w:rPr>
                <w:rFonts w:ascii="Arial Narrow" w:hAnsi="Arial Narrow" w:cs="Times New Roman"/>
                <w:snapToGrid/>
                <w:sz w:val="20"/>
              </w:rPr>
            </w:pPr>
            <w:r>
              <w:rPr>
                <w:rFonts w:ascii="Arial Narrow" w:hAnsi="Arial Narrow" w:cs="Times New Roman"/>
                <w:snapToGrid/>
                <w:sz w:val="20"/>
              </w:rPr>
              <w:t>69%</w:t>
            </w:r>
          </w:p>
        </w:tc>
        <w:tc>
          <w:tcPr>
            <w:tcW w:w="2208" w:type="dxa"/>
            <w:vMerge w:val="restart"/>
            <w:vAlign w:val="center"/>
          </w:tcPr>
          <w:p w:rsidR="00B6569C" w:rsidRDefault="00E82474">
            <w:pPr>
              <w:widowControl/>
              <w:jc w:val="center"/>
              <w:rPr>
                <w:rFonts w:ascii="Arial Narrow" w:hAnsi="Arial Narrow" w:cs="Times New Roman"/>
                <w:snapToGrid/>
                <w:sz w:val="20"/>
              </w:rPr>
            </w:pPr>
            <w:r>
              <w:rPr>
                <w:rFonts w:ascii="Arial Narrow" w:hAnsi="Arial Narrow" w:cs="Times New Roman"/>
                <w:snapToGrid/>
                <w:sz w:val="20"/>
              </w:rPr>
              <w:t>NA</w:t>
            </w:r>
          </w:p>
        </w:tc>
      </w:tr>
      <w:tr w:rsidR="00B6569C" w:rsidTr="00C30C67">
        <w:tc>
          <w:tcPr>
            <w:tcW w:w="2003" w:type="dxa"/>
          </w:tcPr>
          <w:p w:rsidR="00B6569C" w:rsidRDefault="00E82474">
            <w:pPr>
              <w:widowControl/>
              <w:jc w:val="left"/>
              <w:rPr>
                <w:rFonts w:ascii="Arial Narrow" w:hAnsi="Arial Narrow" w:cs="Times New Roman"/>
                <w:snapToGrid/>
                <w:sz w:val="20"/>
              </w:rPr>
            </w:pPr>
            <w:r>
              <w:rPr>
                <w:rFonts w:ascii="Arial Narrow" w:hAnsi="Arial Narrow" w:cs="Times New Roman"/>
                <w:snapToGrid/>
                <w:sz w:val="20"/>
              </w:rPr>
              <w:t>Stage IIIA</w:t>
            </w:r>
          </w:p>
        </w:tc>
        <w:tc>
          <w:tcPr>
            <w:tcW w:w="2321" w:type="dxa"/>
            <w:tcBorders>
              <w:top w:val="single" w:sz="4" w:space="0" w:color="auto"/>
              <w:left w:val="nil"/>
              <w:bottom w:val="single" w:sz="4" w:space="0" w:color="auto"/>
              <w:right w:val="single" w:sz="4" w:space="0" w:color="auto"/>
            </w:tcBorders>
          </w:tcPr>
          <w:p w:rsidR="00B6569C" w:rsidRDefault="00E82474">
            <w:pPr>
              <w:widowControl/>
              <w:jc w:val="center"/>
              <w:rPr>
                <w:rFonts w:ascii="Arial Narrow" w:hAnsi="Arial Narrow" w:cs="Times New Roman"/>
                <w:snapToGrid/>
                <w:sz w:val="20"/>
              </w:rPr>
            </w:pPr>
            <w:r>
              <w:rPr>
                <w:rFonts w:ascii="Arial Narrow" w:hAnsi="Arial Narrow" w:cs="Times New Roman"/>
                <w:snapToGrid/>
                <w:sz w:val="20"/>
              </w:rPr>
              <w:t>63.5%</w:t>
            </w:r>
          </w:p>
        </w:tc>
        <w:tc>
          <w:tcPr>
            <w:tcW w:w="2485" w:type="dxa"/>
            <w:tcBorders>
              <w:top w:val="single" w:sz="4" w:space="0" w:color="auto"/>
              <w:left w:val="single" w:sz="4" w:space="0" w:color="auto"/>
              <w:bottom w:val="single" w:sz="4" w:space="0" w:color="auto"/>
              <w:right w:val="nil"/>
            </w:tcBorders>
            <w:vAlign w:val="center"/>
          </w:tcPr>
          <w:p w:rsidR="00B6569C" w:rsidRDefault="00E82474">
            <w:pPr>
              <w:widowControl/>
              <w:jc w:val="center"/>
              <w:rPr>
                <w:rFonts w:ascii="Arial Narrow" w:hAnsi="Arial Narrow" w:cs="Times New Roman"/>
                <w:snapToGrid/>
                <w:sz w:val="20"/>
              </w:rPr>
            </w:pPr>
            <w:r>
              <w:rPr>
                <w:rFonts w:ascii="Arial Narrow" w:hAnsi="Arial Narrow" w:cs="Times New Roman"/>
                <w:snapToGrid/>
                <w:sz w:val="20"/>
              </w:rPr>
              <w:t>88%</w:t>
            </w:r>
          </w:p>
        </w:tc>
        <w:tc>
          <w:tcPr>
            <w:tcW w:w="2208" w:type="dxa"/>
            <w:vMerge/>
          </w:tcPr>
          <w:p w:rsidR="00B6569C" w:rsidRDefault="00B6569C">
            <w:pPr>
              <w:widowControl/>
              <w:jc w:val="left"/>
              <w:rPr>
                <w:rFonts w:ascii="Arial Narrow" w:hAnsi="Arial Narrow" w:cs="Times New Roman"/>
                <w:snapToGrid/>
                <w:sz w:val="20"/>
              </w:rPr>
            </w:pPr>
          </w:p>
        </w:tc>
      </w:tr>
      <w:tr w:rsidR="00B6569C" w:rsidTr="00C30C67">
        <w:tc>
          <w:tcPr>
            <w:tcW w:w="2003" w:type="dxa"/>
          </w:tcPr>
          <w:p w:rsidR="00B6569C" w:rsidRDefault="00E82474">
            <w:pPr>
              <w:widowControl/>
              <w:jc w:val="left"/>
              <w:rPr>
                <w:rFonts w:ascii="Arial Narrow" w:hAnsi="Arial Narrow" w:cs="Times New Roman"/>
                <w:snapToGrid/>
                <w:sz w:val="20"/>
              </w:rPr>
            </w:pPr>
            <w:r>
              <w:rPr>
                <w:rFonts w:ascii="Arial Narrow" w:hAnsi="Arial Narrow" w:cs="Times New Roman"/>
                <w:snapToGrid/>
                <w:sz w:val="20"/>
              </w:rPr>
              <w:t>Stage IIIB</w:t>
            </w:r>
          </w:p>
        </w:tc>
        <w:tc>
          <w:tcPr>
            <w:tcW w:w="2321" w:type="dxa"/>
            <w:tcBorders>
              <w:top w:val="single" w:sz="4" w:space="0" w:color="auto"/>
              <w:left w:val="nil"/>
              <w:bottom w:val="single" w:sz="4" w:space="0" w:color="auto"/>
              <w:right w:val="single" w:sz="4" w:space="0" w:color="auto"/>
            </w:tcBorders>
          </w:tcPr>
          <w:p w:rsidR="00B6569C" w:rsidRDefault="00E82474">
            <w:pPr>
              <w:widowControl/>
              <w:jc w:val="center"/>
              <w:rPr>
                <w:rFonts w:ascii="Arial Narrow" w:hAnsi="Arial Narrow" w:cs="Times New Roman"/>
                <w:snapToGrid/>
                <w:sz w:val="20"/>
              </w:rPr>
            </w:pPr>
            <w:r>
              <w:rPr>
                <w:rFonts w:ascii="Arial Narrow" w:hAnsi="Arial Narrow" w:cs="Times New Roman"/>
                <w:snapToGrid/>
                <w:sz w:val="20"/>
              </w:rPr>
              <w:t>26.4%</w:t>
            </w:r>
          </w:p>
        </w:tc>
        <w:tc>
          <w:tcPr>
            <w:tcW w:w="2485" w:type="dxa"/>
            <w:tcBorders>
              <w:top w:val="single" w:sz="4" w:space="0" w:color="auto"/>
              <w:left w:val="single" w:sz="4" w:space="0" w:color="auto"/>
              <w:bottom w:val="single" w:sz="4" w:space="0" w:color="auto"/>
              <w:right w:val="nil"/>
            </w:tcBorders>
            <w:vAlign w:val="center"/>
          </w:tcPr>
          <w:p w:rsidR="00B6569C" w:rsidRDefault="00E82474">
            <w:pPr>
              <w:widowControl/>
              <w:jc w:val="center"/>
              <w:rPr>
                <w:rFonts w:ascii="Arial Narrow" w:hAnsi="Arial Narrow" w:cs="Times New Roman"/>
                <w:snapToGrid/>
                <w:sz w:val="20"/>
              </w:rPr>
            </w:pPr>
            <w:r>
              <w:rPr>
                <w:rFonts w:ascii="Arial Narrow" w:hAnsi="Arial Narrow" w:cs="Times New Roman"/>
                <w:snapToGrid/>
                <w:sz w:val="20"/>
              </w:rPr>
              <w:t>77%</w:t>
            </w:r>
          </w:p>
        </w:tc>
        <w:tc>
          <w:tcPr>
            <w:tcW w:w="2208" w:type="dxa"/>
            <w:vMerge/>
          </w:tcPr>
          <w:p w:rsidR="00B6569C" w:rsidRDefault="00B6569C">
            <w:pPr>
              <w:widowControl/>
              <w:jc w:val="left"/>
              <w:rPr>
                <w:rFonts w:ascii="Arial Narrow" w:hAnsi="Arial Narrow" w:cs="Times New Roman"/>
                <w:snapToGrid/>
                <w:sz w:val="20"/>
              </w:rPr>
            </w:pPr>
          </w:p>
        </w:tc>
      </w:tr>
      <w:tr w:rsidR="00B6569C" w:rsidTr="00C30C67">
        <w:tc>
          <w:tcPr>
            <w:tcW w:w="2003" w:type="dxa"/>
          </w:tcPr>
          <w:p w:rsidR="00B6569C" w:rsidRDefault="00E82474">
            <w:pPr>
              <w:widowControl/>
              <w:jc w:val="left"/>
              <w:rPr>
                <w:rFonts w:ascii="Arial Narrow" w:hAnsi="Arial Narrow" w:cs="Times New Roman"/>
                <w:snapToGrid/>
                <w:sz w:val="20"/>
              </w:rPr>
            </w:pPr>
            <w:r>
              <w:rPr>
                <w:rFonts w:ascii="Arial Narrow" w:hAnsi="Arial Narrow" w:cs="Times New Roman"/>
                <w:snapToGrid/>
                <w:sz w:val="20"/>
              </w:rPr>
              <w:t>Stage IIIC</w:t>
            </w:r>
          </w:p>
        </w:tc>
        <w:tc>
          <w:tcPr>
            <w:tcW w:w="2321" w:type="dxa"/>
            <w:tcBorders>
              <w:top w:val="single" w:sz="4" w:space="0" w:color="auto"/>
              <w:left w:val="nil"/>
              <w:bottom w:val="single" w:sz="4" w:space="0" w:color="auto"/>
              <w:right w:val="single" w:sz="4" w:space="0" w:color="auto"/>
            </w:tcBorders>
          </w:tcPr>
          <w:p w:rsidR="00B6569C" w:rsidRDefault="00E82474">
            <w:pPr>
              <w:widowControl/>
              <w:jc w:val="center"/>
              <w:rPr>
                <w:rFonts w:ascii="Arial Narrow" w:hAnsi="Arial Narrow" w:cs="Times New Roman"/>
                <w:snapToGrid/>
                <w:sz w:val="20"/>
              </w:rPr>
            </w:pPr>
            <w:r>
              <w:rPr>
                <w:rFonts w:ascii="Arial Narrow" w:hAnsi="Arial Narrow" w:cs="Times New Roman"/>
                <w:snapToGrid/>
                <w:sz w:val="20"/>
              </w:rPr>
              <w:t>17.3%</w:t>
            </w:r>
          </w:p>
        </w:tc>
        <w:tc>
          <w:tcPr>
            <w:tcW w:w="2485" w:type="dxa"/>
            <w:tcBorders>
              <w:top w:val="single" w:sz="4" w:space="0" w:color="auto"/>
              <w:left w:val="single" w:sz="4" w:space="0" w:color="auto"/>
              <w:bottom w:val="single" w:sz="4" w:space="0" w:color="auto"/>
              <w:right w:val="nil"/>
            </w:tcBorders>
            <w:vAlign w:val="center"/>
          </w:tcPr>
          <w:p w:rsidR="00B6569C" w:rsidRDefault="00E82474">
            <w:pPr>
              <w:widowControl/>
              <w:jc w:val="center"/>
              <w:rPr>
                <w:rFonts w:ascii="Arial Narrow" w:hAnsi="Arial Narrow" w:cs="Times New Roman"/>
                <w:snapToGrid/>
                <w:sz w:val="20"/>
              </w:rPr>
            </w:pPr>
            <w:r>
              <w:rPr>
                <w:rFonts w:ascii="Arial Narrow" w:hAnsi="Arial Narrow" w:cs="Times New Roman"/>
                <w:snapToGrid/>
                <w:sz w:val="20"/>
              </w:rPr>
              <w:t>60%</w:t>
            </w:r>
          </w:p>
        </w:tc>
        <w:tc>
          <w:tcPr>
            <w:tcW w:w="2208" w:type="dxa"/>
            <w:vMerge/>
          </w:tcPr>
          <w:p w:rsidR="00B6569C" w:rsidRDefault="00B6569C">
            <w:pPr>
              <w:widowControl/>
              <w:jc w:val="left"/>
              <w:rPr>
                <w:rFonts w:ascii="Arial Narrow" w:hAnsi="Arial Narrow" w:cs="Times New Roman"/>
                <w:snapToGrid/>
                <w:sz w:val="20"/>
              </w:rPr>
            </w:pPr>
          </w:p>
        </w:tc>
      </w:tr>
      <w:tr w:rsidR="00B6569C" w:rsidTr="00C30C67">
        <w:tc>
          <w:tcPr>
            <w:tcW w:w="2003" w:type="dxa"/>
          </w:tcPr>
          <w:p w:rsidR="00B6569C" w:rsidRDefault="00E82474">
            <w:pPr>
              <w:widowControl/>
              <w:jc w:val="left"/>
              <w:rPr>
                <w:rFonts w:ascii="Arial Narrow" w:hAnsi="Arial Narrow" w:cs="Times New Roman"/>
                <w:snapToGrid/>
                <w:sz w:val="20"/>
              </w:rPr>
            </w:pPr>
            <w:r>
              <w:rPr>
                <w:rFonts w:ascii="Arial Narrow" w:hAnsi="Arial Narrow" w:cs="Times New Roman"/>
                <w:snapToGrid/>
                <w:sz w:val="20"/>
              </w:rPr>
              <w:t>Stage IIID</w:t>
            </w:r>
          </w:p>
        </w:tc>
        <w:tc>
          <w:tcPr>
            <w:tcW w:w="2321" w:type="dxa"/>
            <w:tcBorders>
              <w:top w:val="single" w:sz="4" w:space="0" w:color="auto"/>
              <w:left w:val="nil"/>
              <w:bottom w:val="single" w:sz="4" w:space="0" w:color="auto"/>
              <w:right w:val="single" w:sz="4" w:space="0" w:color="auto"/>
            </w:tcBorders>
          </w:tcPr>
          <w:p w:rsidR="00B6569C" w:rsidRDefault="00E82474">
            <w:pPr>
              <w:widowControl/>
              <w:jc w:val="center"/>
              <w:rPr>
                <w:rFonts w:ascii="Arial Narrow" w:hAnsi="Arial Narrow" w:cs="Times New Roman"/>
                <w:snapToGrid/>
                <w:sz w:val="20"/>
              </w:rPr>
            </w:pPr>
            <w:r>
              <w:rPr>
                <w:rFonts w:ascii="Arial Narrow" w:hAnsi="Arial Narrow" w:cs="Times New Roman"/>
                <w:snapToGrid/>
                <w:sz w:val="20"/>
              </w:rPr>
              <w:t>11.1%</w:t>
            </w:r>
          </w:p>
        </w:tc>
        <w:tc>
          <w:tcPr>
            <w:tcW w:w="2485" w:type="dxa"/>
            <w:tcBorders>
              <w:top w:val="single" w:sz="4" w:space="0" w:color="auto"/>
              <w:left w:val="single" w:sz="4" w:space="0" w:color="auto"/>
              <w:bottom w:val="single" w:sz="4" w:space="0" w:color="auto"/>
              <w:right w:val="nil"/>
            </w:tcBorders>
            <w:vAlign w:val="center"/>
          </w:tcPr>
          <w:p w:rsidR="00B6569C" w:rsidRDefault="00E82474">
            <w:pPr>
              <w:widowControl/>
              <w:jc w:val="center"/>
              <w:rPr>
                <w:rFonts w:ascii="Arial Narrow" w:hAnsi="Arial Narrow" w:cs="Times New Roman"/>
                <w:snapToGrid/>
                <w:sz w:val="20"/>
              </w:rPr>
            </w:pPr>
            <w:r>
              <w:rPr>
                <w:rFonts w:ascii="Arial Narrow" w:hAnsi="Arial Narrow" w:cs="Times New Roman"/>
                <w:snapToGrid/>
                <w:sz w:val="20"/>
              </w:rPr>
              <w:t>24%</w:t>
            </w:r>
          </w:p>
        </w:tc>
        <w:tc>
          <w:tcPr>
            <w:tcW w:w="2208" w:type="dxa"/>
            <w:vMerge/>
          </w:tcPr>
          <w:p w:rsidR="00B6569C" w:rsidRDefault="00B6569C">
            <w:pPr>
              <w:widowControl/>
              <w:jc w:val="left"/>
              <w:rPr>
                <w:rFonts w:ascii="Arial Narrow" w:hAnsi="Arial Narrow" w:cs="Times New Roman"/>
                <w:snapToGrid/>
                <w:sz w:val="20"/>
              </w:rPr>
            </w:pPr>
          </w:p>
        </w:tc>
      </w:tr>
    </w:tbl>
    <w:p w:rsidR="00B6569C" w:rsidRDefault="00E82474">
      <w:pPr>
        <w:widowControl/>
        <w:rPr>
          <w:rFonts w:ascii="Arial Narrow" w:hAnsi="Arial Narrow"/>
          <w:sz w:val="18"/>
        </w:rPr>
      </w:pPr>
      <w:r>
        <w:rPr>
          <w:rFonts w:ascii="Arial Narrow" w:hAnsi="Arial Narrow"/>
          <w:sz w:val="18"/>
        </w:rPr>
        <w:t>Source: Table 3.7-3, p.184 of the resubmission</w:t>
      </w:r>
    </w:p>
    <w:p w:rsidR="00B6569C" w:rsidRDefault="00B6569C">
      <w:pPr>
        <w:widowControl/>
        <w:rPr>
          <w:rFonts w:ascii="Arial Narrow" w:hAnsi="Arial Narrow"/>
          <w:sz w:val="18"/>
        </w:rPr>
      </w:pPr>
    </w:p>
    <w:p w:rsidR="00B6569C" w:rsidRDefault="00E82474">
      <w:pPr>
        <w:pStyle w:val="ListParagraph"/>
        <w:widowControl/>
        <w:numPr>
          <w:ilvl w:val="1"/>
          <w:numId w:val="3"/>
        </w:numPr>
      </w:pPr>
      <w:r>
        <w:t>The ESC were concerned that the modelled estimates of overall survival were low. Overall survival estimates for all Stage III patients in the watchful waiting arm of the model (55.4% at five years and 26.4% at 10 years) appeared to be underestimated when compared to melanoma specific survival probabilities presented in the AJCC 8th edition staging system (77% at five years, 69% at 10 years). In addition, the ESC considered that projected overall survival from the AJCC 8</w:t>
      </w:r>
      <w:r>
        <w:rPr>
          <w:vertAlign w:val="superscript"/>
        </w:rPr>
        <w:t>th</w:t>
      </w:r>
      <w:r>
        <w:t xml:space="preserve"> edition and Haydu et al. (2017) may still underestimate overall survival for the watchful waiting arm of the economic model, as they include both resected and unresected patients, do not reflect recent improvements in surgery, sentinel lymph node biopsy, and imaging, and do not reflect the widespread use of systemic therapies in advanced disease. The PSCR and pre-PABC response maintained that the modelled outcomes were comparable with published estimates, primarily the adjuvant ipilimumab trial (Eggermont, 2015). The ESC noted that the survival estimates in both treatment arms remained poor in comparison with most recent estimates from the International Melanoma database, which informs the AJCC 8</w:t>
      </w:r>
      <w:r>
        <w:rPr>
          <w:vertAlign w:val="superscript"/>
        </w:rPr>
        <w:t>th</w:t>
      </w:r>
      <w:r>
        <w:t xml:space="preserve"> edition melanoma staging system, and considered that the </w:t>
      </w:r>
      <w:r>
        <w:lastRenderedPageBreak/>
        <w:t xml:space="preserve">modelled outputs in terms of overall survival were not only likely underestimated, but clinically implausible. The ESC also noted that the structure of the economic model did not allow for this uncertainty to be tested in sensitivity analyses. </w:t>
      </w:r>
    </w:p>
    <w:p w:rsidR="00B6569C" w:rsidRDefault="00E82474">
      <w:pPr>
        <w:pStyle w:val="ListParagraph"/>
        <w:widowControl/>
        <w:numPr>
          <w:ilvl w:val="1"/>
          <w:numId w:val="3"/>
        </w:numPr>
      </w:pPr>
      <w:r>
        <w:t>The base case utilities were unchanged from the November 2018 submission. The utilities used did not have a large impact on the economic model.</w:t>
      </w:r>
    </w:p>
    <w:p w:rsidR="00B6569C" w:rsidRDefault="00E82474">
      <w:pPr>
        <w:pStyle w:val="ListParagraph"/>
        <w:widowControl/>
        <w:numPr>
          <w:ilvl w:val="1"/>
          <w:numId w:val="3"/>
        </w:numPr>
        <w:rPr>
          <w:rFonts w:ascii="Arial Narrow" w:hAnsi="Arial Narrow"/>
          <w:b/>
          <w:sz w:val="20"/>
          <w:szCs w:val="16"/>
        </w:rPr>
      </w:pPr>
      <w:r>
        <w:t>The base case results of the economic model are summarised below. The PSCR included a revised ICER, which modelled the impact of improved survival for patients with advanced melanoma. The PSCR decreased the exponential rate of transition for pembrolizumab by altering the rate at which patients transition from the distant metastases state to death, resulting in a 5-year overall survival rate of 77% for the watchful waiting arm to align with the AJCC 8</w:t>
      </w:r>
      <w:r>
        <w:rPr>
          <w:vertAlign w:val="superscript"/>
        </w:rPr>
        <w:t>th</w:t>
      </w:r>
      <w:r>
        <w:t xml:space="preserve"> edition results. </w:t>
      </w:r>
    </w:p>
    <w:p w:rsidR="00C30C67" w:rsidRDefault="00C30C67" w:rsidP="00C30C67">
      <w:pPr>
        <w:pStyle w:val="TableHeading0"/>
      </w:pPr>
      <w:r>
        <w:t xml:space="preserve">Table </w:t>
      </w:r>
      <w:fldSimple w:instr=" SEQ Table \* ARABIC ">
        <w:r w:rsidR="00632FE3">
          <w:rPr>
            <w:noProof/>
          </w:rPr>
          <w:t>16</w:t>
        </w:r>
      </w:fldSimple>
      <w:r w:rsidRPr="00CA572E">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6: Results of the economic evaluation"/>
      </w:tblPr>
      <w:tblGrid>
        <w:gridCol w:w="4107"/>
        <w:gridCol w:w="1987"/>
        <w:gridCol w:w="1841"/>
        <w:gridCol w:w="1082"/>
      </w:tblGrid>
      <w:tr w:rsidR="00B6569C">
        <w:trPr>
          <w:tblHeader/>
        </w:trPr>
        <w:tc>
          <w:tcPr>
            <w:tcW w:w="2277" w:type="pct"/>
            <w:vAlign w:val="center"/>
          </w:tcPr>
          <w:p w:rsidR="00B6569C" w:rsidRDefault="00E82474">
            <w:pPr>
              <w:pStyle w:val="Tabletext"/>
              <w:rPr>
                <w:b/>
              </w:rPr>
            </w:pPr>
            <w:r>
              <w:rPr>
                <w:b/>
              </w:rPr>
              <w:t>Component</w:t>
            </w:r>
          </w:p>
        </w:tc>
        <w:tc>
          <w:tcPr>
            <w:tcW w:w="1102" w:type="pct"/>
            <w:vAlign w:val="center"/>
          </w:tcPr>
          <w:p w:rsidR="00B6569C" w:rsidRDefault="00E82474">
            <w:pPr>
              <w:pStyle w:val="Tabletext"/>
              <w:jc w:val="center"/>
              <w:rPr>
                <w:b/>
              </w:rPr>
            </w:pPr>
            <w:r>
              <w:rPr>
                <w:b/>
              </w:rPr>
              <w:t>Pembrolizumab</w:t>
            </w:r>
          </w:p>
        </w:tc>
        <w:tc>
          <w:tcPr>
            <w:tcW w:w="1021" w:type="pct"/>
            <w:vAlign w:val="center"/>
          </w:tcPr>
          <w:p w:rsidR="00B6569C" w:rsidRDefault="00E82474">
            <w:pPr>
              <w:pStyle w:val="Tabletext"/>
              <w:jc w:val="center"/>
              <w:rPr>
                <w:b/>
              </w:rPr>
            </w:pPr>
            <w:r>
              <w:rPr>
                <w:b/>
              </w:rPr>
              <w:t>Watchful waiting</w:t>
            </w:r>
          </w:p>
        </w:tc>
        <w:tc>
          <w:tcPr>
            <w:tcW w:w="600" w:type="pct"/>
            <w:vAlign w:val="center"/>
          </w:tcPr>
          <w:p w:rsidR="00B6569C" w:rsidRDefault="00E82474">
            <w:pPr>
              <w:pStyle w:val="Tabletext"/>
              <w:jc w:val="center"/>
              <w:rPr>
                <w:b/>
              </w:rPr>
            </w:pPr>
            <w:r>
              <w:rPr>
                <w:b/>
              </w:rPr>
              <w:t>Increment</w:t>
            </w:r>
          </w:p>
        </w:tc>
      </w:tr>
      <w:tr w:rsidR="00B6569C">
        <w:tc>
          <w:tcPr>
            <w:tcW w:w="5000" w:type="pct"/>
            <w:gridSpan w:val="4"/>
            <w:vAlign w:val="center"/>
          </w:tcPr>
          <w:p w:rsidR="00B6569C" w:rsidRDefault="00E82474">
            <w:pPr>
              <w:pStyle w:val="Tabletext"/>
              <w:rPr>
                <w:b/>
              </w:rPr>
            </w:pPr>
            <w:r>
              <w:rPr>
                <w:b/>
              </w:rPr>
              <w:t>July 2019 resubmission</w:t>
            </w:r>
          </w:p>
        </w:tc>
      </w:tr>
      <w:tr w:rsidR="00B6569C">
        <w:tc>
          <w:tcPr>
            <w:tcW w:w="2277" w:type="pct"/>
            <w:vAlign w:val="center"/>
          </w:tcPr>
          <w:p w:rsidR="00B6569C" w:rsidRDefault="00E82474">
            <w:pPr>
              <w:pStyle w:val="Tabletext"/>
              <w:rPr>
                <w:rFonts w:ascii="Times" w:hAnsi="Times"/>
              </w:rPr>
            </w:pPr>
            <w:r>
              <w:t>Costs</w:t>
            </w:r>
          </w:p>
        </w:tc>
        <w:tc>
          <w:tcPr>
            <w:tcW w:w="1102" w:type="pct"/>
            <w:vAlign w:val="center"/>
          </w:tcPr>
          <w:p w:rsidR="00B6569C" w:rsidRDefault="00E82474">
            <w:pPr>
              <w:pStyle w:val="Tabletext"/>
              <w:jc w:val="center"/>
              <w:rPr>
                <w:rFonts w:ascii="Times" w:hAnsi="Times"/>
              </w:rPr>
            </w:pPr>
            <w:r>
              <w:t>$</w:t>
            </w:r>
            <w:r w:rsidR="00277D7E">
              <w:rPr>
                <w:noProof/>
                <w:color w:val="000000"/>
                <w:highlight w:val="black"/>
              </w:rPr>
              <w:t>'''''''''''''''''''</w:t>
            </w:r>
          </w:p>
        </w:tc>
        <w:tc>
          <w:tcPr>
            <w:tcW w:w="1021" w:type="pct"/>
            <w:vAlign w:val="center"/>
          </w:tcPr>
          <w:p w:rsidR="00B6569C" w:rsidRDefault="00E82474">
            <w:pPr>
              <w:pStyle w:val="Tabletext"/>
              <w:jc w:val="center"/>
              <w:rPr>
                <w:rFonts w:ascii="Times" w:hAnsi="Times"/>
              </w:rPr>
            </w:pPr>
            <w:r>
              <w:t>$</w:t>
            </w:r>
            <w:r w:rsidR="00277D7E">
              <w:rPr>
                <w:noProof/>
                <w:color w:val="000000"/>
                <w:highlight w:val="black"/>
              </w:rPr>
              <w:t>'''''''''''''''''''</w:t>
            </w:r>
          </w:p>
        </w:tc>
        <w:tc>
          <w:tcPr>
            <w:tcW w:w="600" w:type="pct"/>
            <w:vAlign w:val="center"/>
          </w:tcPr>
          <w:p w:rsidR="00B6569C" w:rsidRDefault="00E82474">
            <w:pPr>
              <w:pStyle w:val="Tabletext"/>
              <w:jc w:val="center"/>
              <w:rPr>
                <w:rFonts w:ascii="Times" w:hAnsi="Times"/>
              </w:rPr>
            </w:pPr>
            <w:r>
              <w:t>$</w:t>
            </w:r>
            <w:r w:rsidR="00277D7E">
              <w:rPr>
                <w:noProof/>
                <w:color w:val="000000"/>
                <w:highlight w:val="black"/>
              </w:rPr>
              <w:t>''''''''''''''''</w:t>
            </w:r>
          </w:p>
        </w:tc>
      </w:tr>
      <w:tr w:rsidR="00B6569C">
        <w:tc>
          <w:tcPr>
            <w:tcW w:w="2277" w:type="pct"/>
            <w:vAlign w:val="center"/>
          </w:tcPr>
          <w:p w:rsidR="00B6569C" w:rsidRDefault="00E82474">
            <w:pPr>
              <w:pStyle w:val="Tabletext"/>
              <w:rPr>
                <w:rFonts w:ascii="Times" w:hAnsi="Times"/>
              </w:rPr>
            </w:pPr>
            <w:r>
              <w:t>QALYs</w:t>
            </w:r>
          </w:p>
        </w:tc>
        <w:tc>
          <w:tcPr>
            <w:tcW w:w="1102" w:type="pct"/>
            <w:vAlign w:val="center"/>
          </w:tcPr>
          <w:p w:rsidR="00B6569C" w:rsidRPr="00277D7E" w:rsidRDefault="00277D7E">
            <w:pPr>
              <w:pStyle w:val="Tabletext"/>
              <w:jc w:val="center"/>
              <w:rPr>
                <w:rFonts w:ascii="Times" w:hAnsi="Times"/>
                <w:highlight w:val="black"/>
              </w:rPr>
            </w:pPr>
            <w:r>
              <w:rPr>
                <w:noProof/>
                <w:color w:val="000000"/>
                <w:highlight w:val="black"/>
              </w:rPr>
              <w:t>'''''''''''</w:t>
            </w:r>
          </w:p>
        </w:tc>
        <w:tc>
          <w:tcPr>
            <w:tcW w:w="1021" w:type="pct"/>
            <w:vAlign w:val="center"/>
          </w:tcPr>
          <w:p w:rsidR="00B6569C" w:rsidRPr="00277D7E" w:rsidRDefault="00277D7E">
            <w:pPr>
              <w:pStyle w:val="Tabletext"/>
              <w:jc w:val="center"/>
              <w:rPr>
                <w:rFonts w:ascii="Times" w:hAnsi="Times"/>
                <w:highlight w:val="black"/>
              </w:rPr>
            </w:pPr>
            <w:r>
              <w:rPr>
                <w:noProof/>
                <w:color w:val="000000"/>
                <w:highlight w:val="black"/>
              </w:rPr>
              <w:t>'''''''''''</w:t>
            </w:r>
          </w:p>
        </w:tc>
        <w:tc>
          <w:tcPr>
            <w:tcW w:w="600" w:type="pct"/>
            <w:vAlign w:val="center"/>
          </w:tcPr>
          <w:p w:rsidR="00B6569C" w:rsidRPr="00277D7E" w:rsidRDefault="00277D7E">
            <w:pPr>
              <w:pStyle w:val="Tabletext"/>
              <w:jc w:val="center"/>
              <w:rPr>
                <w:highlight w:val="black"/>
              </w:rPr>
            </w:pPr>
            <w:r>
              <w:rPr>
                <w:noProof/>
                <w:color w:val="000000"/>
                <w:highlight w:val="black"/>
              </w:rPr>
              <w:t>''''''''''</w:t>
            </w:r>
          </w:p>
        </w:tc>
      </w:tr>
      <w:tr w:rsidR="00B6569C">
        <w:tc>
          <w:tcPr>
            <w:tcW w:w="2277" w:type="pct"/>
            <w:vAlign w:val="center"/>
          </w:tcPr>
          <w:p w:rsidR="00B6569C" w:rsidRDefault="00E82474">
            <w:pPr>
              <w:pStyle w:val="Tabletext"/>
            </w:pPr>
            <w:r>
              <w:t>Life years</w:t>
            </w:r>
          </w:p>
        </w:tc>
        <w:tc>
          <w:tcPr>
            <w:tcW w:w="1102" w:type="pct"/>
            <w:vAlign w:val="center"/>
          </w:tcPr>
          <w:p w:rsidR="00B6569C" w:rsidRPr="00277D7E" w:rsidRDefault="00277D7E">
            <w:pPr>
              <w:pStyle w:val="Tabletext"/>
              <w:jc w:val="center"/>
              <w:rPr>
                <w:highlight w:val="black"/>
              </w:rPr>
            </w:pPr>
            <w:r>
              <w:rPr>
                <w:noProof/>
                <w:color w:val="000000"/>
                <w:highlight w:val="black"/>
              </w:rPr>
              <w:t>''''''''''''</w:t>
            </w:r>
          </w:p>
        </w:tc>
        <w:tc>
          <w:tcPr>
            <w:tcW w:w="1021" w:type="pct"/>
            <w:vAlign w:val="center"/>
          </w:tcPr>
          <w:p w:rsidR="00B6569C" w:rsidRPr="00277D7E" w:rsidRDefault="00277D7E">
            <w:pPr>
              <w:pStyle w:val="Tabletext"/>
              <w:jc w:val="center"/>
              <w:rPr>
                <w:highlight w:val="black"/>
              </w:rPr>
            </w:pPr>
            <w:r>
              <w:rPr>
                <w:noProof/>
                <w:color w:val="000000"/>
                <w:highlight w:val="black"/>
              </w:rPr>
              <w:t>''''''''''</w:t>
            </w:r>
          </w:p>
        </w:tc>
        <w:tc>
          <w:tcPr>
            <w:tcW w:w="600" w:type="pct"/>
            <w:vAlign w:val="center"/>
          </w:tcPr>
          <w:p w:rsidR="00B6569C" w:rsidRPr="00277D7E" w:rsidRDefault="00277D7E">
            <w:pPr>
              <w:pStyle w:val="Tabletext"/>
              <w:jc w:val="center"/>
              <w:rPr>
                <w:highlight w:val="black"/>
              </w:rPr>
            </w:pPr>
            <w:r>
              <w:rPr>
                <w:noProof/>
                <w:color w:val="000000"/>
                <w:highlight w:val="black"/>
              </w:rPr>
              <w:t>''''''''''''</w:t>
            </w:r>
          </w:p>
        </w:tc>
      </w:tr>
      <w:tr w:rsidR="00B6569C">
        <w:tc>
          <w:tcPr>
            <w:tcW w:w="4400" w:type="pct"/>
            <w:gridSpan w:val="3"/>
            <w:vAlign w:val="center"/>
          </w:tcPr>
          <w:p w:rsidR="00B6569C" w:rsidRDefault="00E82474">
            <w:pPr>
              <w:pStyle w:val="Tabletext"/>
            </w:pPr>
            <w:r>
              <w:rPr>
                <w:b/>
              </w:rPr>
              <w:t>Incremental cost/QALY gained</w:t>
            </w:r>
          </w:p>
        </w:tc>
        <w:tc>
          <w:tcPr>
            <w:tcW w:w="600" w:type="pct"/>
            <w:vAlign w:val="center"/>
          </w:tcPr>
          <w:p w:rsidR="00B6569C" w:rsidRDefault="00E82474">
            <w:pPr>
              <w:pStyle w:val="Tabletext"/>
              <w:jc w:val="center"/>
            </w:pPr>
            <w:r>
              <w:rPr>
                <w:b/>
              </w:rPr>
              <w:t>$</w:t>
            </w:r>
            <w:r w:rsidR="00277D7E">
              <w:rPr>
                <w:b/>
                <w:noProof/>
                <w:color w:val="000000"/>
                <w:highlight w:val="black"/>
              </w:rPr>
              <w:t>'''''''''''''</w:t>
            </w:r>
          </w:p>
        </w:tc>
      </w:tr>
      <w:tr w:rsidR="00B6569C">
        <w:tc>
          <w:tcPr>
            <w:tcW w:w="4400" w:type="pct"/>
            <w:gridSpan w:val="3"/>
            <w:vAlign w:val="center"/>
          </w:tcPr>
          <w:p w:rsidR="00B6569C" w:rsidRDefault="00E82474">
            <w:pPr>
              <w:pStyle w:val="Tabletext"/>
            </w:pPr>
            <w:r>
              <w:t>Incremental cost/LY gained</w:t>
            </w:r>
          </w:p>
        </w:tc>
        <w:tc>
          <w:tcPr>
            <w:tcW w:w="600" w:type="pct"/>
            <w:vAlign w:val="center"/>
          </w:tcPr>
          <w:p w:rsidR="00B6569C" w:rsidRDefault="00E82474">
            <w:pPr>
              <w:pStyle w:val="Tabletext"/>
              <w:jc w:val="center"/>
            </w:pPr>
            <w:r>
              <w:t>$</w:t>
            </w:r>
            <w:r w:rsidR="00277D7E">
              <w:rPr>
                <w:noProof/>
                <w:color w:val="000000"/>
                <w:highlight w:val="black"/>
              </w:rPr>
              <w:t>'''''''''''''''</w:t>
            </w:r>
          </w:p>
        </w:tc>
      </w:tr>
      <w:tr w:rsidR="00B6569C">
        <w:tc>
          <w:tcPr>
            <w:tcW w:w="5000" w:type="pct"/>
            <w:gridSpan w:val="4"/>
            <w:vAlign w:val="center"/>
          </w:tcPr>
          <w:p w:rsidR="00B6569C" w:rsidRDefault="00E82474">
            <w:pPr>
              <w:pStyle w:val="Tabletext"/>
              <w:rPr>
                <w:b/>
              </w:rPr>
            </w:pPr>
            <w:r>
              <w:rPr>
                <w:b/>
              </w:rPr>
              <w:t xml:space="preserve">PSCR to July 2019 resubmission </w:t>
            </w:r>
          </w:p>
        </w:tc>
      </w:tr>
      <w:tr w:rsidR="00B6569C">
        <w:tc>
          <w:tcPr>
            <w:tcW w:w="4400" w:type="pct"/>
            <w:gridSpan w:val="3"/>
            <w:vAlign w:val="center"/>
          </w:tcPr>
          <w:p w:rsidR="00B6569C" w:rsidRDefault="00E82474">
            <w:pPr>
              <w:pStyle w:val="Tabletext"/>
              <w:rPr>
                <w:b/>
              </w:rPr>
            </w:pPr>
            <w:r>
              <w:rPr>
                <w:b/>
              </w:rPr>
              <w:t>Decreasing exponential rate of transition, DM→Death in Pembro arm, incremental cost/QALY gained</w:t>
            </w:r>
          </w:p>
        </w:tc>
        <w:tc>
          <w:tcPr>
            <w:tcW w:w="600" w:type="pct"/>
            <w:vAlign w:val="center"/>
          </w:tcPr>
          <w:p w:rsidR="00B6569C" w:rsidRDefault="00E82474">
            <w:pPr>
              <w:pStyle w:val="Tabletext"/>
              <w:jc w:val="center"/>
              <w:rPr>
                <w:b/>
              </w:rPr>
            </w:pPr>
            <w:r>
              <w:rPr>
                <w:b/>
              </w:rPr>
              <w:t>$</w:t>
            </w:r>
            <w:r w:rsidR="00277D7E">
              <w:rPr>
                <w:b/>
                <w:noProof/>
                <w:color w:val="000000"/>
                <w:highlight w:val="black"/>
              </w:rPr>
              <w:t>''''''''''''</w:t>
            </w:r>
          </w:p>
        </w:tc>
      </w:tr>
      <w:tr w:rsidR="00B6569C">
        <w:tc>
          <w:tcPr>
            <w:tcW w:w="5000" w:type="pct"/>
            <w:gridSpan w:val="4"/>
            <w:vAlign w:val="center"/>
          </w:tcPr>
          <w:p w:rsidR="00B6569C" w:rsidRDefault="00E82474">
            <w:pPr>
              <w:pStyle w:val="Tabletext"/>
              <w:rPr>
                <w:b/>
              </w:rPr>
            </w:pPr>
            <w:r>
              <w:rPr>
                <w:b/>
              </w:rPr>
              <w:t>November 2018 submission</w:t>
            </w:r>
          </w:p>
        </w:tc>
      </w:tr>
      <w:tr w:rsidR="00B6569C">
        <w:tc>
          <w:tcPr>
            <w:tcW w:w="2277" w:type="pct"/>
            <w:vAlign w:val="center"/>
          </w:tcPr>
          <w:p w:rsidR="00B6569C" w:rsidRDefault="00E82474">
            <w:pPr>
              <w:pStyle w:val="Tabletext"/>
            </w:pPr>
            <w:r>
              <w:t>Costs</w:t>
            </w:r>
          </w:p>
        </w:tc>
        <w:tc>
          <w:tcPr>
            <w:tcW w:w="1102" w:type="pct"/>
            <w:vAlign w:val="center"/>
          </w:tcPr>
          <w:p w:rsidR="00B6569C" w:rsidRDefault="00E82474">
            <w:pPr>
              <w:pStyle w:val="Tabletext"/>
              <w:jc w:val="center"/>
            </w:pPr>
            <w:r>
              <w:t>$</w:t>
            </w:r>
            <w:r w:rsidR="00277D7E">
              <w:rPr>
                <w:noProof/>
                <w:color w:val="000000"/>
                <w:highlight w:val="black"/>
              </w:rPr>
              <w:t>''''''''''''''''''</w:t>
            </w:r>
          </w:p>
        </w:tc>
        <w:tc>
          <w:tcPr>
            <w:tcW w:w="1021" w:type="pct"/>
            <w:vAlign w:val="center"/>
          </w:tcPr>
          <w:p w:rsidR="00B6569C" w:rsidRDefault="00E82474">
            <w:pPr>
              <w:pStyle w:val="Tabletext"/>
              <w:jc w:val="center"/>
            </w:pPr>
            <w:r>
              <w:t>$</w:t>
            </w:r>
            <w:r w:rsidR="00277D7E">
              <w:rPr>
                <w:noProof/>
                <w:color w:val="000000"/>
                <w:highlight w:val="black"/>
              </w:rPr>
              <w:t>''''''''''''''''''</w:t>
            </w:r>
          </w:p>
        </w:tc>
        <w:tc>
          <w:tcPr>
            <w:tcW w:w="600" w:type="pct"/>
            <w:vAlign w:val="center"/>
          </w:tcPr>
          <w:p w:rsidR="00B6569C" w:rsidRDefault="00E82474">
            <w:pPr>
              <w:pStyle w:val="Tabletext"/>
              <w:jc w:val="center"/>
            </w:pPr>
            <w:r>
              <w:t>$</w:t>
            </w:r>
            <w:r w:rsidR="00277D7E">
              <w:rPr>
                <w:noProof/>
                <w:color w:val="000000"/>
                <w:highlight w:val="black"/>
              </w:rPr>
              <w:t>'''''''''''''''</w:t>
            </w:r>
          </w:p>
        </w:tc>
      </w:tr>
      <w:tr w:rsidR="00B6569C">
        <w:tc>
          <w:tcPr>
            <w:tcW w:w="2277" w:type="pct"/>
            <w:vAlign w:val="center"/>
          </w:tcPr>
          <w:p w:rsidR="00B6569C" w:rsidRDefault="00E82474">
            <w:pPr>
              <w:pStyle w:val="Tabletext"/>
            </w:pPr>
            <w:r>
              <w:t>QALYs</w:t>
            </w:r>
          </w:p>
        </w:tc>
        <w:tc>
          <w:tcPr>
            <w:tcW w:w="1102" w:type="pct"/>
            <w:vAlign w:val="center"/>
          </w:tcPr>
          <w:p w:rsidR="00B6569C" w:rsidRPr="00277D7E" w:rsidRDefault="00277D7E">
            <w:pPr>
              <w:pStyle w:val="Tabletext"/>
              <w:jc w:val="center"/>
              <w:rPr>
                <w:highlight w:val="black"/>
              </w:rPr>
            </w:pPr>
            <w:r>
              <w:rPr>
                <w:noProof/>
                <w:color w:val="000000"/>
                <w:highlight w:val="black"/>
              </w:rPr>
              <w:t>'''''''''''</w:t>
            </w:r>
          </w:p>
        </w:tc>
        <w:tc>
          <w:tcPr>
            <w:tcW w:w="1021" w:type="pct"/>
            <w:vAlign w:val="center"/>
          </w:tcPr>
          <w:p w:rsidR="00B6569C" w:rsidRPr="00277D7E" w:rsidRDefault="00277D7E">
            <w:pPr>
              <w:pStyle w:val="Tabletext"/>
              <w:jc w:val="center"/>
              <w:rPr>
                <w:highlight w:val="black"/>
              </w:rPr>
            </w:pPr>
            <w:r>
              <w:rPr>
                <w:noProof/>
                <w:color w:val="000000"/>
                <w:highlight w:val="black"/>
              </w:rPr>
              <w:t>''''''''''</w:t>
            </w:r>
          </w:p>
        </w:tc>
        <w:tc>
          <w:tcPr>
            <w:tcW w:w="600" w:type="pct"/>
            <w:vAlign w:val="center"/>
          </w:tcPr>
          <w:p w:rsidR="00B6569C" w:rsidRPr="00277D7E" w:rsidRDefault="00277D7E">
            <w:pPr>
              <w:pStyle w:val="Tabletext"/>
              <w:jc w:val="center"/>
              <w:rPr>
                <w:highlight w:val="black"/>
              </w:rPr>
            </w:pPr>
            <w:r>
              <w:rPr>
                <w:noProof/>
                <w:color w:val="000000"/>
                <w:highlight w:val="black"/>
              </w:rPr>
              <w:t>''''''''''</w:t>
            </w:r>
          </w:p>
        </w:tc>
      </w:tr>
      <w:tr w:rsidR="00B6569C">
        <w:tc>
          <w:tcPr>
            <w:tcW w:w="2277" w:type="pct"/>
            <w:vAlign w:val="center"/>
          </w:tcPr>
          <w:p w:rsidR="00B6569C" w:rsidRDefault="00E82474">
            <w:pPr>
              <w:pStyle w:val="Tabletext"/>
            </w:pPr>
            <w:r w:rsidRPr="00E82474">
              <w:t>Life years</w:t>
            </w:r>
          </w:p>
        </w:tc>
        <w:tc>
          <w:tcPr>
            <w:tcW w:w="1102" w:type="pct"/>
            <w:vAlign w:val="center"/>
          </w:tcPr>
          <w:p w:rsidR="00B6569C" w:rsidRPr="00277D7E" w:rsidRDefault="00277D7E">
            <w:pPr>
              <w:pStyle w:val="Tabletext"/>
              <w:jc w:val="center"/>
              <w:rPr>
                <w:highlight w:val="black"/>
              </w:rPr>
            </w:pPr>
            <w:r>
              <w:rPr>
                <w:noProof/>
                <w:color w:val="000000"/>
                <w:highlight w:val="black"/>
              </w:rPr>
              <w:t>''''''''''</w:t>
            </w:r>
          </w:p>
        </w:tc>
        <w:tc>
          <w:tcPr>
            <w:tcW w:w="1021" w:type="pct"/>
            <w:vAlign w:val="center"/>
          </w:tcPr>
          <w:p w:rsidR="00B6569C" w:rsidRPr="00277D7E" w:rsidRDefault="00277D7E">
            <w:pPr>
              <w:pStyle w:val="Tabletext"/>
              <w:jc w:val="center"/>
              <w:rPr>
                <w:highlight w:val="black"/>
              </w:rPr>
            </w:pPr>
            <w:r>
              <w:rPr>
                <w:noProof/>
                <w:color w:val="000000"/>
                <w:highlight w:val="black"/>
              </w:rPr>
              <w:t>''''''''''</w:t>
            </w:r>
          </w:p>
        </w:tc>
        <w:tc>
          <w:tcPr>
            <w:tcW w:w="600" w:type="pct"/>
            <w:vAlign w:val="center"/>
          </w:tcPr>
          <w:p w:rsidR="00B6569C" w:rsidRPr="00277D7E" w:rsidRDefault="00277D7E">
            <w:pPr>
              <w:pStyle w:val="Tabletext"/>
              <w:jc w:val="center"/>
              <w:rPr>
                <w:highlight w:val="black"/>
              </w:rPr>
            </w:pPr>
            <w:r>
              <w:rPr>
                <w:noProof/>
                <w:color w:val="000000"/>
                <w:highlight w:val="black"/>
              </w:rPr>
              <w:t>''''''''''''</w:t>
            </w:r>
          </w:p>
        </w:tc>
      </w:tr>
      <w:tr w:rsidR="00B6569C">
        <w:tc>
          <w:tcPr>
            <w:tcW w:w="4400" w:type="pct"/>
            <w:gridSpan w:val="3"/>
            <w:vAlign w:val="center"/>
          </w:tcPr>
          <w:p w:rsidR="00B6569C" w:rsidRDefault="00E82474">
            <w:pPr>
              <w:pStyle w:val="Tabletext"/>
              <w:rPr>
                <w:rFonts w:ascii="Times" w:hAnsi="Times"/>
                <w:b/>
                <w:snapToGrid w:val="0"/>
              </w:rPr>
            </w:pPr>
            <w:r>
              <w:rPr>
                <w:b/>
              </w:rPr>
              <w:t>Incremental cost/QALY gained</w:t>
            </w:r>
          </w:p>
        </w:tc>
        <w:tc>
          <w:tcPr>
            <w:tcW w:w="600" w:type="pct"/>
            <w:vAlign w:val="center"/>
          </w:tcPr>
          <w:p w:rsidR="00B6569C" w:rsidRDefault="00E82474">
            <w:pPr>
              <w:pStyle w:val="Tabletext"/>
              <w:jc w:val="center"/>
              <w:rPr>
                <w:b/>
              </w:rPr>
            </w:pPr>
            <w:r>
              <w:rPr>
                <w:b/>
              </w:rPr>
              <w:t>$</w:t>
            </w:r>
            <w:r w:rsidR="00277D7E">
              <w:rPr>
                <w:b/>
                <w:noProof/>
                <w:color w:val="000000"/>
                <w:highlight w:val="black"/>
              </w:rPr>
              <w:t>''''''''''''''</w:t>
            </w:r>
          </w:p>
        </w:tc>
      </w:tr>
      <w:tr w:rsidR="00B6569C">
        <w:tc>
          <w:tcPr>
            <w:tcW w:w="4400" w:type="pct"/>
            <w:gridSpan w:val="3"/>
            <w:vAlign w:val="center"/>
          </w:tcPr>
          <w:p w:rsidR="00B6569C" w:rsidRDefault="00E82474">
            <w:pPr>
              <w:pStyle w:val="Tabletext"/>
            </w:pPr>
            <w:r>
              <w:t>Incremental cost/LY gained</w:t>
            </w:r>
          </w:p>
        </w:tc>
        <w:tc>
          <w:tcPr>
            <w:tcW w:w="600" w:type="pct"/>
            <w:vAlign w:val="center"/>
          </w:tcPr>
          <w:p w:rsidR="00B6569C" w:rsidRDefault="00E82474">
            <w:pPr>
              <w:pStyle w:val="Tabletext"/>
              <w:jc w:val="center"/>
            </w:pPr>
            <w:r>
              <w:t>$</w:t>
            </w:r>
            <w:r w:rsidR="00277D7E">
              <w:rPr>
                <w:noProof/>
                <w:color w:val="000000"/>
                <w:highlight w:val="black"/>
              </w:rPr>
              <w:t>'''''''''''''''''</w:t>
            </w:r>
          </w:p>
        </w:tc>
      </w:tr>
    </w:tbl>
    <w:p w:rsidR="00B6569C" w:rsidRDefault="00E82474">
      <w:pPr>
        <w:pStyle w:val="TableFooter"/>
        <w:widowControl/>
      </w:pPr>
      <w:r>
        <w:t>DM = distant metastases; LY = life year; pembro = pembrolizumab; QALY = quality-adjusted life year</w:t>
      </w:r>
    </w:p>
    <w:p w:rsidR="00B6569C" w:rsidRDefault="00E82474">
      <w:pPr>
        <w:pStyle w:val="TableFooter"/>
        <w:widowControl/>
      </w:pPr>
      <w:r>
        <w:t xml:space="preserve">Source: Table 3.8-5, p.178 of the resubmission; Att 18 CEMs.xls; November 2018 pembrolizumab commentary; and </w:t>
      </w:r>
      <w:r>
        <w:rPr>
          <w:i/>
        </w:rPr>
        <w:t>p3 of the PSCR</w:t>
      </w:r>
    </w:p>
    <w:p w:rsidR="00B6569C" w:rsidRDefault="00B6569C">
      <w:pPr>
        <w:pStyle w:val="TableFooter"/>
        <w:widowControl/>
        <w:rPr>
          <w:sz w:val="20"/>
        </w:rPr>
      </w:pPr>
    </w:p>
    <w:p w:rsidR="00B6569C" w:rsidRDefault="00E82474">
      <w:pPr>
        <w:pStyle w:val="ListParagraph"/>
        <w:widowControl/>
        <w:numPr>
          <w:ilvl w:val="1"/>
          <w:numId w:val="3"/>
        </w:numPr>
      </w:pPr>
      <w:r>
        <w:t xml:space="preserve">Based on the economic model, adjuvant treatment with pembrolizumab (effective price) for Stage III resected melanoma was associated with a cost per QALY gained of $15,000/QALY - $45,000/QALY  and a cost per life year gained of $15,000/QALY - $45,000/QALY  compared with watchful waiting. The ICERs in the resubmission were similar to those in the November 2018 submission consistent with there being few changes made to the economic model. </w:t>
      </w:r>
    </w:p>
    <w:p w:rsidR="00B6569C" w:rsidRDefault="00E82474">
      <w:pPr>
        <w:pStyle w:val="ListParagraph"/>
        <w:widowControl/>
        <w:numPr>
          <w:ilvl w:val="1"/>
          <w:numId w:val="3"/>
        </w:numPr>
      </w:pPr>
      <w:r>
        <w:t>QALY gains in the pembrolizumab treatment arm primarily accrued in the recurrence free health state. The QALY gain estimate for pembrolizumab versus watchful waiting was 1.03 QALYs. Only 0.03 QALYs (3% of the total QALY gain) were accrued during the first 16 months of the model time horizon, the median period for which follow up data from the KN054 trial were available, with the remaining 97% of the QALY gain accrued during the modelled period. The ESC considered that the QALY gain accrued during the modelled period was substantially overestimated in favour of pembrolizumab.</w:t>
      </w:r>
    </w:p>
    <w:p w:rsidR="00B6569C" w:rsidRDefault="00E82474">
      <w:pPr>
        <w:pStyle w:val="ListParagraph"/>
        <w:widowControl/>
        <w:numPr>
          <w:ilvl w:val="1"/>
          <w:numId w:val="3"/>
        </w:numPr>
      </w:pPr>
      <w:r>
        <w:lastRenderedPageBreak/>
        <w:t>The difference in total cost between the treatment arms was primarily driven by cost of adjuvant pembrolizumab ($</w:t>
      </w:r>
      <w:r w:rsidR="00277D7E">
        <w:rPr>
          <w:noProof/>
          <w:color w:val="000000"/>
          <w:highlight w:val="black"/>
        </w:rPr>
        <w:t>'''''''''''''</w:t>
      </w:r>
      <w:r>
        <w:t>), which was offset by a reduction in cost of subsequent treatment of advanced melanoma ($</w:t>
      </w:r>
      <w:r w:rsidR="00277D7E">
        <w:rPr>
          <w:noProof/>
          <w:color w:val="000000"/>
          <w:highlight w:val="black"/>
        </w:rPr>
        <w:t>''''''''''''</w:t>
      </w:r>
      <w:r>
        <w:t>), and disease management costs ($</w:t>
      </w:r>
      <w:r w:rsidR="00277D7E">
        <w:rPr>
          <w:noProof/>
          <w:color w:val="000000"/>
          <w:highlight w:val="black"/>
        </w:rPr>
        <w:t>''''''''''</w:t>
      </w:r>
      <w:r>
        <w:t>). The ESC considered that the cost-offsets were overestimated.</w:t>
      </w:r>
    </w:p>
    <w:p w:rsidR="00B6569C" w:rsidRDefault="00E82474">
      <w:pPr>
        <w:pStyle w:val="ListParagraph"/>
        <w:widowControl/>
        <w:numPr>
          <w:ilvl w:val="1"/>
          <w:numId w:val="3"/>
        </w:numPr>
      </w:pPr>
      <w:r>
        <w:t>The ESC noted that a number of the issues described in consideration of the economic model in November 2018 remained, and therefore considered that economic model continued to be unreliable and lacking in face validity, and that the ICERs were likely underestimated as a number of assumptions were favourable to pembrolizumab. The pre-PBAC response stated that significant changes were made to the economic model, including additional analyses by Stage III substage, new analyses comparing modelled outcomes with comparable published outcomes and substates within the distant metastases health state to explore the impact of eligibility for treatments for advance melanoma in the pembrolizumab treatment arm. The PBAC noted the similar results for the November 2018 and current models, and overall did not consider the model changes to be significant.</w:t>
      </w:r>
    </w:p>
    <w:p w:rsidR="00B6569C" w:rsidRDefault="00E82474">
      <w:pPr>
        <w:pStyle w:val="ListParagraph"/>
        <w:widowControl/>
        <w:numPr>
          <w:ilvl w:val="1"/>
          <w:numId w:val="3"/>
        </w:numPr>
      </w:pPr>
      <w:r>
        <w:t xml:space="preserve">Stage III disease is associated with heterogeneous outcomes; five-year melanoma-specific survival rates range from 93% for Stage IIIA disease to 32% for Stage IIID disease (8th edition). The model therefore included modelled outcomes by Stage III melanoma subgroup (see table below). It should be noted that the distribution of patients across the melanoma substages in clinical practice may be different to that in Trial KN054. The PSCR presented an additional ICER to align with the proposed change to the PBS indication of ‘Resected Stage IIIB, IIIC or IIID malignant melanoma’ based on the weighted proportion of patients in each substage in KN054. </w:t>
      </w:r>
    </w:p>
    <w:p w:rsidR="00B6569C" w:rsidRDefault="00E82474">
      <w:pPr>
        <w:pStyle w:val="ListParagraph"/>
        <w:widowControl/>
        <w:numPr>
          <w:ilvl w:val="1"/>
          <w:numId w:val="3"/>
        </w:numPr>
      </w:pPr>
      <w:r>
        <w:t>The ESC considered that the combined ICER presented in the PSCR for patients with Stage IIIB, IIIC and IIID was unreliable as the ICERs for each of the individual subgroups were unreliable. The ESC considered that a more reliable approach would be to use the hazard ratio derived from the whole trial population and to apply this to the baseline risk in the watchful waiting arm for the subgroup of interest (given the absence of treatment effect modification by subgroup). The pre-PBAC response stated that this approach was not used as a proportional hazards relationship had not been established and, consistent with previous work in immunotherapy treatment of cancers, was unlikely to apply.</w:t>
      </w:r>
    </w:p>
    <w:p w:rsidR="00C30C67" w:rsidRDefault="00C30C67" w:rsidP="00C30C67">
      <w:pPr>
        <w:pStyle w:val="TableHeading0"/>
      </w:pPr>
      <w:r>
        <w:lastRenderedPageBreak/>
        <w:t xml:space="preserve">Table </w:t>
      </w:r>
      <w:fldSimple w:instr=" SEQ Table \* ARABIC ">
        <w:r w:rsidR="00632FE3">
          <w:rPr>
            <w:noProof/>
          </w:rPr>
          <w:t>17</w:t>
        </w:r>
      </w:fldSimple>
      <w:r w:rsidRPr="00DA56DD">
        <w:t xml:space="preserve">: Results of the economic evaluation for patients by melanoma </w:t>
      </w:r>
      <w:proofErr w:type="spellStart"/>
      <w:r w:rsidRPr="00DA56DD">
        <w:t>substage</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7: Results of the economic evaluation for patients by melanoma substage"/>
      </w:tblPr>
      <w:tblGrid>
        <w:gridCol w:w="2757"/>
        <w:gridCol w:w="2451"/>
        <w:gridCol w:w="2298"/>
        <w:gridCol w:w="1511"/>
      </w:tblGrid>
      <w:tr w:rsidR="00B6569C">
        <w:trPr>
          <w:tblHeader/>
        </w:trPr>
        <w:tc>
          <w:tcPr>
            <w:tcW w:w="1529" w:type="pct"/>
            <w:vAlign w:val="center"/>
          </w:tcPr>
          <w:p w:rsidR="00B6569C" w:rsidRDefault="00E82474">
            <w:pPr>
              <w:pStyle w:val="Tabletext"/>
              <w:keepNext/>
              <w:rPr>
                <w:b/>
              </w:rPr>
            </w:pPr>
            <w:r>
              <w:rPr>
                <w:b/>
              </w:rPr>
              <w:t>Component</w:t>
            </w:r>
          </w:p>
        </w:tc>
        <w:tc>
          <w:tcPr>
            <w:tcW w:w="1359" w:type="pct"/>
            <w:vAlign w:val="center"/>
          </w:tcPr>
          <w:p w:rsidR="00B6569C" w:rsidRDefault="00E82474">
            <w:pPr>
              <w:pStyle w:val="Tabletext"/>
              <w:keepNext/>
              <w:jc w:val="center"/>
              <w:rPr>
                <w:b/>
              </w:rPr>
            </w:pPr>
            <w:r>
              <w:rPr>
                <w:b/>
              </w:rPr>
              <w:t>Pembrolizumab</w:t>
            </w:r>
          </w:p>
        </w:tc>
        <w:tc>
          <w:tcPr>
            <w:tcW w:w="1274" w:type="pct"/>
            <w:vAlign w:val="center"/>
          </w:tcPr>
          <w:p w:rsidR="00B6569C" w:rsidRDefault="00E82474">
            <w:pPr>
              <w:pStyle w:val="Tabletext"/>
              <w:keepNext/>
              <w:jc w:val="center"/>
              <w:rPr>
                <w:b/>
              </w:rPr>
            </w:pPr>
            <w:r>
              <w:rPr>
                <w:b/>
              </w:rPr>
              <w:t>Watchful waiting</w:t>
            </w:r>
          </w:p>
        </w:tc>
        <w:tc>
          <w:tcPr>
            <w:tcW w:w="838" w:type="pct"/>
            <w:vAlign w:val="center"/>
          </w:tcPr>
          <w:p w:rsidR="00B6569C" w:rsidRDefault="00E82474">
            <w:pPr>
              <w:pStyle w:val="Tabletext"/>
              <w:keepNext/>
              <w:jc w:val="center"/>
              <w:rPr>
                <w:b/>
              </w:rPr>
            </w:pPr>
            <w:r>
              <w:rPr>
                <w:b/>
              </w:rPr>
              <w:t>Increment</w:t>
            </w:r>
          </w:p>
        </w:tc>
      </w:tr>
      <w:tr w:rsidR="00B6569C">
        <w:tc>
          <w:tcPr>
            <w:tcW w:w="5000" w:type="pct"/>
            <w:gridSpan w:val="4"/>
            <w:vAlign w:val="center"/>
          </w:tcPr>
          <w:p w:rsidR="00B6569C" w:rsidRDefault="00E82474">
            <w:pPr>
              <w:pStyle w:val="Tabletext"/>
              <w:keepNext/>
              <w:rPr>
                <w:b/>
              </w:rPr>
            </w:pPr>
            <w:r>
              <w:rPr>
                <w:b/>
              </w:rPr>
              <w:t>Stage IIIA</w:t>
            </w:r>
          </w:p>
        </w:tc>
      </w:tr>
      <w:tr w:rsidR="00B6569C">
        <w:tc>
          <w:tcPr>
            <w:tcW w:w="1529" w:type="pct"/>
            <w:vAlign w:val="center"/>
          </w:tcPr>
          <w:p w:rsidR="00B6569C" w:rsidRDefault="00E82474">
            <w:pPr>
              <w:pStyle w:val="Tabletext"/>
              <w:keepNext/>
              <w:rPr>
                <w:rFonts w:ascii="Times" w:hAnsi="Times"/>
              </w:rPr>
            </w:pPr>
            <w:r>
              <w:t>Costs</w:t>
            </w:r>
          </w:p>
        </w:tc>
        <w:tc>
          <w:tcPr>
            <w:tcW w:w="1359" w:type="pct"/>
            <w:vAlign w:val="center"/>
          </w:tcPr>
          <w:p w:rsidR="00B6569C" w:rsidRDefault="00E82474">
            <w:pPr>
              <w:pStyle w:val="Tabletext"/>
              <w:keepNext/>
              <w:jc w:val="center"/>
              <w:rPr>
                <w:rFonts w:ascii="Times" w:hAnsi="Times"/>
              </w:rPr>
            </w:pPr>
            <w:r>
              <w:t>$</w:t>
            </w:r>
            <w:r w:rsidR="00277D7E">
              <w:rPr>
                <w:noProof/>
                <w:color w:val="000000"/>
                <w:highlight w:val="black"/>
              </w:rPr>
              <w:t>'''''''''''''''''''</w:t>
            </w:r>
          </w:p>
        </w:tc>
        <w:tc>
          <w:tcPr>
            <w:tcW w:w="1274" w:type="pct"/>
            <w:vAlign w:val="center"/>
          </w:tcPr>
          <w:p w:rsidR="00B6569C" w:rsidRDefault="00E82474">
            <w:pPr>
              <w:pStyle w:val="Tabletext"/>
              <w:keepNext/>
              <w:jc w:val="center"/>
              <w:rPr>
                <w:rFonts w:ascii="Times" w:hAnsi="Times"/>
              </w:rPr>
            </w:pPr>
            <w:r>
              <w:t>$</w:t>
            </w:r>
            <w:r w:rsidR="00277D7E">
              <w:rPr>
                <w:noProof/>
                <w:color w:val="000000"/>
                <w:highlight w:val="black"/>
              </w:rPr>
              <w:t>''''''''''''''''''</w:t>
            </w:r>
          </w:p>
        </w:tc>
        <w:tc>
          <w:tcPr>
            <w:tcW w:w="838" w:type="pct"/>
            <w:vAlign w:val="center"/>
          </w:tcPr>
          <w:p w:rsidR="00B6569C" w:rsidRDefault="00E82474">
            <w:pPr>
              <w:pStyle w:val="Tabletext"/>
              <w:keepNext/>
              <w:jc w:val="center"/>
              <w:rPr>
                <w:rFonts w:ascii="Times" w:hAnsi="Times"/>
              </w:rPr>
            </w:pPr>
            <w:r>
              <w:t>$</w:t>
            </w:r>
            <w:r w:rsidR="00277D7E">
              <w:rPr>
                <w:noProof/>
                <w:color w:val="000000"/>
                <w:highlight w:val="black"/>
              </w:rPr>
              <w:t>''''''''''''''''</w:t>
            </w:r>
          </w:p>
        </w:tc>
      </w:tr>
      <w:tr w:rsidR="00B6569C">
        <w:tc>
          <w:tcPr>
            <w:tcW w:w="1529" w:type="pct"/>
            <w:vAlign w:val="center"/>
          </w:tcPr>
          <w:p w:rsidR="00B6569C" w:rsidRDefault="00E82474">
            <w:pPr>
              <w:pStyle w:val="Tabletext"/>
              <w:keepNext/>
              <w:rPr>
                <w:rFonts w:ascii="Times" w:hAnsi="Times"/>
              </w:rPr>
            </w:pPr>
            <w:r>
              <w:t>QALYs</w:t>
            </w:r>
          </w:p>
        </w:tc>
        <w:tc>
          <w:tcPr>
            <w:tcW w:w="1359" w:type="pct"/>
            <w:vAlign w:val="center"/>
          </w:tcPr>
          <w:p w:rsidR="00B6569C" w:rsidRPr="00277D7E" w:rsidRDefault="00277D7E">
            <w:pPr>
              <w:pStyle w:val="Tabletext"/>
              <w:keepNext/>
              <w:jc w:val="center"/>
              <w:rPr>
                <w:rFonts w:ascii="Times" w:hAnsi="Times"/>
                <w:highlight w:val="black"/>
              </w:rPr>
            </w:pPr>
            <w:r>
              <w:rPr>
                <w:noProof/>
                <w:color w:val="000000"/>
                <w:highlight w:val="black"/>
              </w:rPr>
              <w:t>'''''''''''</w:t>
            </w:r>
          </w:p>
        </w:tc>
        <w:tc>
          <w:tcPr>
            <w:tcW w:w="1274" w:type="pct"/>
            <w:vAlign w:val="center"/>
          </w:tcPr>
          <w:p w:rsidR="00B6569C" w:rsidRPr="00277D7E" w:rsidRDefault="00277D7E">
            <w:pPr>
              <w:pStyle w:val="Tabletext"/>
              <w:keepNext/>
              <w:jc w:val="center"/>
              <w:rPr>
                <w:rFonts w:ascii="Times" w:hAnsi="Times"/>
                <w:highlight w:val="black"/>
              </w:rPr>
            </w:pPr>
            <w:r>
              <w:rPr>
                <w:noProof/>
                <w:color w:val="000000"/>
                <w:highlight w:val="black"/>
              </w:rPr>
              <w:t>''''''''''''</w:t>
            </w:r>
          </w:p>
        </w:tc>
        <w:tc>
          <w:tcPr>
            <w:tcW w:w="838" w:type="pct"/>
            <w:vAlign w:val="center"/>
          </w:tcPr>
          <w:p w:rsidR="00B6569C" w:rsidRPr="00277D7E" w:rsidRDefault="00277D7E">
            <w:pPr>
              <w:pStyle w:val="Tabletext"/>
              <w:keepNext/>
              <w:jc w:val="center"/>
              <w:rPr>
                <w:highlight w:val="black"/>
              </w:rPr>
            </w:pPr>
            <w:r>
              <w:rPr>
                <w:noProof/>
                <w:color w:val="000000"/>
                <w:highlight w:val="black"/>
              </w:rPr>
              <w:t>''''''''''</w:t>
            </w:r>
          </w:p>
        </w:tc>
      </w:tr>
      <w:tr w:rsidR="00B6569C">
        <w:tc>
          <w:tcPr>
            <w:tcW w:w="1529" w:type="pct"/>
            <w:vAlign w:val="center"/>
          </w:tcPr>
          <w:p w:rsidR="00B6569C" w:rsidRDefault="00E82474">
            <w:pPr>
              <w:pStyle w:val="Tabletext"/>
              <w:keepNext/>
            </w:pPr>
            <w:r>
              <w:t>Life years</w:t>
            </w:r>
          </w:p>
        </w:tc>
        <w:tc>
          <w:tcPr>
            <w:tcW w:w="1359" w:type="pct"/>
            <w:vAlign w:val="center"/>
          </w:tcPr>
          <w:p w:rsidR="00B6569C" w:rsidRPr="00277D7E" w:rsidRDefault="00277D7E">
            <w:pPr>
              <w:pStyle w:val="Tabletext"/>
              <w:keepNext/>
              <w:jc w:val="center"/>
              <w:rPr>
                <w:highlight w:val="black"/>
              </w:rPr>
            </w:pPr>
            <w:r>
              <w:rPr>
                <w:noProof/>
                <w:color w:val="000000"/>
                <w:highlight w:val="black"/>
              </w:rPr>
              <w:t>''''''''''''</w:t>
            </w:r>
          </w:p>
        </w:tc>
        <w:tc>
          <w:tcPr>
            <w:tcW w:w="1274" w:type="pct"/>
            <w:vAlign w:val="center"/>
          </w:tcPr>
          <w:p w:rsidR="00B6569C" w:rsidRPr="00277D7E" w:rsidRDefault="00277D7E">
            <w:pPr>
              <w:pStyle w:val="Tabletext"/>
              <w:keepNext/>
              <w:jc w:val="center"/>
              <w:rPr>
                <w:highlight w:val="black"/>
              </w:rPr>
            </w:pPr>
            <w:r>
              <w:rPr>
                <w:noProof/>
                <w:color w:val="000000"/>
                <w:highlight w:val="black"/>
              </w:rPr>
              <w:t>'''''''''''</w:t>
            </w:r>
          </w:p>
        </w:tc>
        <w:tc>
          <w:tcPr>
            <w:tcW w:w="838" w:type="pct"/>
            <w:vAlign w:val="center"/>
          </w:tcPr>
          <w:p w:rsidR="00B6569C" w:rsidRPr="00277D7E" w:rsidRDefault="00277D7E">
            <w:pPr>
              <w:pStyle w:val="Tabletext"/>
              <w:keepNext/>
              <w:jc w:val="center"/>
              <w:rPr>
                <w:highlight w:val="black"/>
              </w:rPr>
            </w:pPr>
            <w:r>
              <w:rPr>
                <w:noProof/>
                <w:color w:val="000000"/>
                <w:highlight w:val="black"/>
              </w:rPr>
              <w:t>''''''''''</w:t>
            </w:r>
          </w:p>
        </w:tc>
      </w:tr>
      <w:tr w:rsidR="00B6569C">
        <w:tc>
          <w:tcPr>
            <w:tcW w:w="4162" w:type="pct"/>
            <w:gridSpan w:val="3"/>
            <w:vAlign w:val="center"/>
          </w:tcPr>
          <w:p w:rsidR="00B6569C" w:rsidRDefault="00E82474">
            <w:pPr>
              <w:pStyle w:val="Tabletext"/>
              <w:keepNext/>
            </w:pPr>
            <w:r>
              <w:rPr>
                <w:b/>
              </w:rPr>
              <w:t>Incremental cost/QALY gained</w:t>
            </w:r>
          </w:p>
        </w:tc>
        <w:tc>
          <w:tcPr>
            <w:tcW w:w="838" w:type="pct"/>
            <w:vAlign w:val="center"/>
          </w:tcPr>
          <w:p w:rsidR="00B6569C" w:rsidRDefault="00E82474">
            <w:pPr>
              <w:pStyle w:val="Tabletext"/>
              <w:keepNext/>
              <w:jc w:val="center"/>
              <w:rPr>
                <w:b/>
              </w:rPr>
            </w:pPr>
            <w:r>
              <w:rPr>
                <w:b/>
              </w:rPr>
              <w:t>$</w:t>
            </w:r>
            <w:r w:rsidR="00277D7E">
              <w:rPr>
                <w:b/>
                <w:noProof/>
                <w:color w:val="000000"/>
                <w:highlight w:val="black"/>
              </w:rPr>
              <w:t>'''''''''''''''''</w:t>
            </w:r>
          </w:p>
        </w:tc>
      </w:tr>
      <w:tr w:rsidR="00B6569C">
        <w:tc>
          <w:tcPr>
            <w:tcW w:w="4162" w:type="pct"/>
            <w:gridSpan w:val="3"/>
            <w:vAlign w:val="center"/>
          </w:tcPr>
          <w:p w:rsidR="00B6569C" w:rsidRDefault="00E82474">
            <w:pPr>
              <w:pStyle w:val="Tabletext"/>
              <w:keepNext/>
            </w:pPr>
            <w:r>
              <w:rPr>
                <w:b/>
              </w:rPr>
              <w:t>Incremental cost/LY gained</w:t>
            </w:r>
          </w:p>
        </w:tc>
        <w:tc>
          <w:tcPr>
            <w:tcW w:w="838" w:type="pct"/>
            <w:vAlign w:val="center"/>
          </w:tcPr>
          <w:p w:rsidR="00B6569C" w:rsidRDefault="00E82474">
            <w:pPr>
              <w:pStyle w:val="Tabletext"/>
              <w:keepNext/>
              <w:jc w:val="center"/>
              <w:rPr>
                <w:b/>
              </w:rPr>
            </w:pPr>
            <w:r>
              <w:rPr>
                <w:b/>
              </w:rPr>
              <w:t>$</w:t>
            </w:r>
            <w:r w:rsidR="00277D7E">
              <w:rPr>
                <w:b/>
                <w:noProof/>
                <w:color w:val="000000"/>
                <w:highlight w:val="black"/>
              </w:rPr>
              <w:t>''''''''' '''''''</w:t>
            </w:r>
          </w:p>
        </w:tc>
      </w:tr>
      <w:tr w:rsidR="00B6569C">
        <w:tc>
          <w:tcPr>
            <w:tcW w:w="4162" w:type="pct"/>
            <w:gridSpan w:val="3"/>
            <w:vAlign w:val="center"/>
          </w:tcPr>
          <w:p w:rsidR="00B6569C" w:rsidRDefault="00E82474">
            <w:pPr>
              <w:pStyle w:val="Tabletext"/>
              <w:keepNext/>
              <w:rPr>
                <w:b/>
              </w:rPr>
            </w:pPr>
            <w:r>
              <w:rPr>
                <w:b/>
              </w:rPr>
              <w:t>Stage IIIB</w:t>
            </w:r>
          </w:p>
        </w:tc>
        <w:tc>
          <w:tcPr>
            <w:tcW w:w="838" w:type="pct"/>
            <w:vAlign w:val="center"/>
          </w:tcPr>
          <w:p w:rsidR="00B6569C" w:rsidRDefault="00B6569C">
            <w:pPr>
              <w:pStyle w:val="Tabletext"/>
              <w:keepNext/>
              <w:jc w:val="center"/>
            </w:pPr>
          </w:p>
        </w:tc>
      </w:tr>
      <w:tr w:rsidR="00B6569C">
        <w:tc>
          <w:tcPr>
            <w:tcW w:w="1529" w:type="pct"/>
            <w:vAlign w:val="center"/>
          </w:tcPr>
          <w:p w:rsidR="00B6569C" w:rsidRDefault="00E82474">
            <w:pPr>
              <w:pStyle w:val="Tabletext"/>
              <w:keepNext/>
            </w:pPr>
            <w:r>
              <w:t>Costs</w:t>
            </w:r>
          </w:p>
        </w:tc>
        <w:tc>
          <w:tcPr>
            <w:tcW w:w="13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569C" w:rsidRDefault="00E82474">
            <w:pPr>
              <w:pStyle w:val="Tabletext"/>
              <w:keepNext/>
              <w:jc w:val="center"/>
            </w:pPr>
            <w:r>
              <w:rPr>
                <w:sz w:val="21"/>
                <w:szCs w:val="21"/>
              </w:rPr>
              <w:t>$</w:t>
            </w:r>
            <w:r w:rsidR="00277D7E">
              <w:rPr>
                <w:noProof/>
                <w:color w:val="000000"/>
                <w:sz w:val="21"/>
                <w:szCs w:val="21"/>
                <w:highlight w:val="black"/>
              </w:rPr>
              <w:t>'''''''''''''''''''</w:t>
            </w:r>
          </w:p>
        </w:tc>
        <w:tc>
          <w:tcPr>
            <w:tcW w:w="1274" w:type="pct"/>
            <w:vAlign w:val="center"/>
          </w:tcPr>
          <w:p w:rsidR="00B6569C" w:rsidRDefault="00E82474">
            <w:pPr>
              <w:pStyle w:val="Tabletext"/>
              <w:keepNext/>
              <w:jc w:val="center"/>
            </w:pPr>
            <w:r>
              <w:rPr>
                <w:sz w:val="21"/>
                <w:szCs w:val="21"/>
              </w:rPr>
              <w:t>$</w:t>
            </w:r>
            <w:r w:rsidR="00277D7E">
              <w:rPr>
                <w:noProof/>
                <w:color w:val="000000"/>
                <w:sz w:val="21"/>
                <w:szCs w:val="21"/>
                <w:highlight w:val="black"/>
              </w:rPr>
              <w:t>'''''''''''''''''''''</w:t>
            </w:r>
          </w:p>
        </w:tc>
        <w:tc>
          <w:tcPr>
            <w:tcW w:w="838" w:type="pct"/>
            <w:vAlign w:val="center"/>
          </w:tcPr>
          <w:p w:rsidR="00B6569C" w:rsidRDefault="00E82474">
            <w:pPr>
              <w:pStyle w:val="Tabletext"/>
              <w:keepNext/>
              <w:jc w:val="center"/>
            </w:pPr>
            <w:r>
              <w:t>$</w:t>
            </w:r>
            <w:r w:rsidR="00277D7E">
              <w:rPr>
                <w:noProof/>
                <w:color w:val="000000"/>
                <w:highlight w:val="black"/>
              </w:rPr>
              <w:t>'''''''''''''''</w:t>
            </w:r>
          </w:p>
        </w:tc>
      </w:tr>
      <w:tr w:rsidR="00B6569C">
        <w:tc>
          <w:tcPr>
            <w:tcW w:w="1529" w:type="pct"/>
            <w:vAlign w:val="center"/>
          </w:tcPr>
          <w:p w:rsidR="00B6569C" w:rsidRDefault="00E82474">
            <w:pPr>
              <w:pStyle w:val="Tabletext"/>
              <w:keepNext/>
            </w:pPr>
            <w:r>
              <w:t>QALYs</w:t>
            </w:r>
          </w:p>
        </w:tc>
        <w:tc>
          <w:tcPr>
            <w:tcW w:w="13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569C" w:rsidRPr="00277D7E" w:rsidRDefault="00277D7E">
            <w:pPr>
              <w:pStyle w:val="Tabletext"/>
              <w:keepNext/>
              <w:jc w:val="center"/>
              <w:rPr>
                <w:highlight w:val="black"/>
              </w:rPr>
            </w:pPr>
            <w:r>
              <w:rPr>
                <w:noProof/>
                <w:color w:val="000000"/>
                <w:sz w:val="21"/>
                <w:szCs w:val="21"/>
                <w:highlight w:val="black"/>
              </w:rPr>
              <w:t>'''''''''''</w:t>
            </w:r>
          </w:p>
        </w:tc>
        <w:tc>
          <w:tcPr>
            <w:tcW w:w="1274" w:type="pct"/>
            <w:vAlign w:val="center"/>
          </w:tcPr>
          <w:p w:rsidR="00B6569C" w:rsidRPr="00277D7E" w:rsidRDefault="00277D7E">
            <w:pPr>
              <w:pStyle w:val="Tabletext"/>
              <w:keepNext/>
              <w:jc w:val="center"/>
              <w:rPr>
                <w:highlight w:val="black"/>
              </w:rPr>
            </w:pPr>
            <w:r>
              <w:rPr>
                <w:noProof/>
                <w:color w:val="000000"/>
                <w:sz w:val="21"/>
                <w:szCs w:val="21"/>
                <w:highlight w:val="black"/>
              </w:rPr>
              <w:t>'''''''''''</w:t>
            </w:r>
          </w:p>
        </w:tc>
        <w:tc>
          <w:tcPr>
            <w:tcW w:w="838" w:type="pct"/>
            <w:vAlign w:val="center"/>
          </w:tcPr>
          <w:p w:rsidR="00B6569C" w:rsidRPr="00277D7E" w:rsidRDefault="00277D7E">
            <w:pPr>
              <w:pStyle w:val="Tabletext"/>
              <w:keepNext/>
              <w:jc w:val="center"/>
              <w:rPr>
                <w:highlight w:val="black"/>
              </w:rPr>
            </w:pPr>
            <w:r>
              <w:rPr>
                <w:noProof/>
                <w:color w:val="000000"/>
                <w:highlight w:val="black"/>
              </w:rPr>
              <w:t>''''''''''</w:t>
            </w:r>
          </w:p>
        </w:tc>
      </w:tr>
      <w:tr w:rsidR="00B6569C">
        <w:tc>
          <w:tcPr>
            <w:tcW w:w="1529" w:type="pct"/>
            <w:vAlign w:val="center"/>
          </w:tcPr>
          <w:p w:rsidR="00B6569C" w:rsidRDefault="00E82474">
            <w:pPr>
              <w:pStyle w:val="Tabletext"/>
              <w:keepNext/>
            </w:pPr>
            <w:r>
              <w:t>Life years</w:t>
            </w:r>
          </w:p>
        </w:tc>
        <w:tc>
          <w:tcPr>
            <w:tcW w:w="13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569C" w:rsidRPr="00277D7E" w:rsidRDefault="00277D7E">
            <w:pPr>
              <w:pStyle w:val="Tabletext"/>
              <w:keepNext/>
              <w:jc w:val="center"/>
              <w:rPr>
                <w:highlight w:val="black"/>
              </w:rPr>
            </w:pPr>
            <w:r>
              <w:rPr>
                <w:noProof/>
                <w:color w:val="000000"/>
                <w:sz w:val="21"/>
                <w:szCs w:val="21"/>
                <w:highlight w:val="black"/>
              </w:rPr>
              <w:t>'''''''''''</w:t>
            </w:r>
          </w:p>
        </w:tc>
        <w:tc>
          <w:tcPr>
            <w:tcW w:w="1274" w:type="pct"/>
            <w:vAlign w:val="center"/>
          </w:tcPr>
          <w:p w:rsidR="00B6569C" w:rsidRPr="00277D7E" w:rsidRDefault="00277D7E">
            <w:pPr>
              <w:pStyle w:val="Tabletext"/>
              <w:keepNext/>
              <w:jc w:val="center"/>
              <w:rPr>
                <w:highlight w:val="black"/>
              </w:rPr>
            </w:pPr>
            <w:r>
              <w:rPr>
                <w:noProof/>
                <w:color w:val="000000"/>
                <w:sz w:val="21"/>
                <w:szCs w:val="21"/>
                <w:highlight w:val="black"/>
              </w:rPr>
              <w:t>''''''''''</w:t>
            </w:r>
          </w:p>
        </w:tc>
        <w:tc>
          <w:tcPr>
            <w:tcW w:w="838" w:type="pct"/>
            <w:vAlign w:val="center"/>
          </w:tcPr>
          <w:p w:rsidR="00B6569C" w:rsidRPr="00277D7E" w:rsidRDefault="00277D7E">
            <w:pPr>
              <w:pStyle w:val="Tabletext"/>
              <w:keepNext/>
              <w:jc w:val="center"/>
              <w:rPr>
                <w:highlight w:val="black"/>
              </w:rPr>
            </w:pPr>
            <w:r>
              <w:rPr>
                <w:noProof/>
                <w:color w:val="000000"/>
                <w:highlight w:val="black"/>
              </w:rPr>
              <w:t>'''''''''''</w:t>
            </w:r>
          </w:p>
        </w:tc>
      </w:tr>
      <w:tr w:rsidR="00B6569C">
        <w:tc>
          <w:tcPr>
            <w:tcW w:w="4162" w:type="pct"/>
            <w:gridSpan w:val="3"/>
            <w:vAlign w:val="center"/>
          </w:tcPr>
          <w:p w:rsidR="00B6569C" w:rsidRDefault="00E82474">
            <w:pPr>
              <w:pStyle w:val="Tabletext"/>
              <w:keepNext/>
            </w:pPr>
            <w:r>
              <w:rPr>
                <w:b/>
              </w:rPr>
              <w:t>Incremental cost/QALY gained</w:t>
            </w:r>
          </w:p>
        </w:tc>
        <w:tc>
          <w:tcPr>
            <w:tcW w:w="838" w:type="pct"/>
            <w:vAlign w:val="center"/>
          </w:tcPr>
          <w:p w:rsidR="00B6569C" w:rsidRDefault="00E82474">
            <w:pPr>
              <w:pStyle w:val="Tabletext"/>
              <w:keepNext/>
              <w:jc w:val="center"/>
              <w:rPr>
                <w:b/>
              </w:rPr>
            </w:pPr>
            <w:r>
              <w:rPr>
                <w:b/>
              </w:rPr>
              <w:t>$</w:t>
            </w:r>
            <w:r w:rsidR="00277D7E">
              <w:rPr>
                <w:b/>
                <w:noProof/>
                <w:color w:val="000000"/>
                <w:highlight w:val="black"/>
              </w:rPr>
              <w:t>'''''''''''''</w:t>
            </w:r>
          </w:p>
        </w:tc>
      </w:tr>
      <w:tr w:rsidR="00B6569C">
        <w:tc>
          <w:tcPr>
            <w:tcW w:w="4162" w:type="pct"/>
            <w:gridSpan w:val="3"/>
            <w:vAlign w:val="center"/>
          </w:tcPr>
          <w:p w:rsidR="00B6569C" w:rsidRDefault="00E82474">
            <w:pPr>
              <w:pStyle w:val="Tabletext"/>
              <w:keepNext/>
            </w:pPr>
            <w:r>
              <w:rPr>
                <w:b/>
              </w:rPr>
              <w:t>Incremental cost/LY gained</w:t>
            </w:r>
          </w:p>
        </w:tc>
        <w:tc>
          <w:tcPr>
            <w:tcW w:w="838" w:type="pct"/>
            <w:vAlign w:val="center"/>
          </w:tcPr>
          <w:p w:rsidR="00B6569C" w:rsidRDefault="00E82474">
            <w:pPr>
              <w:pStyle w:val="Tabletext"/>
              <w:keepNext/>
              <w:jc w:val="center"/>
              <w:rPr>
                <w:b/>
              </w:rPr>
            </w:pPr>
            <w:r>
              <w:rPr>
                <w:b/>
              </w:rPr>
              <w:t>$</w:t>
            </w:r>
            <w:r w:rsidR="00277D7E">
              <w:rPr>
                <w:b/>
                <w:noProof/>
                <w:color w:val="000000"/>
                <w:highlight w:val="black"/>
              </w:rPr>
              <w:t>'''''''''''''</w:t>
            </w:r>
          </w:p>
        </w:tc>
      </w:tr>
      <w:tr w:rsidR="00B6569C">
        <w:tc>
          <w:tcPr>
            <w:tcW w:w="5000" w:type="pct"/>
            <w:gridSpan w:val="4"/>
            <w:vAlign w:val="center"/>
          </w:tcPr>
          <w:p w:rsidR="00B6569C" w:rsidRDefault="00E82474">
            <w:pPr>
              <w:pStyle w:val="Tabletext"/>
              <w:keepNext/>
              <w:rPr>
                <w:b/>
              </w:rPr>
            </w:pPr>
            <w:r>
              <w:rPr>
                <w:b/>
              </w:rPr>
              <w:t>Stage IIIC</w:t>
            </w:r>
          </w:p>
        </w:tc>
      </w:tr>
      <w:tr w:rsidR="00B6569C">
        <w:tc>
          <w:tcPr>
            <w:tcW w:w="1529" w:type="pct"/>
            <w:vAlign w:val="center"/>
          </w:tcPr>
          <w:p w:rsidR="00B6569C" w:rsidRDefault="00E82474">
            <w:pPr>
              <w:pStyle w:val="Tabletext"/>
              <w:keepNext/>
            </w:pPr>
            <w:r>
              <w:t>Costs</w:t>
            </w:r>
          </w:p>
        </w:tc>
        <w:tc>
          <w:tcPr>
            <w:tcW w:w="1359" w:type="pct"/>
            <w:vAlign w:val="center"/>
          </w:tcPr>
          <w:p w:rsidR="00B6569C" w:rsidRDefault="00E82474">
            <w:pPr>
              <w:pStyle w:val="Tabletext"/>
              <w:keepNext/>
              <w:jc w:val="center"/>
            </w:pPr>
            <w:r>
              <w:t>$</w:t>
            </w:r>
            <w:r w:rsidR="00277D7E">
              <w:rPr>
                <w:noProof/>
                <w:color w:val="000000"/>
                <w:highlight w:val="black"/>
              </w:rPr>
              <w:t>'''''''''''''''''''</w:t>
            </w:r>
          </w:p>
        </w:tc>
        <w:tc>
          <w:tcPr>
            <w:tcW w:w="1274" w:type="pct"/>
            <w:vAlign w:val="center"/>
          </w:tcPr>
          <w:p w:rsidR="00B6569C" w:rsidRDefault="00E82474">
            <w:pPr>
              <w:pStyle w:val="Tabletext"/>
              <w:keepNext/>
              <w:jc w:val="center"/>
            </w:pPr>
            <w:r>
              <w:t>$</w:t>
            </w:r>
            <w:r w:rsidR="00277D7E">
              <w:rPr>
                <w:noProof/>
                <w:color w:val="000000"/>
                <w:highlight w:val="black"/>
              </w:rPr>
              <w:t>'''''''''''''''''''''</w:t>
            </w:r>
          </w:p>
        </w:tc>
        <w:tc>
          <w:tcPr>
            <w:tcW w:w="838" w:type="pct"/>
            <w:vAlign w:val="center"/>
          </w:tcPr>
          <w:p w:rsidR="00B6569C" w:rsidRDefault="00E82474">
            <w:pPr>
              <w:pStyle w:val="Tabletext"/>
              <w:keepNext/>
              <w:jc w:val="center"/>
            </w:pPr>
            <w:r>
              <w:t>$</w:t>
            </w:r>
            <w:r w:rsidR="00277D7E">
              <w:rPr>
                <w:noProof/>
                <w:color w:val="000000"/>
                <w:highlight w:val="black"/>
              </w:rPr>
              <w:t>'''''''''''''''''</w:t>
            </w:r>
          </w:p>
        </w:tc>
      </w:tr>
      <w:tr w:rsidR="00B6569C">
        <w:tc>
          <w:tcPr>
            <w:tcW w:w="1529" w:type="pct"/>
            <w:vAlign w:val="center"/>
          </w:tcPr>
          <w:p w:rsidR="00B6569C" w:rsidRDefault="00E82474">
            <w:pPr>
              <w:pStyle w:val="Tabletext"/>
              <w:keepNext/>
            </w:pPr>
            <w:r>
              <w:t>QALYs</w:t>
            </w:r>
          </w:p>
        </w:tc>
        <w:tc>
          <w:tcPr>
            <w:tcW w:w="1359" w:type="pct"/>
            <w:vAlign w:val="center"/>
          </w:tcPr>
          <w:p w:rsidR="00B6569C" w:rsidRPr="00277D7E" w:rsidRDefault="00277D7E">
            <w:pPr>
              <w:pStyle w:val="Tabletext"/>
              <w:keepNext/>
              <w:jc w:val="center"/>
              <w:rPr>
                <w:highlight w:val="black"/>
              </w:rPr>
            </w:pPr>
            <w:r>
              <w:rPr>
                <w:noProof/>
                <w:color w:val="000000"/>
                <w:highlight w:val="black"/>
              </w:rPr>
              <w:t>'''''''''''</w:t>
            </w:r>
          </w:p>
        </w:tc>
        <w:tc>
          <w:tcPr>
            <w:tcW w:w="1274" w:type="pct"/>
            <w:vAlign w:val="center"/>
          </w:tcPr>
          <w:p w:rsidR="00B6569C" w:rsidRPr="00277D7E" w:rsidRDefault="00277D7E">
            <w:pPr>
              <w:pStyle w:val="Tabletext"/>
              <w:keepNext/>
              <w:jc w:val="center"/>
              <w:rPr>
                <w:highlight w:val="black"/>
              </w:rPr>
            </w:pPr>
            <w:r>
              <w:rPr>
                <w:noProof/>
                <w:color w:val="000000"/>
                <w:highlight w:val="black"/>
              </w:rPr>
              <w:t>''''''''''</w:t>
            </w:r>
          </w:p>
        </w:tc>
        <w:tc>
          <w:tcPr>
            <w:tcW w:w="838" w:type="pct"/>
            <w:vAlign w:val="center"/>
          </w:tcPr>
          <w:p w:rsidR="00B6569C" w:rsidRPr="00277D7E" w:rsidRDefault="00277D7E">
            <w:pPr>
              <w:pStyle w:val="Tabletext"/>
              <w:keepNext/>
              <w:jc w:val="center"/>
              <w:rPr>
                <w:highlight w:val="black"/>
              </w:rPr>
            </w:pPr>
            <w:r>
              <w:rPr>
                <w:noProof/>
                <w:color w:val="000000"/>
                <w:highlight w:val="black"/>
              </w:rPr>
              <w:t>'''''''''''</w:t>
            </w:r>
          </w:p>
        </w:tc>
      </w:tr>
      <w:tr w:rsidR="00B6569C">
        <w:tc>
          <w:tcPr>
            <w:tcW w:w="1529" w:type="pct"/>
            <w:vAlign w:val="center"/>
          </w:tcPr>
          <w:p w:rsidR="00B6569C" w:rsidRDefault="00E82474">
            <w:pPr>
              <w:pStyle w:val="Tabletext"/>
              <w:keepNext/>
            </w:pPr>
            <w:r>
              <w:t>Life years</w:t>
            </w:r>
          </w:p>
        </w:tc>
        <w:tc>
          <w:tcPr>
            <w:tcW w:w="1359" w:type="pct"/>
            <w:vAlign w:val="center"/>
          </w:tcPr>
          <w:p w:rsidR="00B6569C" w:rsidRPr="00277D7E" w:rsidRDefault="00277D7E">
            <w:pPr>
              <w:pStyle w:val="Tabletext"/>
              <w:keepNext/>
              <w:jc w:val="center"/>
              <w:rPr>
                <w:highlight w:val="black"/>
              </w:rPr>
            </w:pPr>
            <w:r>
              <w:rPr>
                <w:noProof/>
                <w:color w:val="000000"/>
                <w:highlight w:val="black"/>
              </w:rPr>
              <w:t>''''''''''</w:t>
            </w:r>
          </w:p>
        </w:tc>
        <w:tc>
          <w:tcPr>
            <w:tcW w:w="1274" w:type="pct"/>
            <w:vAlign w:val="center"/>
          </w:tcPr>
          <w:p w:rsidR="00B6569C" w:rsidRPr="00277D7E" w:rsidRDefault="00277D7E">
            <w:pPr>
              <w:pStyle w:val="Tabletext"/>
              <w:keepNext/>
              <w:jc w:val="center"/>
              <w:rPr>
                <w:highlight w:val="black"/>
              </w:rPr>
            </w:pPr>
            <w:r>
              <w:rPr>
                <w:noProof/>
                <w:color w:val="000000"/>
                <w:highlight w:val="black"/>
              </w:rPr>
              <w:t>''''''''''</w:t>
            </w:r>
          </w:p>
        </w:tc>
        <w:tc>
          <w:tcPr>
            <w:tcW w:w="838" w:type="pct"/>
            <w:vAlign w:val="center"/>
          </w:tcPr>
          <w:p w:rsidR="00B6569C" w:rsidRPr="00277D7E" w:rsidRDefault="00277D7E">
            <w:pPr>
              <w:pStyle w:val="Tabletext"/>
              <w:keepNext/>
              <w:jc w:val="center"/>
              <w:rPr>
                <w:highlight w:val="black"/>
              </w:rPr>
            </w:pPr>
            <w:r>
              <w:rPr>
                <w:noProof/>
                <w:color w:val="000000"/>
                <w:highlight w:val="black"/>
              </w:rPr>
              <w:t>''''''''''</w:t>
            </w:r>
          </w:p>
        </w:tc>
      </w:tr>
      <w:tr w:rsidR="00B6569C">
        <w:tc>
          <w:tcPr>
            <w:tcW w:w="4162" w:type="pct"/>
            <w:gridSpan w:val="3"/>
            <w:vAlign w:val="center"/>
          </w:tcPr>
          <w:p w:rsidR="00B6569C" w:rsidRDefault="00E82474">
            <w:pPr>
              <w:pStyle w:val="Tabletext"/>
              <w:keepNext/>
            </w:pPr>
            <w:r>
              <w:rPr>
                <w:b/>
              </w:rPr>
              <w:t>Incremental cost/QALY gained</w:t>
            </w:r>
          </w:p>
        </w:tc>
        <w:tc>
          <w:tcPr>
            <w:tcW w:w="838" w:type="pct"/>
            <w:vAlign w:val="center"/>
          </w:tcPr>
          <w:p w:rsidR="00B6569C" w:rsidRDefault="00E82474">
            <w:pPr>
              <w:pStyle w:val="Tabletext"/>
              <w:keepNext/>
              <w:jc w:val="center"/>
              <w:rPr>
                <w:b/>
              </w:rPr>
            </w:pPr>
            <w:r>
              <w:rPr>
                <w:b/>
              </w:rPr>
              <w:t>$</w:t>
            </w:r>
            <w:r w:rsidR="00277D7E">
              <w:rPr>
                <w:b/>
                <w:noProof/>
                <w:color w:val="000000"/>
                <w:highlight w:val="black"/>
              </w:rPr>
              <w:t>''''''''''''''</w:t>
            </w:r>
          </w:p>
        </w:tc>
      </w:tr>
      <w:tr w:rsidR="00B6569C">
        <w:tc>
          <w:tcPr>
            <w:tcW w:w="4162" w:type="pct"/>
            <w:gridSpan w:val="3"/>
            <w:vAlign w:val="center"/>
          </w:tcPr>
          <w:p w:rsidR="00B6569C" w:rsidRDefault="00E82474">
            <w:pPr>
              <w:pStyle w:val="Tabletext"/>
              <w:keepNext/>
            </w:pPr>
            <w:r>
              <w:rPr>
                <w:b/>
              </w:rPr>
              <w:t>Incremental cost/LY gained</w:t>
            </w:r>
          </w:p>
        </w:tc>
        <w:tc>
          <w:tcPr>
            <w:tcW w:w="838" w:type="pct"/>
            <w:vAlign w:val="center"/>
          </w:tcPr>
          <w:p w:rsidR="00B6569C" w:rsidRDefault="00E82474">
            <w:pPr>
              <w:pStyle w:val="Tabletext"/>
              <w:keepNext/>
              <w:jc w:val="center"/>
              <w:rPr>
                <w:b/>
              </w:rPr>
            </w:pPr>
            <w:r>
              <w:rPr>
                <w:b/>
              </w:rPr>
              <w:t>$</w:t>
            </w:r>
            <w:r w:rsidR="00277D7E">
              <w:rPr>
                <w:b/>
                <w:noProof/>
                <w:color w:val="000000"/>
                <w:highlight w:val="black"/>
              </w:rPr>
              <w:t>''''''''''''''</w:t>
            </w:r>
          </w:p>
        </w:tc>
      </w:tr>
      <w:tr w:rsidR="00B6569C">
        <w:tc>
          <w:tcPr>
            <w:tcW w:w="5000" w:type="pct"/>
            <w:gridSpan w:val="4"/>
            <w:vAlign w:val="center"/>
          </w:tcPr>
          <w:p w:rsidR="00B6569C" w:rsidRDefault="00E82474">
            <w:pPr>
              <w:pStyle w:val="Tabletext"/>
              <w:keepNext/>
              <w:rPr>
                <w:b/>
              </w:rPr>
            </w:pPr>
            <w:r>
              <w:rPr>
                <w:b/>
              </w:rPr>
              <w:t>Stage IIID</w:t>
            </w:r>
          </w:p>
        </w:tc>
      </w:tr>
      <w:tr w:rsidR="00B6569C">
        <w:tc>
          <w:tcPr>
            <w:tcW w:w="1529" w:type="pct"/>
            <w:vAlign w:val="center"/>
          </w:tcPr>
          <w:p w:rsidR="00B6569C" w:rsidRDefault="00E82474">
            <w:pPr>
              <w:pStyle w:val="Tabletext"/>
              <w:keepNext/>
            </w:pPr>
            <w:r>
              <w:t>Costs</w:t>
            </w:r>
          </w:p>
        </w:tc>
        <w:tc>
          <w:tcPr>
            <w:tcW w:w="1359" w:type="pct"/>
            <w:vAlign w:val="center"/>
          </w:tcPr>
          <w:p w:rsidR="00B6569C" w:rsidRDefault="00E82474">
            <w:pPr>
              <w:pStyle w:val="Tabletext"/>
              <w:keepNext/>
              <w:jc w:val="center"/>
            </w:pPr>
            <w:r>
              <w:t>$</w:t>
            </w:r>
            <w:r w:rsidR="00277D7E">
              <w:rPr>
                <w:noProof/>
                <w:color w:val="000000"/>
                <w:highlight w:val="black"/>
              </w:rPr>
              <w:t>'''''''''''''''''''''</w:t>
            </w:r>
          </w:p>
        </w:tc>
        <w:tc>
          <w:tcPr>
            <w:tcW w:w="1274" w:type="pct"/>
            <w:vAlign w:val="center"/>
          </w:tcPr>
          <w:p w:rsidR="00B6569C" w:rsidRDefault="00E82474">
            <w:pPr>
              <w:pStyle w:val="Tabletext"/>
              <w:keepNext/>
              <w:jc w:val="center"/>
            </w:pPr>
            <w:r>
              <w:t>$</w:t>
            </w:r>
            <w:r w:rsidR="00277D7E">
              <w:rPr>
                <w:noProof/>
                <w:color w:val="000000"/>
                <w:highlight w:val="black"/>
              </w:rPr>
              <w:t>'''''''''''''''''''</w:t>
            </w:r>
          </w:p>
        </w:tc>
        <w:tc>
          <w:tcPr>
            <w:tcW w:w="838" w:type="pct"/>
            <w:vAlign w:val="center"/>
          </w:tcPr>
          <w:p w:rsidR="00B6569C" w:rsidRDefault="00E82474">
            <w:pPr>
              <w:pStyle w:val="Tabletext"/>
              <w:keepNext/>
              <w:jc w:val="center"/>
            </w:pPr>
            <w:r>
              <w:t>$</w:t>
            </w:r>
            <w:r w:rsidR="00277D7E">
              <w:rPr>
                <w:noProof/>
                <w:color w:val="000000"/>
                <w:highlight w:val="black"/>
              </w:rPr>
              <w:t>''''''''''''''''</w:t>
            </w:r>
          </w:p>
        </w:tc>
      </w:tr>
      <w:tr w:rsidR="00B6569C">
        <w:tc>
          <w:tcPr>
            <w:tcW w:w="1529" w:type="pct"/>
            <w:vAlign w:val="center"/>
          </w:tcPr>
          <w:p w:rsidR="00B6569C" w:rsidRDefault="00E82474">
            <w:pPr>
              <w:pStyle w:val="Tabletext"/>
              <w:keepNext/>
            </w:pPr>
            <w:r>
              <w:t>QALYs</w:t>
            </w:r>
          </w:p>
        </w:tc>
        <w:tc>
          <w:tcPr>
            <w:tcW w:w="1359" w:type="pct"/>
            <w:vAlign w:val="center"/>
          </w:tcPr>
          <w:p w:rsidR="00B6569C" w:rsidRPr="00277D7E" w:rsidRDefault="00277D7E">
            <w:pPr>
              <w:pStyle w:val="Tabletext"/>
              <w:keepNext/>
              <w:jc w:val="center"/>
              <w:rPr>
                <w:highlight w:val="black"/>
              </w:rPr>
            </w:pPr>
            <w:r>
              <w:rPr>
                <w:noProof/>
                <w:color w:val="000000"/>
                <w:highlight w:val="black"/>
              </w:rPr>
              <w:t>''''''''''</w:t>
            </w:r>
          </w:p>
        </w:tc>
        <w:tc>
          <w:tcPr>
            <w:tcW w:w="1274" w:type="pct"/>
            <w:vAlign w:val="center"/>
          </w:tcPr>
          <w:p w:rsidR="00B6569C" w:rsidRPr="00277D7E" w:rsidRDefault="00277D7E">
            <w:pPr>
              <w:pStyle w:val="Tabletext"/>
              <w:keepNext/>
              <w:jc w:val="center"/>
              <w:rPr>
                <w:highlight w:val="black"/>
              </w:rPr>
            </w:pPr>
            <w:r>
              <w:rPr>
                <w:noProof/>
                <w:color w:val="000000"/>
                <w:highlight w:val="black"/>
              </w:rPr>
              <w:t>''''''''''''</w:t>
            </w:r>
          </w:p>
        </w:tc>
        <w:tc>
          <w:tcPr>
            <w:tcW w:w="838" w:type="pct"/>
            <w:vAlign w:val="center"/>
          </w:tcPr>
          <w:p w:rsidR="00B6569C" w:rsidRPr="00277D7E" w:rsidRDefault="00277D7E">
            <w:pPr>
              <w:pStyle w:val="Tabletext"/>
              <w:keepNext/>
              <w:jc w:val="center"/>
              <w:rPr>
                <w:highlight w:val="black"/>
              </w:rPr>
            </w:pPr>
            <w:r>
              <w:rPr>
                <w:noProof/>
                <w:color w:val="000000"/>
                <w:highlight w:val="black"/>
              </w:rPr>
              <w:t>'''''''''''</w:t>
            </w:r>
          </w:p>
        </w:tc>
      </w:tr>
      <w:tr w:rsidR="00B6569C">
        <w:tc>
          <w:tcPr>
            <w:tcW w:w="1529" w:type="pct"/>
            <w:vAlign w:val="center"/>
          </w:tcPr>
          <w:p w:rsidR="00B6569C" w:rsidRDefault="00E82474">
            <w:pPr>
              <w:pStyle w:val="Tabletext"/>
              <w:keepNext/>
            </w:pPr>
            <w:r>
              <w:t>Life years</w:t>
            </w:r>
          </w:p>
        </w:tc>
        <w:tc>
          <w:tcPr>
            <w:tcW w:w="1359" w:type="pct"/>
            <w:vAlign w:val="center"/>
          </w:tcPr>
          <w:p w:rsidR="00B6569C" w:rsidRPr="00277D7E" w:rsidRDefault="00277D7E">
            <w:pPr>
              <w:pStyle w:val="Tabletext"/>
              <w:keepNext/>
              <w:jc w:val="center"/>
              <w:rPr>
                <w:highlight w:val="black"/>
              </w:rPr>
            </w:pPr>
            <w:r>
              <w:rPr>
                <w:noProof/>
                <w:color w:val="000000"/>
                <w:highlight w:val="black"/>
              </w:rPr>
              <w:t>'''''''''''</w:t>
            </w:r>
          </w:p>
        </w:tc>
        <w:tc>
          <w:tcPr>
            <w:tcW w:w="1274" w:type="pct"/>
            <w:vAlign w:val="center"/>
          </w:tcPr>
          <w:p w:rsidR="00B6569C" w:rsidRPr="00277D7E" w:rsidRDefault="00277D7E">
            <w:pPr>
              <w:pStyle w:val="Tabletext"/>
              <w:keepNext/>
              <w:jc w:val="center"/>
              <w:rPr>
                <w:highlight w:val="black"/>
              </w:rPr>
            </w:pPr>
            <w:r>
              <w:rPr>
                <w:noProof/>
                <w:color w:val="000000"/>
                <w:highlight w:val="black"/>
              </w:rPr>
              <w:t>'''''''''''</w:t>
            </w:r>
          </w:p>
        </w:tc>
        <w:tc>
          <w:tcPr>
            <w:tcW w:w="838" w:type="pct"/>
            <w:vAlign w:val="center"/>
          </w:tcPr>
          <w:p w:rsidR="00B6569C" w:rsidRPr="00277D7E" w:rsidRDefault="00277D7E">
            <w:pPr>
              <w:pStyle w:val="Tabletext"/>
              <w:keepNext/>
              <w:jc w:val="center"/>
              <w:rPr>
                <w:highlight w:val="black"/>
              </w:rPr>
            </w:pPr>
            <w:r>
              <w:rPr>
                <w:noProof/>
                <w:color w:val="000000"/>
                <w:highlight w:val="black"/>
              </w:rPr>
              <w:t>''''''''''''</w:t>
            </w:r>
          </w:p>
        </w:tc>
      </w:tr>
      <w:tr w:rsidR="00B6569C">
        <w:tc>
          <w:tcPr>
            <w:tcW w:w="4162" w:type="pct"/>
            <w:gridSpan w:val="3"/>
            <w:vAlign w:val="center"/>
          </w:tcPr>
          <w:p w:rsidR="00B6569C" w:rsidRDefault="00E82474">
            <w:pPr>
              <w:pStyle w:val="Tabletext"/>
              <w:keepNext/>
            </w:pPr>
            <w:r>
              <w:rPr>
                <w:b/>
              </w:rPr>
              <w:t>Incremental cost/QALY gained</w:t>
            </w:r>
          </w:p>
        </w:tc>
        <w:tc>
          <w:tcPr>
            <w:tcW w:w="838" w:type="pct"/>
            <w:vAlign w:val="center"/>
          </w:tcPr>
          <w:p w:rsidR="00B6569C" w:rsidRDefault="00E82474">
            <w:pPr>
              <w:pStyle w:val="Tabletext"/>
              <w:keepNext/>
              <w:jc w:val="center"/>
              <w:rPr>
                <w:b/>
              </w:rPr>
            </w:pPr>
            <w:r>
              <w:rPr>
                <w:b/>
              </w:rPr>
              <w:t>$</w:t>
            </w:r>
            <w:r w:rsidR="00277D7E">
              <w:rPr>
                <w:b/>
                <w:noProof/>
                <w:color w:val="000000"/>
                <w:highlight w:val="black"/>
              </w:rPr>
              <w:t>'''''''''''''</w:t>
            </w:r>
          </w:p>
        </w:tc>
      </w:tr>
      <w:tr w:rsidR="00B6569C">
        <w:tc>
          <w:tcPr>
            <w:tcW w:w="4162" w:type="pct"/>
            <w:gridSpan w:val="3"/>
            <w:vAlign w:val="center"/>
          </w:tcPr>
          <w:p w:rsidR="00B6569C" w:rsidRDefault="00E82474">
            <w:pPr>
              <w:pStyle w:val="Tabletext"/>
              <w:keepNext/>
            </w:pPr>
            <w:r>
              <w:rPr>
                <w:b/>
              </w:rPr>
              <w:t>Incremental cost/LY gained</w:t>
            </w:r>
          </w:p>
        </w:tc>
        <w:tc>
          <w:tcPr>
            <w:tcW w:w="838" w:type="pct"/>
            <w:vAlign w:val="center"/>
          </w:tcPr>
          <w:p w:rsidR="00B6569C" w:rsidRDefault="00E82474">
            <w:pPr>
              <w:pStyle w:val="Tabletext"/>
              <w:keepNext/>
              <w:jc w:val="center"/>
              <w:rPr>
                <w:b/>
              </w:rPr>
            </w:pPr>
            <w:r>
              <w:rPr>
                <w:b/>
              </w:rPr>
              <w:t>$</w:t>
            </w:r>
            <w:r w:rsidR="00277D7E">
              <w:rPr>
                <w:b/>
                <w:noProof/>
                <w:color w:val="000000"/>
                <w:highlight w:val="black"/>
              </w:rPr>
              <w:t>'''''''''''''</w:t>
            </w:r>
          </w:p>
        </w:tc>
      </w:tr>
      <w:tr w:rsidR="00B6569C">
        <w:tc>
          <w:tcPr>
            <w:tcW w:w="5000" w:type="pct"/>
            <w:gridSpan w:val="4"/>
            <w:vAlign w:val="center"/>
          </w:tcPr>
          <w:p w:rsidR="00B6569C" w:rsidRDefault="00E82474">
            <w:pPr>
              <w:pStyle w:val="Tabletext"/>
              <w:keepNext/>
              <w:rPr>
                <w:b/>
              </w:rPr>
            </w:pPr>
            <w:r>
              <w:rPr>
                <w:b/>
              </w:rPr>
              <w:t xml:space="preserve">PSCR </w:t>
            </w:r>
          </w:p>
        </w:tc>
      </w:tr>
      <w:tr w:rsidR="00B6569C">
        <w:tc>
          <w:tcPr>
            <w:tcW w:w="4162" w:type="pct"/>
            <w:gridSpan w:val="3"/>
            <w:vAlign w:val="center"/>
          </w:tcPr>
          <w:p w:rsidR="00B6569C" w:rsidRDefault="00E82474">
            <w:pPr>
              <w:pStyle w:val="Tabletext"/>
              <w:keepNext/>
              <w:rPr>
                <w:b/>
              </w:rPr>
            </w:pPr>
            <w:r>
              <w:rPr>
                <w:b/>
              </w:rPr>
              <w:t>Stage IIIB, IIIC and IIID population, incremental cost/QALY gained - Weighted</w:t>
            </w:r>
          </w:p>
        </w:tc>
        <w:tc>
          <w:tcPr>
            <w:tcW w:w="838" w:type="pct"/>
            <w:vAlign w:val="center"/>
          </w:tcPr>
          <w:p w:rsidR="00B6569C" w:rsidRDefault="00E82474">
            <w:pPr>
              <w:pStyle w:val="Tabletext"/>
              <w:keepNext/>
              <w:jc w:val="center"/>
              <w:rPr>
                <w:b/>
              </w:rPr>
            </w:pPr>
            <w:r>
              <w:rPr>
                <w:b/>
              </w:rPr>
              <w:t>$</w:t>
            </w:r>
            <w:r w:rsidR="00277D7E">
              <w:rPr>
                <w:b/>
                <w:noProof/>
                <w:color w:val="000000"/>
                <w:highlight w:val="black"/>
              </w:rPr>
              <w:t>'''''''''''''</w:t>
            </w:r>
          </w:p>
        </w:tc>
      </w:tr>
    </w:tbl>
    <w:p w:rsidR="00B6569C" w:rsidRDefault="00E82474">
      <w:pPr>
        <w:pStyle w:val="TableFooter"/>
        <w:widowControl/>
      </w:pPr>
      <w:r>
        <w:t>LY = life year; PSCR = pre-Sub-Committee response; QALY = quality-adjusted life year</w:t>
      </w:r>
    </w:p>
    <w:p w:rsidR="00B6569C" w:rsidRDefault="00E82474">
      <w:pPr>
        <w:pStyle w:val="TableFooter"/>
        <w:widowControl/>
      </w:pPr>
      <w:r>
        <w:t>Source: Section 3.9 of the resubmission; Att 18 CEMs.xls and Table 2, p5 of the PSCR</w:t>
      </w:r>
    </w:p>
    <w:p w:rsidR="00B6569C" w:rsidRDefault="00B6569C">
      <w:pPr>
        <w:pStyle w:val="TableFooter"/>
        <w:widowControl/>
      </w:pPr>
    </w:p>
    <w:p w:rsidR="00B6569C" w:rsidRDefault="00E82474">
      <w:pPr>
        <w:pStyle w:val="ListParagraph"/>
        <w:widowControl/>
        <w:numPr>
          <w:ilvl w:val="1"/>
          <w:numId w:val="3"/>
        </w:numPr>
      </w:pPr>
      <w:r>
        <w:t xml:space="preserve">The ICER for Stage IIIA &gt;1 mm was $105,000/QALY - $200,000/QALY . This result is likely driven by reduced risk of disease recurrence in this population, which was evident in the low number of events in the KN054 trial. The ICER for Stage IIID ($15,000/QALY - $45,000/QALY ) was also higher than for Stage IIIB or IIIC (less than $15,000/QALY  and less than $15,000/QALY  respectively), which appeared inconsistent given higher risk of recurrence and poorer prognosis associated with Stage IIID melanoma (larger relative treatment effect expected). This result was likely driven by low patient numbers (3.9% of trial population) and data sparseness (low numbers of events) in the Stage IIID population in the KN054 trial. The ESC noted that the trial was not powered for the subgroup analyses that inform the economic model, and therefore the highly uncertain results should be interpreted with caution. </w:t>
      </w:r>
    </w:p>
    <w:p w:rsidR="00B6569C" w:rsidRDefault="00E82474">
      <w:pPr>
        <w:pStyle w:val="ListParagraph"/>
        <w:widowControl/>
        <w:numPr>
          <w:ilvl w:val="1"/>
          <w:numId w:val="3"/>
        </w:numPr>
      </w:pPr>
      <w:r>
        <w:t>The table below summarises the results of key sensitivity analyses presented in the resubmission and additional sensitivity analyses conducted during the evaluation.</w:t>
      </w:r>
    </w:p>
    <w:p w:rsidR="00C30C67" w:rsidRDefault="00C30C67" w:rsidP="00C30C67">
      <w:pPr>
        <w:pStyle w:val="TableHeading0"/>
      </w:pPr>
      <w:r>
        <w:lastRenderedPageBreak/>
        <w:t xml:space="preserve">Table </w:t>
      </w:r>
      <w:fldSimple w:instr=" SEQ Table \* ARABIC ">
        <w:r w:rsidR="00632FE3">
          <w:rPr>
            <w:noProof/>
          </w:rPr>
          <w:t>18</w:t>
        </w:r>
      </w:fldSimple>
      <w:r w:rsidRPr="00282BC4">
        <w:t>: Sensitivity analyses</w:t>
      </w:r>
    </w:p>
    <w:tbl>
      <w:tblPr>
        <w:tblStyle w:val="TableGrid"/>
        <w:tblW w:w="0" w:type="auto"/>
        <w:tblLook w:val="04A0" w:firstRow="1" w:lastRow="0" w:firstColumn="1" w:lastColumn="0" w:noHBand="0" w:noVBand="1"/>
        <w:tblCaption w:val="Table 18: Sensitivity analyses"/>
      </w:tblPr>
      <w:tblGrid>
        <w:gridCol w:w="7225"/>
        <w:gridCol w:w="1792"/>
      </w:tblGrid>
      <w:tr w:rsidR="00B6569C">
        <w:trPr>
          <w:trHeight w:val="247"/>
        </w:trPr>
        <w:tc>
          <w:tcPr>
            <w:tcW w:w="7225" w:type="dxa"/>
            <w:tcMar>
              <w:left w:w="28" w:type="dxa"/>
              <w:right w:w="28" w:type="dxa"/>
            </w:tcMar>
            <w:vAlign w:val="center"/>
          </w:tcPr>
          <w:p w:rsidR="00B6569C" w:rsidRDefault="00E82474">
            <w:pPr>
              <w:pStyle w:val="Tabletext"/>
              <w:keepNext/>
              <w:rPr>
                <w:b/>
              </w:rPr>
            </w:pPr>
            <w:r>
              <w:rPr>
                <w:b/>
              </w:rPr>
              <w:t>Input values</w:t>
            </w:r>
          </w:p>
        </w:tc>
        <w:tc>
          <w:tcPr>
            <w:tcW w:w="1792" w:type="dxa"/>
            <w:tcMar>
              <w:left w:w="28" w:type="dxa"/>
              <w:right w:w="28" w:type="dxa"/>
            </w:tcMar>
            <w:vAlign w:val="center"/>
          </w:tcPr>
          <w:p w:rsidR="00B6569C" w:rsidRDefault="00E82474">
            <w:pPr>
              <w:pStyle w:val="Tabletext"/>
              <w:keepNext/>
              <w:jc w:val="center"/>
              <w:rPr>
                <w:b/>
              </w:rPr>
            </w:pPr>
            <w:r>
              <w:rPr>
                <w:b/>
              </w:rPr>
              <w:t>ICER vs. comparator ($/QALY)</w:t>
            </w:r>
          </w:p>
        </w:tc>
      </w:tr>
      <w:tr w:rsidR="00B6569C">
        <w:tc>
          <w:tcPr>
            <w:tcW w:w="7225" w:type="dxa"/>
            <w:tcMar>
              <w:left w:w="28" w:type="dxa"/>
              <w:right w:w="28" w:type="dxa"/>
            </w:tcMar>
          </w:tcPr>
          <w:p w:rsidR="00B6569C" w:rsidRDefault="00E82474">
            <w:pPr>
              <w:pStyle w:val="Tabletext"/>
              <w:keepNext/>
              <w:rPr>
                <w:b/>
              </w:rPr>
            </w:pPr>
            <w:r>
              <w:rPr>
                <w:b/>
              </w:rPr>
              <w:t>Base case</w:t>
            </w:r>
          </w:p>
        </w:tc>
        <w:tc>
          <w:tcPr>
            <w:tcW w:w="1792" w:type="dxa"/>
            <w:tcMar>
              <w:left w:w="28" w:type="dxa"/>
              <w:right w:w="28" w:type="dxa"/>
            </w:tcMar>
          </w:tcPr>
          <w:p w:rsidR="00B6569C" w:rsidRDefault="00E82474">
            <w:pPr>
              <w:pStyle w:val="Tabletext"/>
              <w:keepNext/>
              <w:jc w:val="center"/>
              <w:rPr>
                <w:b/>
              </w:rPr>
            </w:pPr>
            <w:r>
              <w:rPr>
                <w:b/>
              </w:rPr>
              <w:t>$</w:t>
            </w:r>
            <w:r w:rsidR="00277D7E">
              <w:rPr>
                <w:b/>
                <w:noProof/>
                <w:color w:val="000000"/>
                <w:highlight w:val="black"/>
              </w:rPr>
              <w:t>'''''''''''''</w:t>
            </w:r>
          </w:p>
        </w:tc>
      </w:tr>
      <w:tr w:rsidR="00B6569C">
        <w:trPr>
          <w:trHeight w:val="79"/>
        </w:trPr>
        <w:tc>
          <w:tcPr>
            <w:tcW w:w="7225" w:type="dxa"/>
            <w:tcMar>
              <w:left w:w="28" w:type="dxa"/>
              <w:right w:w="28" w:type="dxa"/>
            </w:tcMar>
          </w:tcPr>
          <w:p w:rsidR="00B6569C" w:rsidRDefault="00E82474">
            <w:pPr>
              <w:pStyle w:val="Tabletext"/>
              <w:keepNext/>
            </w:pPr>
            <w:r>
              <w:t>Time horizon (base case = 10 years)</w:t>
            </w:r>
          </w:p>
          <w:p w:rsidR="00B6569C" w:rsidRDefault="00E82474">
            <w:pPr>
              <w:pStyle w:val="Tabletext"/>
              <w:keepNext/>
            </w:pPr>
            <w:r>
              <w:t xml:space="preserve">   7 years</w:t>
            </w:r>
          </w:p>
          <w:p w:rsidR="00B6569C" w:rsidRDefault="00E82474">
            <w:pPr>
              <w:pStyle w:val="Tabletext"/>
              <w:keepNext/>
            </w:pPr>
            <w:r>
              <w:t xml:space="preserve">   10 years</w:t>
            </w:r>
          </w:p>
        </w:tc>
        <w:tc>
          <w:tcPr>
            <w:tcW w:w="1792" w:type="dxa"/>
            <w:tcMar>
              <w:left w:w="28" w:type="dxa"/>
              <w:right w:w="28" w:type="dxa"/>
            </w:tcMar>
          </w:tcPr>
          <w:p w:rsidR="00B6569C" w:rsidRDefault="00B6569C">
            <w:pPr>
              <w:pStyle w:val="Tabletext"/>
              <w:keepNext/>
              <w:jc w:val="center"/>
            </w:pPr>
          </w:p>
          <w:p w:rsidR="00B6569C" w:rsidRDefault="00E82474">
            <w:pPr>
              <w:pStyle w:val="Tabletext"/>
              <w:keepNext/>
              <w:jc w:val="center"/>
            </w:pPr>
            <w:r>
              <w:t>$</w:t>
            </w:r>
            <w:r w:rsidR="00277D7E">
              <w:rPr>
                <w:noProof/>
                <w:color w:val="000000"/>
                <w:highlight w:val="black"/>
              </w:rPr>
              <w:t>''''''''''''''''</w:t>
            </w:r>
          </w:p>
          <w:p w:rsidR="00B6569C" w:rsidRDefault="00E82474">
            <w:pPr>
              <w:pStyle w:val="Tabletext"/>
              <w:keepNext/>
              <w:jc w:val="center"/>
            </w:pPr>
            <w:r>
              <w:t>$</w:t>
            </w:r>
            <w:r w:rsidR="00277D7E">
              <w:rPr>
                <w:noProof/>
                <w:color w:val="000000"/>
                <w:highlight w:val="black"/>
              </w:rPr>
              <w:t>'''''''''''''''</w:t>
            </w:r>
          </w:p>
        </w:tc>
      </w:tr>
      <w:tr w:rsidR="00B6569C">
        <w:tc>
          <w:tcPr>
            <w:tcW w:w="0" w:type="auto"/>
            <w:gridSpan w:val="2"/>
            <w:tcMar>
              <w:left w:w="28" w:type="dxa"/>
              <w:right w:w="28" w:type="dxa"/>
            </w:tcMar>
          </w:tcPr>
          <w:p w:rsidR="00B6569C" w:rsidRDefault="00E82474">
            <w:pPr>
              <w:pStyle w:val="Tabletext"/>
              <w:keepNext/>
              <w:rPr>
                <w:b/>
              </w:rPr>
            </w:pPr>
            <w:r>
              <w:rPr>
                <w:b/>
              </w:rPr>
              <w:t>Efficacy and transition probabilities</w:t>
            </w:r>
          </w:p>
        </w:tc>
      </w:tr>
      <w:tr w:rsidR="00B6569C">
        <w:tc>
          <w:tcPr>
            <w:tcW w:w="7225" w:type="dxa"/>
            <w:tcMar>
              <w:left w:w="28" w:type="dxa"/>
              <w:right w:w="28" w:type="dxa"/>
            </w:tcMar>
            <w:vAlign w:val="bottom"/>
          </w:tcPr>
          <w:p w:rsidR="00B6569C" w:rsidRDefault="00E82474">
            <w:pPr>
              <w:pStyle w:val="Tabletext"/>
              <w:keepNext/>
            </w:pPr>
            <w:r>
              <w:t>Distribution used for RF→LR and RF→DM: Exponential </w:t>
            </w:r>
          </w:p>
        </w:tc>
        <w:tc>
          <w:tcPr>
            <w:tcW w:w="1792" w:type="dxa"/>
            <w:tcMar>
              <w:left w:w="28" w:type="dxa"/>
              <w:right w:w="28" w:type="dxa"/>
            </w:tcMar>
            <w:vAlign w:val="bottom"/>
          </w:tcPr>
          <w:p w:rsidR="00B6569C" w:rsidRDefault="00E82474">
            <w:pPr>
              <w:pStyle w:val="Tabletext"/>
              <w:keepNext/>
              <w:jc w:val="center"/>
            </w:pPr>
            <w:r>
              <w:t>$</w:t>
            </w:r>
            <w:r w:rsidR="00277D7E">
              <w:rPr>
                <w:noProof/>
                <w:color w:val="000000"/>
                <w:highlight w:val="black"/>
              </w:rPr>
              <w:t>'''''''''''''''</w:t>
            </w:r>
          </w:p>
        </w:tc>
      </w:tr>
      <w:tr w:rsidR="00B6569C">
        <w:tc>
          <w:tcPr>
            <w:tcW w:w="7225" w:type="dxa"/>
            <w:tcMar>
              <w:left w:w="28" w:type="dxa"/>
              <w:right w:w="28" w:type="dxa"/>
            </w:tcMar>
            <w:vAlign w:val="bottom"/>
          </w:tcPr>
          <w:p w:rsidR="00B6569C" w:rsidRDefault="00E82474">
            <w:pPr>
              <w:pStyle w:val="Tabletext"/>
              <w:keepNext/>
            </w:pPr>
            <w:r>
              <w:t>Distribution used for RF→LR and RF→DM: Gompertz</w:t>
            </w:r>
          </w:p>
        </w:tc>
        <w:tc>
          <w:tcPr>
            <w:tcW w:w="1792" w:type="dxa"/>
            <w:tcMar>
              <w:left w:w="28" w:type="dxa"/>
              <w:right w:w="28" w:type="dxa"/>
            </w:tcMar>
            <w:vAlign w:val="bottom"/>
          </w:tcPr>
          <w:p w:rsidR="00B6569C" w:rsidRDefault="00E82474">
            <w:pPr>
              <w:pStyle w:val="Tabletext"/>
              <w:keepNext/>
              <w:jc w:val="center"/>
            </w:pPr>
            <w:r>
              <w:t>$</w:t>
            </w:r>
            <w:r w:rsidR="00277D7E">
              <w:rPr>
                <w:noProof/>
                <w:color w:val="000000"/>
                <w:highlight w:val="black"/>
              </w:rPr>
              <w:t>''''''''''''''''</w:t>
            </w:r>
          </w:p>
        </w:tc>
      </w:tr>
      <w:tr w:rsidR="00B6569C">
        <w:tc>
          <w:tcPr>
            <w:tcW w:w="7225" w:type="dxa"/>
            <w:tcMar>
              <w:left w:w="28" w:type="dxa"/>
              <w:right w:w="28" w:type="dxa"/>
            </w:tcMar>
            <w:vAlign w:val="bottom"/>
          </w:tcPr>
          <w:p w:rsidR="00B6569C" w:rsidRDefault="00E82474">
            <w:pPr>
              <w:pStyle w:val="Tabletext"/>
              <w:keepNext/>
            </w:pPr>
            <w:r>
              <w:t>Transitions from RF: parametric models with a time-constant treatment effect </w:t>
            </w:r>
          </w:p>
        </w:tc>
        <w:tc>
          <w:tcPr>
            <w:tcW w:w="1792" w:type="dxa"/>
            <w:tcMar>
              <w:left w:w="28" w:type="dxa"/>
              <w:right w:w="28" w:type="dxa"/>
            </w:tcMar>
            <w:vAlign w:val="bottom"/>
          </w:tcPr>
          <w:p w:rsidR="00B6569C" w:rsidRDefault="00E82474">
            <w:pPr>
              <w:pStyle w:val="Tabletext"/>
              <w:keepNext/>
              <w:jc w:val="center"/>
            </w:pPr>
            <w:r>
              <w:t>$</w:t>
            </w:r>
            <w:r w:rsidR="00277D7E">
              <w:rPr>
                <w:noProof/>
                <w:color w:val="000000"/>
                <w:highlight w:val="black"/>
              </w:rPr>
              <w:t>'''''''''''''''''</w:t>
            </w:r>
          </w:p>
        </w:tc>
      </w:tr>
      <w:tr w:rsidR="00B6569C">
        <w:tc>
          <w:tcPr>
            <w:tcW w:w="0" w:type="auto"/>
            <w:gridSpan w:val="2"/>
            <w:tcMar>
              <w:left w:w="28" w:type="dxa"/>
              <w:right w:w="28" w:type="dxa"/>
            </w:tcMar>
          </w:tcPr>
          <w:p w:rsidR="00B6569C" w:rsidRDefault="00E82474">
            <w:pPr>
              <w:pStyle w:val="Tabletext"/>
              <w:keepNext/>
              <w:rPr>
                <w:b/>
              </w:rPr>
            </w:pPr>
            <w:r>
              <w:rPr>
                <w:b/>
              </w:rPr>
              <w:t>Subsequent therapies for advanced melanoma</w:t>
            </w:r>
          </w:p>
        </w:tc>
      </w:tr>
      <w:tr w:rsidR="00B6569C">
        <w:tc>
          <w:tcPr>
            <w:tcW w:w="7225" w:type="dxa"/>
            <w:tcMar>
              <w:left w:w="28" w:type="dxa"/>
              <w:right w:w="28" w:type="dxa"/>
            </w:tcMar>
            <w:vAlign w:val="bottom"/>
          </w:tcPr>
          <w:p w:rsidR="00B6569C" w:rsidRDefault="00E82474">
            <w:pPr>
              <w:pStyle w:val="Tabletext"/>
              <w:keepNext/>
            </w:pPr>
            <w:r>
              <w:t>Include costs of first-line advanced regimens only </w:t>
            </w:r>
          </w:p>
        </w:tc>
        <w:tc>
          <w:tcPr>
            <w:tcW w:w="1792" w:type="dxa"/>
            <w:tcMar>
              <w:left w:w="28" w:type="dxa"/>
              <w:right w:w="28" w:type="dxa"/>
            </w:tcMar>
          </w:tcPr>
          <w:p w:rsidR="00B6569C" w:rsidRDefault="00E82474">
            <w:pPr>
              <w:pStyle w:val="Tabletext"/>
              <w:keepNext/>
              <w:jc w:val="center"/>
            </w:pPr>
            <w:r>
              <w:t>$</w:t>
            </w:r>
            <w:r w:rsidR="00277D7E">
              <w:rPr>
                <w:noProof/>
                <w:color w:val="000000"/>
                <w:highlight w:val="black"/>
              </w:rPr>
              <w:t>''''''''''''''''</w:t>
            </w:r>
          </w:p>
        </w:tc>
      </w:tr>
      <w:tr w:rsidR="00B6569C">
        <w:tc>
          <w:tcPr>
            <w:tcW w:w="7225" w:type="dxa"/>
            <w:tcMar>
              <w:left w:w="28" w:type="dxa"/>
              <w:right w:w="28" w:type="dxa"/>
            </w:tcMar>
            <w:vAlign w:val="bottom"/>
          </w:tcPr>
          <w:p w:rsidR="00B6569C" w:rsidRDefault="00E82474">
            <w:pPr>
              <w:pStyle w:val="Tabletext"/>
              <w:keepNext/>
            </w:pPr>
            <w:r>
              <w:t>Assume same mix of advanced treatments following adjuvant pembrolizumab and watchful waiting</w:t>
            </w:r>
          </w:p>
        </w:tc>
        <w:tc>
          <w:tcPr>
            <w:tcW w:w="1792" w:type="dxa"/>
            <w:tcMar>
              <w:left w:w="28" w:type="dxa"/>
              <w:right w:w="28" w:type="dxa"/>
            </w:tcMar>
          </w:tcPr>
          <w:p w:rsidR="00B6569C" w:rsidRDefault="00E82474">
            <w:pPr>
              <w:pStyle w:val="Tabletext"/>
              <w:keepNext/>
              <w:jc w:val="center"/>
            </w:pPr>
            <w:r>
              <w:t>$</w:t>
            </w:r>
            <w:r w:rsidR="00277D7E">
              <w:rPr>
                <w:noProof/>
                <w:color w:val="000000"/>
                <w:highlight w:val="black"/>
              </w:rPr>
              <w:t>''''''''''''''''</w:t>
            </w:r>
          </w:p>
        </w:tc>
      </w:tr>
      <w:tr w:rsidR="00B6569C">
        <w:tc>
          <w:tcPr>
            <w:tcW w:w="7225" w:type="dxa"/>
            <w:tcMar>
              <w:left w:w="28" w:type="dxa"/>
              <w:right w:w="28" w:type="dxa"/>
            </w:tcMar>
          </w:tcPr>
          <w:p w:rsidR="00B6569C" w:rsidRDefault="00E82474">
            <w:pPr>
              <w:pStyle w:val="Tabletext"/>
              <w:keepNext/>
            </w:pPr>
            <w:r>
              <w:t>Costs of advanced treatment removed</w:t>
            </w:r>
          </w:p>
        </w:tc>
        <w:tc>
          <w:tcPr>
            <w:tcW w:w="1792" w:type="dxa"/>
            <w:tcMar>
              <w:left w:w="28" w:type="dxa"/>
              <w:right w:w="28" w:type="dxa"/>
            </w:tcMar>
          </w:tcPr>
          <w:p w:rsidR="00B6569C" w:rsidRDefault="00E82474">
            <w:pPr>
              <w:pStyle w:val="Tabletext"/>
              <w:keepNext/>
              <w:jc w:val="center"/>
            </w:pPr>
            <w:r>
              <w:t>$</w:t>
            </w:r>
            <w:r w:rsidR="00277D7E">
              <w:rPr>
                <w:noProof/>
                <w:color w:val="000000"/>
                <w:highlight w:val="black"/>
              </w:rPr>
              <w:t>''''''''''''''''</w:t>
            </w:r>
          </w:p>
        </w:tc>
      </w:tr>
      <w:tr w:rsidR="00B6569C">
        <w:tc>
          <w:tcPr>
            <w:tcW w:w="0" w:type="auto"/>
            <w:gridSpan w:val="2"/>
            <w:tcMar>
              <w:left w:w="28" w:type="dxa"/>
              <w:right w:w="28" w:type="dxa"/>
            </w:tcMar>
            <w:vAlign w:val="bottom"/>
          </w:tcPr>
          <w:p w:rsidR="00B6569C" w:rsidRDefault="00E82474">
            <w:pPr>
              <w:pStyle w:val="Tabletext"/>
              <w:keepNext/>
              <w:rPr>
                <w:b/>
              </w:rPr>
            </w:pPr>
            <w:r>
              <w:rPr>
                <w:b/>
              </w:rPr>
              <w:t>Convergence of treatment effect</w:t>
            </w:r>
          </w:p>
        </w:tc>
      </w:tr>
      <w:tr w:rsidR="00B6569C">
        <w:tc>
          <w:tcPr>
            <w:tcW w:w="7225" w:type="dxa"/>
            <w:tcMar>
              <w:left w:w="28" w:type="dxa"/>
              <w:right w:w="28" w:type="dxa"/>
            </w:tcMar>
            <w:vAlign w:val="bottom"/>
          </w:tcPr>
          <w:p w:rsidR="00B6569C" w:rsidRDefault="00E82474">
            <w:pPr>
              <w:pStyle w:val="Tabletext"/>
              <w:keepNext/>
            </w:pPr>
            <w:r>
              <w:t>Assuming linear convergence between pembrolizumab and watchful waiting (for RFS, locoregional recurrence, distant metastases and death) between year 5 and year 10</w:t>
            </w:r>
          </w:p>
        </w:tc>
        <w:tc>
          <w:tcPr>
            <w:tcW w:w="1792" w:type="dxa"/>
            <w:shd w:val="clear" w:color="auto" w:fill="auto"/>
            <w:tcMar>
              <w:left w:w="28" w:type="dxa"/>
              <w:right w:w="28" w:type="dxa"/>
            </w:tcMar>
            <w:vAlign w:val="center"/>
          </w:tcPr>
          <w:p w:rsidR="00B6569C" w:rsidRDefault="00E82474">
            <w:pPr>
              <w:pStyle w:val="Tabletext"/>
              <w:keepNext/>
              <w:jc w:val="center"/>
            </w:pPr>
            <w:r>
              <w:rPr>
                <w:szCs w:val="20"/>
              </w:rPr>
              <w:t>$</w:t>
            </w:r>
            <w:r w:rsidR="00277D7E">
              <w:rPr>
                <w:noProof/>
                <w:color w:val="000000"/>
                <w:szCs w:val="20"/>
                <w:highlight w:val="black"/>
              </w:rPr>
              <w:t>'''''''''''''''</w:t>
            </w:r>
          </w:p>
        </w:tc>
      </w:tr>
    </w:tbl>
    <w:p w:rsidR="00B6569C" w:rsidRDefault="00E82474">
      <w:pPr>
        <w:pStyle w:val="TableFooter"/>
        <w:widowControl/>
        <w:rPr>
          <w:snapToGrid/>
        </w:rPr>
      </w:pPr>
      <w:r>
        <w:rPr>
          <w:snapToGrid/>
        </w:rPr>
        <w:t xml:space="preserve">DM = distant metastases; LR = locoregional recurrence; OS = overall survival; QALY = quality adjusted life year; RF = recurrence free; RFS = recurrence free survival </w:t>
      </w:r>
    </w:p>
    <w:p w:rsidR="00B6569C" w:rsidRDefault="00E82474">
      <w:pPr>
        <w:pStyle w:val="TableFooter"/>
        <w:widowControl/>
        <w:rPr>
          <w:snapToGrid/>
        </w:rPr>
      </w:pPr>
      <w:r>
        <w:rPr>
          <w:snapToGrid/>
        </w:rPr>
        <w:t>Source: Table 3.10-1, pp.202-203 of the resubmission; additional sensitivity analyses conducted during the evaluation based on Att 18 CEMs Excel spreadsheet</w:t>
      </w:r>
    </w:p>
    <w:p w:rsidR="00B6569C" w:rsidRDefault="00B6569C">
      <w:pPr>
        <w:pStyle w:val="TableFooter"/>
        <w:widowControl/>
        <w:rPr>
          <w:snapToGrid/>
        </w:rPr>
      </w:pPr>
    </w:p>
    <w:p w:rsidR="00B6569C" w:rsidRDefault="00E82474">
      <w:pPr>
        <w:widowControl/>
      </w:pPr>
      <w:r>
        <w:t>The redacted table shows ICERS in the range of $15,000/QALY - $75,000/QALY.</w:t>
      </w:r>
    </w:p>
    <w:p w:rsidR="00B6569C" w:rsidRDefault="00B6569C">
      <w:pPr>
        <w:widowControl/>
      </w:pPr>
    </w:p>
    <w:p w:rsidR="00B6569C" w:rsidRDefault="00E82474">
      <w:pPr>
        <w:pStyle w:val="ListParagraph"/>
        <w:widowControl/>
        <w:numPr>
          <w:ilvl w:val="1"/>
          <w:numId w:val="3"/>
        </w:numPr>
      </w:pPr>
      <w:r>
        <w:t xml:space="preserve">The results of the sensitivity analysis showed that the model was sensitive to the parametric function used to model the treatment effect, time horizon and convergence of treatment effect between year 5 and year 10. The pre-PBAC response stated that the ICER calculated through convergence of treatment effect was unable to be verified and considered that convergence may have been applied to the composite outcome rather than the substates, which have different costs and outcomes. </w:t>
      </w:r>
    </w:p>
    <w:p w:rsidR="00B6569C" w:rsidRDefault="00E82474">
      <w:pPr>
        <w:pStyle w:val="ListParagraph"/>
        <w:widowControl/>
        <w:numPr>
          <w:ilvl w:val="1"/>
          <w:numId w:val="3"/>
        </w:numPr>
      </w:pPr>
      <w:r>
        <w:t>The ESC noted that the structure of the economic model did not allow sensitivity analyses to adequately quantify the uncertainty associated with the extrapolation of the treatment effect over the time horizon of the model. This is important given the immaturity of the recurrence free survival data (median recurrence free survival not yet reached in the pembrolizumab arm), the lack of overall survival data from KN054, and the poor face validity of the model (i.e. did not model reasonable survival estimates in the watchful waiting arm).</w:t>
      </w:r>
    </w:p>
    <w:p w:rsidR="00B6569C" w:rsidRDefault="00E82474">
      <w:pPr>
        <w:pStyle w:val="Heading2"/>
        <w:keepNext/>
        <w:widowControl/>
      </w:pPr>
      <w:bookmarkStart w:id="11" w:name="_Toc9330475"/>
      <w:r>
        <w:t>Drug cost/patient/course</w:t>
      </w:r>
      <w:bookmarkEnd w:id="11"/>
    </w:p>
    <w:p w:rsidR="00B6569C" w:rsidRDefault="00B6569C">
      <w:pPr>
        <w:keepNext/>
        <w:widowControl/>
      </w:pPr>
    </w:p>
    <w:p w:rsidR="00B6569C" w:rsidRDefault="00E82474">
      <w:pPr>
        <w:pStyle w:val="ListParagraph"/>
        <w:keepNext/>
        <w:widowControl/>
        <w:numPr>
          <w:ilvl w:val="1"/>
          <w:numId w:val="3"/>
        </w:numPr>
      </w:pPr>
      <w:r>
        <w:t xml:space="preserve">The resubmission applied an average relative dose intensity of 99.7% to the drug acquisition cost per infusion in the base case of the economic model, but not to the </w:t>
      </w:r>
      <w:r>
        <w:lastRenderedPageBreak/>
        <w:t>financial estimates, resulting in a small difference in the total cost per patient per course.</w:t>
      </w:r>
    </w:p>
    <w:p w:rsidR="00C30C67" w:rsidRDefault="00C30C67" w:rsidP="00C30C67">
      <w:pPr>
        <w:pStyle w:val="TableHeading0"/>
      </w:pPr>
      <w:r>
        <w:t xml:space="preserve">Table </w:t>
      </w:r>
      <w:fldSimple w:instr=" SEQ Table \* ARABIC ">
        <w:r w:rsidR="00632FE3">
          <w:rPr>
            <w:noProof/>
          </w:rPr>
          <w:t>19</w:t>
        </w:r>
      </w:fldSimple>
      <w:r w:rsidRPr="00F0549F">
        <w:t>: Drug cost per patient for pembrolizumab for the adjuvant treatment of resected Stage III melanoma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9: Drug cost per patient for pembrolizumab for the adjuvant treatment of resected Stage III melanoma"/>
      </w:tblPr>
      <w:tblGrid>
        <w:gridCol w:w="2530"/>
        <w:gridCol w:w="2164"/>
        <w:gridCol w:w="2159"/>
        <w:gridCol w:w="2164"/>
      </w:tblGrid>
      <w:tr w:rsidR="00B6569C">
        <w:trPr>
          <w:jc w:val="center"/>
        </w:trPr>
        <w:tc>
          <w:tcPr>
            <w:tcW w:w="1403" w:type="pct"/>
            <w:shd w:val="clear" w:color="auto" w:fill="auto"/>
            <w:vAlign w:val="center"/>
          </w:tcPr>
          <w:p w:rsidR="00B6569C" w:rsidRDefault="00B6569C">
            <w:pPr>
              <w:keepNext/>
              <w:widowControl/>
              <w:jc w:val="left"/>
              <w:rPr>
                <w:rFonts w:ascii="Arial Narrow" w:hAnsi="Arial Narrow"/>
                <w:b/>
                <w:sz w:val="20"/>
                <w:lang w:val="en-US"/>
              </w:rPr>
            </w:pPr>
          </w:p>
        </w:tc>
        <w:tc>
          <w:tcPr>
            <w:tcW w:w="1200" w:type="pct"/>
            <w:shd w:val="clear" w:color="auto" w:fill="auto"/>
            <w:vAlign w:val="center"/>
          </w:tcPr>
          <w:p w:rsidR="00B6569C" w:rsidRDefault="00E82474">
            <w:pPr>
              <w:keepNext/>
              <w:widowControl/>
              <w:jc w:val="center"/>
              <w:rPr>
                <w:rFonts w:ascii="Arial Narrow" w:hAnsi="Arial Narrow"/>
                <w:b/>
                <w:sz w:val="20"/>
                <w:lang w:val="en-US"/>
              </w:rPr>
            </w:pPr>
            <w:r>
              <w:rPr>
                <w:rFonts w:ascii="Arial Narrow" w:hAnsi="Arial Narrow"/>
                <w:b/>
                <w:sz w:val="20"/>
                <w:lang w:val="en-US"/>
              </w:rPr>
              <w:t>Trial dose and duration</w:t>
            </w:r>
          </w:p>
        </w:tc>
        <w:tc>
          <w:tcPr>
            <w:tcW w:w="1197" w:type="pct"/>
            <w:shd w:val="clear" w:color="auto" w:fill="auto"/>
            <w:vAlign w:val="center"/>
          </w:tcPr>
          <w:p w:rsidR="00B6569C" w:rsidRDefault="00E82474">
            <w:pPr>
              <w:keepNext/>
              <w:widowControl/>
              <w:jc w:val="center"/>
              <w:rPr>
                <w:rFonts w:ascii="Arial Narrow" w:hAnsi="Arial Narrow"/>
                <w:b/>
                <w:sz w:val="20"/>
                <w:lang w:val="en-US"/>
              </w:rPr>
            </w:pPr>
            <w:r>
              <w:rPr>
                <w:rFonts w:ascii="Arial Narrow" w:hAnsi="Arial Narrow"/>
                <w:b/>
                <w:sz w:val="20"/>
                <w:lang w:val="en-US"/>
              </w:rPr>
              <w:t>Model</w:t>
            </w:r>
          </w:p>
        </w:tc>
        <w:tc>
          <w:tcPr>
            <w:tcW w:w="1200" w:type="pct"/>
            <w:shd w:val="clear" w:color="auto" w:fill="auto"/>
            <w:vAlign w:val="center"/>
          </w:tcPr>
          <w:p w:rsidR="00B6569C" w:rsidRDefault="00E82474">
            <w:pPr>
              <w:keepNext/>
              <w:widowControl/>
              <w:jc w:val="center"/>
              <w:rPr>
                <w:rFonts w:ascii="Arial Narrow" w:hAnsi="Arial Narrow"/>
                <w:b/>
                <w:sz w:val="20"/>
                <w:lang w:val="en-US"/>
              </w:rPr>
            </w:pPr>
            <w:r>
              <w:rPr>
                <w:rFonts w:ascii="Arial Narrow" w:hAnsi="Arial Narrow"/>
                <w:b/>
                <w:sz w:val="20"/>
                <w:lang w:val="en-US"/>
              </w:rPr>
              <w:t>Financial estimates</w:t>
            </w:r>
          </w:p>
        </w:tc>
      </w:tr>
      <w:tr w:rsidR="00B6569C">
        <w:trPr>
          <w:jc w:val="center"/>
        </w:trPr>
        <w:tc>
          <w:tcPr>
            <w:tcW w:w="1403" w:type="pct"/>
            <w:shd w:val="clear" w:color="auto" w:fill="auto"/>
            <w:vAlign w:val="center"/>
          </w:tcPr>
          <w:p w:rsidR="00B6569C" w:rsidRDefault="00E82474">
            <w:pPr>
              <w:keepNext/>
              <w:widowControl/>
              <w:jc w:val="left"/>
              <w:rPr>
                <w:rFonts w:ascii="Arial Narrow" w:hAnsi="Arial Narrow"/>
                <w:sz w:val="20"/>
                <w:lang w:val="en-US"/>
              </w:rPr>
            </w:pPr>
            <w:r>
              <w:rPr>
                <w:rFonts w:ascii="Arial Narrow" w:hAnsi="Arial Narrow"/>
                <w:sz w:val="20"/>
                <w:lang w:val="en-US"/>
              </w:rPr>
              <w:t>Mean dose</w:t>
            </w:r>
          </w:p>
        </w:tc>
        <w:tc>
          <w:tcPr>
            <w:tcW w:w="1200" w:type="pct"/>
            <w:shd w:val="clear" w:color="auto" w:fill="auto"/>
            <w:vAlign w:val="center"/>
          </w:tcPr>
          <w:p w:rsidR="00B6569C" w:rsidRDefault="00E82474">
            <w:pPr>
              <w:keepNext/>
              <w:widowControl/>
              <w:jc w:val="center"/>
              <w:rPr>
                <w:rFonts w:ascii="Arial Narrow" w:hAnsi="Arial Narrow"/>
                <w:sz w:val="20"/>
                <w:lang w:val="en-US"/>
              </w:rPr>
            </w:pPr>
            <w:r>
              <w:rPr>
                <w:rFonts w:ascii="Arial Narrow" w:hAnsi="Arial Narrow"/>
                <w:sz w:val="20"/>
                <w:lang w:val="en-US"/>
              </w:rPr>
              <w:t>200 mg every 3 weeks</w:t>
            </w:r>
          </w:p>
        </w:tc>
        <w:tc>
          <w:tcPr>
            <w:tcW w:w="1197" w:type="pct"/>
            <w:shd w:val="clear" w:color="auto" w:fill="auto"/>
            <w:vAlign w:val="center"/>
          </w:tcPr>
          <w:p w:rsidR="00B6569C" w:rsidRDefault="00E82474">
            <w:pPr>
              <w:keepNext/>
              <w:widowControl/>
              <w:jc w:val="center"/>
              <w:rPr>
                <w:rFonts w:ascii="Arial Narrow" w:hAnsi="Arial Narrow"/>
                <w:b/>
                <w:sz w:val="20"/>
                <w:lang w:val="en-US"/>
              </w:rPr>
            </w:pPr>
            <w:r>
              <w:rPr>
                <w:rFonts w:ascii="Arial Narrow" w:hAnsi="Arial Narrow"/>
                <w:sz w:val="20"/>
                <w:lang w:val="en-US"/>
              </w:rPr>
              <w:t>200 mg every 3 weeks</w:t>
            </w:r>
          </w:p>
        </w:tc>
        <w:tc>
          <w:tcPr>
            <w:tcW w:w="1200" w:type="pct"/>
            <w:shd w:val="clear" w:color="auto" w:fill="auto"/>
            <w:vAlign w:val="center"/>
          </w:tcPr>
          <w:p w:rsidR="00B6569C" w:rsidRDefault="00E82474">
            <w:pPr>
              <w:keepNext/>
              <w:widowControl/>
              <w:jc w:val="center"/>
              <w:rPr>
                <w:rFonts w:ascii="Arial Narrow" w:hAnsi="Arial Narrow"/>
                <w:sz w:val="20"/>
                <w:lang w:val="en-US"/>
              </w:rPr>
            </w:pPr>
            <w:r>
              <w:rPr>
                <w:rFonts w:ascii="Arial Narrow" w:hAnsi="Arial Narrow"/>
                <w:sz w:val="20"/>
                <w:lang w:val="en-US"/>
              </w:rPr>
              <w:t>200 mg every 3 weeks</w:t>
            </w:r>
          </w:p>
        </w:tc>
      </w:tr>
      <w:tr w:rsidR="00B6569C">
        <w:trPr>
          <w:jc w:val="center"/>
        </w:trPr>
        <w:tc>
          <w:tcPr>
            <w:tcW w:w="1403" w:type="pct"/>
            <w:shd w:val="clear" w:color="auto" w:fill="auto"/>
            <w:vAlign w:val="center"/>
          </w:tcPr>
          <w:p w:rsidR="00B6569C" w:rsidRDefault="00E82474">
            <w:pPr>
              <w:keepNext/>
              <w:widowControl/>
              <w:jc w:val="left"/>
              <w:rPr>
                <w:rFonts w:ascii="Arial Narrow" w:hAnsi="Arial Narrow"/>
                <w:sz w:val="20"/>
                <w:lang w:val="en-US"/>
              </w:rPr>
            </w:pPr>
            <w:r>
              <w:rPr>
                <w:rFonts w:ascii="Arial Narrow" w:hAnsi="Arial Narrow"/>
                <w:sz w:val="20"/>
                <w:lang w:val="en-US"/>
              </w:rPr>
              <w:t>Mean duration</w:t>
            </w:r>
          </w:p>
        </w:tc>
        <w:tc>
          <w:tcPr>
            <w:tcW w:w="1200" w:type="pct"/>
            <w:shd w:val="clear" w:color="auto" w:fill="auto"/>
            <w:vAlign w:val="center"/>
          </w:tcPr>
          <w:p w:rsidR="00B6569C" w:rsidRDefault="00277D7E">
            <w:pPr>
              <w:keepNext/>
              <w:widowControl/>
              <w:jc w:val="center"/>
              <w:rPr>
                <w:rFonts w:ascii="Arial Narrow" w:hAnsi="Arial Narrow"/>
                <w:sz w:val="20"/>
                <w:lang w:val="en-US"/>
              </w:rPr>
            </w:pPr>
            <w:r>
              <w:rPr>
                <w:rFonts w:ascii="Arial Narrow" w:hAnsi="Arial Narrow"/>
                <w:noProof/>
                <w:color w:val="000000"/>
                <w:sz w:val="20"/>
                <w:highlight w:val="black"/>
                <w:lang w:val="en-US"/>
              </w:rPr>
              <w:t>'''''''''''''''''</w:t>
            </w:r>
            <w:r w:rsidR="00E82474">
              <w:rPr>
                <w:rFonts w:ascii="Arial Narrow" w:hAnsi="Arial Narrow"/>
                <w:sz w:val="20"/>
                <w:lang w:val="en-US"/>
              </w:rPr>
              <w:t xml:space="preserve"> cycles</w:t>
            </w:r>
          </w:p>
          <w:p w:rsidR="00B6569C" w:rsidRDefault="00E82474">
            <w:pPr>
              <w:keepNext/>
              <w:widowControl/>
              <w:jc w:val="center"/>
              <w:rPr>
                <w:rFonts w:ascii="Arial Narrow" w:hAnsi="Arial Narrow"/>
                <w:sz w:val="20"/>
                <w:lang w:val="en-US"/>
              </w:rPr>
            </w:pPr>
            <w:r>
              <w:rPr>
                <w:rFonts w:ascii="Arial Narrow" w:hAnsi="Arial Narrow"/>
                <w:sz w:val="20"/>
                <w:lang w:val="en-US"/>
              </w:rPr>
              <w:t>(</w:t>
            </w:r>
            <w:r w:rsidR="00277D7E">
              <w:rPr>
                <w:rFonts w:ascii="Arial Narrow" w:hAnsi="Arial Narrow"/>
                <w:noProof/>
                <w:color w:val="000000"/>
                <w:sz w:val="20"/>
                <w:highlight w:val="black"/>
                <w:lang w:val="en-US"/>
              </w:rPr>
              <w:t>''''''''''''''</w:t>
            </w:r>
            <w:r>
              <w:rPr>
                <w:rFonts w:ascii="Arial Narrow" w:hAnsi="Arial Narrow"/>
                <w:sz w:val="20"/>
                <w:lang w:val="en-US"/>
              </w:rPr>
              <w:t xml:space="preserve"> weeks) </w:t>
            </w:r>
            <w:r>
              <w:rPr>
                <w:rFonts w:ascii="Arial Narrow" w:hAnsi="Arial Narrow"/>
                <w:sz w:val="20"/>
                <w:vertAlign w:val="superscript"/>
                <w:lang w:val="en-US"/>
              </w:rPr>
              <w:t>a</w:t>
            </w:r>
          </w:p>
        </w:tc>
        <w:tc>
          <w:tcPr>
            <w:tcW w:w="1197" w:type="pct"/>
            <w:shd w:val="clear" w:color="auto" w:fill="auto"/>
            <w:vAlign w:val="center"/>
          </w:tcPr>
          <w:p w:rsidR="00B6569C" w:rsidRDefault="00277D7E">
            <w:pPr>
              <w:keepNext/>
              <w:widowControl/>
              <w:jc w:val="center"/>
              <w:rPr>
                <w:rFonts w:ascii="Arial Narrow" w:hAnsi="Arial Narrow"/>
                <w:sz w:val="20"/>
                <w:lang w:val="en-US"/>
              </w:rPr>
            </w:pPr>
            <w:r>
              <w:rPr>
                <w:rFonts w:ascii="Arial Narrow" w:hAnsi="Arial Narrow"/>
                <w:noProof/>
                <w:color w:val="000000"/>
                <w:sz w:val="20"/>
                <w:highlight w:val="black"/>
                <w:lang w:val="en-US"/>
              </w:rPr>
              <w:t>''''''''''''''''''</w:t>
            </w:r>
            <w:r w:rsidR="00E82474">
              <w:rPr>
                <w:rFonts w:ascii="Arial Narrow" w:hAnsi="Arial Narrow"/>
                <w:sz w:val="20"/>
                <w:lang w:val="en-US"/>
              </w:rPr>
              <w:t xml:space="preserve"> cycles</w:t>
            </w:r>
          </w:p>
          <w:p w:rsidR="00B6569C" w:rsidRDefault="00E82474">
            <w:pPr>
              <w:keepNext/>
              <w:widowControl/>
              <w:jc w:val="center"/>
              <w:rPr>
                <w:rFonts w:ascii="Arial Narrow" w:hAnsi="Arial Narrow"/>
                <w:sz w:val="20"/>
                <w:lang w:val="en-US"/>
              </w:rPr>
            </w:pPr>
            <w:r>
              <w:rPr>
                <w:rFonts w:ascii="Arial Narrow" w:hAnsi="Arial Narrow"/>
                <w:sz w:val="20"/>
                <w:lang w:val="en-US"/>
              </w:rPr>
              <w:t>(</w:t>
            </w:r>
            <w:r w:rsidR="00277D7E">
              <w:rPr>
                <w:rFonts w:ascii="Arial Narrow" w:hAnsi="Arial Narrow"/>
                <w:noProof/>
                <w:color w:val="000000"/>
                <w:sz w:val="20"/>
                <w:highlight w:val="black"/>
                <w:lang w:val="en-US"/>
              </w:rPr>
              <w:t>'''''''''''''''</w:t>
            </w:r>
            <w:r>
              <w:rPr>
                <w:rFonts w:ascii="Arial Narrow" w:hAnsi="Arial Narrow"/>
                <w:sz w:val="20"/>
                <w:lang w:val="en-US"/>
              </w:rPr>
              <w:t xml:space="preserve"> weeks) </w:t>
            </w:r>
            <w:r>
              <w:rPr>
                <w:rFonts w:ascii="Arial Narrow" w:hAnsi="Arial Narrow"/>
                <w:sz w:val="20"/>
                <w:vertAlign w:val="superscript"/>
                <w:lang w:val="en-US"/>
              </w:rPr>
              <w:t>a</w:t>
            </w:r>
          </w:p>
        </w:tc>
        <w:tc>
          <w:tcPr>
            <w:tcW w:w="1200" w:type="pct"/>
            <w:shd w:val="clear" w:color="auto" w:fill="auto"/>
            <w:vAlign w:val="center"/>
          </w:tcPr>
          <w:p w:rsidR="00B6569C" w:rsidRDefault="00277D7E">
            <w:pPr>
              <w:keepNext/>
              <w:widowControl/>
              <w:jc w:val="center"/>
              <w:rPr>
                <w:rFonts w:ascii="Arial Narrow" w:hAnsi="Arial Narrow"/>
                <w:sz w:val="20"/>
                <w:lang w:val="en-US"/>
              </w:rPr>
            </w:pPr>
            <w:r>
              <w:rPr>
                <w:rFonts w:ascii="Arial Narrow" w:hAnsi="Arial Narrow"/>
                <w:noProof/>
                <w:color w:val="000000"/>
                <w:sz w:val="20"/>
                <w:highlight w:val="black"/>
                <w:lang w:val="en-US"/>
              </w:rPr>
              <w:t>''''''''''''''''''''</w:t>
            </w:r>
            <w:r w:rsidR="00E82474">
              <w:rPr>
                <w:rFonts w:ascii="Arial Narrow" w:hAnsi="Arial Narrow"/>
                <w:sz w:val="20"/>
                <w:lang w:val="en-US"/>
              </w:rPr>
              <w:t xml:space="preserve"> cycles</w:t>
            </w:r>
          </w:p>
          <w:p w:rsidR="00B6569C" w:rsidRDefault="00E82474">
            <w:pPr>
              <w:keepNext/>
              <w:widowControl/>
              <w:jc w:val="center"/>
              <w:rPr>
                <w:rFonts w:ascii="Arial Narrow" w:hAnsi="Arial Narrow"/>
                <w:b/>
                <w:sz w:val="20"/>
                <w:lang w:val="en-US"/>
              </w:rPr>
            </w:pPr>
            <w:r>
              <w:rPr>
                <w:rFonts w:ascii="Arial Narrow" w:hAnsi="Arial Narrow"/>
                <w:sz w:val="20"/>
                <w:lang w:val="en-US"/>
              </w:rPr>
              <w:t>(</w:t>
            </w:r>
            <w:r w:rsidR="00277D7E">
              <w:rPr>
                <w:rFonts w:ascii="Arial Narrow" w:hAnsi="Arial Narrow"/>
                <w:noProof/>
                <w:color w:val="000000"/>
                <w:sz w:val="20"/>
                <w:highlight w:val="black"/>
                <w:lang w:val="en-US"/>
              </w:rPr>
              <w:t>'''''''''''''</w:t>
            </w:r>
            <w:r>
              <w:rPr>
                <w:rFonts w:ascii="Arial Narrow" w:hAnsi="Arial Narrow"/>
                <w:sz w:val="20"/>
                <w:lang w:val="en-US"/>
              </w:rPr>
              <w:t xml:space="preserve"> weeks) </w:t>
            </w:r>
            <w:r>
              <w:rPr>
                <w:rFonts w:ascii="Arial Narrow" w:hAnsi="Arial Narrow"/>
                <w:sz w:val="20"/>
                <w:vertAlign w:val="superscript"/>
                <w:lang w:val="en-US"/>
              </w:rPr>
              <w:t>a</w:t>
            </w:r>
          </w:p>
        </w:tc>
      </w:tr>
      <w:tr w:rsidR="00B6569C">
        <w:trPr>
          <w:jc w:val="center"/>
        </w:trPr>
        <w:tc>
          <w:tcPr>
            <w:tcW w:w="1403" w:type="pct"/>
            <w:shd w:val="clear" w:color="auto" w:fill="auto"/>
            <w:vAlign w:val="center"/>
          </w:tcPr>
          <w:p w:rsidR="00B6569C" w:rsidRDefault="00E82474">
            <w:pPr>
              <w:keepNext/>
              <w:widowControl/>
              <w:jc w:val="left"/>
              <w:rPr>
                <w:rFonts w:ascii="Arial Narrow" w:hAnsi="Arial Narrow"/>
                <w:sz w:val="20"/>
                <w:lang w:val="en-US"/>
              </w:rPr>
            </w:pPr>
            <w:r>
              <w:rPr>
                <w:rFonts w:ascii="Arial Narrow" w:hAnsi="Arial Narrow"/>
                <w:sz w:val="20"/>
                <w:lang w:val="en-US"/>
              </w:rPr>
              <w:t>Relative dose intensity</w:t>
            </w:r>
          </w:p>
        </w:tc>
        <w:tc>
          <w:tcPr>
            <w:tcW w:w="1200" w:type="pct"/>
            <w:shd w:val="clear" w:color="auto" w:fill="auto"/>
            <w:vAlign w:val="center"/>
          </w:tcPr>
          <w:p w:rsidR="00B6569C" w:rsidRDefault="00E82474">
            <w:pPr>
              <w:keepNext/>
              <w:widowControl/>
              <w:jc w:val="center"/>
              <w:rPr>
                <w:rFonts w:ascii="Arial Narrow" w:hAnsi="Arial Narrow"/>
                <w:sz w:val="20"/>
                <w:vertAlign w:val="superscript"/>
                <w:lang w:val="en-US"/>
              </w:rPr>
            </w:pPr>
            <w:r>
              <w:rPr>
                <w:rFonts w:ascii="Arial Narrow" w:hAnsi="Arial Narrow"/>
                <w:sz w:val="20"/>
                <w:lang w:val="en-US"/>
              </w:rPr>
              <w:t xml:space="preserve">99.7% </w:t>
            </w:r>
            <w:r>
              <w:rPr>
                <w:rFonts w:ascii="Arial Narrow" w:hAnsi="Arial Narrow"/>
                <w:sz w:val="20"/>
                <w:vertAlign w:val="superscript"/>
                <w:lang w:val="en-US"/>
              </w:rPr>
              <w:t>b</w:t>
            </w:r>
          </w:p>
        </w:tc>
        <w:tc>
          <w:tcPr>
            <w:tcW w:w="1197" w:type="pct"/>
            <w:shd w:val="clear" w:color="auto" w:fill="auto"/>
            <w:vAlign w:val="center"/>
          </w:tcPr>
          <w:p w:rsidR="00B6569C" w:rsidRDefault="00E82474">
            <w:pPr>
              <w:keepNext/>
              <w:widowControl/>
              <w:jc w:val="center"/>
              <w:rPr>
                <w:rFonts w:ascii="Arial Narrow" w:hAnsi="Arial Narrow"/>
                <w:sz w:val="20"/>
                <w:vertAlign w:val="superscript"/>
                <w:lang w:val="en-US"/>
              </w:rPr>
            </w:pPr>
            <w:r>
              <w:rPr>
                <w:rFonts w:ascii="Arial Narrow" w:hAnsi="Arial Narrow"/>
                <w:sz w:val="20"/>
                <w:lang w:val="en-US"/>
              </w:rPr>
              <w:t xml:space="preserve">99.7% </w:t>
            </w:r>
            <w:r>
              <w:rPr>
                <w:rFonts w:ascii="Arial Narrow" w:hAnsi="Arial Narrow"/>
                <w:sz w:val="20"/>
                <w:vertAlign w:val="superscript"/>
                <w:lang w:val="en-US"/>
              </w:rPr>
              <w:t>b</w:t>
            </w:r>
          </w:p>
        </w:tc>
        <w:tc>
          <w:tcPr>
            <w:tcW w:w="1200" w:type="pct"/>
            <w:shd w:val="clear" w:color="auto" w:fill="auto"/>
            <w:vAlign w:val="center"/>
          </w:tcPr>
          <w:p w:rsidR="00B6569C" w:rsidRDefault="00E82474">
            <w:pPr>
              <w:keepNext/>
              <w:widowControl/>
              <w:jc w:val="center"/>
              <w:rPr>
                <w:rFonts w:ascii="Arial Narrow" w:hAnsi="Arial Narrow"/>
                <w:sz w:val="20"/>
                <w:lang w:val="en-US"/>
              </w:rPr>
            </w:pPr>
            <w:r>
              <w:rPr>
                <w:rFonts w:ascii="Arial Narrow" w:hAnsi="Arial Narrow"/>
                <w:sz w:val="20"/>
                <w:lang w:val="en-US"/>
              </w:rPr>
              <w:t>Not applied</w:t>
            </w:r>
          </w:p>
        </w:tc>
      </w:tr>
      <w:tr w:rsidR="00B6569C">
        <w:trPr>
          <w:jc w:val="center"/>
        </w:trPr>
        <w:tc>
          <w:tcPr>
            <w:tcW w:w="1403" w:type="pct"/>
            <w:shd w:val="clear" w:color="auto" w:fill="auto"/>
            <w:vAlign w:val="center"/>
          </w:tcPr>
          <w:p w:rsidR="00B6569C" w:rsidRDefault="00E82474">
            <w:pPr>
              <w:keepNext/>
              <w:widowControl/>
              <w:jc w:val="left"/>
              <w:rPr>
                <w:rFonts w:ascii="Arial Narrow" w:hAnsi="Arial Narrow"/>
                <w:sz w:val="20"/>
                <w:lang w:val="en-US"/>
              </w:rPr>
            </w:pPr>
            <w:r>
              <w:rPr>
                <w:rFonts w:ascii="Arial Narrow" w:hAnsi="Arial Narrow"/>
                <w:sz w:val="20"/>
                <w:lang w:val="en-US"/>
              </w:rPr>
              <w:t>Cost/patient/cycle (3 weeks)</w:t>
            </w:r>
          </w:p>
        </w:tc>
        <w:tc>
          <w:tcPr>
            <w:tcW w:w="1200" w:type="pct"/>
            <w:shd w:val="clear" w:color="auto" w:fill="auto"/>
            <w:vAlign w:val="center"/>
          </w:tcPr>
          <w:p w:rsidR="00B6569C" w:rsidRDefault="00E82474">
            <w:pPr>
              <w:keepNext/>
              <w:widowControl/>
              <w:jc w:val="center"/>
              <w:rPr>
                <w:rFonts w:ascii="Arial Narrow" w:hAnsi="Arial Narrow"/>
                <w:sz w:val="20"/>
                <w:vertAlign w:val="superscript"/>
                <w:lang w:val="en-US"/>
              </w:rPr>
            </w:pPr>
            <w:r>
              <w:rPr>
                <w:rFonts w:ascii="Arial Narrow" w:hAnsi="Arial Narrow"/>
                <w:sz w:val="20"/>
                <w:lang w:val="en-US"/>
              </w:rPr>
              <w:t>$</w:t>
            </w:r>
            <w:r w:rsidR="00277D7E">
              <w:rPr>
                <w:rFonts w:ascii="Arial Narrow" w:hAnsi="Arial Narrow"/>
                <w:noProof/>
                <w:color w:val="000000"/>
                <w:sz w:val="20"/>
                <w:highlight w:val="black"/>
                <w:lang w:val="en-US"/>
              </w:rPr>
              <w:t>'''''''''''''''''''' ''''</w:t>
            </w:r>
          </w:p>
        </w:tc>
        <w:tc>
          <w:tcPr>
            <w:tcW w:w="1197" w:type="pct"/>
            <w:shd w:val="clear" w:color="auto" w:fill="auto"/>
            <w:vAlign w:val="center"/>
          </w:tcPr>
          <w:p w:rsidR="00B6569C" w:rsidRDefault="00E82474">
            <w:pPr>
              <w:keepNext/>
              <w:widowControl/>
              <w:jc w:val="center"/>
              <w:rPr>
                <w:rFonts w:ascii="Arial Narrow" w:hAnsi="Arial Narrow"/>
                <w:sz w:val="20"/>
                <w:lang w:val="en-US"/>
              </w:rPr>
            </w:pPr>
            <w:r>
              <w:rPr>
                <w:rFonts w:ascii="Arial Narrow" w:hAnsi="Arial Narrow"/>
                <w:sz w:val="20"/>
                <w:lang w:val="en-US"/>
              </w:rPr>
              <w:t>$</w:t>
            </w:r>
            <w:r w:rsidR="00277D7E">
              <w:rPr>
                <w:rFonts w:ascii="Arial Narrow" w:hAnsi="Arial Narrow"/>
                <w:noProof/>
                <w:color w:val="000000"/>
                <w:sz w:val="20"/>
                <w:highlight w:val="black"/>
                <w:lang w:val="en-US"/>
              </w:rPr>
              <w:t>''''''''''''''''''' '''</w:t>
            </w:r>
          </w:p>
        </w:tc>
        <w:tc>
          <w:tcPr>
            <w:tcW w:w="1200" w:type="pct"/>
            <w:shd w:val="clear" w:color="auto" w:fill="auto"/>
            <w:vAlign w:val="center"/>
          </w:tcPr>
          <w:p w:rsidR="00B6569C" w:rsidRDefault="00E82474">
            <w:pPr>
              <w:keepNext/>
              <w:widowControl/>
              <w:jc w:val="center"/>
              <w:rPr>
                <w:rFonts w:ascii="Arial Narrow" w:hAnsi="Arial Narrow"/>
                <w:sz w:val="20"/>
                <w:lang w:val="en-US"/>
              </w:rPr>
            </w:pPr>
            <w:r>
              <w:rPr>
                <w:rFonts w:ascii="Arial Narrow" w:hAnsi="Arial Narrow"/>
                <w:sz w:val="20"/>
                <w:lang w:val="en-US"/>
              </w:rPr>
              <w:t>$</w:t>
            </w:r>
            <w:r w:rsidR="00277D7E">
              <w:rPr>
                <w:rFonts w:ascii="Arial Narrow" w:hAnsi="Arial Narrow"/>
                <w:noProof/>
                <w:color w:val="000000"/>
                <w:sz w:val="20"/>
                <w:highlight w:val="black"/>
                <w:lang w:val="en-US"/>
              </w:rPr>
              <w:t>''''''''''''''''''' '''</w:t>
            </w:r>
          </w:p>
        </w:tc>
      </w:tr>
      <w:tr w:rsidR="00B6569C">
        <w:trPr>
          <w:jc w:val="center"/>
        </w:trPr>
        <w:tc>
          <w:tcPr>
            <w:tcW w:w="1403" w:type="pct"/>
            <w:shd w:val="clear" w:color="auto" w:fill="auto"/>
            <w:vAlign w:val="center"/>
          </w:tcPr>
          <w:p w:rsidR="00B6569C" w:rsidRDefault="00E82474">
            <w:pPr>
              <w:keepNext/>
              <w:widowControl/>
              <w:jc w:val="left"/>
              <w:rPr>
                <w:rFonts w:ascii="Arial Narrow" w:hAnsi="Arial Narrow"/>
                <w:sz w:val="20"/>
                <w:lang w:val="en-US"/>
              </w:rPr>
            </w:pPr>
            <w:r>
              <w:rPr>
                <w:rFonts w:ascii="Arial Narrow" w:hAnsi="Arial Narrow"/>
                <w:sz w:val="20"/>
                <w:lang w:val="en-US"/>
              </w:rPr>
              <w:t>Cost/patient/course</w:t>
            </w:r>
          </w:p>
        </w:tc>
        <w:tc>
          <w:tcPr>
            <w:tcW w:w="1200" w:type="pct"/>
            <w:shd w:val="clear" w:color="auto" w:fill="auto"/>
            <w:vAlign w:val="center"/>
          </w:tcPr>
          <w:p w:rsidR="00B6569C" w:rsidRDefault="00E82474">
            <w:pPr>
              <w:keepNext/>
              <w:widowControl/>
              <w:jc w:val="center"/>
              <w:rPr>
                <w:rFonts w:ascii="Arial Narrow" w:hAnsi="Arial Narrow"/>
                <w:sz w:val="20"/>
                <w:lang w:val="en-US"/>
              </w:rPr>
            </w:pPr>
            <w:r>
              <w:rPr>
                <w:rFonts w:ascii="Arial Narrow" w:hAnsi="Arial Narrow"/>
                <w:sz w:val="20"/>
                <w:lang w:val="en-US"/>
              </w:rPr>
              <w:t>$</w:t>
            </w:r>
            <w:r w:rsidR="00277D7E">
              <w:rPr>
                <w:rFonts w:ascii="Arial Narrow" w:hAnsi="Arial Narrow"/>
                <w:noProof/>
                <w:color w:val="000000"/>
                <w:sz w:val="20"/>
                <w:highlight w:val="black"/>
                <w:lang w:val="en-US"/>
              </w:rPr>
              <w:t>''''''''''''''''''''' '''</w:t>
            </w:r>
          </w:p>
        </w:tc>
        <w:tc>
          <w:tcPr>
            <w:tcW w:w="1197" w:type="pct"/>
            <w:shd w:val="clear" w:color="auto" w:fill="auto"/>
            <w:vAlign w:val="center"/>
          </w:tcPr>
          <w:p w:rsidR="00B6569C" w:rsidRDefault="00E82474">
            <w:pPr>
              <w:keepNext/>
              <w:widowControl/>
              <w:jc w:val="center"/>
              <w:rPr>
                <w:rFonts w:ascii="Arial Narrow" w:hAnsi="Arial Narrow"/>
                <w:sz w:val="20"/>
                <w:vertAlign w:val="superscript"/>
                <w:lang w:val="en-US"/>
              </w:rPr>
            </w:pPr>
            <w:r>
              <w:rPr>
                <w:rFonts w:ascii="Arial Narrow" w:hAnsi="Arial Narrow"/>
                <w:sz w:val="20"/>
                <w:lang w:val="en-US"/>
              </w:rPr>
              <w:t>$</w:t>
            </w:r>
            <w:r w:rsidR="00277D7E">
              <w:rPr>
                <w:rFonts w:ascii="Arial Narrow" w:hAnsi="Arial Narrow"/>
                <w:noProof/>
                <w:color w:val="000000"/>
                <w:sz w:val="20"/>
                <w:highlight w:val="black"/>
                <w:lang w:val="en-US"/>
              </w:rPr>
              <w:t>''''''''''''''''''''''''' ''''</w:t>
            </w:r>
          </w:p>
        </w:tc>
        <w:tc>
          <w:tcPr>
            <w:tcW w:w="1200" w:type="pct"/>
            <w:shd w:val="clear" w:color="auto" w:fill="auto"/>
            <w:vAlign w:val="center"/>
          </w:tcPr>
          <w:p w:rsidR="00B6569C" w:rsidRDefault="00E82474">
            <w:pPr>
              <w:keepNext/>
              <w:widowControl/>
              <w:jc w:val="center"/>
              <w:rPr>
                <w:rFonts w:ascii="Arial Narrow" w:hAnsi="Arial Narrow"/>
                <w:sz w:val="20"/>
                <w:vertAlign w:val="superscript"/>
                <w:lang w:val="en-US"/>
              </w:rPr>
            </w:pPr>
            <w:r>
              <w:rPr>
                <w:rFonts w:ascii="Arial Narrow" w:hAnsi="Arial Narrow"/>
                <w:sz w:val="20"/>
                <w:lang w:val="en-US"/>
              </w:rPr>
              <w:t>$</w:t>
            </w:r>
            <w:r w:rsidR="00277D7E">
              <w:rPr>
                <w:rFonts w:ascii="Arial Narrow" w:hAnsi="Arial Narrow"/>
                <w:noProof/>
                <w:color w:val="000000"/>
                <w:sz w:val="20"/>
                <w:highlight w:val="black"/>
                <w:lang w:val="en-US"/>
              </w:rPr>
              <w:t>'''''''''''''''''''''''' ''</w:t>
            </w:r>
          </w:p>
        </w:tc>
      </w:tr>
    </w:tbl>
    <w:p w:rsidR="00B6569C" w:rsidRDefault="00E82474">
      <w:pPr>
        <w:pStyle w:val="TableFooter"/>
        <w:widowControl/>
      </w:pPr>
      <w:r>
        <w:t>Source: Att 20 BIM.xlsx Section 4 spreadsheet; Att18 CEM.xlsm Section 3 spreadsheet; Section 2.4.2, pp66-67 of the resubmission.</w:t>
      </w:r>
    </w:p>
    <w:p w:rsidR="00B6569C" w:rsidRDefault="00E82474">
      <w:pPr>
        <w:pStyle w:val="TableFooter"/>
        <w:widowControl/>
      </w:pPr>
      <w:r>
        <w:rPr>
          <w:vertAlign w:val="superscript"/>
        </w:rPr>
        <w:t>a</w:t>
      </w:r>
      <w:r>
        <w:t xml:space="preserve"> From trial-based progression-free survival curves, average treatment duration for Stage IIIA, B, C and D. One cycle is 3 weeks duration.</w:t>
      </w:r>
    </w:p>
    <w:p w:rsidR="00B6569C" w:rsidRDefault="00E82474">
      <w:pPr>
        <w:pStyle w:val="TableFooter"/>
        <w:widowControl/>
      </w:pPr>
      <w:r>
        <w:rPr>
          <w:vertAlign w:val="superscript"/>
        </w:rPr>
        <w:t xml:space="preserve">b </w:t>
      </w:r>
      <w:r>
        <w:t>Trial-based relative dose intensity. The resubmission reported that the relative dose intensity was not included in the modelled financial estimates (Table 1.1-1, p3 of the resubmission), however the resubmission later stated that the trial-based relative dose intensity was applied to the drug acquisition cost per infusion in the base case of the model in the adjuvant setting (Section 3.6.1.1, p158 of the resubmission).</w:t>
      </w:r>
    </w:p>
    <w:p w:rsidR="00B6569C" w:rsidRDefault="00E82474">
      <w:pPr>
        <w:pStyle w:val="TableFooter"/>
        <w:widowControl/>
      </w:pPr>
      <w:r>
        <w:rPr>
          <w:vertAlign w:val="superscript"/>
        </w:rPr>
        <w:t>c</w:t>
      </w:r>
      <w:r>
        <w:t xml:space="preserve"> Weighted average (36.1% public/63.9% private hospital use) dispensed cost per administration (2 x 100 mg vials) x relative dose intensity; effective price.</w:t>
      </w:r>
    </w:p>
    <w:p w:rsidR="00B6569C" w:rsidRDefault="00E82474">
      <w:pPr>
        <w:pStyle w:val="TableFooter"/>
        <w:widowControl/>
      </w:pPr>
      <w:r>
        <w:rPr>
          <w:vertAlign w:val="superscript"/>
        </w:rPr>
        <w:t xml:space="preserve">d </w:t>
      </w:r>
      <w:r>
        <w:t>Weighted average (36.1% public/63.9% private hospital use) dispensed cost per administration (2 x 100 mg vials); effective price. Dispensed cost per administration for 2 x 100 mg vials is $</w:t>
      </w:r>
      <w:r w:rsidR="00277D7E">
        <w:rPr>
          <w:noProof/>
          <w:color w:val="000000"/>
          <w:highlight w:val="black"/>
        </w:rPr>
        <w:t>'''''''''''''''''''</w:t>
      </w:r>
      <w:r>
        <w:t xml:space="preserve"> for public hospital; $</w:t>
      </w:r>
      <w:r w:rsidR="00277D7E">
        <w:rPr>
          <w:noProof/>
          <w:color w:val="000000"/>
          <w:highlight w:val="black"/>
        </w:rPr>
        <w:t>'''''''''''''''''''''''</w:t>
      </w:r>
      <w:r>
        <w:t xml:space="preserve"> for private hospital (effective prices)</w:t>
      </w:r>
    </w:p>
    <w:p w:rsidR="00B6569C" w:rsidRDefault="00E82474">
      <w:pPr>
        <w:pStyle w:val="TableFooter"/>
        <w:widowControl/>
      </w:pPr>
      <w:r>
        <w:rPr>
          <w:vertAlign w:val="superscript"/>
        </w:rPr>
        <w:t>e</w:t>
      </w:r>
      <w:r>
        <w:t xml:space="preserve"> Weighted average cost/cycle x relative dose intensity x mean duration; effective price.</w:t>
      </w:r>
    </w:p>
    <w:p w:rsidR="00B6569C" w:rsidRDefault="00E82474">
      <w:pPr>
        <w:pStyle w:val="TableFooter"/>
        <w:widowControl/>
      </w:pPr>
      <w:r>
        <w:rPr>
          <w:vertAlign w:val="superscript"/>
        </w:rPr>
        <w:t>f</w:t>
      </w:r>
      <w:r>
        <w:t xml:space="preserve"> Weighted average cost/cycle x mean duration; effective price.</w:t>
      </w:r>
    </w:p>
    <w:p w:rsidR="00B6569C" w:rsidRDefault="00B6569C">
      <w:pPr>
        <w:pStyle w:val="TableFooter"/>
        <w:widowControl/>
      </w:pPr>
    </w:p>
    <w:p w:rsidR="00B6569C" w:rsidRDefault="00E82474">
      <w:pPr>
        <w:pStyle w:val="ListParagraph"/>
        <w:keepNext/>
        <w:widowControl/>
        <w:numPr>
          <w:ilvl w:val="1"/>
          <w:numId w:val="3"/>
        </w:numPr>
      </w:pPr>
      <w:r>
        <w:t>The estimated (effective) drug cost per patient per course in the previous submission was $</w:t>
      </w:r>
      <w:r w:rsidR="00277D7E">
        <w:rPr>
          <w:noProof/>
          <w:color w:val="000000"/>
          <w:highlight w:val="black"/>
        </w:rPr>
        <w:t>''''''''''''''</w:t>
      </w:r>
      <w:r>
        <w:t>.</w:t>
      </w:r>
    </w:p>
    <w:p w:rsidR="00B6569C" w:rsidRDefault="00E82474">
      <w:pPr>
        <w:pStyle w:val="Heading2"/>
        <w:widowControl/>
      </w:pPr>
      <w:bookmarkStart w:id="12" w:name="_Toc9330476"/>
      <w:r>
        <w:t>Estimated PBS usage &amp; financial implications</w:t>
      </w:r>
      <w:bookmarkEnd w:id="12"/>
    </w:p>
    <w:p w:rsidR="00B6569C" w:rsidRDefault="00B6569C">
      <w:pPr>
        <w:widowControl/>
        <w:ind w:left="720" w:hanging="720"/>
        <w:rPr>
          <w:b/>
          <w:i/>
        </w:rPr>
      </w:pPr>
    </w:p>
    <w:p w:rsidR="00B6569C" w:rsidRDefault="00E82474">
      <w:pPr>
        <w:pStyle w:val="ListParagraph"/>
        <w:widowControl/>
        <w:numPr>
          <w:ilvl w:val="1"/>
          <w:numId w:val="3"/>
        </w:numPr>
      </w:pPr>
      <w:r>
        <w:t xml:space="preserve">The resubmission was not considered by DUSC. The resubmission used an epidemiological approach to estimate the utilisation and financial implications associated with PBS listing of pembrolizumab for the adjuvant treatment of resected Stage III melanoma, excluding Stage IIIA ≤ 1mm metastases. </w:t>
      </w:r>
    </w:p>
    <w:p w:rsidR="00B6569C" w:rsidRDefault="00E82474">
      <w:pPr>
        <w:pStyle w:val="ListParagraph"/>
        <w:widowControl/>
        <w:numPr>
          <w:ilvl w:val="1"/>
          <w:numId w:val="3"/>
        </w:numPr>
      </w:pPr>
      <w:r>
        <w:t>Compared with the previous submission, the ESC noted that patient numbers were slightly increased despite the PBAC considering that the utilisation estimates were overestimated in November 2018 (paragraph 7.11, pembrolizumab PSD, November 2018). The resubmission used an updated data source (AIHW/NSW Cancer Institute, 2010) to estimate the incident population (8.5% compared with 8% previously) which the ESC noted was likely high when compared to more recent figures released by the National Cancer Control Indicators (26 April 2018) which stated 3.0% of patients were Stage III at diagnosis. The resubmission estimated the number of patients with Stage III melanoma excluding Stage IIIA ≤ 1 mm in line with the proposed restriction (applying a lower uptake rate [50%] to the predicted proportion of Stage IIIA patients); and estimated cost offsets associated with the avoidance of disease recurrence and treatment of advanced melanoma. Prices were updated to reflect changes to hospital and dispensing fees.</w:t>
      </w:r>
    </w:p>
    <w:p w:rsidR="00B6569C" w:rsidRDefault="00E82474">
      <w:pPr>
        <w:pStyle w:val="ListParagraph"/>
        <w:widowControl/>
        <w:numPr>
          <w:ilvl w:val="1"/>
          <w:numId w:val="3"/>
        </w:numPr>
      </w:pPr>
      <w:r>
        <w:t xml:space="preserve">The pre-PBAC response stated that the National Cancer Control Indicators were derived from 2011 AIHW data, and that recently released data from the NSW Cancer </w:t>
      </w:r>
      <w:r>
        <w:lastRenderedPageBreak/>
        <w:t>Institute (2019) based on diagnosis rates from 2011 to 2015 demonstrate that the regional (Stage III) diagnosis rate is 8.6%.</w:t>
      </w:r>
    </w:p>
    <w:p w:rsidR="00C30C67" w:rsidRDefault="00C30C67" w:rsidP="00C30C67">
      <w:pPr>
        <w:pStyle w:val="TableHeading0"/>
      </w:pPr>
      <w:r>
        <w:t xml:space="preserve">Table </w:t>
      </w:r>
      <w:fldSimple w:instr=" SEQ Table \* ARABIC ">
        <w:r w:rsidR="00632FE3">
          <w:rPr>
            <w:noProof/>
          </w:rPr>
          <w:t>20</w:t>
        </w:r>
      </w:fldSimple>
      <w:r w:rsidRPr="0090561D">
        <w:t>: Expected use and financial impact of listing pembrolizumab for the adjuvant treatment of Stage III melanoma (excluding Stage IIIA ≤ 1 mm)</w:t>
      </w:r>
    </w:p>
    <w:tbl>
      <w:tblPr>
        <w:tblStyle w:val="TableGrid"/>
        <w:tblW w:w="5000" w:type="pct"/>
        <w:tblLayout w:type="fixed"/>
        <w:tblCellMar>
          <w:left w:w="28" w:type="dxa"/>
          <w:right w:w="28" w:type="dxa"/>
        </w:tblCellMar>
        <w:tblLook w:val="04A0" w:firstRow="1" w:lastRow="0" w:firstColumn="1" w:lastColumn="0" w:noHBand="0" w:noVBand="1"/>
        <w:tblCaption w:val="Table 20: Expected use and financial impact of listing pembrolizumab for the adjuvant treatment of Stage III melanoma (excluding Stage IIIA ≤ 1 mm)"/>
      </w:tblPr>
      <w:tblGrid>
        <w:gridCol w:w="2235"/>
        <w:gridCol w:w="1162"/>
        <w:gridCol w:w="1134"/>
        <w:gridCol w:w="1136"/>
        <w:gridCol w:w="1136"/>
        <w:gridCol w:w="1136"/>
        <w:gridCol w:w="1078"/>
      </w:tblGrid>
      <w:tr w:rsidR="00B6569C">
        <w:trPr>
          <w:tblHeader/>
        </w:trPr>
        <w:tc>
          <w:tcPr>
            <w:tcW w:w="1239" w:type="pct"/>
          </w:tcPr>
          <w:p w:rsidR="00B6569C" w:rsidRDefault="00B6569C">
            <w:pPr>
              <w:pStyle w:val="Tabletext"/>
              <w:rPr>
                <w:szCs w:val="20"/>
              </w:rPr>
            </w:pPr>
          </w:p>
        </w:tc>
        <w:tc>
          <w:tcPr>
            <w:tcW w:w="644" w:type="pct"/>
            <w:shd w:val="clear" w:color="auto" w:fill="auto"/>
            <w:vAlign w:val="center"/>
          </w:tcPr>
          <w:p w:rsidR="00B6569C" w:rsidRDefault="00E82474">
            <w:pPr>
              <w:pStyle w:val="Tabletext"/>
              <w:jc w:val="center"/>
              <w:rPr>
                <w:b/>
                <w:szCs w:val="20"/>
              </w:rPr>
            </w:pPr>
            <w:r>
              <w:rPr>
                <w:b/>
                <w:szCs w:val="20"/>
              </w:rPr>
              <w:t>Year 1</w:t>
            </w:r>
          </w:p>
          <w:p w:rsidR="00B6569C" w:rsidRDefault="00E82474">
            <w:pPr>
              <w:pStyle w:val="Tabletext"/>
              <w:jc w:val="center"/>
              <w:rPr>
                <w:b/>
                <w:szCs w:val="20"/>
              </w:rPr>
            </w:pPr>
            <w:r>
              <w:rPr>
                <w:b/>
                <w:szCs w:val="20"/>
              </w:rPr>
              <w:t>(2020)</w:t>
            </w:r>
          </w:p>
        </w:tc>
        <w:tc>
          <w:tcPr>
            <w:tcW w:w="629" w:type="pct"/>
            <w:shd w:val="clear" w:color="auto" w:fill="auto"/>
            <w:vAlign w:val="center"/>
          </w:tcPr>
          <w:p w:rsidR="00B6569C" w:rsidRDefault="00E82474">
            <w:pPr>
              <w:pStyle w:val="Tabletext"/>
              <w:jc w:val="center"/>
              <w:rPr>
                <w:b/>
                <w:szCs w:val="20"/>
              </w:rPr>
            </w:pPr>
            <w:r>
              <w:rPr>
                <w:b/>
                <w:szCs w:val="20"/>
              </w:rPr>
              <w:t>Year 2</w:t>
            </w:r>
          </w:p>
          <w:p w:rsidR="00B6569C" w:rsidRDefault="00E82474">
            <w:pPr>
              <w:pStyle w:val="Tabletext"/>
              <w:jc w:val="center"/>
              <w:rPr>
                <w:b/>
                <w:szCs w:val="20"/>
              </w:rPr>
            </w:pPr>
            <w:r>
              <w:rPr>
                <w:b/>
                <w:szCs w:val="20"/>
              </w:rPr>
              <w:t>(2021)</w:t>
            </w:r>
          </w:p>
        </w:tc>
        <w:tc>
          <w:tcPr>
            <w:tcW w:w="630" w:type="pct"/>
            <w:shd w:val="clear" w:color="auto" w:fill="auto"/>
            <w:vAlign w:val="center"/>
          </w:tcPr>
          <w:p w:rsidR="00B6569C" w:rsidRDefault="00E82474">
            <w:pPr>
              <w:pStyle w:val="Tabletext"/>
              <w:jc w:val="center"/>
              <w:rPr>
                <w:b/>
                <w:szCs w:val="20"/>
              </w:rPr>
            </w:pPr>
            <w:r>
              <w:rPr>
                <w:b/>
                <w:szCs w:val="20"/>
              </w:rPr>
              <w:t>Year 3</w:t>
            </w:r>
          </w:p>
          <w:p w:rsidR="00B6569C" w:rsidRDefault="00E82474">
            <w:pPr>
              <w:pStyle w:val="Tabletext"/>
              <w:jc w:val="center"/>
              <w:rPr>
                <w:b/>
                <w:szCs w:val="20"/>
              </w:rPr>
            </w:pPr>
            <w:r>
              <w:rPr>
                <w:b/>
                <w:szCs w:val="20"/>
              </w:rPr>
              <w:t>(2022)</w:t>
            </w:r>
          </w:p>
        </w:tc>
        <w:tc>
          <w:tcPr>
            <w:tcW w:w="630" w:type="pct"/>
            <w:shd w:val="clear" w:color="auto" w:fill="auto"/>
            <w:vAlign w:val="center"/>
          </w:tcPr>
          <w:p w:rsidR="00B6569C" w:rsidRDefault="00E82474">
            <w:pPr>
              <w:pStyle w:val="Tabletext"/>
              <w:jc w:val="center"/>
              <w:rPr>
                <w:b/>
                <w:szCs w:val="20"/>
              </w:rPr>
            </w:pPr>
            <w:r>
              <w:rPr>
                <w:b/>
                <w:szCs w:val="20"/>
              </w:rPr>
              <w:t>Year 4</w:t>
            </w:r>
          </w:p>
          <w:p w:rsidR="00B6569C" w:rsidRDefault="00E82474">
            <w:pPr>
              <w:pStyle w:val="Tabletext"/>
              <w:jc w:val="center"/>
              <w:rPr>
                <w:b/>
                <w:szCs w:val="20"/>
              </w:rPr>
            </w:pPr>
            <w:r>
              <w:rPr>
                <w:b/>
                <w:szCs w:val="20"/>
              </w:rPr>
              <w:t>(2023)</w:t>
            </w:r>
          </w:p>
        </w:tc>
        <w:tc>
          <w:tcPr>
            <w:tcW w:w="630" w:type="pct"/>
            <w:shd w:val="clear" w:color="auto" w:fill="auto"/>
            <w:vAlign w:val="center"/>
          </w:tcPr>
          <w:p w:rsidR="00B6569C" w:rsidRDefault="00E82474">
            <w:pPr>
              <w:pStyle w:val="Tabletext"/>
              <w:jc w:val="center"/>
              <w:rPr>
                <w:b/>
                <w:szCs w:val="20"/>
              </w:rPr>
            </w:pPr>
            <w:r>
              <w:rPr>
                <w:b/>
                <w:szCs w:val="20"/>
              </w:rPr>
              <w:t>Year 5</w:t>
            </w:r>
          </w:p>
          <w:p w:rsidR="00B6569C" w:rsidRDefault="00E82474">
            <w:pPr>
              <w:pStyle w:val="Tabletext"/>
              <w:jc w:val="center"/>
              <w:rPr>
                <w:b/>
                <w:szCs w:val="20"/>
              </w:rPr>
            </w:pPr>
            <w:r>
              <w:rPr>
                <w:b/>
                <w:szCs w:val="20"/>
              </w:rPr>
              <w:t>(2024)</w:t>
            </w:r>
          </w:p>
        </w:tc>
        <w:tc>
          <w:tcPr>
            <w:tcW w:w="598" w:type="pct"/>
            <w:shd w:val="clear" w:color="auto" w:fill="auto"/>
            <w:vAlign w:val="center"/>
          </w:tcPr>
          <w:p w:rsidR="00B6569C" w:rsidRDefault="00E82474">
            <w:pPr>
              <w:pStyle w:val="Tabletext"/>
              <w:jc w:val="center"/>
              <w:rPr>
                <w:b/>
                <w:szCs w:val="20"/>
              </w:rPr>
            </w:pPr>
            <w:r>
              <w:rPr>
                <w:b/>
                <w:szCs w:val="20"/>
              </w:rPr>
              <w:t>Year 6</w:t>
            </w:r>
          </w:p>
          <w:p w:rsidR="00B6569C" w:rsidRDefault="00E82474">
            <w:pPr>
              <w:pStyle w:val="Tabletext"/>
              <w:jc w:val="center"/>
              <w:rPr>
                <w:b/>
                <w:szCs w:val="20"/>
              </w:rPr>
            </w:pPr>
            <w:r>
              <w:rPr>
                <w:b/>
                <w:szCs w:val="20"/>
              </w:rPr>
              <w:t>(2025)</w:t>
            </w:r>
          </w:p>
        </w:tc>
      </w:tr>
      <w:tr w:rsidR="00B6569C">
        <w:tc>
          <w:tcPr>
            <w:tcW w:w="5000" w:type="pct"/>
            <w:gridSpan w:val="7"/>
          </w:tcPr>
          <w:p w:rsidR="00B6569C" w:rsidRDefault="00E82474">
            <w:pPr>
              <w:pStyle w:val="Tabletext"/>
              <w:rPr>
                <w:b/>
                <w:szCs w:val="20"/>
              </w:rPr>
            </w:pPr>
            <w:r>
              <w:rPr>
                <w:b/>
                <w:szCs w:val="20"/>
              </w:rPr>
              <w:t>Patient numbers</w:t>
            </w:r>
          </w:p>
        </w:tc>
      </w:tr>
      <w:tr w:rsidR="00B6569C">
        <w:tc>
          <w:tcPr>
            <w:tcW w:w="1239" w:type="pct"/>
          </w:tcPr>
          <w:p w:rsidR="00B6569C" w:rsidRDefault="00E82474">
            <w:pPr>
              <w:pStyle w:val="Tabletext"/>
              <w:rPr>
                <w:szCs w:val="20"/>
              </w:rPr>
            </w:pPr>
            <w:r>
              <w:rPr>
                <w:szCs w:val="20"/>
              </w:rPr>
              <w:t>Melanoma annual incidence</w:t>
            </w:r>
          </w:p>
        </w:tc>
        <w:tc>
          <w:tcPr>
            <w:tcW w:w="644" w:type="pct"/>
            <w:shd w:val="clear" w:color="auto" w:fill="auto"/>
            <w:vAlign w:val="center"/>
          </w:tcPr>
          <w:p w:rsidR="00B6569C" w:rsidRDefault="00E82474">
            <w:pPr>
              <w:pStyle w:val="Tabletext"/>
              <w:jc w:val="center"/>
              <w:rPr>
                <w:szCs w:val="20"/>
              </w:rPr>
            </w:pPr>
            <w:r>
              <w:rPr>
                <w:szCs w:val="20"/>
              </w:rPr>
              <w:t>14,877</w:t>
            </w:r>
          </w:p>
        </w:tc>
        <w:tc>
          <w:tcPr>
            <w:tcW w:w="629" w:type="pct"/>
            <w:shd w:val="clear" w:color="auto" w:fill="auto"/>
            <w:vAlign w:val="center"/>
          </w:tcPr>
          <w:p w:rsidR="00B6569C" w:rsidRDefault="00E82474">
            <w:pPr>
              <w:pStyle w:val="Tabletext"/>
              <w:jc w:val="center"/>
              <w:rPr>
                <w:szCs w:val="20"/>
              </w:rPr>
            </w:pPr>
            <w:r>
              <w:rPr>
                <w:szCs w:val="20"/>
              </w:rPr>
              <w:t>15,205</w:t>
            </w:r>
          </w:p>
        </w:tc>
        <w:tc>
          <w:tcPr>
            <w:tcW w:w="630" w:type="pct"/>
            <w:shd w:val="clear" w:color="auto" w:fill="auto"/>
            <w:vAlign w:val="center"/>
          </w:tcPr>
          <w:p w:rsidR="00B6569C" w:rsidRDefault="00E82474">
            <w:pPr>
              <w:pStyle w:val="Tabletext"/>
              <w:jc w:val="center"/>
              <w:rPr>
                <w:szCs w:val="20"/>
              </w:rPr>
            </w:pPr>
            <w:r>
              <w:rPr>
                <w:szCs w:val="20"/>
              </w:rPr>
              <w:t>15,533</w:t>
            </w:r>
          </w:p>
        </w:tc>
        <w:tc>
          <w:tcPr>
            <w:tcW w:w="630" w:type="pct"/>
            <w:shd w:val="clear" w:color="auto" w:fill="auto"/>
            <w:vAlign w:val="center"/>
          </w:tcPr>
          <w:p w:rsidR="00B6569C" w:rsidRDefault="00E82474">
            <w:pPr>
              <w:pStyle w:val="Tabletext"/>
              <w:jc w:val="center"/>
              <w:rPr>
                <w:szCs w:val="20"/>
              </w:rPr>
            </w:pPr>
            <w:r>
              <w:rPr>
                <w:szCs w:val="20"/>
              </w:rPr>
              <w:t>15,862</w:t>
            </w:r>
          </w:p>
        </w:tc>
        <w:tc>
          <w:tcPr>
            <w:tcW w:w="630" w:type="pct"/>
            <w:shd w:val="clear" w:color="auto" w:fill="auto"/>
            <w:vAlign w:val="center"/>
          </w:tcPr>
          <w:p w:rsidR="00B6569C" w:rsidRDefault="00E82474">
            <w:pPr>
              <w:pStyle w:val="Tabletext"/>
              <w:jc w:val="center"/>
              <w:rPr>
                <w:szCs w:val="20"/>
              </w:rPr>
            </w:pPr>
            <w:r>
              <w:rPr>
                <w:szCs w:val="20"/>
              </w:rPr>
              <w:t>16,190</w:t>
            </w:r>
          </w:p>
        </w:tc>
        <w:tc>
          <w:tcPr>
            <w:tcW w:w="598" w:type="pct"/>
            <w:shd w:val="clear" w:color="auto" w:fill="auto"/>
            <w:vAlign w:val="center"/>
          </w:tcPr>
          <w:p w:rsidR="00B6569C" w:rsidRDefault="00E82474">
            <w:pPr>
              <w:pStyle w:val="Tabletext"/>
              <w:jc w:val="center"/>
              <w:rPr>
                <w:szCs w:val="20"/>
              </w:rPr>
            </w:pPr>
            <w:r>
              <w:rPr>
                <w:szCs w:val="20"/>
              </w:rPr>
              <w:t>16,519</w:t>
            </w:r>
          </w:p>
        </w:tc>
      </w:tr>
      <w:tr w:rsidR="00B6569C">
        <w:tc>
          <w:tcPr>
            <w:tcW w:w="1239" w:type="pct"/>
          </w:tcPr>
          <w:p w:rsidR="00B6569C" w:rsidRDefault="00E82474">
            <w:pPr>
              <w:pStyle w:val="Tabletext"/>
              <w:rPr>
                <w:szCs w:val="20"/>
              </w:rPr>
            </w:pPr>
            <w:r>
              <w:rPr>
                <w:szCs w:val="20"/>
              </w:rPr>
              <w:t>Stage III (8.5%)</w:t>
            </w:r>
          </w:p>
        </w:tc>
        <w:tc>
          <w:tcPr>
            <w:tcW w:w="644" w:type="pct"/>
            <w:shd w:val="clear" w:color="auto" w:fill="auto"/>
            <w:vAlign w:val="center"/>
          </w:tcPr>
          <w:p w:rsidR="00B6569C" w:rsidRDefault="00E82474">
            <w:pPr>
              <w:pStyle w:val="Tabletext"/>
              <w:jc w:val="center"/>
              <w:rPr>
                <w:szCs w:val="20"/>
              </w:rPr>
            </w:pPr>
            <w:r>
              <w:rPr>
                <w:szCs w:val="20"/>
              </w:rPr>
              <w:t>1,265</w:t>
            </w:r>
          </w:p>
        </w:tc>
        <w:tc>
          <w:tcPr>
            <w:tcW w:w="629" w:type="pct"/>
            <w:shd w:val="clear" w:color="auto" w:fill="auto"/>
            <w:vAlign w:val="center"/>
          </w:tcPr>
          <w:p w:rsidR="00B6569C" w:rsidRDefault="00E82474">
            <w:pPr>
              <w:pStyle w:val="Tabletext"/>
              <w:jc w:val="center"/>
              <w:rPr>
                <w:szCs w:val="20"/>
              </w:rPr>
            </w:pPr>
            <w:r>
              <w:rPr>
                <w:szCs w:val="20"/>
              </w:rPr>
              <w:t>1,292</w:t>
            </w:r>
          </w:p>
        </w:tc>
        <w:tc>
          <w:tcPr>
            <w:tcW w:w="630" w:type="pct"/>
            <w:shd w:val="clear" w:color="auto" w:fill="auto"/>
            <w:vAlign w:val="center"/>
          </w:tcPr>
          <w:p w:rsidR="00B6569C" w:rsidRDefault="00E82474">
            <w:pPr>
              <w:pStyle w:val="Tabletext"/>
              <w:jc w:val="center"/>
              <w:rPr>
                <w:szCs w:val="20"/>
              </w:rPr>
            </w:pPr>
            <w:r>
              <w:rPr>
                <w:szCs w:val="20"/>
              </w:rPr>
              <w:t>1,320</w:t>
            </w:r>
          </w:p>
        </w:tc>
        <w:tc>
          <w:tcPr>
            <w:tcW w:w="630" w:type="pct"/>
            <w:shd w:val="clear" w:color="auto" w:fill="auto"/>
            <w:vAlign w:val="center"/>
          </w:tcPr>
          <w:p w:rsidR="00B6569C" w:rsidRDefault="00E82474">
            <w:pPr>
              <w:pStyle w:val="Tabletext"/>
              <w:jc w:val="center"/>
              <w:rPr>
                <w:szCs w:val="20"/>
              </w:rPr>
            </w:pPr>
            <w:r>
              <w:rPr>
                <w:szCs w:val="20"/>
              </w:rPr>
              <w:t>1,348</w:t>
            </w:r>
          </w:p>
        </w:tc>
        <w:tc>
          <w:tcPr>
            <w:tcW w:w="630" w:type="pct"/>
            <w:shd w:val="clear" w:color="auto" w:fill="auto"/>
            <w:vAlign w:val="center"/>
          </w:tcPr>
          <w:p w:rsidR="00B6569C" w:rsidRDefault="00E82474">
            <w:pPr>
              <w:pStyle w:val="Tabletext"/>
              <w:jc w:val="center"/>
              <w:rPr>
                <w:szCs w:val="20"/>
              </w:rPr>
            </w:pPr>
            <w:r>
              <w:rPr>
                <w:szCs w:val="20"/>
              </w:rPr>
              <w:t>1,376</w:t>
            </w:r>
          </w:p>
        </w:tc>
        <w:tc>
          <w:tcPr>
            <w:tcW w:w="598" w:type="pct"/>
            <w:shd w:val="clear" w:color="auto" w:fill="auto"/>
            <w:vAlign w:val="center"/>
          </w:tcPr>
          <w:p w:rsidR="00B6569C" w:rsidRDefault="00E82474">
            <w:pPr>
              <w:pStyle w:val="Tabletext"/>
              <w:jc w:val="center"/>
              <w:rPr>
                <w:szCs w:val="20"/>
              </w:rPr>
            </w:pPr>
            <w:r>
              <w:rPr>
                <w:szCs w:val="20"/>
              </w:rPr>
              <w:t>1,404</w:t>
            </w:r>
          </w:p>
        </w:tc>
      </w:tr>
      <w:tr w:rsidR="00B6569C">
        <w:tc>
          <w:tcPr>
            <w:tcW w:w="1239" w:type="pct"/>
          </w:tcPr>
          <w:p w:rsidR="00B6569C" w:rsidRDefault="00E82474">
            <w:pPr>
              <w:pStyle w:val="Tabletext"/>
              <w:rPr>
                <w:szCs w:val="20"/>
              </w:rPr>
            </w:pPr>
            <w:r>
              <w:rPr>
                <w:szCs w:val="20"/>
              </w:rPr>
              <w:t>% of Stage III which is resectable (89%)</w:t>
            </w:r>
          </w:p>
        </w:tc>
        <w:tc>
          <w:tcPr>
            <w:tcW w:w="644" w:type="pct"/>
            <w:shd w:val="clear" w:color="auto" w:fill="auto"/>
            <w:vAlign w:val="center"/>
          </w:tcPr>
          <w:p w:rsidR="00B6569C" w:rsidRDefault="00E82474">
            <w:pPr>
              <w:pStyle w:val="Tabletext"/>
              <w:jc w:val="center"/>
              <w:rPr>
                <w:szCs w:val="20"/>
              </w:rPr>
            </w:pPr>
            <w:r>
              <w:rPr>
                <w:szCs w:val="20"/>
              </w:rPr>
              <w:t>1,125</w:t>
            </w:r>
          </w:p>
        </w:tc>
        <w:tc>
          <w:tcPr>
            <w:tcW w:w="629" w:type="pct"/>
            <w:shd w:val="clear" w:color="auto" w:fill="auto"/>
            <w:vAlign w:val="center"/>
          </w:tcPr>
          <w:p w:rsidR="00B6569C" w:rsidRDefault="00E82474">
            <w:pPr>
              <w:pStyle w:val="Tabletext"/>
              <w:jc w:val="center"/>
              <w:rPr>
                <w:szCs w:val="20"/>
              </w:rPr>
            </w:pPr>
            <w:r>
              <w:rPr>
                <w:szCs w:val="20"/>
              </w:rPr>
              <w:t>1,150</w:t>
            </w:r>
          </w:p>
        </w:tc>
        <w:tc>
          <w:tcPr>
            <w:tcW w:w="630" w:type="pct"/>
            <w:shd w:val="clear" w:color="auto" w:fill="auto"/>
            <w:vAlign w:val="center"/>
          </w:tcPr>
          <w:p w:rsidR="00B6569C" w:rsidRDefault="00E82474">
            <w:pPr>
              <w:pStyle w:val="Tabletext"/>
              <w:jc w:val="center"/>
              <w:rPr>
                <w:szCs w:val="20"/>
              </w:rPr>
            </w:pPr>
            <w:r>
              <w:rPr>
                <w:szCs w:val="20"/>
              </w:rPr>
              <w:t>1,175</w:t>
            </w:r>
          </w:p>
        </w:tc>
        <w:tc>
          <w:tcPr>
            <w:tcW w:w="630" w:type="pct"/>
            <w:shd w:val="clear" w:color="auto" w:fill="auto"/>
            <w:vAlign w:val="center"/>
          </w:tcPr>
          <w:p w:rsidR="00B6569C" w:rsidRDefault="00E82474">
            <w:pPr>
              <w:pStyle w:val="Tabletext"/>
              <w:jc w:val="center"/>
              <w:rPr>
                <w:szCs w:val="20"/>
              </w:rPr>
            </w:pPr>
            <w:r>
              <w:rPr>
                <w:szCs w:val="20"/>
              </w:rPr>
              <w:t>1,200</w:t>
            </w:r>
          </w:p>
        </w:tc>
        <w:tc>
          <w:tcPr>
            <w:tcW w:w="630" w:type="pct"/>
            <w:shd w:val="clear" w:color="auto" w:fill="auto"/>
            <w:vAlign w:val="center"/>
          </w:tcPr>
          <w:p w:rsidR="00B6569C" w:rsidRDefault="00E82474">
            <w:pPr>
              <w:pStyle w:val="Tabletext"/>
              <w:jc w:val="center"/>
              <w:rPr>
                <w:szCs w:val="20"/>
              </w:rPr>
            </w:pPr>
            <w:r>
              <w:rPr>
                <w:szCs w:val="20"/>
              </w:rPr>
              <w:t>1,225</w:t>
            </w:r>
          </w:p>
        </w:tc>
        <w:tc>
          <w:tcPr>
            <w:tcW w:w="598" w:type="pct"/>
            <w:shd w:val="clear" w:color="auto" w:fill="auto"/>
            <w:vAlign w:val="center"/>
          </w:tcPr>
          <w:p w:rsidR="00B6569C" w:rsidRDefault="00E82474">
            <w:pPr>
              <w:pStyle w:val="Tabletext"/>
              <w:jc w:val="center"/>
              <w:rPr>
                <w:szCs w:val="20"/>
              </w:rPr>
            </w:pPr>
            <w:r>
              <w:rPr>
                <w:szCs w:val="20"/>
              </w:rPr>
              <w:t>1,250</w:t>
            </w:r>
          </w:p>
        </w:tc>
      </w:tr>
      <w:tr w:rsidR="00B6569C">
        <w:tc>
          <w:tcPr>
            <w:tcW w:w="1239" w:type="pct"/>
          </w:tcPr>
          <w:p w:rsidR="00B6569C" w:rsidRDefault="00E82474">
            <w:pPr>
              <w:pStyle w:val="Tabletext"/>
              <w:rPr>
                <w:szCs w:val="20"/>
              </w:rPr>
            </w:pPr>
            <w:r>
              <w:rPr>
                <w:szCs w:val="20"/>
              </w:rPr>
              <w:t>% who have progressed from Stage I/II (55%) and which is resectable (89%)</w:t>
            </w:r>
          </w:p>
        </w:tc>
        <w:tc>
          <w:tcPr>
            <w:tcW w:w="644" w:type="pct"/>
            <w:shd w:val="clear" w:color="auto" w:fill="auto"/>
            <w:vAlign w:val="center"/>
          </w:tcPr>
          <w:p w:rsidR="00B6569C" w:rsidRDefault="00E82474">
            <w:pPr>
              <w:pStyle w:val="Tabletext"/>
              <w:jc w:val="center"/>
              <w:rPr>
                <w:szCs w:val="20"/>
              </w:rPr>
            </w:pPr>
            <w:r>
              <w:rPr>
                <w:rFonts w:cs="Arial"/>
                <w:szCs w:val="20"/>
              </w:rPr>
              <w:t>1,376</w:t>
            </w:r>
          </w:p>
        </w:tc>
        <w:tc>
          <w:tcPr>
            <w:tcW w:w="629" w:type="pct"/>
            <w:shd w:val="clear" w:color="auto" w:fill="auto"/>
            <w:vAlign w:val="center"/>
          </w:tcPr>
          <w:p w:rsidR="00B6569C" w:rsidRDefault="00E82474">
            <w:pPr>
              <w:pStyle w:val="Tabletext"/>
              <w:jc w:val="center"/>
              <w:rPr>
                <w:szCs w:val="20"/>
              </w:rPr>
            </w:pPr>
            <w:r>
              <w:rPr>
                <w:rFonts w:cs="Arial"/>
                <w:szCs w:val="20"/>
              </w:rPr>
              <w:t>1,406</w:t>
            </w:r>
          </w:p>
        </w:tc>
        <w:tc>
          <w:tcPr>
            <w:tcW w:w="630" w:type="pct"/>
            <w:shd w:val="clear" w:color="auto" w:fill="auto"/>
            <w:vAlign w:val="center"/>
          </w:tcPr>
          <w:p w:rsidR="00B6569C" w:rsidRDefault="00E82474">
            <w:pPr>
              <w:pStyle w:val="Tabletext"/>
              <w:jc w:val="center"/>
              <w:rPr>
                <w:szCs w:val="20"/>
              </w:rPr>
            </w:pPr>
            <w:r>
              <w:rPr>
                <w:rFonts w:cs="Arial"/>
                <w:szCs w:val="20"/>
              </w:rPr>
              <w:t>1,436</w:t>
            </w:r>
          </w:p>
        </w:tc>
        <w:tc>
          <w:tcPr>
            <w:tcW w:w="630" w:type="pct"/>
            <w:shd w:val="clear" w:color="auto" w:fill="auto"/>
            <w:vAlign w:val="center"/>
          </w:tcPr>
          <w:p w:rsidR="00B6569C" w:rsidRDefault="00E82474">
            <w:pPr>
              <w:pStyle w:val="Tabletext"/>
              <w:jc w:val="center"/>
              <w:rPr>
                <w:szCs w:val="20"/>
              </w:rPr>
            </w:pPr>
            <w:r>
              <w:rPr>
                <w:rFonts w:cs="Arial"/>
                <w:szCs w:val="20"/>
              </w:rPr>
              <w:t>1,467</w:t>
            </w:r>
          </w:p>
        </w:tc>
        <w:tc>
          <w:tcPr>
            <w:tcW w:w="630" w:type="pct"/>
            <w:shd w:val="clear" w:color="auto" w:fill="auto"/>
            <w:vAlign w:val="center"/>
          </w:tcPr>
          <w:p w:rsidR="00B6569C" w:rsidRDefault="00E82474">
            <w:pPr>
              <w:pStyle w:val="Tabletext"/>
              <w:jc w:val="center"/>
              <w:rPr>
                <w:szCs w:val="20"/>
              </w:rPr>
            </w:pPr>
            <w:r>
              <w:rPr>
                <w:rFonts w:cs="Arial"/>
                <w:szCs w:val="20"/>
              </w:rPr>
              <w:t>1,497</w:t>
            </w:r>
          </w:p>
        </w:tc>
        <w:tc>
          <w:tcPr>
            <w:tcW w:w="598" w:type="pct"/>
            <w:shd w:val="clear" w:color="auto" w:fill="auto"/>
            <w:vAlign w:val="center"/>
          </w:tcPr>
          <w:p w:rsidR="00B6569C" w:rsidRDefault="00E82474">
            <w:pPr>
              <w:pStyle w:val="Tabletext"/>
              <w:jc w:val="center"/>
              <w:rPr>
                <w:szCs w:val="20"/>
              </w:rPr>
            </w:pPr>
            <w:r>
              <w:rPr>
                <w:rFonts w:cs="Arial"/>
                <w:szCs w:val="20"/>
              </w:rPr>
              <w:t>1,527</w:t>
            </w:r>
          </w:p>
        </w:tc>
      </w:tr>
      <w:tr w:rsidR="00B6569C">
        <w:tc>
          <w:tcPr>
            <w:tcW w:w="1239" w:type="pct"/>
          </w:tcPr>
          <w:p w:rsidR="00B6569C" w:rsidRDefault="00E82474">
            <w:pPr>
              <w:pStyle w:val="Tabletext"/>
              <w:rPr>
                <w:szCs w:val="20"/>
              </w:rPr>
            </w:pPr>
            <w:r>
              <w:rPr>
                <w:szCs w:val="20"/>
              </w:rPr>
              <w:t>Catch up group (resected in the 13 weeks prior to listing)</w:t>
            </w:r>
          </w:p>
        </w:tc>
        <w:tc>
          <w:tcPr>
            <w:tcW w:w="644" w:type="pct"/>
            <w:vAlign w:val="center"/>
          </w:tcPr>
          <w:p w:rsidR="00B6569C" w:rsidRDefault="00E82474">
            <w:pPr>
              <w:pStyle w:val="Tabletext"/>
              <w:jc w:val="center"/>
              <w:rPr>
                <w:szCs w:val="20"/>
              </w:rPr>
            </w:pPr>
            <w:r>
              <w:rPr>
                <w:szCs w:val="20"/>
              </w:rPr>
              <w:t>275</w:t>
            </w:r>
          </w:p>
        </w:tc>
        <w:tc>
          <w:tcPr>
            <w:tcW w:w="629" w:type="pct"/>
            <w:vAlign w:val="center"/>
          </w:tcPr>
          <w:p w:rsidR="00B6569C" w:rsidRDefault="00E82474">
            <w:pPr>
              <w:pStyle w:val="Tabletext"/>
              <w:jc w:val="center"/>
              <w:rPr>
                <w:szCs w:val="20"/>
              </w:rPr>
            </w:pPr>
            <w:r>
              <w:rPr>
                <w:szCs w:val="20"/>
              </w:rPr>
              <w:t>-</w:t>
            </w:r>
          </w:p>
        </w:tc>
        <w:tc>
          <w:tcPr>
            <w:tcW w:w="630" w:type="pct"/>
            <w:vAlign w:val="center"/>
          </w:tcPr>
          <w:p w:rsidR="00B6569C" w:rsidRDefault="00E82474">
            <w:pPr>
              <w:pStyle w:val="Tabletext"/>
              <w:jc w:val="center"/>
              <w:rPr>
                <w:szCs w:val="20"/>
              </w:rPr>
            </w:pPr>
            <w:r>
              <w:rPr>
                <w:szCs w:val="20"/>
              </w:rPr>
              <w:t>-</w:t>
            </w:r>
          </w:p>
        </w:tc>
        <w:tc>
          <w:tcPr>
            <w:tcW w:w="630" w:type="pct"/>
            <w:vAlign w:val="center"/>
          </w:tcPr>
          <w:p w:rsidR="00B6569C" w:rsidRDefault="00E82474">
            <w:pPr>
              <w:pStyle w:val="Tabletext"/>
              <w:jc w:val="center"/>
              <w:rPr>
                <w:szCs w:val="20"/>
              </w:rPr>
            </w:pPr>
            <w:r>
              <w:rPr>
                <w:szCs w:val="20"/>
              </w:rPr>
              <w:t>-</w:t>
            </w:r>
          </w:p>
        </w:tc>
        <w:tc>
          <w:tcPr>
            <w:tcW w:w="630" w:type="pct"/>
            <w:vAlign w:val="center"/>
          </w:tcPr>
          <w:p w:rsidR="00B6569C" w:rsidRDefault="00E82474">
            <w:pPr>
              <w:pStyle w:val="Tabletext"/>
              <w:jc w:val="center"/>
              <w:rPr>
                <w:szCs w:val="20"/>
              </w:rPr>
            </w:pPr>
            <w:r>
              <w:rPr>
                <w:szCs w:val="20"/>
              </w:rPr>
              <w:t>-</w:t>
            </w:r>
          </w:p>
        </w:tc>
        <w:tc>
          <w:tcPr>
            <w:tcW w:w="598" w:type="pct"/>
            <w:vAlign w:val="center"/>
          </w:tcPr>
          <w:p w:rsidR="00B6569C" w:rsidRDefault="00E82474">
            <w:pPr>
              <w:pStyle w:val="Tabletext"/>
              <w:jc w:val="center"/>
              <w:rPr>
                <w:szCs w:val="20"/>
              </w:rPr>
            </w:pPr>
            <w:r>
              <w:rPr>
                <w:szCs w:val="20"/>
              </w:rPr>
              <w:t>-</w:t>
            </w:r>
          </w:p>
        </w:tc>
      </w:tr>
      <w:tr w:rsidR="00B6569C">
        <w:tc>
          <w:tcPr>
            <w:tcW w:w="1239" w:type="pct"/>
          </w:tcPr>
          <w:p w:rsidR="00B6569C" w:rsidRDefault="00E82474">
            <w:pPr>
              <w:pStyle w:val="Tabletext"/>
              <w:rPr>
                <w:szCs w:val="20"/>
              </w:rPr>
            </w:pPr>
            <w:r>
              <w:rPr>
                <w:szCs w:val="20"/>
              </w:rPr>
              <w:t>Eligible patients for adjuvant treatment</w:t>
            </w:r>
          </w:p>
        </w:tc>
        <w:tc>
          <w:tcPr>
            <w:tcW w:w="644" w:type="pct"/>
            <w:shd w:val="clear" w:color="auto" w:fill="auto"/>
            <w:vAlign w:val="center"/>
          </w:tcPr>
          <w:p w:rsidR="00B6569C" w:rsidRDefault="00E82474">
            <w:pPr>
              <w:pStyle w:val="Tabletext"/>
              <w:jc w:val="center"/>
              <w:rPr>
                <w:szCs w:val="20"/>
              </w:rPr>
            </w:pPr>
            <w:r>
              <w:rPr>
                <w:rFonts w:cs="Arial"/>
                <w:szCs w:val="20"/>
              </w:rPr>
              <w:t>2,776</w:t>
            </w:r>
          </w:p>
        </w:tc>
        <w:tc>
          <w:tcPr>
            <w:tcW w:w="629" w:type="pct"/>
            <w:shd w:val="clear" w:color="auto" w:fill="auto"/>
            <w:vAlign w:val="center"/>
          </w:tcPr>
          <w:p w:rsidR="00B6569C" w:rsidRDefault="00E82474">
            <w:pPr>
              <w:pStyle w:val="Tabletext"/>
              <w:jc w:val="center"/>
              <w:rPr>
                <w:szCs w:val="20"/>
              </w:rPr>
            </w:pPr>
            <w:r>
              <w:rPr>
                <w:rFonts w:cs="Arial"/>
                <w:szCs w:val="20"/>
              </w:rPr>
              <w:t>2,556</w:t>
            </w:r>
          </w:p>
        </w:tc>
        <w:tc>
          <w:tcPr>
            <w:tcW w:w="630" w:type="pct"/>
            <w:shd w:val="clear" w:color="auto" w:fill="auto"/>
            <w:vAlign w:val="center"/>
          </w:tcPr>
          <w:p w:rsidR="00B6569C" w:rsidRDefault="00E82474">
            <w:pPr>
              <w:pStyle w:val="Tabletext"/>
              <w:jc w:val="center"/>
              <w:rPr>
                <w:szCs w:val="20"/>
              </w:rPr>
            </w:pPr>
            <w:r>
              <w:rPr>
                <w:rFonts w:cs="Arial"/>
                <w:szCs w:val="20"/>
              </w:rPr>
              <w:t>2,611</w:t>
            </w:r>
          </w:p>
        </w:tc>
        <w:tc>
          <w:tcPr>
            <w:tcW w:w="630" w:type="pct"/>
            <w:shd w:val="clear" w:color="auto" w:fill="auto"/>
            <w:vAlign w:val="center"/>
          </w:tcPr>
          <w:p w:rsidR="00B6569C" w:rsidRDefault="00E82474">
            <w:pPr>
              <w:pStyle w:val="Tabletext"/>
              <w:jc w:val="center"/>
              <w:rPr>
                <w:szCs w:val="20"/>
              </w:rPr>
            </w:pPr>
            <w:r>
              <w:rPr>
                <w:rFonts w:cs="Arial"/>
                <w:szCs w:val="20"/>
              </w:rPr>
              <w:t>2,667</w:t>
            </w:r>
          </w:p>
        </w:tc>
        <w:tc>
          <w:tcPr>
            <w:tcW w:w="630" w:type="pct"/>
            <w:shd w:val="clear" w:color="auto" w:fill="auto"/>
            <w:vAlign w:val="center"/>
          </w:tcPr>
          <w:p w:rsidR="00B6569C" w:rsidRDefault="00E82474">
            <w:pPr>
              <w:pStyle w:val="Tabletext"/>
              <w:jc w:val="center"/>
              <w:rPr>
                <w:szCs w:val="20"/>
              </w:rPr>
            </w:pPr>
            <w:r>
              <w:rPr>
                <w:rFonts w:cs="Arial"/>
                <w:szCs w:val="20"/>
              </w:rPr>
              <w:t>2,722</w:t>
            </w:r>
          </w:p>
        </w:tc>
        <w:tc>
          <w:tcPr>
            <w:tcW w:w="598" w:type="pct"/>
            <w:shd w:val="clear" w:color="auto" w:fill="auto"/>
            <w:vAlign w:val="center"/>
          </w:tcPr>
          <w:p w:rsidR="00B6569C" w:rsidRDefault="00E82474">
            <w:pPr>
              <w:pStyle w:val="Tabletext"/>
              <w:jc w:val="center"/>
              <w:rPr>
                <w:szCs w:val="20"/>
              </w:rPr>
            </w:pPr>
            <w:r>
              <w:rPr>
                <w:rFonts w:cs="Arial"/>
                <w:szCs w:val="20"/>
              </w:rPr>
              <w:t>2,777</w:t>
            </w:r>
          </w:p>
        </w:tc>
      </w:tr>
      <w:tr w:rsidR="00B6569C">
        <w:tc>
          <w:tcPr>
            <w:tcW w:w="5000" w:type="pct"/>
            <w:gridSpan w:val="7"/>
          </w:tcPr>
          <w:p w:rsidR="00B6569C" w:rsidRDefault="00E82474">
            <w:pPr>
              <w:pStyle w:val="Tabletext"/>
              <w:rPr>
                <w:b/>
                <w:szCs w:val="20"/>
              </w:rPr>
            </w:pPr>
            <w:r>
              <w:rPr>
                <w:b/>
                <w:szCs w:val="20"/>
              </w:rPr>
              <w:t>Patients by melanoma stage incorporating uptake rate</w:t>
            </w:r>
          </w:p>
        </w:tc>
      </w:tr>
      <w:tr w:rsidR="00B6569C">
        <w:tc>
          <w:tcPr>
            <w:tcW w:w="1239" w:type="pct"/>
          </w:tcPr>
          <w:p w:rsidR="00B6569C" w:rsidRDefault="00E82474">
            <w:pPr>
              <w:pStyle w:val="Tabletext"/>
              <w:rPr>
                <w:szCs w:val="20"/>
              </w:rPr>
            </w:pPr>
            <w:r>
              <w:rPr>
                <w:szCs w:val="20"/>
              </w:rPr>
              <w:t>Stage IIIA (8.3% of total, 50% uptake)</w:t>
            </w:r>
          </w:p>
        </w:tc>
        <w:tc>
          <w:tcPr>
            <w:tcW w:w="644" w:type="pct"/>
            <w:shd w:val="clear" w:color="auto" w:fill="auto"/>
            <w:vAlign w:val="center"/>
          </w:tcPr>
          <w:p w:rsidR="00B6569C" w:rsidRDefault="00E82474">
            <w:pPr>
              <w:pStyle w:val="Tabletext"/>
              <w:jc w:val="center"/>
              <w:rPr>
                <w:szCs w:val="20"/>
              </w:rPr>
            </w:pPr>
            <w:r>
              <w:rPr>
                <w:rFonts w:cs="Calibri"/>
                <w:color w:val="000000"/>
                <w:szCs w:val="20"/>
              </w:rPr>
              <w:t>116</w:t>
            </w:r>
          </w:p>
        </w:tc>
        <w:tc>
          <w:tcPr>
            <w:tcW w:w="629" w:type="pct"/>
            <w:shd w:val="clear" w:color="auto" w:fill="auto"/>
            <w:vAlign w:val="center"/>
          </w:tcPr>
          <w:p w:rsidR="00B6569C" w:rsidRDefault="00E82474">
            <w:pPr>
              <w:pStyle w:val="Tabletext"/>
              <w:jc w:val="center"/>
              <w:rPr>
                <w:szCs w:val="20"/>
              </w:rPr>
            </w:pPr>
            <w:r>
              <w:rPr>
                <w:rFonts w:cs="Calibri"/>
                <w:color w:val="000000"/>
                <w:szCs w:val="20"/>
              </w:rPr>
              <w:t>107</w:t>
            </w:r>
          </w:p>
        </w:tc>
        <w:tc>
          <w:tcPr>
            <w:tcW w:w="630" w:type="pct"/>
            <w:shd w:val="clear" w:color="auto" w:fill="auto"/>
            <w:vAlign w:val="center"/>
          </w:tcPr>
          <w:p w:rsidR="00B6569C" w:rsidRDefault="00E82474">
            <w:pPr>
              <w:pStyle w:val="Tabletext"/>
              <w:jc w:val="center"/>
              <w:rPr>
                <w:szCs w:val="20"/>
              </w:rPr>
            </w:pPr>
            <w:r>
              <w:rPr>
                <w:rFonts w:cs="Calibri"/>
                <w:color w:val="000000"/>
                <w:szCs w:val="20"/>
              </w:rPr>
              <w:t>109</w:t>
            </w:r>
          </w:p>
        </w:tc>
        <w:tc>
          <w:tcPr>
            <w:tcW w:w="630" w:type="pct"/>
            <w:shd w:val="clear" w:color="auto" w:fill="auto"/>
            <w:vAlign w:val="center"/>
          </w:tcPr>
          <w:p w:rsidR="00B6569C" w:rsidRDefault="00E82474">
            <w:pPr>
              <w:pStyle w:val="Tabletext"/>
              <w:jc w:val="center"/>
              <w:rPr>
                <w:szCs w:val="20"/>
              </w:rPr>
            </w:pPr>
            <w:r>
              <w:rPr>
                <w:rFonts w:cs="Calibri"/>
                <w:color w:val="000000"/>
                <w:szCs w:val="20"/>
              </w:rPr>
              <w:t>111</w:t>
            </w:r>
          </w:p>
        </w:tc>
        <w:tc>
          <w:tcPr>
            <w:tcW w:w="630" w:type="pct"/>
            <w:shd w:val="clear" w:color="auto" w:fill="auto"/>
            <w:vAlign w:val="center"/>
          </w:tcPr>
          <w:p w:rsidR="00B6569C" w:rsidRDefault="00E82474">
            <w:pPr>
              <w:pStyle w:val="Tabletext"/>
              <w:jc w:val="center"/>
              <w:rPr>
                <w:szCs w:val="20"/>
              </w:rPr>
            </w:pPr>
            <w:r>
              <w:rPr>
                <w:rFonts w:cs="Calibri"/>
                <w:color w:val="000000"/>
                <w:szCs w:val="20"/>
              </w:rPr>
              <w:t>113</w:t>
            </w:r>
          </w:p>
        </w:tc>
        <w:tc>
          <w:tcPr>
            <w:tcW w:w="598" w:type="pct"/>
            <w:shd w:val="clear" w:color="auto" w:fill="auto"/>
            <w:vAlign w:val="center"/>
          </w:tcPr>
          <w:p w:rsidR="00B6569C" w:rsidRDefault="00E82474">
            <w:pPr>
              <w:pStyle w:val="Tabletext"/>
              <w:jc w:val="center"/>
              <w:rPr>
                <w:szCs w:val="20"/>
              </w:rPr>
            </w:pPr>
            <w:r>
              <w:rPr>
                <w:rFonts w:cs="Calibri"/>
                <w:color w:val="000000"/>
                <w:szCs w:val="20"/>
              </w:rPr>
              <w:t>116</w:t>
            </w:r>
          </w:p>
        </w:tc>
      </w:tr>
      <w:tr w:rsidR="00B6569C">
        <w:tc>
          <w:tcPr>
            <w:tcW w:w="1239" w:type="pct"/>
          </w:tcPr>
          <w:p w:rsidR="00B6569C" w:rsidRDefault="00E82474">
            <w:pPr>
              <w:pStyle w:val="Tabletext"/>
              <w:rPr>
                <w:szCs w:val="20"/>
              </w:rPr>
            </w:pPr>
            <w:r>
              <w:rPr>
                <w:szCs w:val="20"/>
              </w:rPr>
              <w:t>Stage IIIB (36.5% of total, 85% uptake)</w:t>
            </w:r>
          </w:p>
        </w:tc>
        <w:tc>
          <w:tcPr>
            <w:tcW w:w="644" w:type="pct"/>
            <w:shd w:val="clear" w:color="auto" w:fill="auto"/>
            <w:vAlign w:val="center"/>
          </w:tcPr>
          <w:p w:rsidR="00B6569C" w:rsidRDefault="00E82474">
            <w:pPr>
              <w:pStyle w:val="Tabletext"/>
              <w:jc w:val="center"/>
              <w:rPr>
                <w:szCs w:val="20"/>
              </w:rPr>
            </w:pPr>
            <w:r>
              <w:rPr>
                <w:rFonts w:cs="Calibri"/>
                <w:color w:val="000000"/>
                <w:szCs w:val="20"/>
              </w:rPr>
              <w:t>860</w:t>
            </w:r>
          </w:p>
        </w:tc>
        <w:tc>
          <w:tcPr>
            <w:tcW w:w="629" w:type="pct"/>
            <w:shd w:val="clear" w:color="auto" w:fill="auto"/>
            <w:vAlign w:val="center"/>
          </w:tcPr>
          <w:p w:rsidR="00B6569C" w:rsidRDefault="00E82474">
            <w:pPr>
              <w:pStyle w:val="Tabletext"/>
              <w:jc w:val="center"/>
              <w:rPr>
                <w:szCs w:val="20"/>
              </w:rPr>
            </w:pPr>
            <w:r>
              <w:rPr>
                <w:rFonts w:cs="Calibri"/>
                <w:color w:val="000000"/>
                <w:szCs w:val="20"/>
              </w:rPr>
              <w:t>792</w:t>
            </w:r>
          </w:p>
        </w:tc>
        <w:tc>
          <w:tcPr>
            <w:tcW w:w="630" w:type="pct"/>
            <w:shd w:val="clear" w:color="auto" w:fill="auto"/>
            <w:vAlign w:val="center"/>
          </w:tcPr>
          <w:p w:rsidR="00B6569C" w:rsidRDefault="00E82474">
            <w:pPr>
              <w:pStyle w:val="Tabletext"/>
              <w:jc w:val="center"/>
              <w:rPr>
                <w:szCs w:val="20"/>
              </w:rPr>
            </w:pPr>
            <w:r>
              <w:rPr>
                <w:rFonts w:cs="Calibri"/>
                <w:color w:val="000000"/>
                <w:szCs w:val="20"/>
              </w:rPr>
              <w:t>809</w:t>
            </w:r>
          </w:p>
        </w:tc>
        <w:tc>
          <w:tcPr>
            <w:tcW w:w="630" w:type="pct"/>
            <w:shd w:val="clear" w:color="auto" w:fill="auto"/>
            <w:vAlign w:val="center"/>
          </w:tcPr>
          <w:p w:rsidR="00B6569C" w:rsidRDefault="00E82474">
            <w:pPr>
              <w:pStyle w:val="Tabletext"/>
              <w:jc w:val="center"/>
              <w:rPr>
                <w:szCs w:val="20"/>
              </w:rPr>
            </w:pPr>
            <w:r>
              <w:rPr>
                <w:rFonts w:cs="Calibri"/>
                <w:color w:val="000000"/>
                <w:szCs w:val="20"/>
              </w:rPr>
              <w:t>826</w:t>
            </w:r>
          </w:p>
        </w:tc>
        <w:tc>
          <w:tcPr>
            <w:tcW w:w="630" w:type="pct"/>
            <w:shd w:val="clear" w:color="auto" w:fill="auto"/>
            <w:vAlign w:val="center"/>
          </w:tcPr>
          <w:p w:rsidR="00B6569C" w:rsidRDefault="00E82474">
            <w:pPr>
              <w:pStyle w:val="Tabletext"/>
              <w:jc w:val="center"/>
              <w:rPr>
                <w:szCs w:val="20"/>
              </w:rPr>
            </w:pPr>
            <w:r>
              <w:rPr>
                <w:rFonts w:cs="Calibri"/>
                <w:color w:val="000000"/>
                <w:szCs w:val="20"/>
              </w:rPr>
              <w:t>843</w:t>
            </w:r>
          </w:p>
        </w:tc>
        <w:tc>
          <w:tcPr>
            <w:tcW w:w="598" w:type="pct"/>
            <w:shd w:val="clear" w:color="auto" w:fill="auto"/>
            <w:vAlign w:val="center"/>
          </w:tcPr>
          <w:p w:rsidR="00B6569C" w:rsidRDefault="00E82474">
            <w:pPr>
              <w:pStyle w:val="Tabletext"/>
              <w:jc w:val="center"/>
              <w:rPr>
                <w:szCs w:val="20"/>
              </w:rPr>
            </w:pPr>
            <w:r>
              <w:rPr>
                <w:rFonts w:cs="Calibri"/>
                <w:color w:val="000000"/>
                <w:szCs w:val="20"/>
              </w:rPr>
              <w:t>861</w:t>
            </w:r>
          </w:p>
        </w:tc>
      </w:tr>
      <w:tr w:rsidR="00B6569C">
        <w:tc>
          <w:tcPr>
            <w:tcW w:w="1239" w:type="pct"/>
          </w:tcPr>
          <w:p w:rsidR="00B6569C" w:rsidRDefault="00E82474">
            <w:pPr>
              <w:pStyle w:val="Tabletext"/>
              <w:rPr>
                <w:szCs w:val="20"/>
              </w:rPr>
            </w:pPr>
            <w:r>
              <w:rPr>
                <w:szCs w:val="20"/>
              </w:rPr>
              <w:t>Stage IIIC (51% of total, 85% uptake)</w:t>
            </w:r>
          </w:p>
        </w:tc>
        <w:tc>
          <w:tcPr>
            <w:tcW w:w="644" w:type="pct"/>
            <w:shd w:val="clear" w:color="auto" w:fill="auto"/>
            <w:vAlign w:val="center"/>
          </w:tcPr>
          <w:p w:rsidR="00B6569C" w:rsidRDefault="00E82474">
            <w:pPr>
              <w:pStyle w:val="Tabletext"/>
              <w:jc w:val="center"/>
              <w:rPr>
                <w:szCs w:val="20"/>
              </w:rPr>
            </w:pPr>
            <w:r>
              <w:rPr>
                <w:rFonts w:cs="Calibri"/>
                <w:color w:val="000000"/>
                <w:szCs w:val="20"/>
              </w:rPr>
              <w:t>1204</w:t>
            </w:r>
          </w:p>
        </w:tc>
        <w:tc>
          <w:tcPr>
            <w:tcW w:w="629" w:type="pct"/>
            <w:shd w:val="clear" w:color="auto" w:fill="auto"/>
            <w:vAlign w:val="center"/>
          </w:tcPr>
          <w:p w:rsidR="00B6569C" w:rsidRDefault="00E82474">
            <w:pPr>
              <w:pStyle w:val="Tabletext"/>
              <w:jc w:val="center"/>
              <w:rPr>
                <w:szCs w:val="20"/>
              </w:rPr>
            </w:pPr>
            <w:r>
              <w:rPr>
                <w:rFonts w:cs="Calibri"/>
                <w:color w:val="000000"/>
                <w:szCs w:val="20"/>
              </w:rPr>
              <w:t>1109</w:t>
            </w:r>
          </w:p>
        </w:tc>
        <w:tc>
          <w:tcPr>
            <w:tcW w:w="630" w:type="pct"/>
            <w:shd w:val="clear" w:color="auto" w:fill="auto"/>
            <w:vAlign w:val="center"/>
          </w:tcPr>
          <w:p w:rsidR="00B6569C" w:rsidRDefault="00E82474">
            <w:pPr>
              <w:pStyle w:val="Tabletext"/>
              <w:jc w:val="center"/>
              <w:rPr>
                <w:szCs w:val="20"/>
              </w:rPr>
            </w:pPr>
            <w:r>
              <w:rPr>
                <w:rFonts w:cs="Calibri"/>
                <w:color w:val="000000"/>
                <w:szCs w:val="20"/>
              </w:rPr>
              <w:t>1133</w:t>
            </w:r>
          </w:p>
        </w:tc>
        <w:tc>
          <w:tcPr>
            <w:tcW w:w="630" w:type="pct"/>
            <w:shd w:val="clear" w:color="auto" w:fill="auto"/>
            <w:vAlign w:val="center"/>
          </w:tcPr>
          <w:p w:rsidR="00B6569C" w:rsidRDefault="00E82474">
            <w:pPr>
              <w:pStyle w:val="Tabletext"/>
              <w:jc w:val="center"/>
              <w:rPr>
                <w:szCs w:val="20"/>
              </w:rPr>
            </w:pPr>
            <w:r>
              <w:rPr>
                <w:rFonts w:cs="Calibri"/>
                <w:color w:val="000000"/>
                <w:szCs w:val="20"/>
              </w:rPr>
              <w:t>1157</w:t>
            </w:r>
          </w:p>
        </w:tc>
        <w:tc>
          <w:tcPr>
            <w:tcW w:w="630" w:type="pct"/>
            <w:shd w:val="clear" w:color="auto" w:fill="auto"/>
            <w:vAlign w:val="center"/>
          </w:tcPr>
          <w:p w:rsidR="00B6569C" w:rsidRDefault="00E82474">
            <w:pPr>
              <w:pStyle w:val="Tabletext"/>
              <w:jc w:val="center"/>
              <w:rPr>
                <w:szCs w:val="20"/>
              </w:rPr>
            </w:pPr>
            <w:r>
              <w:rPr>
                <w:rFonts w:cs="Calibri"/>
                <w:color w:val="000000"/>
                <w:szCs w:val="20"/>
              </w:rPr>
              <w:t>1181</w:t>
            </w:r>
          </w:p>
        </w:tc>
        <w:tc>
          <w:tcPr>
            <w:tcW w:w="598" w:type="pct"/>
            <w:shd w:val="clear" w:color="auto" w:fill="auto"/>
            <w:vAlign w:val="center"/>
          </w:tcPr>
          <w:p w:rsidR="00B6569C" w:rsidRDefault="00E82474">
            <w:pPr>
              <w:pStyle w:val="Tabletext"/>
              <w:jc w:val="center"/>
              <w:rPr>
                <w:szCs w:val="20"/>
              </w:rPr>
            </w:pPr>
            <w:r>
              <w:rPr>
                <w:rFonts w:cs="Calibri"/>
                <w:color w:val="000000"/>
                <w:szCs w:val="20"/>
              </w:rPr>
              <w:t>1205</w:t>
            </w:r>
          </w:p>
        </w:tc>
      </w:tr>
      <w:tr w:rsidR="00B6569C">
        <w:tc>
          <w:tcPr>
            <w:tcW w:w="1239" w:type="pct"/>
          </w:tcPr>
          <w:p w:rsidR="00B6569C" w:rsidRDefault="00E82474">
            <w:pPr>
              <w:pStyle w:val="Tabletext"/>
              <w:rPr>
                <w:szCs w:val="20"/>
              </w:rPr>
            </w:pPr>
            <w:r>
              <w:rPr>
                <w:szCs w:val="20"/>
              </w:rPr>
              <w:t>Stage IIID (4.2% of total, 85% uptake)</w:t>
            </w:r>
          </w:p>
        </w:tc>
        <w:tc>
          <w:tcPr>
            <w:tcW w:w="644" w:type="pct"/>
            <w:shd w:val="clear" w:color="auto" w:fill="auto"/>
            <w:vAlign w:val="center"/>
          </w:tcPr>
          <w:p w:rsidR="00B6569C" w:rsidRDefault="00E82474">
            <w:pPr>
              <w:pStyle w:val="Tabletext"/>
              <w:jc w:val="center"/>
              <w:rPr>
                <w:szCs w:val="20"/>
              </w:rPr>
            </w:pPr>
            <w:r>
              <w:rPr>
                <w:rFonts w:cs="Calibri"/>
                <w:color w:val="000000"/>
                <w:szCs w:val="20"/>
              </w:rPr>
              <w:t>98</w:t>
            </w:r>
          </w:p>
        </w:tc>
        <w:tc>
          <w:tcPr>
            <w:tcW w:w="629" w:type="pct"/>
            <w:shd w:val="clear" w:color="auto" w:fill="auto"/>
            <w:vAlign w:val="center"/>
          </w:tcPr>
          <w:p w:rsidR="00B6569C" w:rsidRDefault="00E82474">
            <w:pPr>
              <w:pStyle w:val="Tabletext"/>
              <w:jc w:val="center"/>
              <w:rPr>
                <w:szCs w:val="20"/>
              </w:rPr>
            </w:pPr>
            <w:r>
              <w:rPr>
                <w:rFonts w:cs="Calibri"/>
                <w:color w:val="000000"/>
                <w:szCs w:val="20"/>
              </w:rPr>
              <w:t>91</w:t>
            </w:r>
          </w:p>
        </w:tc>
        <w:tc>
          <w:tcPr>
            <w:tcW w:w="630" w:type="pct"/>
            <w:shd w:val="clear" w:color="auto" w:fill="auto"/>
            <w:vAlign w:val="center"/>
          </w:tcPr>
          <w:p w:rsidR="00B6569C" w:rsidRDefault="00E82474">
            <w:pPr>
              <w:pStyle w:val="Tabletext"/>
              <w:jc w:val="center"/>
              <w:rPr>
                <w:szCs w:val="20"/>
              </w:rPr>
            </w:pPr>
            <w:r>
              <w:rPr>
                <w:rFonts w:cs="Calibri"/>
                <w:color w:val="000000"/>
                <w:szCs w:val="20"/>
              </w:rPr>
              <w:t>92</w:t>
            </w:r>
          </w:p>
        </w:tc>
        <w:tc>
          <w:tcPr>
            <w:tcW w:w="630" w:type="pct"/>
            <w:shd w:val="clear" w:color="auto" w:fill="auto"/>
            <w:vAlign w:val="center"/>
          </w:tcPr>
          <w:p w:rsidR="00B6569C" w:rsidRDefault="00E82474">
            <w:pPr>
              <w:pStyle w:val="Tabletext"/>
              <w:jc w:val="center"/>
              <w:rPr>
                <w:szCs w:val="20"/>
              </w:rPr>
            </w:pPr>
            <w:r>
              <w:rPr>
                <w:rFonts w:cs="Calibri"/>
                <w:color w:val="000000"/>
                <w:szCs w:val="20"/>
              </w:rPr>
              <w:t>94</w:t>
            </w:r>
          </w:p>
        </w:tc>
        <w:tc>
          <w:tcPr>
            <w:tcW w:w="630" w:type="pct"/>
            <w:shd w:val="clear" w:color="auto" w:fill="auto"/>
            <w:vAlign w:val="center"/>
          </w:tcPr>
          <w:p w:rsidR="00B6569C" w:rsidRDefault="00E82474">
            <w:pPr>
              <w:pStyle w:val="Tabletext"/>
              <w:jc w:val="center"/>
              <w:rPr>
                <w:szCs w:val="20"/>
              </w:rPr>
            </w:pPr>
            <w:r>
              <w:rPr>
                <w:rFonts w:cs="Calibri"/>
                <w:color w:val="000000"/>
                <w:szCs w:val="20"/>
              </w:rPr>
              <w:t>96</w:t>
            </w:r>
          </w:p>
        </w:tc>
        <w:tc>
          <w:tcPr>
            <w:tcW w:w="598" w:type="pct"/>
            <w:shd w:val="clear" w:color="auto" w:fill="auto"/>
            <w:vAlign w:val="center"/>
          </w:tcPr>
          <w:p w:rsidR="00B6569C" w:rsidRDefault="00E82474">
            <w:pPr>
              <w:pStyle w:val="Tabletext"/>
              <w:jc w:val="center"/>
              <w:rPr>
                <w:szCs w:val="20"/>
              </w:rPr>
            </w:pPr>
            <w:r>
              <w:rPr>
                <w:rFonts w:cs="Calibri"/>
                <w:color w:val="000000"/>
                <w:szCs w:val="20"/>
              </w:rPr>
              <w:t>98</w:t>
            </w:r>
          </w:p>
        </w:tc>
      </w:tr>
      <w:tr w:rsidR="00B6569C">
        <w:tc>
          <w:tcPr>
            <w:tcW w:w="1239" w:type="pct"/>
          </w:tcPr>
          <w:p w:rsidR="00B6569C" w:rsidRDefault="00E82474">
            <w:pPr>
              <w:pStyle w:val="Tabletext"/>
              <w:rPr>
                <w:b/>
                <w:szCs w:val="20"/>
              </w:rPr>
            </w:pPr>
            <w:r>
              <w:rPr>
                <w:b/>
                <w:szCs w:val="20"/>
              </w:rPr>
              <w:t>Total patient population</w:t>
            </w:r>
          </w:p>
        </w:tc>
        <w:tc>
          <w:tcPr>
            <w:tcW w:w="644" w:type="pct"/>
            <w:shd w:val="clear" w:color="auto" w:fill="auto"/>
            <w:vAlign w:val="center"/>
          </w:tcPr>
          <w:p w:rsidR="00B6569C" w:rsidRDefault="00E82474">
            <w:pPr>
              <w:pStyle w:val="Tabletext"/>
              <w:jc w:val="center"/>
              <w:rPr>
                <w:b/>
                <w:szCs w:val="20"/>
              </w:rPr>
            </w:pPr>
            <w:r>
              <w:rPr>
                <w:b/>
                <w:color w:val="000000"/>
                <w:szCs w:val="20"/>
              </w:rPr>
              <w:t>2,278</w:t>
            </w:r>
          </w:p>
        </w:tc>
        <w:tc>
          <w:tcPr>
            <w:tcW w:w="629" w:type="pct"/>
            <w:shd w:val="clear" w:color="auto" w:fill="auto"/>
            <w:vAlign w:val="center"/>
          </w:tcPr>
          <w:p w:rsidR="00B6569C" w:rsidRDefault="00E82474">
            <w:pPr>
              <w:pStyle w:val="Tabletext"/>
              <w:jc w:val="center"/>
              <w:rPr>
                <w:b/>
                <w:szCs w:val="20"/>
              </w:rPr>
            </w:pPr>
            <w:r>
              <w:rPr>
                <w:b/>
                <w:color w:val="000000"/>
                <w:szCs w:val="20"/>
              </w:rPr>
              <w:t>2,099</w:t>
            </w:r>
          </w:p>
        </w:tc>
        <w:tc>
          <w:tcPr>
            <w:tcW w:w="630" w:type="pct"/>
            <w:shd w:val="clear" w:color="auto" w:fill="auto"/>
            <w:vAlign w:val="center"/>
          </w:tcPr>
          <w:p w:rsidR="00B6569C" w:rsidRDefault="00E82474">
            <w:pPr>
              <w:pStyle w:val="Tabletext"/>
              <w:jc w:val="center"/>
              <w:rPr>
                <w:b/>
                <w:szCs w:val="20"/>
              </w:rPr>
            </w:pPr>
            <w:r>
              <w:rPr>
                <w:b/>
                <w:color w:val="000000"/>
                <w:szCs w:val="20"/>
              </w:rPr>
              <w:t>2,143</w:t>
            </w:r>
          </w:p>
        </w:tc>
        <w:tc>
          <w:tcPr>
            <w:tcW w:w="630" w:type="pct"/>
            <w:shd w:val="clear" w:color="auto" w:fill="auto"/>
            <w:vAlign w:val="center"/>
          </w:tcPr>
          <w:p w:rsidR="00B6569C" w:rsidRDefault="00E82474">
            <w:pPr>
              <w:pStyle w:val="Tabletext"/>
              <w:jc w:val="center"/>
              <w:rPr>
                <w:b/>
                <w:szCs w:val="20"/>
              </w:rPr>
            </w:pPr>
            <w:r>
              <w:rPr>
                <w:b/>
                <w:color w:val="000000"/>
                <w:szCs w:val="20"/>
              </w:rPr>
              <w:t>2,188</w:t>
            </w:r>
          </w:p>
        </w:tc>
        <w:tc>
          <w:tcPr>
            <w:tcW w:w="630" w:type="pct"/>
            <w:shd w:val="clear" w:color="auto" w:fill="auto"/>
            <w:vAlign w:val="center"/>
          </w:tcPr>
          <w:p w:rsidR="00B6569C" w:rsidRDefault="00E82474">
            <w:pPr>
              <w:pStyle w:val="Tabletext"/>
              <w:jc w:val="center"/>
              <w:rPr>
                <w:b/>
                <w:szCs w:val="20"/>
              </w:rPr>
            </w:pPr>
            <w:r>
              <w:rPr>
                <w:b/>
                <w:color w:val="000000"/>
                <w:szCs w:val="20"/>
              </w:rPr>
              <w:t>2,233</w:t>
            </w:r>
          </w:p>
        </w:tc>
        <w:tc>
          <w:tcPr>
            <w:tcW w:w="598" w:type="pct"/>
            <w:shd w:val="clear" w:color="auto" w:fill="auto"/>
            <w:vAlign w:val="center"/>
          </w:tcPr>
          <w:p w:rsidR="00B6569C" w:rsidRDefault="00E82474">
            <w:pPr>
              <w:pStyle w:val="Tabletext"/>
              <w:jc w:val="center"/>
              <w:rPr>
                <w:b/>
                <w:szCs w:val="20"/>
              </w:rPr>
            </w:pPr>
            <w:r>
              <w:rPr>
                <w:b/>
                <w:color w:val="000000"/>
                <w:szCs w:val="20"/>
              </w:rPr>
              <w:t>2,280</w:t>
            </w:r>
          </w:p>
        </w:tc>
      </w:tr>
      <w:tr w:rsidR="00B6569C">
        <w:tc>
          <w:tcPr>
            <w:tcW w:w="5000" w:type="pct"/>
            <w:gridSpan w:val="7"/>
          </w:tcPr>
          <w:p w:rsidR="00B6569C" w:rsidRDefault="00E82474">
            <w:pPr>
              <w:pStyle w:val="Tabletext"/>
              <w:rPr>
                <w:b/>
                <w:szCs w:val="20"/>
              </w:rPr>
            </w:pPr>
            <w:r>
              <w:rPr>
                <w:b/>
                <w:szCs w:val="20"/>
              </w:rPr>
              <w:t>Number of pembrolizumab administrations (based on time on treatment curves KEYNOTE-054)</w:t>
            </w:r>
          </w:p>
        </w:tc>
      </w:tr>
      <w:tr w:rsidR="00B6569C">
        <w:tc>
          <w:tcPr>
            <w:tcW w:w="1239" w:type="pct"/>
          </w:tcPr>
          <w:p w:rsidR="00B6569C" w:rsidRDefault="00E82474">
            <w:pPr>
              <w:pStyle w:val="Tabletext"/>
              <w:rPr>
                <w:szCs w:val="20"/>
              </w:rPr>
            </w:pPr>
            <w:r>
              <w:rPr>
                <w:szCs w:val="20"/>
              </w:rPr>
              <w:t>Stage IIIA (</w:t>
            </w:r>
            <w:r w:rsidR="00277D7E">
              <w:rPr>
                <w:noProof/>
                <w:color w:val="000000"/>
                <w:szCs w:val="20"/>
                <w:highlight w:val="black"/>
              </w:rPr>
              <w:t>''''''''''''''</w:t>
            </w:r>
            <w:r>
              <w:rPr>
                <w:szCs w:val="20"/>
              </w:rPr>
              <w:t xml:space="preserve">  cycles)</w:t>
            </w:r>
          </w:p>
        </w:tc>
        <w:tc>
          <w:tcPr>
            <w:tcW w:w="644" w:type="pct"/>
            <w:shd w:val="clear" w:color="auto" w:fill="auto"/>
            <w:vAlign w:val="center"/>
          </w:tcPr>
          <w:p w:rsidR="00B6569C" w:rsidRPr="00277D7E" w:rsidRDefault="00277D7E">
            <w:pPr>
              <w:pStyle w:val="Tabletext"/>
              <w:jc w:val="center"/>
              <w:rPr>
                <w:szCs w:val="20"/>
                <w:highlight w:val="black"/>
              </w:rPr>
            </w:pPr>
            <w:r>
              <w:rPr>
                <w:rFonts w:cs="Arial"/>
                <w:noProof/>
                <w:color w:val="000000"/>
                <w:szCs w:val="20"/>
                <w:highlight w:val="black"/>
              </w:rPr>
              <w:t>'''''''''''''</w:t>
            </w:r>
          </w:p>
        </w:tc>
        <w:tc>
          <w:tcPr>
            <w:tcW w:w="629" w:type="pct"/>
            <w:shd w:val="clear" w:color="auto" w:fill="auto"/>
            <w:vAlign w:val="center"/>
          </w:tcPr>
          <w:p w:rsidR="00B6569C" w:rsidRPr="00277D7E" w:rsidRDefault="00277D7E">
            <w:pPr>
              <w:pStyle w:val="Tabletext"/>
              <w:jc w:val="center"/>
              <w:rPr>
                <w:szCs w:val="20"/>
                <w:highlight w:val="black"/>
              </w:rPr>
            </w:pPr>
            <w:r>
              <w:rPr>
                <w:rFonts w:cs="Arial"/>
                <w:noProof/>
                <w:color w:val="000000"/>
                <w:szCs w:val="20"/>
                <w:highlight w:val="black"/>
              </w:rPr>
              <w:t>'''''''''''''</w:t>
            </w:r>
          </w:p>
        </w:tc>
        <w:tc>
          <w:tcPr>
            <w:tcW w:w="630" w:type="pct"/>
            <w:shd w:val="clear" w:color="auto" w:fill="auto"/>
            <w:vAlign w:val="center"/>
          </w:tcPr>
          <w:p w:rsidR="00B6569C" w:rsidRPr="00277D7E" w:rsidRDefault="00277D7E">
            <w:pPr>
              <w:pStyle w:val="Tabletext"/>
              <w:jc w:val="center"/>
              <w:rPr>
                <w:szCs w:val="20"/>
                <w:highlight w:val="black"/>
              </w:rPr>
            </w:pPr>
            <w:r>
              <w:rPr>
                <w:rFonts w:cs="Arial"/>
                <w:noProof/>
                <w:color w:val="000000"/>
                <w:szCs w:val="20"/>
                <w:highlight w:val="black"/>
              </w:rPr>
              <w:t>'''''''''''''''</w:t>
            </w:r>
          </w:p>
        </w:tc>
        <w:tc>
          <w:tcPr>
            <w:tcW w:w="630" w:type="pct"/>
            <w:shd w:val="clear" w:color="auto" w:fill="auto"/>
            <w:vAlign w:val="center"/>
          </w:tcPr>
          <w:p w:rsidR="00B6569C" w:rsidRPr="00277D7E" w:rsidRDefault="00277D7E">
            <w:pPr>
              <w:pStyle w:val="Tabletext"/>
              <w:jc w:val="center"/>
              <w:rPr>
                <w:szCs w:val="20"/>
                <w:highlight w:val="black"/>
              </w:rPr>
            </w:pPr>
            <w:r>
              <w:rPr>
                <w:rFonts w:cs="Arial"/>
                <w:noProof/>
                <w:color w:val="000000"/>
                <w:szCs w:val="20"/>
                <w:highlight w:val="black"/>
              </w:rPr>
              <w:t>''''''''''''''</w:t>
            </w:r>
          </w:p>
        </w:tc>
        <w:tc>
          <w:tcPr>
            <w:tcW w:w="630" w:type="pct"/>
            <w:shd w:val="clear" w:color="auto" w:fill="auto"/>
            <w:vAlign w:val="center"/>
          </w:tcPr>
          <w:p w:rsidR="00B6569C" w:rsidRPr="00277D7E" w:rsidRDefault="00277D7E">
            <w:pPr>
              <w:pStyle w:val="Tabletext"/>
              <w:jc w:val="center"/>
              <w:rPr>
                <w:szCs w:val="20"/>
                <w:highlight w:val="black"/>
              </w:rPr>
            </w:pPr>
            <w:r>
              <w:rPr>
                <w:rFonts w:cs="Arial"/>
                <w:noProof/>
                <w:color w:val="000000"/>
                <w:szCs w:val="20"/>
                <w:highlight w:val="black"/>
              </w:rPr>
              <w:t>'''''''''''''</w:t>
            </w:r>
          </w:p>
        </w:tc>
        <w:tc>
          <w:tcPr>
            <w:tcW w:w="598" w:type="pct"/>
            <w:shd w:val="clear" w:color="auto" w:fill="auto"/>
            <w:vAlign w:val="center"/>
          </w:tcPr>
          <w:p w:rsidR="00B6569C" w:rsidRPr="00277D7E" w:rsidRDefault="00277D7E">
            <w:pPr>
              <w:pStyle w:val="Tabletext"/>
              <w:jc w:val="center"/>
              <w:rPr>
                <w:szCs w:val="20"/>
                <w:highlight w:val="black"/>
              </w:rPr>
            </w:pPr>
            <w:r>
              <w:rPr>
                <w:rFonts w:cs="Arial"/>
                <w:noProof/>
                <w:color w:val="000000"/>
                <w:szCs w:val="20"/>
                <w:highlight w:val="black"/>
              </w:rPr>
              <w:t>''''''''''''''</w:t>
            </w:r>
          </w:p>
        </w:tc>
      </w:tr>
      <w:tr w:rsidR="00B6569C">
        <w:tc>
          <w:tcPr>
            <w:tcW w:w="1239" w:type="pct"/>
          </w:tcPr>
          <w:p w:rsidR="00B6569C" w:rsidRDefault="00E82474">
            <w:pPr>
              <w:pStyle w:val="Tabletext"/>
              <w:rPr>
                <w:szCs w:val="20"/>
              </w:rPr>
            </w:pPr>
            <w:r>
              <w:rPr>
                <w:szCs w:val="20"/>
              </w:rPr>
              <w:t>Stage IIIB (</w:t>
            </w:r>
            <w:r w:rsidR="00277D7E">
              <w:rPr>
                <w:noProof/>
                <w:color w:val="000000"/>
                <w:szCs w:val="20"/>
                <w:highlight w:val="black"/>
              </w:rPr>
              <w:t>''''''''''''</w:t>
            </w:r>
            <w:r>
              <w:rPr>
                <w:szCs w:val="20"/>
              </w:rPr>
              <w:t xml:space="preserve"> cycles)</w:t>
            </w:r>
          </w:p>
        </w:tc>
        <w:tc>
          <w:tcPr>
            <w:tcW w:w="644" w:type="pct"/>
            <w:shd w:val="clear" w:color="auto" w:fill="auto"/>
            <w:vAlign w:val="center"/>
          </w:tcPr>
          <w:p w:rsidR="00B6569C" w:rsidRPr="00277D7E" w:rsidRDefault="00277D7E">
            <w:pPr>
              <w:pStyle w:val="Tabletext"/>
              <w:jc w:val="center"/>
              <w:rPr>
                <w:szCs w:val="20"/>
                <w:highlight w:val="black"/>
              </w:rPr>
            </w:pPr>
            <w:r>
              <w:rPr>
                <w:rFonts w:cs="Arial"/>
                <w:noProof/>
                <w:color w:val="000000"/>
                <w:szCs w:val="20"/>
                <w:highlight w:val="black"/>
              </w:rPr>
              <w:t>'''''''''''''''''</w:t>
            </w:r>
          </w:p>
        </w:tc>
        <w:tc>
          <w:tcPr>
            <w:tcW w:w="629" w:type="pct"/>
            <w:shd w:val="clear" w:color="auto" w:fill="auto"/>
            <w:vAlign w:val="center"/>
          </w:tcPr>
          <w:p w:rsidR="00B6569C" w:rsidRPr="00277D7E" w:rsidRDefault="00277D7E">
            <w:pPr>
              <w:pStyle w:val="Tabletext"/>
              <w:jc w:val="center"/>
              <w:rPr>
                <w:szCs w:val="20"/>
                <w:highlight w:val="black"/>
              </w:rPr>
            </w:pPr>
            <w:r>
              <w:rPr>
                <w:rFonts w:cs="Arial"/>
                <w:noProof/>
                <w:color w:val="000000"/>
                <w:szCs w:val="20"/>
                <w:highlight w:val="black"/>
              </w:rPr>
              <w:t>''''''''''''''''</w:t>
            </w:r>
          </w:p>
        </w:tc>
        <w:tc>
          <w:tcPr>
            <w:tcW w:w="630" w:type="pct"/>
            <w:shd w:val="clear" w:color="auto" w:fill="auto"/>
            <w:vAlign w:val="center"/>
          </w:tcPr>
          <w:p w:rsidR="00B6569C" w:rsidRPr="00277D7E" w:rsidRDefault="00277D7E">
            <w:pPr>
              <w:pStyle w:val="Tabletext"/>
              <w:jc w:val="center"/>
              <w:rPr>
                <w:szCs w:val="20"/>
                <w:highlight w:val="black"/>
              </w:rPr>
            </w:pPr>
            <w:r>
              <w:rPr>
                <w:rFonts w:cs="Arial"/>
                <w:noProof/>
                <w:color w:val="000000"/>
                <w:szCs w:val="20"/>
                <w:highlight w:val="black"/>
              </w:rPr>
              <w:t>'''''''''''''''</w:t>
            </w:r>
          </w:p>
        </w:tc>
        <w:tc>
          <w:tcPr>
            <w:tcW w:w="630" w:type="pct"/>
            <w:shd w:val="clear" w:color="auto" w:fill="auto"/>
            <w:vAlign w:val="center"/>
          </w:tcPr>
          <w:p w:rsidR="00B6569C" w:rsidRPr="00277D7E" w:rsidRDefault="00277D7E">
            <w:pPr>
              <w:pStyle w:val="Tabletext"/>
              <w:jc w:val="center"/>
              <w:rPr>
                <w:szCs w:val="20"/>
                <w:highlight w:val="black"/>
              </w:rPr>
            </w:pPr>
            <w:r>
              <w:rPr>
                <w:rFonts w:cs="Arial"/>
                <w:noProof/>
                <w:color w:val="000000"/>
                <w:szCs w:val="20"/>
                <w:highlight w:val="black"/>
              </w:rPr>
              <w:t>''''''''''''''''''</w:t>
            </w:r>
          </w:p>
        </w:tc>
        <w:tc>
          <w:tcPr>
            <w:tcW w:w="630" w:type="pct"/>
            <w:shd w:val="clear" w:color="auto" w:fill="auto"/>
            <w:vAlign w:val="center"/>
          </w:tcPr>
          <w:p w:rsidR="00B6569C" w:rsidRPr="00277D7E" w:rsidRDefault="00277D7E">
            <w:pPr>
              <w:pStyle w:val="Tabletext"/>
              <w:jc w:val="center"/>
              <w:rPr>
                <w:szCs w:val="20"/>
                <w:highlight w:val="black"/>
              </w:rPr>
            </w:pPr>
            <w:r>
              <w:rPr>
                <w:rFonts w:cs="Arial"/>
                <w:noProof/>
                <w:color w:val="000000"/>
                <w:szCs w:val="20"/>
                <w:highlight w:val="black"/>
              </w:rPr>
              <w:t>''''''''''''''''''</w:t>
            </w:r>
          </w:p>
        </w:tc>
        <w:tc>
          <w:tcPr>
            <w:tcW w:w="598" w:type="pct"/>
            <w:shd w:val="clear" w:color="auto" w:fill="auto"/>
            <w:vAlign w:val="center"/>
          </w:tcPr>
          <w:p w:rsidR="00B6569C" w:rsidRPr="00277D7E" w:rsidRDefault="00277D7E">
            <w:pPr>
              <w:pStyle w:val="Tabletext"/>
              <w:jc w:val="center"/>
              <w:rPr>
                <w:szCs w:val="20"/>
                <w:highlight w:val="black"/>
              </w:rPr>
            </w:pPr>
            <w:r>
              <w:rPr>
                <w:rFonts w:cs="Arial"/>
                <w:noProof/>
                <w:color w:val="000000"/>
                <w:szCs w:val="20"/>
                <w:highlight w:val="black"/>
              </w:rPr>
              <w:t>'''''''''''''''''</w:t>
            </w:r>
          </w:p>
        </w:tc>
      </w:tr>
      <w:tr w:rsidR="00B6569C">
        <w:tc>
          <w:tcPr>
            <w:tcW w:w="1239" w:type="pct"/>
          </w:tcPr>
          <w:p w:rsidR="00B6569C" w:rsidRDefault="00E82474">
            <w:pPr>
              <w:pStyle w:val="Tabletext"/>
              <w:rPr>
                <w:szCs w:val="20"/>
              </w:rPr>
            </w:pPr>
            <w:r>
              <w:rPr>
                <w:szCs w:val="20"/>
              </w:rPr>
              <w:t>Stage IIIC (</w:t>
            </w:r>
            <w:r w:rsidR="00277D7E">
              <w:rPr>
                <w:noProof/>
                <w:color w:val="000000"/>
                <w:szCs w:val="20"/>
                <w:highlight w:val="black"/>
              </w:rPr>
              <w:t>''''''''''''</w:t>
            </w:r>
            <w:r>
              <w:rPr>
                <w:szCs w:val="20"/>
              </w:rPr>
              <w:t xml:space="preserve"> cycles)</w:t>
            </w:r>
          </w:p>
        </w:tc>
        <w:tc>
          <w:tcPr>
            <w:tcW w:w="644" w:type="pct"/>
            <w:shd w:val="clear" w:color="auto" w:fill="auto"/>
            <w:vAlign w:val="center"/>
          </w:tcPr>
          <w:p w:rsidR="00B6569C" w:rsidRPr="00277D7E" w:rsidRDefault="00277D7E">
            <w:pPr>
              <w:pStyle w:val="Tabletext"/>
              <w:jc w:val="center"/>
              <w:rPr>
                <w:szCs w:val="20"/>
                <w:highlight w:val="black"/>
              </w:rPr>
            </w:pPr>
            <w:r>
              <w:rPr>
                <w:rFonts w:cs="Arial"/>
                <w:noProof/>
                <w:color w:val="000000"/>
                <w:szCs w:val="20"/>
                <w:highlight w:val="black"/>
              </w:rPr>
              <w:t>'''''''''''''''''</w:t>
            </w:r>
          </w:p>
        </w:tc>
        <w:tc>
          <w:tcPr>
            <w:tcW w:w="629" w:type="pct"/>
            <w:shd w:val="clear" w:color="auto" w:fill="auto"/>
            <w:vAlign w:val="center"/>
          </w:tcPr>
          <w:p w:rsidR="00B6569C" w:rsidRPr="00277D7E" w:rsidRDefault="00277D7E">
            <w:pPr>
              <w:pStyle w:val="Tabletext"/>
              <w:jc w:val="center"/>
              <w:rPr>
                <w:szCs w:val="20"/>
                <w:highlight w:val="black"/>
              </w:rPr>
            </w:pPr>
            <w:r>
              <w:rPr>
                <w:rFonts w:cs="Arial"/>
                <w:noProof/>
                <w:color w:val="000000"/>
                <w:szCs w:val="20"/>
                <w:highlight w:val="black"/>
              </w:rPr>
              <w:t>''''''''''''''''</w:t>
            </w:r>
          </w:p>
        </w:tc>
        <w:tc>
          <w:tcPr>
            <w:tcW w:w="630" w:type="pct"/>
            <w:shd w:val="clear" w:color="auto" w:fill="auto"/>
            <w:vAlign w:val="center"/>
          </w:tcPr>
          <w:p w:rsidR="00B6569C" w:rsidRPr="00277D7E" w:rsidRDefault="00277D7E">
            <w:pPr>
              <w:pStyle w:val="Tabletext"/>
              <w:jc w:val="center"/>
              <w:rPr>
                <w:szCs w:val="20"/>
                <w:highlight w:val="black"/>
              </w:rPr>
            </w:pPr>
            <w:r>
              <w:rPr>
                <w:rFonts w:cs="Arial"/>
                <w:noProof/>
                <w:color w:val="000000"/>
                <w:szCs w:val="20"/>
                <w:highlight w:val="black"/>
              </w:rPr>
              <w:t>'''''''''''''''</w:t>
            </w:r>
          </w:p>
        </w:tc>
        <w:tc>
          <w:tcPr>
            <w:tcW w:w="630" w:type="pct"/>
            <w:shd w:val="clear" w:color="auto" w:fill="auto"/>
            <w:vAlign w:val="center"/>
          </w:tcPr>
          <w:p w:rsidR="00B6569C" w:rsidRPr="00277D7E" w:rsidRDefault="00277D7E">
            <w:pPr>
              <w:pStyle w:val="Tabletext"/>
              <w:jc w:val="center"/>
              <w:rPr>
                <w:szCs w:val="20"/>
                <w:highlight w:val="black"/>
              </w:rPr>
            </w:pPr>
            <w:r>
              <w:rPr>
                <w:rFonts w:cs="Arial"/>
                <w:noProof/>
                <w:color w:val="000000"/>
                <w:szCs w:val="20"/>
                <w:highlight w:val="black"/>
              </w:rPr>
              <w:t>'''''''''''''''''</w:t>
            </w:r>
          </w:p>
        </w:tc>
        <w:tc>
          <w:tcPr>
            <w:tcW w:w="630" w:type="pct"/>
            <w:shd w:val="clear" w:color="auto" w:fill="auto"/>
            <w:vAlign w:val="center"/>
          </w:tcPr>
          <w:p w:rsidR="00B6569C" w:rsidRPr="00277D7E" w:rsidRDefault="00277D7E">
            <w:pPr>
              <w:pStyle w:val="Tabletext"/>
              <w:jc w:val="center"/>
              <w:rPr>
                <w:szCs w:val="20"/>
                <w:highlight w:val="black"/>
              </w:rPr>
            </w:pPr>
            <w:r>
              <w:rPr>
                <w:rFonts w:cs="Arial"/>
                <w:noProof/>
                <w:color w:val="000000"/>
                <w:szCs w:val="20"/>
                <w:highlight w:val="black"/>
              </w:rPr>
              <w:t>''''''''''''''''</w:t>
            </w:r>
          </w:p>
        </w:tc>
        <w:tc>
          <w:tcPr>
            <w:tcW w:w="598" w:type="pct"/>
            <w:shd w:val="clear" w:color="auto" w:fill="auto"/>
            <w:vAlign w:val="center"/>
          </w:tcPr>
          <w:p w:rsidR="00B6569C" w:rsidRPr="00277D7E" w:rsidRDefault="00277D7E">
            <w:pPr>
              <w:pStyle w:val="Tabletext"/>
              <w:jc w:val="center"/>
              <w:rPr>
                <w:szCs w:val="20"/>
                <w:highlight w:val="black"/>
              </w:rPr>
            </w:pPr>
            <w:r>
              <w:rPr>
                <w:rFonts w:cs="Arial"/>
                <w:noProof/>
                <w:color w:val="000000"/>
                <w:szCs w:val="20"/>
                <w:highlight w:val="black"/>
              </w:rPr>
              <w:t>'''''''''''''''</w:t>
            </w:r>
          </w:p>
        </w:tc>
      </w:tr>
      <w:tr w:rsidR="00B6569C">
        <w:tc>
          <w:tcPr>
            <w:tcW w:w="1239" w:type="pct"/>
          </w:tcPr>
          <w:p w:rsidR="00B6569C" w:rsidRDefault="00E82474">
            <w:pPr>
              <w:pStyle w:val="Tabletext"/>
              <w:rPr>
                <w:szCs w:val="20"/>
              </w:rPr>
            </w:pPr>
            <w:r>
              <w:rPr>
                <w:szCs w:val="20"/>
              </w:rPr>
              <w:t>Stage IIID (</w:t>
            </w:r>
            <w:r w:rsidR="00277D7E">
              <w:rPr>
                <w:noProof/>
                <w:color w:val="000000"/>
                <w:szCs w:val="20"/>
                <w:highlight w:val="black"/>
              </w:rPr>
              <w:t>''''''''''''''</w:t>
            </w:r>
            <w:r>
              <w:rPr>
                <w:szCs w:val="20"/>
              </w:rPr>
              <w:t xml:space="preserve"> cycles)</w:t>
            </w:r>
          </w:p>
        </w:tc>
        <w:tc>
          <w:tcPr>
            <w:tcW w:w="644" w:type="pct"/>
            <w:shd w:val="clear" w:color="auto" w:fill="auto"/>
            <w:vAlign w:val="center"/>
          </w:tcPr>
          <w:p w:rsidR="00B6569C" w:rsidRPr="00277D7E" w:rsidRDefault="00277D7E">
            <w:pPr>
              <w:pStyle w:val="Tabletext"/>
              <w:jc w:val="center"/>
              <w:rPr>
                <w:szCs w:val="20"/>
                <w:highlight w:val="black"/>
              </w:rPr>
            </w:pPr>
            <w:r>
              <w:rPr>
                <w:rFonts w:cs="Arial"/>
                <w:noProof/>
                <w:color w:val="000000"/>
                <w:szCs w:val="20"/>
                <w:highlight w:val="black"/>
              </w:rPr>
              <w:t>'''''''''''''</w:t>
            </w:r>
          </w:p>
        </w:tc>
        <w:tc>
          <w:tcPr>
            <w:tcW w:w="629" w:type="pct"/>
            <w:shd w:val="clear" w:color="auto" w:fill="auto"/>
            <w:vAlign w:val="center"/>
          </w:tcPr>
          <w:p w:rsidR="00B6569C" w:rsidRPr="00277D7E" w:rsidRDefault="00277D7E">
            <w:pPr>
              <w:pStyle w:val="Tabletext"/>
              <w:jc w:val="center"/>
              <w:rPr>
                <w:szCs w:val="20"/>
                <w:highlight w:val="black"/>
              </w:rPr>
            </w:pPr>
            <w:r>
              <w:rPr>
                <w:rFonts w:cs="Arial"/>
                <w:noProof/>
                <w:color w:val="000000"/>
                <w:szCs w:val="20"/>
                <w:highlight w:val="black"/>
              </w:rPr>
              <w:t>'''''''''''''''</w:t>
            </w:r>
          </w:p>
        </w:tc>
        <w:tc>
          <w:tcPr>
            <w:tcW w:w="630" w:type="pct"/>
            <w:shd w:val="clear" w:color="auto" w:fill="auto"/>
            <w:vAlign w:val="center"/>
          </w:tcPr>
          <w:p w:rsidR="00B6569C" w:rsidRPr="00277D7E" w:rsidRDefault="00277D7E">
            <w:pPr>
              <w:pStyle w:val="Tabletext"/>
              <w:jc w:val="center"/>
              <w:rPr>
                <w:szCs w:val="20"/>
                <w:highlight w:val="black"/>
              </w:rPr>
            </w:pPr>
            <w:r>
              <w:rPr>
                <w:rFonts w:cs="Arial"/>
                <w:noProof/>
                <w:color w:val="000000"/>
                <w:szCs w:val="20"/>
                <w:highlight w:val="black"/>
              </w:rPr>
              <w:t>''''''''''''''</w:t>
            </w:r>
          </w:p>
        </w:tc>
        <w:tc>
          <w:tcPr>
            <w:tcW w:w="630" w:type="pct"/>
            <w:shd w:val="clear" w:color="auto" w:fill="auto"/>
            <w:vAlign w:val="center"/>
          </w:tcPr>
          <w:p w:rsidR="00B6569C" w:rsidRPr="00277D7E" w:rsidRDefault="00277D7E">
            <w:pPr>
              <w:pStyle w:val="Tabletext"/>
              <w:jc w:val="center"/>
              <w:rPr>
                <w:szCs w:val="20"/>
                <w:highlight w:val="black"/>
              </w:rPr>
            </w:pPr>
            <w:r>
              <w:rPr>
                <w:rFonts w:cs="Arial"/>
                <w:noProof/>
                <w:color w:val="000000"/>
                <w:szCs w:val="20"/>
                <w:highlight w:val="black"/>
              </w:rPr>
              <w:t>'''''''''''''</w:t>
            </w:r>
          </w:p>
        </w:tc>
        <w:tc>
          <w:tcPr>
            <w:tcW w:w="630" w:type="pct"/>
            <w:shd w:val="clear" w:color="auto" w:fill="auto"/>
            <w:vAlign w:val="center"/>
          </w:tcPr>
          <w:p w:rsidR="00B6569C" w:rsidRPr="00277D7E" w:rsidRDefault="00277D7E">
            <w:pPr>
              <w:pStyle w:val="Tabletext"/>
              <w:jc w:val="center"/>
              <w:rPr>
                <w:szCs w:val="20"/>
                <w:highlight w:val="black"/>
              </w:rPr>
            </w:pPr>
            <w:r>
              <w:rPr>
                <w:rFonts w:cs="Arial"/>
                <w:noProof/>
                <w:color w:val="000000"/>
                <w:szCs w:val="20"/>
                <w:highlight w:val="black"/>
              </w:rPr>
              <w:t>''''''''''''</w:t>
            </w:r>
          </w:p>
        </w:tc>
        <w:tc>
          <w:tcPr>
            <w:tcW w:w="598" w:type="pct"/>
            <w:shd w:val="clear" w:color="auto" w:fill="auto"/>
            <w:vAlign w:val="center"/>
          </w:tcPr>
          <w:p w:rsidR="00B6569C" w:rsidRPr="00277D7E" w:rsidRDefault="00277D7E">
            <w:pPr>
              <w:pStyle w:val="Tabletext"/>
              <w:jc w:val="center"/>
              <w:rPr>
                <w:szCs w:val="20"/>
                <w:highlight w:val="black"/>
              </w:rPr>
            </w:pPr>
            <w:r>
              <w:rPr>
                <w:rFonts w:cs="Arial"/>
                <w:noProof/>
                <w:color w:val="000000"/>
                <w:szCs w:val="20"/>
                <w:highlight w:val="black"/>
              </w:rPr>
              <w:t>''''''''''''</w:t>
            </w:r>
          </w:p>
        </w:tc>
      </w:tr>
      <w:tr w:rsidR="00B6569C">
        <w:tc>
          <w:tcPr>
            <w:tcW w:w="1239" w:type="pct"/>
          </w:tcPr>
          <w:p w:rsidR="00B6569C" w:rsidRDefault="00E82474">
            <w:pPr>
              <w:pStyle w:val="Tabletext"/>
              <w:rPr>
                <w:szCs w:val="20"/>
              </w:rPr>
            </w:pPr>
            <w:r>
              <w:rPr>
                <w:szCs w:val="20"/>
              </w:rPr>
              <w:t>Overall (</w:t>
            </w:r>
            <w:r w:rsidR="00277D7E">
              <w:rPr>
                <w:noProof/>
                <w:color w:val="000000"/>
                <w:szCs w:val="20"/>
                <w:highlight w:val="black"/>
              </w:rPr>
              <w:t>'''''''''''''''''''''</w:t>
            </w:r>
            <w:r>
              <w:rPr>
                <w:szCs w:val="20"/>
              </w:rPr>
              <w:t xml:space="preserve"> cycles))</w:t>
            </w:r>
          </w:p>
        </w:tc>
        <w:tc>
          <w:tcPr>
            <w:tcW w:w="644" w:type="pct"/>
            <w:shd w:val="clear" w:color="auto" w:fill="auto"/>
            <w:vAlign w:val="center"/>
          </w:tcPr>
          <w:p w:rsidR="00B6569C" w:rsidRPr="00277D7E" w:rsidRDefault="00277D7E">
            <w:pPr>
              <w:pStyle w:val="Tabletext"/>
              <w:jc w:val="center"/>
              <w:rPr>
                <w:szCs w:val="20"/>
                <w:highlight w:val="black"/>
              </w:rPr>
            </w:pPr>
            <w:r>
              <w:rPr>
                <w:rFonts w:cs="Arial"/>
                <w:noProof/>
                <w:color w:val="000000"/>
                <w:szCs w:val="20"/>
                <w:highlight w:val="black"/>
              </w:rPr>
              <w:t>'''''''''''''''''</w:t>
            </w:r>
          </w:p>
        </w:tc>
        <w:tc>
          <w:tcPr>
            <w:tcW w:w="629" w:type="pct"/>
            <w:shd w:val="clear" w:color="auto" w:fill="auto"/>
            <w:vAlign w:val="center"/>
          </w:tcPr>
          <w:p w:rsidR="00B6569C" w:rsidRPr="00277D7E" w:rsidRDefault="00277D7E">
            <w:pPr>
              <w:pStyle w:val="Tabletext"/>
              <w:jc w:val="center"/>
              <w:rPr>
                <w:szCs w:val="20"/>
                <w:highlight w:val="black"/>
              </w:rPr>
            </w:pPr>
            <w:r>
              <w:rPr>
                <w:rFonts w:cs="Arial"/>
                <w:noProof/>
                <w:color w:val="000000"/>
                <w:szCs w:val="20"/>
                <w:highlight w:val="black"/>
              </w:rPr>
              <w:t>''''''''''''''''</w:t>
            </w:r>
          </w:p>
        </w:tc>
        <w:tc>
          <w:tcPr>
            <w:tcW w:w="630" w:type="pct"/>
            <w:shd w:val="clear" w:color="auto" w:fill="auto"/>
            <w:vAlign w:val="center"/>
          </w:tcPr>
          <w:p w:rsidR="00B6569C" w:rsidRPr="00277D7E" w:rsidRDefault="00277D7E">
            <w:pPr>
              <w:pStyle w:val="Tabletext"/>
              <w:jc w:val="center"/>
              <w:rPr>
                <w:szCs w:val="20"/>
                <w:highlight w:val="black"/>
              </w:rPr>
            </w:pPr>
            <w:r>
              <w:rPr>
                <w:rFonts w:cs="Arial"/>
                <w:noProof/>
                <w:color w:val="000000"/>
                <w:szCs w:val="20"/>
                <w:highlight w:val="black"/>
              </w:rPr>
              <w:t>'''''''''''''''</w:t>
            </w:r>
          </w:p>
        </w:tc>
        <w:tc>
          <w:tcPr>
            <w:tcW w:w="630" w:type="pct"/>
            <w:shd w:val="clear" w:color="auto" w:fill="auto"/>
            <w:vAlign w:val="center"/>
          </w:tcPr>
          <w:p w:rsidR="00B6569C" w:rsidRPr="00277D7E" w:rsidRDefault="00277D7E">
            <w:pPr>
              <w:pStyle w:val="Tabletext"/>
              <w:jc w:val="center"/>
              <w:rPr>
                <w:szCs w:val="20"/>
                <w:highlight w:val="black"/>
              </w:rPr>
            </w:pPr>
            <w:r>
              <w:rPr>
                <w:rFonts w:cs="Arial"/>
                <w:noProof/>
                <w:color w:val="000000"/>
                <w:szCs w:val="20"/>
                <w:highlight w:val="black"/>
              </w:rPr>
              <w:t>''''''''''''''''''</w:t>
            </w:r>
          </w:p>
        </w:tc>
        <w:tc>
          <w:tcPr>
            <w:tcW w:w="630" w:type="pct"/>
            <w:shd w:val="clear" w:color="auto" w:fill="auto"/>
            <w:vAlign w:val="center"/>
          </w:tcPr>
          <w:p w:rsidR="00B6569C" w:rsidRPr="00277D7E" w:rsidRDefault="00277D7E">
            <w:pPr>
              <w:pStyle w:val="Tabletext"/>
              <w:jc w:val="center"/>
              <w:rPr>
                <w:szCs w:val="20"/>
                <w:highlight w:val="black"/>
              </w:rPr>
            </w:pPr>
            <w:r>
              <w:rPr>
                <w:rFonts w:cs="Arial"/>
                <w:noProof/>
                <w:color w:val="000000"/>
                <w:szCs w:val="20"/>
                <w:highlight w:val="black"/>
              </w:rPr>
              <w:t>''''''''''''''''</w:t>
            </w:r>
          </w:p>
        </w:tc>
        <w:tc>
          <w:tcPr>
            <w:tcW w:w="598" w:type="pct"/>
            <w:shd w:val="clear" w:color="auto" w:fill="auto"/>
            <w:vAlign w:val="center"/>
          </w:tcPr>
          <w:p w:rsidR="00B6569C" w:rsidRPr="00277D7E" w:rsidRDefault="00277D7E">
            <w:pPr>
              <w:pStyle w:val="Tabletext"/>
              <w:jc w:val="center"/>
              <w:rPr>
                <w:szCs w:val="20"/>
                <w:highlight w:val="black"/>
              </w:rPr>
            </w:pPr>
            <w:r>
              <w:rPr>
                <w:rFonts w:cs="Arial"/>
                <w:noProof/>
                <w:color w:val="000000"/>
                <w:szCs w:val="20"/>
                <w:highlight w:val="black"/>
              </w:rPr>
              <w:t>''''''''''''''''''</w:t>
            </w:r>
          </w:p>
        </w:tc>
      </w:tr>
      <w:tr w:rsidR="00B6569C">
        <w:tc>
          <w:tcPr>
            <w:tcW w:w="5000" w:type="pct"/>
            <w:gridSpan w:val="7"/>
          </w:tcPr>
          <w:p w:rsidR="00B6569C" w:rsidRDefault="00E82474">
            <w:pPr>
              <w:pStyle w:val="Tabletext"/>
              <w:rPr>
                <w:b/>
                <w:szCs w:val="20"/>
              </w:rPr>
            </w:pPr>
            <w:r>
              <w:rPr>
                <w:b/>
                <w:szCs w:val="20"/>
              </w:rPr>
              <w:t>Number of vials of pembrolizumab (2 per administration)</w:t>
            </w:r>
          </w:p>
        </w:tc>
      </w:tr>
      <w:tr w:rsidR="00B6569C">
        <w:tc>
          <w:tcPr>
            <w:tcW w:w="1239" w:type="pct"/>
          </w:tcPr>
          <w:p w:rsidR="00B6569C" w:rsidRDefault="00E82474">
            <w:pPr>
              <w:pStyle w:val="Tabletext"/>
            </w:pPr>
            <w:r>
              <w:t>Overall</w:t>
            </w:r>
          </w:p>
        </w:tc>
        <w:tc>
          <w:tcPr>
            <w:tcW w:w="644" w:type="pct"/>
            <w:shd w:val="clear" w:color="auto" w:fill="auto"/>
            <w:vAlign w:val="center"/>
          </w:tcPr>
          <w:p w:rsidR="00B6569C" w:rsidRPr="00277D7E" w:rsidRDefault="00277D7E">
            <w:pPr>
              <w:pStyle w:val="Tabletext"/>
              <w:jc w:val="center"/>
              <w:rPr>
                <w:highlight w:val="black"/>
              </w:rPr>
            </w:pPr>
            <w:r>
              <w:rPr>
                <w:noProof/>
                <w:color w:val="000000"/>
                <w:szCs w:val="20"/>
                <w:highlight w:val="black"/>
              </w:rPr>
              <w:t>''''''''''''''''</w:t>
            </w:r>
          </w:p>
        </w:tc>
        <w:tc>
          <w:tcPr>
            <w:tcW w:w="629" w:type="pct"/>
            <w:shd w:val="clear" w:color="auto" w:fill="auto"/>
            <w:vAlign w:val="center"/>
          </w:tcPr>
          <w:p w:rsidR="00B6569C" w:rsidRPr="00277D7E" w:rsidRDefault="00277D7E">
            <w:pPr>
              <w:pStyle w:val="Tabletext"/>
              <w:jc w:val="center"/>
              <w:rPr>
                <w:highlight w:val="black"/>
              </w:rPr>
            </w:pPr>
            <w:r>
              <w:rPr>
                <w:noProof/>
                <w:color w:val="000000"/>
                <w:szCs w:val="20"/>
                <w:highlight w:val="black"/>
              </w:rPr>
              <w:t>'''''''''''''''</w:t>
            </w:r>
          </w:p>
        </w:tc>
        <w:tc>
          <w:tcPr>
            <w:tcW w:w="630" w:type="pct"/>
            <w:shd w:val="clear" w:color="auto" w:fill="auto"/>
            <w:vAlign w:val="center"/>
          </w:tcPr>
          <w:p w:rsidR="00B6569C" w:rsidRPr="00277D7E" w:rsidRDefault="00277D7E">
            <w:pPr>
              <w:pStyle w:val="Tabletext"/>
              <w:jc w:val="center"/>
              <w:rPr>
                <w:highlight w:val="black"/>
              </w:rPr>
            </w:pPr>
            <w:r>
              <w:rPr>
                <w:noProof/>
                <w:color w:val="000000"/>
                <w:szCs w:val="20"/>
                <w:highlight w:val="black"/>
              </w:rPr>
              <w:t>'''''''''''''''''</w:t>
            </w:r>
          </w:p>
        </w:tc>
        <w:tc>
          <w:tcPr>
            <w:tcW w:w="630" w:type="pct"/>
            <w:shd w:val="clear" w:color="auto" w:fill="auto"/>
            <w:vAlign w:val="center"/>
          </w:tcPr>
          <w:p w:rsidR="00B6569C" w:rsidRPr="00277D7E" w:rsidRDefault="00277D7E">
            <w:pPr>
              <w:pStyle w:val="Tabletext"/>
              <w:jc w:val="center"/>
              <w:rPr>
                <w:highlight w:val="black"/>
              </w:rPr>
            </w:pPr>
            <w:r>
              <w:rPr>
                <w:noProof/>
                <w:color w:val="000000"/>
                <w:szCs w:val="20"/>
                <w:highlight w:val="black"/>
              </w:rPr>
              <w:t>''''''''''''''''</w:t>
            </w:r>
          </w:p>
        </w:tc>
        <w:tc>
          <w:tcPr>
            <w:tcW w:w="630" w:type="pct"/>
            <w:shd w:val="clear" w:color="auto" w:fill="auto"/>
            <w:vAlign w:val="center"/>
          </w:tcPr>
          <w:p w:rsidR="00B6569C" w:rsidRPr="00277D7E" w:rsidRDefault="00277D7E">
            <w:pPr>
              <w:pStyle w:val="Tabletext"/>
              <w:jc w:val="center"/>
              <w:rPr>
                <w:highlight w:val="black"/>
              </w:rPr>
            </w:pPr>
            <w:r>
              <w:rPr>
                <w:noProof/>
                <w:color w:val="000000"/>
                <w:szCs w:val="20"/>
                <w:highlight w:val="black"/>
              </w:rPr>
              <w:t>'''''''''''''''</w:t>
            </w:r>
          </w:p>
        </w:tc>
        <w:tc>
          <w:tcPr>
            <w:tcW w:w="598" w:type="pct"/>
            <w:shd w:val="clear" w:color="auto" w:fill="auto"/>
            <w:vAlign w:val="center"/>
          </w:tcPr>
          <w:p w:rsidR="00B6569C" w:rsidRPr="00277D7E" w:rsidRDefault="00277D7E">
            <w:pPr>
              <w:pStyle w:val="Tabletext"/>
              <w:jc w:val="center"/>
              <w:rPr>
                <w:highlight w:val="black"/>
              </w:rPr>
            </w:pPr>
            <w:r>
              <w:rPr>
                <w:noProof/>
                <w:color w:val="000000"/>
                <w:szCs w:val="20"/>
                <w:highlight w:val="black"/>
              </w:rPr>
              <w:t>''''''''''''''''''</w:t>
            </w:r>
          </w:p>
        </w:tc>
      </w:tr>
      <w:tr w:rsidR="00B6569C">
        <w:tc>
          <w:tcPr>
            <w:tcW w:w="5000" w:type="pct"/>
            <w:gridSpan w:val="7"/>
          </w:tcPr>
          <w:p w:rsidR="00B6569C" w:rsidRDefault="00E82474">
            <w:pPr>
              <w:pStyle w:val="Tabletext"/>
              <w:rPr>
                <w:b/>
              </w:rPr>
            </w:pPr>
            <w:r>
              <w:rPr>
                <w:b/>
              </w:rPr>
              <w:t>Number of scripts attracting co-payment (2 per patient)</w:t>
            </w:r>
          </w:p>
        </w:tc>
      </w:tr>
      <w:tr w:rsidR="00B6569C">
        <w:tc>
          <w:tcPr>
            <w:tcW w:w="1239" w:type="pct"/>
          </w:tcPr>
          <w:p w:rsidR="00B6569C" w:rsidRDefault="00E82474">
            <w:pPr>
              <w:pStyle w:val="Tabletext"/>
            </w:pPr>
            <w:r>
              <w:t>Overall</w:t>
            </w:r>
          </w:p>
        </w:tc>
        <w:tc>
          <w:tcPr>
            <w:tcW w:w="644" w:type="pct"/>
            <w:shd w:val="clear" w:color="auto" w:fill="auto"/>
            <w:vAlign w:val="center"/>
          </w:tcPr>
          <w:p w:rsidR="00B6569C" w:rsidRPr="00277D7E" w:rsidRDefault="00277D7E">
            <w:pPr>
              <w:pStyle w:val="Tabletext"/>
              <w:jc w:val="center"/>
              <w:rPr>
                <w:highlight w:val="black"/>
              </w:rPr>
            </w:pPr>
            <w:r>
              <w:rPr>
                <w:noProof/>
                <w:color w:val="000000"/>
                <w:highlight w:val="black"/>
              </w:rPr>
              <w:t>'''''''''''''</w:t>
            </w:r>
          </w:p>
        </w:tc>
        <w:tc>
          <w:tcPr>
            <w:tcW w:w="629" w:type="pct"/>
            <w:shd w:val="clear" w:color="auto" w:fill="auto"/>
            <w:vAlign w:val="center"/>
          </w:tcPr>
          <w:p w:rsidR="00B6569C" w:rsidRPr="00277D7E" w:rsidRDefault="00277D7E">
            <w:pPr>
              <w:pStyle w:val="Tabletext"/>
              <w:jc w:val="center"/>
              <w:rPr>
                <w:highlight w:val="black"/>
              </w:rPr>
            </w:pPr>
            <w:r>
              <w:rPr>
                <w:noProof/>
                <w:color w:val="000000"/>
                <w:highlight w:val="black"/>
              </w:rPr>
              <w:t>''''''''''''</w:t>
            </w:r>
          </w:p>
        </w:tc>
        <w:tc>
          <w:tcPr>
            <w:tcW w:w="630" w:type="pct"/>
            <w:shd w:val="clear" w:color="auto" w:fill="auto"/>
            <w:vAlign w:val="center"/>
          </w:tcPr>
          <w:p w:rsidR="00B6569C" w:rsidRPr="00277D7E" w:rsidRDefault="00277D7E">
            <w:pPr>
              <w:pStyle w:val="Tabletext"/>
              <w:jc w:val="center"/>
              <w:rPr>
                <w:highlight w:val="black"/>
              </w:rPr>
            </w:pPr>
            <w:r>
              <w:rPr>
                <w:noProof/>
                <w:color w:val="000000"/>
                <w:highlight w:val="black"/>
              </w:rPr>
              <w:t>''''''''''''''</w:t>
            </w:r>
          </w:p>
        </w:tc>
        <w:tc>
          <w:tcPr>
            <w:tcW w:w="630" w:type="pct"/>
            <w:shd w:val="clear" w:color="auto" w:fill="auto"/>
            <w:vAlign w:val="center"/>
          </w:tcPr>
          <w:p w:rsidR="00B6569C" w:rsidRPr="00277D7E" w:rsidRDefault="00277D7E">
            <w:pPr>
              <w:pStyle w:val="Tabletext"/>
              <w:jc w:val="center"/>
              <w:rPr>
                <w:highlight w:val="black"/>
              </w:rPr>
            </w:pPr>
            <w:r>
              <w:rPr>
                <w:noProof/>
                <w:color w:val="000000"/>
                <w:highlight w:val="black"/>
              </w:rPr>
              <w:t>'''''''''''''</w:t>
            </w:r>
          </w:p>
        </w:tc>
        <w:tc>
          <w:tcPr>
            <w:tcW w:w="630" w:type="pct"/>
            <w:shd w:val="clear" w:color="auto" w:fill="auto"/>
            <w:vAlign w:val="center"/>
          </w:tcPr>
          <w:p w:rsidR="00B6569C" w:rsidRPr="00277D7E" w:rsidRDefault="00277D7E">
            <w:pPr>
              <w:pStyle w:val="Tabletext"/>
              <w:jc w:val="center"/>
              <w:rPr>
                <w:highlight w:val="black"/>
              </w:rPr>
            </w:pPr>
            <w:r>
              <w:rPr>
                <w:noProof/>
                <w:color w:val="000000"/>
                <w:highlight w:val="black"/>
              </w:rPr>
              <w:t>'''''''''''''</w:t>
            </w:r>
          </w:p>
        </w:tc>
        <w:tc>
          <w:tcPr>
            <w:tcW w:w="598" w:type="pct"/>
            <w:shd w:val="clear" w:color="auto" w:fill="auto"/>
            <w:vAlign w:val="center"/>
          </w:tcPr>
          <w:p w:rsidR="00B6569C" w:rsidRPr="00277D7E" w:rsidRDefault="00277D7E">
            <w:pPr>
              <w:pStyle w:val="Tabletext"/>
              <w:jc w:val="center"/>
              <w:rPr>
                <w:highlight w:val="black"/>
              </w:rPr>
            </w:pPr>
            <w:r>
              <w:rPr>
                <w:noProof/>
                <w:color w:val="000000"/>
                <w:highlight w:val="black"/>
              </w:rPr>
              <w:t>''''''''''''''</w:t>
            </w:r>
          </w:p>
        </w:tc>
      </w:tr>
      <w:tr w:rsidR="00B6569C">
        <w:tc>
          <w:tcPr>
            <w:tcW w:w="5000" w:type="pct"/>
            <w:gridSpan w:val="7"/>
          </w:tcPr>
          <w:p w:rsidR="00B6569C" w:rsidRDefault="00E82474">
            <w:pPr>
              <w:pStyle w:val="Tabletext"/>
              <w:rPr>
                <w:b/>
              </w:rPr>
            </w:pPr>
            <w:r>
              <w:rPr>
                <w:b/>
              </w:rPr>
              <w:t>Dispensed cost (effective price: $</w:t>
            </w:r>
            <w:r w:rsidR="00277D7E">
              <w:rPr>
                <w:b/>
                <w:noProof/>
                <w:color w:val="000000"/>
                <w:highlight w:val="black"/>
              </w:rPr>
              <w:t>'''''''''''''''''</w:t>
            </w:r>
            <w:r>
              <w:rPr>
                <w:b/>
              </w:rPr>
              <w:t xml:space="preserve"> per administration)</w:t>
            </w:r>
          </w:p>
        </w:tc>
      </w:tr>
      <w:tr w:rsidR="00B6569C">
        <w:tc>
          <w:tcPr>
            <w:tcW w:w="1239" w:type="pct"/>
          </w:tcPr>
          <w:p w:rsidR="00B6569C" w:rsidRDefault="00E82474">
            <w:pPr>
              <w:pStyle w:val="Tabletext"/>
            </w:pPr>
            <w:r>
              <w:t>Overall</w:t>
            </w:r>
          </w:p>
        </w:tc>
        <w:tc>
          <w:tcPr>
            <w:tcW w:w="644" w:type="pct"/>
            <w:shd w:val="clear" w:color="auto" w:fill="auto"/>
            <w:vAlign w:val="center"/>
          </w:tcPr>
          <w:p w:rsidR="00B6569C" w:rsidRDefault="00E82474">
            <w:pPr>
              <w:pStyle w:val="Tabletext"/>
              <w:jc w:val="right"/>
            </w:pPr>
            <w:r>
              <w:t>$</w:t>
            </w:r>
            <w:r w:rsidR="00277D7E">
              <w:rPr>
                <w:noProof/>
                <w:color w:val="000000"/>
                <w:highlight w:val="black"/>
              </w:rPr>
              <w:t>'''''''''''''''''''''''''''''''''</w:t>
            </w:r>
          </w:p>
        </w:tc>
        <w:tc>
          <w:tcPr>
            <w:tcW w:w="629" w:type="pct"/>
            <w:shd w:val="clear" w:color="auto" w:fill="auto"/>
            <w:vAlign w:val="center"/>
          </w:tcPr>
          <w:p w:rsidR="00B6569C" w:rsidRDefault="00E82474">
            <w:pPr>
              <w:pStyle w:val="Tabletext"/>
              <w:jc w:val="right"/>
            </w:pPr>
            <w:r>
              <w:t>$</w:t>
            </w:r>
            <w:r w:rsidR="00277D7E">
              <w:rPr>
                <w:noProof/>
                <w:color w:val="000000"/>
                <w:highlight w:val="black"/>
              </w:rPr>
              <w:t>'''''''''''''''''''''''''''''''</w:t>
            </w:r>
          </w:p>
        </w:tc>
        <w:tc>
          <w:tcPr>
            <w:tcW w:w="630" w:type="pct"/>
            <w:shd w:val="clear" w:color="auto" w:fill="auto"/>
            <w:vAlign w:val="center"/>
          </w:tcPr>
          <w:p w:rsidR="00B6569C" w:rsidRDefault="00E82474">
            <w:pPr>
              <w:pStyle w:val="Tabletext"/>
              <w:jc w:val="right"/>
            </w:pPr>
            <w:r>
              <w:t>$</w:t>
            </w:r>
            <w:r w:rsidR="00277D7E">
              <w:rPr>
                <w:noProof/>
                <w:color w:val="000000"/>
                <w:highlight w:val="black"/>
              </w:rPr>
              <w:t>'''''''''''''''''''''''''''''</w:t>
            </w:r>
          </w:p>
        </w:tc>
        <w:tc>
          <w:tcPr>
            <w:tcW w:w="630" w:type="pct"/>
            <w:shd w:val="clear" w:color="auto" w:fill="auto"/>
            <w:vAlign w:val="center"/>
          </w:tcPr>
          <w:p w:rsidR="00B6569C" w:rsidRDefault="00E82474">
            <w:pPr>
              <w:pStyle w:val="Tabletext"/>
              <w:jc w:val="right"/>
            </w:pPr>
            <w:r>
              <w:t>$</w:t>
            </w:r>
            <w:r w:rsidR="00277D7E">
              <w:rPr>
                <w:noProof/>
                <w:color w:val="000000"/>
                <w:highlight w:val="black"/>
              </w:rPr>
              <w:t>'''''''''''''''''''''''''''''</w:t>
            </w:r>
          </w:p>
        </w:tc>
        <w:tc>
          <w:tcPr>
            <w:tcW w:w="630" w:type="pct"/>
            <w:shd w:val="clear" w:color="auto" w:fill="auto"/>
            <w:vAlign w:val="center"/>
          </w:tcPr>
          <w:p w:rsidR="00B6569C" w:rsidRDefault="00E82474">
            <w:pPr>
              <w:pStyle w:val="Tabletext"/>
              <w:jc w:val="right"/>
            </w:pPr>
            <w:r>
              <w:t>$</w:t>
            </w:r>
            <w:r w:rsidR="00277D7E">
              <w:rPr>
                <w:noProof/>
                <w:color w:val="000000"/>
                <w:highlight w:val="black"/>
              </w:rPr>
              <w:t>'''''''''''''''''''''''''''</w:t>
            </w:r>
          </w:p>
        </w:tc>
        <w:tc>
          <w:tcPr>
            <w:tcW w:w="598" w:type="pct"/>
            <w:shd w:val="clear" w:color="auto" w:fill="auto"/>
            <w:vAlign w:val="center"/>
          </w:tcPr>
          <w:p w:rsidR="00B6569C" w:rsidRDefault="00E82474">
            <w:pPr>
              <w:pStyle w:val="Tabletext"/>
              <w:jc w:val="right"/>
            </w:pPr>
            <w:r>
              <w:t>$</w:t>
            </w:r>
            <w:r w:rsidR="00277D7E">
              <w:rPr>
                <w:noProof/>
                <w:color w:val="000000"/>
                <w:highlight w:val="black"/>
              </w:rPr>
              <w:t>''''''''''''''''''''''''''''''''</w:t>
            </w:r>
          </w:p>
        </w:tc>
      </w:tr>
      <w:tr w:rsidR="00B6569C">
        <w:tc>
          <w:tcPr>
            <w:tcW w:w="5000" w:type="pct"/>
            <w:gridSpan w:val="7"/>
          </w:tcPr>
          <w:p w:rsidR="00B6569C" w:rsidRDefault="00E82474">
            <w:pPr>
              <w:pStyle w:val="Tabletext"/>
              <w:rPr>
                <w:b/>
              </w:rPr>
            </w:pPr>
            <w:r>
              <w:rPr>
                <w:b/>
              </w:rPr>
              <w:t>Patient co-payments (average copayment $18.51)</w:t>
            </w:r>
          </w:p>
        </w:tc>
      </w:tr>
      <w:tr w:rsidR="00B6569C">
        <w:tc>
          <w:tcPr>
            <w:tcW w:w="1239" w:type="pct"/>
          </w:tcPr>
          <w:p w:rsidR="00B6569C" w:rsidRDefault="00E82474">
            <w:pPr>
              <w:pStyle w:val="Tabletext"/>
            </w:pPr>
            <w:r>
              <w:t>Overall</w:t>
            </w:r>
          </w:p>
        </w:tc>
        <w:tc>
          <w:tcPr>
            <w:tcW w:w="644" w:type="pct"/>
            <w:shd w:val="clear" w:color="auto" w:fill="auto"/>
            <w:vAlign w:val="center"/>
          </w:tcPr>
          <w:p w:rsidR="00B6569C" w:rsidRDefault="00E82474">
            <w:pPr>
              <w:pStyle w:val="Tabletext"/>
              <w:jc w:val="right"/>
            </w:pPr>
            <w:r>
              <w:t>$</w:t>
            </w:r>
            <w:r w:rsidR="00277D7E">
              <w:rPr>
                <w:noProof/>
                <w:color w:val="000000"/>
                <w:highlight w:val="black"/>
              </w:rPr>
              <w:t>''''''''''''''''</w:t>
            </w:r>
          </w:p>
        </w:tc>
        <w:tc>
          <w:tcPr>
            <w:tcW w:w="629" w:type="pct"/>
            <w:shd w:val="clear" w:color="auto" w:fill="auto"/>
            <w:vAlign w:val="center"/>
          </w:tcPr>
          <w:p w:rsidR="00B6569C" w:rsidRDefault="00E82474">
            <w:pPr>
              <w:pStyle w:val="Tabletext"/>
              <w:jc w:val="right"/>
            </w:pPr>
            <w:r>
              <w:t>$</w:t>
            </w:r>
            <w:r w:rsidR="00277D7E">
              <w:rPr>
                <w:noProof/>
                <w:color w:val="000000"/>
                <w:highlight w:val="black"/>
              </w:rPr>
              <w:t>'''''''''''''''</w:t>
            </w:r>
          </w:p>
        </w:tc>
        <w:tc>
          <w:tcPr>
            <w:tcW w:w="630" w:type="pct"/>
            <w:shd w:val="clear" w:color="auto" w:fill="auto"/>
            <w:vAlign w:val="center"/>
          </w:tcPr>
          <w:p w:rsidR="00B6569C" w:rsidRDefault="00E82474">
            <w:pPr>
              <w:pStyle w:val="Tabletext"/>
              <w:jc w:val="right"/>
            </w:pPr>
            <w:r>
              <w:t>$</w:t>
            </w:r>
            <w:r w:rsidR="00277D7E">
              <w:rPr>
                <w:noProof/>
                <w:color w:val="000000"/>
                <w:highlight w:val="black"/>
              </w:rPr>
              <w:t>'''''''''''''''</w:t>
            </w:r>
          </w:p>
        </w:tc>
        <w:tc>
          <w:tcPr>
            <w:tcW w:w="630" w:type="pct"/>
            <w:shd w:val="clear" w:color="auto" w:fill="auto"/>
            <w:vAlign w:val="center"/>
          </w:tcPr>
          <w:p w:rsidR="00B6569C" w:rsidRDefault="00E82474">
            <w:pPr>
              <w:pStyle w:val="Tabletext"/>
              <w:jc w:val="right"/>
            </w:pPr>
            <w:r>
              <w:t>$</w:t>
            </w:r>
            <w:r w:rsidR="00277D7E">
              <w:rPr>
                <w:noProof/>
                <w:color w:val="000000"/>
                <w:highlight w:val="black"/>
              </w:rPr>
              <w:t>'''''''''''''''''</w:t>
            </w:r>
          </w:p>
        </w:tc>
        <w:tc>
          <w:tcPr>
            <w:tcW w:w="630" w:type="pct"/>
            <w:shd w:val="clear" w:color="auto" w:fill="auto"/>
            <w:vAlign w:val="center"/>
          </w:tcPr>
          <w:p w:rsidR="00B6569C" w:rsidRDefault="00E82474">
            <w:pPr>
              <w:pStyle w:val="Tabletext"/>
              <w:jc w:val="right"/>
            </w:pPr>
            <w:r>
              <w:t>$</w:t>
            </w:r>
            <w:r w:rsidR="00277D7E">
              <w:rPr>
                <w:noProof/>
                <w:color w:val="000000"/>
                <w:highlight w:val="black"/>
              </w:rPr>
              <w:t>''''''''''''''''</w:t>
            </w:r>
          </w:p>
        </w:tc>
        <w:tc>
          <w:tcPr>
            <w:tcW w:w="598" w:type="pct"/>
            <w:shd w:val="clear" w:color="auto" w:fill="auto"/>
            <w:vAlign w:val="center"/>
          </w:tcPr>
          <w:p w:rsidR="00B6569C" w:rsidRDefault="00E82474">
            <w:pPr>
              <w:pStyle w:val="Tabletext"/>
              <w:jc w:val="right"/>
            </w:pPr>
            <w:r>
              <w:t>$</w:t>
            </w:r>
            <w:r w:rsidR="00277D7E">
              <w:rPr>
                <w:noProof/>
                <w:color w:val="000000"/>
                <w:highlight w:val="black"/>
              </w:rPr>
              <w:t>'''''''''''''''</w:t>
            </w:r>
          </w:p>
        </w:tc>
      </w:tr>
      <w:tr w:rsidR="00B6569C">
        <w:tc>
          <w:tcPr>
            <w:tcW w:w="5000" w:type="pct"/>
            <w:gridSpan w:val="7"/>
          </w:tcPr>
          <w:p w:rsidR="00B6569C" w:rsidRDefault="00E82474">
            <w:pPr>
              <w:pStyle w:val="Tabletext"/>
              <w:rPr>
                <w:b/>
              </w:rPr>
            </w:pPr>
            <w:r>
              <w:rPr>
                <w:rStyle w:val="TabletextChar"/>
                <w:b/>
              </w:rPr>
              <w:t>Effective net price (less patient co-payments</w:t>
            </w:r>
            <w:r>
              <w:rPr>
                <w:b/>
              </w:rPr>
              <w:t>)</w:t>
            </w:r>
          </w:p>
        </w:tc>
      </w:tr>
      <w:tr w:rsidR="00B6569C">
        <w:tc>
          <w:tcPr>
            <w:tcW w:w="1239" w:type="pct"/>
          </w:tcPr>
          <w:p w:rsidR="00B6569C" w:rsidRDefault="00E82474">
            <w:pPr>
              <w:pStyle w:val="Tabletext"/>
              <w:rPr>
                <w:b/>
              </w:rPr>
            </w:pPr>
            <w:r>
              <w:rPr>
                <w:b/>
              </w:rPr>
              <w:t>Overall</w:t>
            </w:r>
          </w:p>
        </w:tc>
        <w:tc>
          <w:tcPr>
            <w:tcW w:w="644" w:type="pct"/>
            <w:shd w:val="clear" w:color="auto" w:fill="auto"/>
            <w:vAlign w:val="center"/>
          </w:tcPr>
          <w:p w:rsidR="00B6569C" w:rsidRDefault="00E82474">
            <w:pPr>
              <w:pStyle w:val="Tabletext"/>
              <w:jc w:val="right"/>
              <w:rPr>
                <w:b/>
              </w:rPr>
            </w:pPr>
            <w:r>
              <w:rPr>
                <w:b/>
              </w:rPr>
              <w:t>$</w:t>
            </w:r>
            <w:r w:rsidR="00277D7E">
              <w:rPr>
                <w:b/>
                <w:noProof/>
                <w:color w:val="000000"/>
                <w:highlight w:val="black"/>
              </w:rPr>
              <w:t>''''''''''''''''''''''''</w:t>
            </w:r>
          </w:p>
        </w:tc>
        <w:tc>
          <w:tcPr>
            <w:tcW w:w="629" w:type="pct"/>
            <w:shd w:val="clear" w:color="auto" w:fill="auto"/>
            <w:vAlign w:val="center"/>
          </w:tcPr>
          <w:p w:rsidR="00B6569C" w:rsidRDefault="00E82474">
            <w:pPr>
              <w:pStyle w:val="Tabletext"/>
              <w:jc w:val="right"/>
              <w:rPr>
                <w:b/>
              </w:rPr>
            </w:pPr>
            <w:r>
              <w:rPr>
                <w:b/>
              </w:rPr>
              <w:t>$</w:t>
            </w:r>
            <w:r w:rsidR="00277D7E">
              <w:rPr>
                <w:b/>
                <w:noProof/>
                <w:color w:val="000000"/>
                <w:highlight w:val="black"/>
              </w:rPr>
              <w:t>''''''''''''''''''''''''</w:t>
            </w:r>
          </w:p>
        </w:tc>
        <w:tc>
          <w:tcPr>
            <w:tcW w:w="630" w:type="pct"/>
            <w:shd w:val="clear" w:color="auto" w:fill="auto"/>
            <w:vAlign w:val="center"/>
          </w:tcPr>
          <w:p w:rsidR="00B6569C" w:rsidRDefault="00E82474">
            <w:pPr>
              <w:pStyle w:val="Tabletext"/>
              <w:jc w:val="right"/>
              <w:rPr>
                <w:b/>
              </w:rPr>
            </w:pPr>
            <w:r>
              <w:rPr>
                <w:b/>
              </w:rPr>
              <w:t>$</w:t>
            </w:r>
            <w:r w:rsidR="00277D7E">
              <w:rPr>
                <w:b/>
                <w:noProof/>
                <w:color w:val="000000"/>
                <w:highlight w:val="black"/>
              </w:rPr>
              <w:t>''''''''''''''''''''''</w:t>
            </w:r>
          </w:p>
        </w:tc>
        <w:tc>
          <w:tcPr>
            <w:tcW w:w="630" w:type="pct"/>
            <w:shd w:val="clear" w:color="auto" w:fill="auto"/>
            <w:vAlign w:val="center"/>
          </w:tcPr>
          <w:p w:rsidR="00B6569C" w:rsidRDefault="00E82474">
            <w:pPr>
              <w:pStyle w:val="Tabletext"/>
              <w:jc w:val="right"/>
              <w:rPr>
                <w:b/>
              </w:rPr>
            </w:pPr>
            <w:r>
              <w:rPr>
                <w:b/>
              </w:rPr>
              <w:t>$</w:t>
            </w:r>
            <w:r w:rsidR="00277D7E">
              <w:rPr>
                <w:b/>
                <w:noProof/>
                <w:color w:val="000000"/>
                <w:highlight w:val="black"/>
              </w:rPr>
              <w:t>''''''''''''''''''''''</w:t>
            </w:r>
          </w:p>
        </w:tc>
        <w:tc>
          <w:tcPr>
            <w:tcW w:w="630" w:type="pct"/>
            <w:shd w:val="clear" w:color="auto" w:fill="auto"/>
            <w:vAlign w:val="center"/>
          </w:tcPr>
          <w:p w:rsidR="00B6569C" w:rsidRDefault="00E82474">
            <w:pPr>
              <w:pStyle w:val="Tabletext"/>
              <w:jc w:val="right"/>
              <w:rPr>
                <w:b/>
              </w:rPr>
            </w:pPr>
            <w:r>
              <w:rPr>
                <w:b/>
              </w:rPr>
              <w:t>$</w:t>
            </w:r>
            <w:r w:rsidR="00277D7E">
              <w:rPr>
                <w:b/>
                <w:noProof/>
                <w:color w:val="000000"/>
                <w:highlight w:val="black"/>
              </w:rPr>
              <w:t>''''''''''''''''''''''</w:t>
            </w:r>
          </w:p>
        </w:tc>
        <w:tc>
          <w:tcPr>
            <w:tcW w:w="598" w:type="pct"/>
            <w:shd w:val="clear" w:color="auto" w:fill="auto"/>
            <w:vAlign w:val="center"/>
          </w:tcPr>
          <w:p w:rsidR="00B6569C" w:rsidRDefault="00E82474">
            <w:pPr>
              <w:pStyle w:val="Tabletext"/>
              <w:jc w:val="right"/>
              <w:rPr>
                <w:b/>
              </w:rPr>
            </w:pPr>
            <w:r>
              <w:rPr>
                <w:b/>
              </w:rPr>
              <w:t>$</w:t>
            </w:r>
            <w:r w:rsidR="00277D7E">
              <w:rPr>
                <w:b/>
                <w:noProof/>
                <w:color w:val="000000"/>
                <w:highlight w:val="black"/>
              </w:rPr>
              <w:t>'''''''''''''''''''''''''</w:t>
            </w:r>
          </w:p>
        </w:tc>
      </w:tr>
      <w:tr w:rsidR="00B6569C">
        <w:tc>
          <w:tcPr>
            <w:tcW w:w="5000" w:type="pct"/>
            <w:gridSpan w:val="7"/>
          </w:tcPr>
          <w:p w:rsidR="00B6569C" w:rsidRDefault="00E82474">
            <w:pPr>
              <w:pStyle w:val="Tabletext"/>
              <w:rPr>
                <w:b/>
              </w:rPr>
            </w:pPr>
            <w:r>
              <w:rPr>
                <w:b/>
              </w:rPr>
              <w:t>November 2018 submission</w:t>
            </w:r>
          </w:p>
        </w:tc>
      </w:tr>
      <w:tr w:rsidR="00B6569C">
        <w:tc>
          <w:tcPr>
            <w:tcW w:w="1239" w:type="pct"/>
          </w:tcPr>
          <w:p w:rsidR="00B6569C" w:rsidRDefault="00E82474">
            <w:pPr>
              <w:pStyle w:val="Tabletext"/>
            </w:pPr>
            <w:r>
              <w:t>Total patient numbers</w:t>
            </w:r>
          </w:p>
        </w:tc>
        <w:tc>
          <w:tcPr>
            <w:tcW w:w="644" w:type="pct"/>
            <w:shd w:val="clear" w:color="auto" w:fill="auto"/>
            <w:vAlign w:val="bottom"/>
          </w:tcPr>
          <w:p w:rsidR="00B6569C" w:rsidRDefault="00E82474">
            <w:pPr>
              <w:pStyle w:val="Tabletext"/>
              <w:jc w:val="right"/>
            </w:pPr>
            <w:r>
              <w:t>2,172</w:t>
            </w:r>
          </w:p>
        </w:tc>
        <w:tc>
          <w:tcPr>
            <w:tcW w:w="629" w:type="pct"/>
            <w:shd w:val="clear" w:color="auto" w:fill="auto"/>
            <w:vAlign w:val="bottom"/>
          </w:tcPr>
          <w:p w:rsidR="00B6569C" w:rsidRDefault="00E82474">
            <w:pPr>
              <w:pStyle w:val="Tabletext"/>
              <w:jc w:val="right"/>
            </w:pPr>
            <w:r>
              <w:t>2,001</w:t>
            </w:r>
          </w:p>
        </w:tc>
        <w:tc>
          <w:tcPr>
            <w:tcW w:w="630" w:type="pct"/>
            <w:shd w:val="clear" w:color="auto" w:fill="auto"/>
            <w:vAlign w:val="bottom"/>
          </w:tcPr>
          <w:p w:rsidR="00B6569C" w:rsidRDefault="00E82474">
            <w:pPr>
              <w:pStyle w:val="Tabletext"/>
              <w:jc w:val="right"/>
            </w:pPr>
            <w:r>
              <w:t>2,045</w:t>
            </w:r>
          </w:p>
        </w:tc>
        <w:tc>
          <w:tcPr>
            <w:tcW w:w="630" w:type="pct"/>
            <w:shd w:val="clear" w:color="auto" w:fill="auto"/>
            <w:vAlign w:val="bottom"/>
          </w:tcPr>
          <w:p w:rsidR="00B6569C" w:rsidRDefault="00E82474">
            <w:pPr>
              <w:pStyle w:val="Tabletext"/>
              <w:jc w:val="right"/>
            </w:pPr>
            <w:r>
              <w:t>2,089</w:t>
            </w:r>
          </w:p>
        </w:tc>
        <w:tc>
          <w:tcPr>
            <w:tcW w:w="630" w:type="pct"/>
            <w:shd w:val="clear" w:color="auto" w:fill="auto"/>
            <w:vAlign w:val="bottom"/>
          </w:tcPr>
          <w:p w:rsidR="00B6569C" w:rsidRDefault="00E82474">
            <w:pPr>
              <w:pStyle w:val="Tabletext"/>
              <w:jc w:val="right"/>
            </w:pPr>
            <w:r>
              <w:t>2,133</w:t>
            </w:r>
          </w:p>
        </w:tc>
        <w:tc>
          <w:tcPr>
            <w:tcW w:w="598" w:type="pct"/>
            <w:shd w:val="clear" w:color="auto" w:fill="auto"/>
            <w:vAlign w:val="bottom"/>
          </w:tcPr>
          <w:p w:rsidR="00B6569C" w:rsidRDefault="00E82474">
            <w:pPr>
              <w:pStyle w:val="Tabletext"/>
              <w:jc w:val="right"/>
            </w:pPr>
            <w:r>
              <w:t>2,177</w:t>
            </w:r>
          </w:p>
        </w:tc>
      </w:tr>
      <w:tr w:rsidR="00B6569C">
        <w:tc>
          <w:tcPr>
            <w:tcW w:w="1239" w:type="pct"/>
          </w:tcPr>
          <w:p w:rsidR="00B6569C" w:rsidRDefault="00E82474">
            <w:pPr>
              <w:pStyle w:val="Tabletext"/>
            </w:pPr>
            <w:r>
              <w:t>Overall cost</w:t>
            </w:r>
          </w:p>
        </w:tc>
        <w:tc>
          <w:tcPr>
            <w:tcW w:w="644" w:type="pct"/>
            <w:shd w:val="clear" w:color="auto" w:fill="auto"/>
            <w:vAlign w:val="bottom"/>
          </w:tcPr>
          <w:p w:rsidR="00B6569C" w:rsidRDefault="00E82474">
            <w:pPr>
              <w:pStyle w:val="Tabletext"/>
              <w:jc w:val="right"/>
            </w:pPr>
            <w:r>
              <w:t>$</w:t>
            </w:r>
            <w:r w:rsidR="00277D7E">
              <w:rPr>
                <w:noProof/>
                <w:color w:val="000000"/>
                <w:highlight w:val="black"/>
              </w:rPr>
              <w:t>''''''''''''''''''''''''''''''</w:t>
            </w:r>
          </w:p>
        </w:tc>
        <w:tc>
          <w:tcPr>
            <w:tcW w:w="629" w:type="pct"/>
            <w:shd w:val="clear" w:color="auto" w:fill="auto"/>
            <w:vAlign w:val="bottom"/>
          </w:tcPr>
          <w:p w:rsidR="00B6569C" w:rsidRDefault="00E82474">
            <w:pPr>
              <w:pStyle w:val="Tabletext"/>
              <w:jc w:val="right"/>
            </w:pPr>
            <w:r>
              <w:t>$</w:t>
            </w:r>
            <w:r w:rsidR="00277D7E">
              <w:rPr>
                <w:noProof/>
                <w:color w:val="000000"/>
                <w:highlight w:val="black"/>
              </w:rPr>
              <w:t>'''''''''''''''''''''''''''''''''</w:t>
            </w:r>
          </w:p>
        </w:tc>
        <w:tc>
          <w:tcPr>
            <w:tcW w:w="630" w:type="pct"/>
            <w:shd w:val="clear" w:color="auto" w:fill="auto"/>
            <w:vAlign w:val="bottom"/>
          </w:tcPr>
          <w:p w:rsidR="00B6569C" w:rsidRDefault="00E82474">
            <w:pPr>
              <w:pStyle w:val="Tabletext"/>
              <w:jc w:val="right"/>
            </w:pPr>
            <w:r>
              <w:t>$</w:t>
            </w:r>
            <w:r w:rsidR="00277D7E">
              <w:rPr>
                <w:noProof/>
                <w:color w:val="000000"/>
                <w:highlight w:val="black"/>
              </w:rPr>
              <w:t>''''''''''''''''''''''''''''''</w:t>
            </w:r>
          </w:p>
        </w:tc>
        <w:tc>
          <w:tcPr>
            <w:tcW w:w="630" w:type="pct"/>
            <w:shd w:val="clear" w:color="auto" w:fill="auto"/>
            <w:vAlign w:val="bottom"/>
          </w:tcPr>
          <w:p w:rsidR="00B6569C" w:rsidRDefault="00E82474">
            <w:pPr>
              <w:pStyle w:val="Tabletext"/>
              <w:jc w:val="right"/>
            </w:pPr>
            <w:r>
              <w:t>$</w:t>
            </w:r>
            <w:r w:rsidR="00277D7E">
              <w:rPr>
                <w:noProof/>
                <w:color w:val="000000"/>
                <w:highlight w:val="black"/>
              </w:rPr>
              <w:t>'''''''''''''''''''''''''''''''''</w:t>
            </w:r>
          </w:p>
        </w:tc>
        <w:tc>
          <w:tcPr>
            <w:tcW w:w="630" w:type="pct"/>
            <w:shd w:val="clear" w:color="auto" w:fill="auto"/>
            <w:vAlign w:val="bottom"/>
          </w:tcPr>
          <w:p w:rsidR="00B6569C" w:rsidRDefault="00E82474">
            <w:pPr>
              <w:pStyle w:val="Tabletext"/>
              <w:jc w:val="right"/>
            </w:pPr>
            <w:r>
              <w:t>$</w:t>
            </w:r>
            <w:r w:rsidR="00277D7E">
              <w:rPr>
                <w:noProof/>
                <w:color w:val="000000"/>
                <w:highlight w:val="black"/>
              </w:rPr>
              <w:t>'''''''''''''''''''''''''''''</w:t>
            </w:r>
          </w:p>
        </w:tc>
        <w:tc>
          <w:tcPr>
            <w:tcW w:w="598" w:type="pct"/>
            <w:shd w:val="clear" w:color="auto" w:fill="auto"/>
            <w:vAlign w:val="bottom"/>
          </w:tcPr>
          <w:p w:rsidR="00B6569C" w:rsidRDefault="00E82474">
            <w:pPr>
              <w:pStyle w:val="Tabletext"/>
              <w:jc w:val="right"/>
            </w:pPr>
            <w:r>
              <w:t>$</w:t>
            </w:r>
            <w:r w:rsidR="00277D7E">
              <w:rPr>
                <w:noProof/>
                <w:color w:val="000000"/>
                <w:highlight w:val="black"/>
              </w:rPr>
              <w:t>'''''''''''''''''''''''''''</w:t>
            </w:r>
          </w:p>
        </w:tc>
      </w:tr>
    </w:tbl>
    <w:p w:rsidR="00B6569C" w:rsidRDefault="00E82474">
      <w:pPr>
        <w:pStyle w:val="TableFooter"/>
        <w:widowControl/>
      </w:pPr>
      <w:r>
        <w:t>Source: Constructed during the evaluation using ‘Att 20’ BIM Excel spreadsheet provided with the resubmission; November 2018 pembrolizumab commentary</w:t>
      </w:r>
    </w:p>
    <w:p w:rsidR="00B6569C" w:rsidRDefault="00B6569C">
      <w:pPr>
        <w:pStyle w:val="TableFooter"/>
        <w:widowControl/>
      </w:pPr>
    </w:p>
    <w:p w:rsidR="00B6569C" w:rsidRDefault="00E82474">
      <w:pPr>
        <w:pStyle w:val="ListParagraph"/>
        <w:widowControl/>
        <w:numPr>
          <w:ilvl w:val="1"/>
          <w:numId w:val="3"/>
        </w:numPr>
      </w:pPr>
      <w:r>
        <w:lastRenderedPageBreak/>
        <w:t xml:space="preserve">The net cost to the PBS/RPBS  of listing pembrolizumab for the adjuvant treatment of Stage III resected melanoma (excluding Stage IIIA ≤1 mm) was estimated to be up to </w:t>
      </w:r>
      <w:r w:rsidR="0069644F">
        <w:t xml:space="preserve">more than  $100 million </w:t>
      </w:r>
      <w:r>
        <w:t xml:space="preserve"> million in the sixth year of listing (published price more than $100 million ). The estimated cumulative net cost over six years was </w:t>
      </w:r>
      <w:r w:rsidR="0069644F">
        <w:t xml:space="preserve">more than $100 </w:t>
      </w:r>
      <w:r>
        <w:t xml:space="preserve"> million (published price more than $100 million ). The net cost to the PBS/RPBS in the November 2018 submission was estimated to be more than $100 million  in the sixth year of listing, and the estimated cumulative net cost over six years was estimated to be more than $100  million.</w:t>
      </w:r>
    </w:p>
    <w:p w:rsidR="00B6569C" w:rsidRDefault="00E82474">
      <w:pPr>
        <w:pStyle w:val="ListParagraph"/>
        <w:widowControl/>
        <w:numPr>
          <w:ilvl w:val="1"/>
          <w:numId w:val="3"/>
        </w:numPr>
      </w:pPr>
      <w:r>
        <w:t>The resubmission assumed that the incident population included both patients newly diagnosed with Stage III melanoma, and those initially diagnosed with Stage I or II melanoma who had experienced disease progression. This approach appeared reasonable, but it was difficult to exclude potential double counting. As the publication identifying the number of incident patients was not provided, it was unclear whether there was any overlap between these populations (i.e. incident Stage III may represent those newly diagnosed, or newly diagnosed with Stage III regardless of previous melanoma status).</w:t>
      </w:r>
    </w:p>
    <w:p w:rsidR="00B6569C" w:rsidRDefault="00E82474">
      <w:pPr>
        <w:pStyle w:val="ListParagraph"/>
        <w:widowControl/>
        <w:numPr>
          <w:ilvl w:val="1"/>
          <w:numId w:val="3"/>
        </w:numPr>
      </w:pPr>
      <w:r>
        <w:t xml:space="preserve">The resubmission assumed treatment uptake rates of 50% in Stage IIIA disease, in order to account for a smaller proportion of patients in this stage being eligible for or electing adjuvant treatment, and rates of 85% for Stages IIIB-IIID. It is unclear whether these uptake rates would be realised in practice. The PBAC previously considered that an uptake rate of 85% was high (paragraph 6.59, Pembrolizumab minutes, November 2018). </w:t>
      </w:r>
    </w:p>
    <w:p w:rsidR="00B6569C" w:rsidRDefault="00E82474">
      <w:pPr>
        <w:pStyle w:val="ListParagraph"/>
        <w:widowControl/>
        <w:numPr>
          <w:ilvl w:val="1"/>
          <w:numId w:val="3"/>
        </w:numPr>
      </w:pPr>
      <w:r>
        <w:t xml:space="preserve">The resubmission included cost offsets for advanced melanoma treatment avoided in the case that pembrolizumab is listed for the adjuvant treatment of resected Stage III melanoma. Extrapolated rates from the economic model were incorporated to determine the number of patients who would be offset from the currently reimbursed unresectable Stage III, or Stage IV setting in any given year following the PBS listing of pembrolizumab in the adjuvant treatment setting. This approach compared the difference in retreatment rates in the world with and without adjuvant pembrolizumab. Because these were based on modelled estimates for progression to distant metastases, which were likely to be overestimated in the model, the cost offsets were likely to be overestimated. As distant metastases-free survival was not assessed at the October 2017 time point of the KN054 trial due to an insufficient number of events, it is unclear how large this population will be in practice. </w:t>
      </w:r>
    </w:p>
    <w:p w:rsidR="00B6569C" w:rsidRDefault="00E82474">
      <w:pPr>
        <w:pStyle w:val="ListParagraph"/>
        <w:widowControl/>
        <w:numPr>
          <w:ilvl w:val="1"/>
          <w:numId w:val="3"/>
        </w:numPr>
      </w:pPr>
      <w:r>
        <w:t>The net cost to the PBS after cost offsets (due to patients not progressing to distant metastases and therefore not requiring treatment in the unresectable or metastatic setting), is summarised in the table below. The PSCR provided a revised net cost to the PBS, after cost offsets, which excluded all Stage IIIA patients.</w:t>
      </w:r>
    </w:p>
    <w:p w:rsidR="00C30C67" w:rsidRDefault="00C30C67" w:rsidP="00C30C67">
      <w:pPr>
        <w:pStyle w:val="TableHeading0"/>
      </w:pPr>
      <w:bookmarkStart w:id="13" w:name="_GoBack"/>
      <w:bookmarkEnd w:id="13"/>
      <w:r>
        <w:lastRenderedPageBreak/>
        <w:t xml:space="preserve">Table </w:t>
      </w:r>
      <w:fldSimple w:instr=" SEQ Table \* ARABIC ">
        <w:r w:rsidR="00632FE3">
          <w:rPr>
            <w:noProof/>
          </w:rPr>
          <w:t>21</w:t>
        </w:r>
      </w:fldSimple>
      <w:r w:rsidRPr="00162A28">
        <w:t>: Net costs to the PBS/RPBS after offsets for advanced melanoma treatment applied</w:t>
      </w:r>
    </w:p>
    <w:tbl>
      <w:tblPr>
        <w:tblStyle w:val="TableGrid"/>
        <w:tblW w:w="5000" w:type="pct"/>
        <w:tblCellMar>
          <w:left w:w="57" w:type="dxa"/>
          <w:right w:w="57" w:type="dxa"/>
        </w:tblCellMar>
        <w:tblLook w:val="04A0" w:firstRow="1" w:lastRow="0" w:firstColumn="1" w:lastColumn="0" w:noHBand="0" w:noVBand="1"/>
        <w:tblCaption w:val="Table 21: Net costs to the PBS/RPBS after offsets for advanced melanoma treatment applied"/>
      </w:tblPr>
      <w:tblGrid>
        <w:gridCol w:w="950"/>
        <w:gridCol w:w="1373"/>
        <w:gridCol w:w="1374"/>
        <w:gridCol w:w="1330"/>
        <w:gridCol w:w="1330"/>
        <w:gridCol w:w="1374"/>
        <w:gridCol w:w="1286"/>
      </w:tblGrid>
      <w:tr w:rsidR="00B6569C">
        <w:tc>
          <w:tcPr>
            <w:tcW w:w="0" w:type="auto"/>
          </w:tcPr>
          <w:p w:rsidR="00B6569C" w:rsidRDefault="00B6569C">
            <w:pPr>
              <w:pStyle w:val="Tabletext"/>
              <w:keepNext/>
            </w:pPr>
          </w:p>
        </w:tc>
        <w:tc>
          <w:tcPr>
            <w:tcW w:w="0" w:type="auto"/>
            <w:shd w:val="clear" w:color="auto" w:fill="auto"/>
            <w:vAlign w:val="center"/>
          </w:tcPr>
          <w:p w:rsidR="00B6569C" w:rsidRDefault="00E82474">
            <w:pPr>
              <w:pStyle w:val="Tabletext"/>
              <w:keepNext/>
              <w:jc w:val="center"/>
              <w:rPr>
                <w:b/>
                <w:szCs w:val="20"/>
              </w:rPr>
            </w:pPr>
            <w:r>
              <w:rPr>
                <w:b/>
                <w:szCs w:val="20"/>
              </w:rPr>
              <w:t>Year 1</w:t>
            </w:r>
          </w:p>
          <w:p w:rsidR="00B6569C" w:rsidRDefault="00E82474">
            <w:pPr>
              <w:pStyle w:val="Tabletext"/>
              <w:keepNext/>
              <w:jc w:val="center"/>
            </w:pPr>
            <w:r>
              <w:rPr>
                <w:b/>
                <w:szCs w:val="20"/>
              </w:rPr>
              <w:t>(2020)</w:t>
            </w:r>
          </w:p>
        </w:tc>
        <w:tc>
          <w:tcPr>
            <w:tcW w:w="0" w:type="auto"/>
            <w:shd w:val="clear" w:color="auto" w:fill="auto"/>
            <w:vAlign w:val="center"/>
          </w:tcPr>
          <w:p w:rsidR="00B6569C" w:rsidRDefault="00E82474">
            <w:pPr>
              <w:pStyle w:val="Tabletext"/>
              <w:keepNext/>
              <w:jc w:val="center"/>
              <w:rPr>
                <w:b/>
                <w:szCs w:val="20"/>
              </w:rPr>
            </w:pPr>
            <w:r>
              <w:rPr>
                <w:b/>
                <w:szCs w:val="20"/>
              </w:rPr>
              <w:t>Year 2</w:t>
            </w:r>
          </w:p>
          <w:p w:rsidR="00B6569C" w:rsidRDefault="00E82474">
            <w:pPr>
              <w:pStyle w:val="Tabletext"/>
              <w:keepNext/>
              <w:jc w:val="center"/>
            </w:pPr>
            <w:r>
              <w:rPr>
                <w:b/>
                <w:szCs w:val="20"/>
              </w:rPr>
              <w:t>(2021)</w:t>
            </w:r>
          </w:p>
        </w:tc>
        <w:tc>
          <w:tcPr>
            <w:tcW w:w="0" w:type="auto"/>
            <w:shd w:val="clear" w:color="auto" w:fill="auto"/>
            <w:vAlign w:val="center"/>
          </w:tcPr>
          <w:p w:rsidR="00B6569C" w:rsidRDefault="00E82474">
            <w:pPr>
              <w:pStyle w:val="Tabletext"/>
              <w:keepNext/>
              <w:jc w:val="center"/>
              <w:rPr>
                <w:b/>
                <w:szCs w:val="20"/>
              </w:rPr>
            </w:pPr>
            <w:r>
              <w:rPr>
                <w:b/>
                <w:szCs w:val="20"/>
              </w:rPr>
              <w:t>Year 3</w:t>
            </w:r>
          </w:p>
          <w:p w:rsidR="00B6569C" w:rsidRDefault="00E82474">
            <w:pPr>
              <w:pStyle w:val="Tabletext"/>
              <w:keepNext/>
              <w:jc w:val="center"/>
            </w:pPr>
            <w:r>
              <w:rPr>
                <w:b/>
                <w:szCs w:val="20"/>
              </w:rPr>
              <w:t>(2022)</w:t>
            </w:r>
          </w:p>
        </w:tc>
        <w:tc>
          <w:tcPr>
            <w:tcW w:w="0" w:type="auto"/>
            <w:shd w:val="clear" w:color="auto" w:fill="auto"/>
            <w:vAlign w:val="center"/>
          </w:tcPr>
          <w:p w:rsidR="00B6569C" w:rsidRDefault="00E82474">
            <w:pPr>
              <w:pStyle w:val="Tabletext"/>
              <w:keepNext/>
              <w:jc w:val="center"/>
              <w:rPr>
                <w:b/>
                <w:szCs w:val="20"/>
              </w:rPr>
            </w:pPr>
            <w:r>
              <w:rPr>
                <w:b/>
                <w:szCs w:val="20"/>
              </w:rPr>
              <w:t>Year 4</w:t>
            </w:r>
          </w:p>
          <w:p w:rsidR="00B6569C" w:rsidRDefault="00E82474">
            <w:pPr>
              <w:pStyle w:val="Tabletext"/>
              <w:keepNext/>
              <w:jc w:val="center"/>
            </w:pPr>
            <w:r>
              <w:rPr>
                <w:b/>
                <w:szCs w:val="20"/>
              </w:rPr>
              <w:t>(2023)</w:t>
            </w:r>
          </w:p>
        </w:tc>
        <w:tc>
          <w:tcPr>
            <w:tcW w:w="0" w:type="auto"/>
            <w:shd w:val="clear" w:color="auto" w:fill="auto"/>
            <w:vAlign w:val="center"/>
          </w:tcPr>
          <w:p w:rsidR="00B6569C" w:rsidRDefault="00E82474">
            <w:pPr>
              <w:pStyle w:val="Tabletext"/>
              <w:keepNext/>
              <w:jc w:val="center"/>
              <w:rPr>
                <w:b/>
                <w:szCs w:val="20"/>
              </w:rPr>
            </w:pPr>
            <w:r>
              <w:rPr>
                <w:b/>
                <w:szCs w:val="20"/>
              </w:rPr>
              <w:t>Year 5</w:t>
            </w:r>
          </w:p>
          <w:p w:rsidR="00B6569C" w:rsidRDefault="00E82474">
            <w:pPr>
              <w:pStyle w:val="Tabletext"/>
              <w:keepNext/>
              <w:jc w:val="center"/>
            </w:pPr>
            <w:r>
              <w:rPr>
                <w:b/>
                <w:szCs w:val="20"/>
              </w:rPr>
              <w:t>(2024)</w:t>
            </w:r>
          </w:p>
        </w:tc>
        <w:tc>
          <w:tcPr>
            <w:tcW w:w="0" w:type="auto"/>
            <w:shd w:val="clear" w:color="auto" w:fill="auto"/>
            <w:vAlign w:val="center"/>
          </w:tcPr>
          <w:p w:rsidR="00B6569C" w:rsidRDefault="00E82474">
            <w:pPr>
              <w:pStyle w:val="Tabletext"/>
              <w:keepNext/>
              <w:jc w:val="center"/>
              <w:rPr>
                <w:b/>
                <w:szCs w:val="20"/>
              </w:rPr>
            </w:pPr>
            <w:r>
              <w:rPr>
                <w:b/>
                <w:szCs w:val="20"/>
              </w:rPr>
              <w:t>Year 6</w:t>
            </w:r>
          </w:p>
          <w:p w:rsidR="00B6569C" w:rsidRDefault="00E82474">
            <w:pPr>
              <w:pStyle w:val="Tabletext"/>
              <w:keepNext/>
              <w:jc w:val="center"/>
            </w:pPr>
            <w:r>
              <w:rPr>
                <w:b/>
                <w:szCs w:val="20"/>
              </w:rPr>
              <w:t>(2025)</w:t>
            </w:r>
          </w:p>
        </w:tc>
      </w:tr>
      <w:tr w:rsidR="00B6569C">
        <w:tc>
          <w:tcPr>
            <w:tcW w:w="0" w:type="auto"/>
          </w:tcPr>
          <w:p w:rsidR="00B6569C" w:rsidRDefault="00E82474">
            <w:pPr>
              <w:pStyle w:val="Tabletext"/>
              <w:keepNext/>
            </w:pPr>
            <w:r>
              <w:t>Stage IIIA</w:t>
            </w:r>
          </w:p>
        </w:tc>
        <w:tc>
          <w:tcPr>
            <w:tcW w:w="0" w:type="auto"/>
            <w:shd w:val="clear" w:color="auto" w:fill="auto"/>
            <w:vAlign w:val="center"/>
          </w:tcPr>
          <w:p w:rsidR="00B6569C" w:rsidRDefault="00E82474">
            <w:pPr>
              <w:pStyle w:val="Tabletext"/>
              <w:keepNext/>
              <w:jc w:val="right"/>
            </w:pPr>
            <w:r>
              <w:t>$</w:t>
            </w:r>
            <w:r w:rsidR="00277D7E">
              <w:rPr>
                <w:noProof/>
                <w:color w:val="000000"/>
                <w:highlight w:val="black"/>
              </w:rPr>
              <w:t>'''''''''''''''''''''''''</w:t>
            </w:r>
          </w:p>
        </w:tc>
        <w:tc>
          <w:tcPr>
            <w:tcW w:w="0" w:type="auto"/>
            <w:shd w:val="clear" w:color="auto" w:fill="auto"/>
            <w:vAlign w:val="center"/>
          </w:tcPr>
          <w:p w:rsidR="00B6569C" w:rsidRDefault="00E82474">
            <w:pPr>
              <w:pStyle w:val="Tabletext"/>
              <w:keepNext/>
              <w:jc w:val="right"/>
            </w:pPr>
            <w:r>
              <w:t>$</w:t>
            </w:r>
            <w:r w:rsidR="00277D7E">
              <w:rPr>
                <w:noProof/>
                <w:color w:val="000000"/>
                <w:highlight w:val="black"/>
              </w:rPr>
              <w:t>''''''''''''''''''''''''</w:t>
            </w:r>
          </w:p>
        </w:tc>
        <w:tc>
          <w:tcPr>
            <w:tcW w:w="0" w:type="auto"/>
            <w:shd w:val="clear" w:color="auto" w:fill="auto"/>
            <w:vAlign w:val="center"/>
          </w:tcPr>
          <w:p w:rsidR="00B6569C" w:rsidRDefault="00E82474">
            <w:pPr>
              <w:pStyle w:val="Tabletext"/>
              <w:keepNext/>
              <w:jc w:val="right"/>
            </w:pPr>
            <w:r>
              <w:t>$</w:t>
            </w:r>
            <w:r w:rsidR="00277D7E">
              <w:rPr>
                <w:noProof/>
                <w:color w:val="000000"/>
                <w:highlight w:val="black"/>
              </w:rPr>
              <w:t>''''''''''''''''''''''''</w:t>
            </w:r>
          </w:p>
        </w:tc>
        <w:tc>
          <w:tcPr>
            <w:tcW w:w="0" w:type="auto"/>
            <w:shd w:val="clear" w:color="auto" w:fill="auto"/>
            <w:vAlign w:val="center"/>
          </w:tcPr>
          <w:p w:rsidR="00B6569C" w:rsidRDefault="00E82474">
            <w:pPr>
              <w:pStyle w:val="Tabletext"/>
              <w:keepNext/>
              <w:jc w:val="right"/>
            </w:pPr>
            <w:r>
              <w:t>$</w:t>
            </w:r>
            <w:r w:rsidR="00277D7E">
              <w:rPr>
                <w:noProof/>
                <w:color w:val="000000"/>
                <w:highlight w:val="black"/>
              </w:rPr>
              <w:t>'''''''''''''''''''''''</w:t>
            </w:r>
          </w:p>
        </w:tc>
        <w:tc>
          <w:tcPr>
            <w:tcW w:w="0" w:type="auto"/>
            <w:shd w:val="clear" w:color="auto" w:fill="auto"/>
            <w:vAlign w:val="center"/>
          </w:tcPr>
          <w:p w:rsidR="00B6569C" w:rsidRDefault="00E82474">
            <w:pPr>
              <w:pStyle w:val="Tabletext"/>
              <w:keepNext/>
              <w:jc w:val="right"/>
            </w:pPr>
            <w:r>
              <w:t>$</w:t>
            </w:r>
            <w:r w:rsidR="00277D7E">
              <w:rPr>
                <w:noProof/>
                <w:color w:val="000000"/>
                <w:highlight w:val="black"/>
              </w:rPr>
              <w:t>'''''''''''''''''''''</w:t>
            </w:r>
          </w:p>
        </w:tc>
        <w:tc>
          <w:tcPr>
            <w:tcW w:w="0" w:type="auto"/>
            <w:shd w:val="clear" w:color="auto" w:fill="auto"/>
            <w:vAlign w:val="center"/>
          </w:tcPr>
          <w:p w:rsidR="00B6569C" w:rsidRDefault="00E82474">
            <w:pPr>
              <w:pStyle w:val="Tabletext"/>
              <w:keepNext/>
              <w:jc w:val="right"/>
            </w:pPr>
            <w:r>
              <w:t>$</w:t>
            </w:r>
            <w:r w:rsidR="00277D7E">
              <w:rPr>
                <w:noProof/>
                <w:color w:val="000000"/>
                <w:highlight w:val="black"/>
              </w:rPr>
              <w:t>'''''''''''''''''''''''</w:t>
            </w:r>
          </w:p>
        </w:tc>
      </w:tr>
      <w:tr w:rsidR="00B6569C">
        <w:tc>
          <w:tcPr>
            <w:tcW w:w="0" w:type="auto"/>
          </w:tcPr>
          <w:p w:rsidR="00B6569C" w:rsidRDefault="00E82474">
            <w:pPr>
              <w:pStyle w:val="Tabletext"/>
              <w:keepNext/>
            </w:pPr>
            <w:r>
              <w:t>Stage IIIB</w:t>
            </w:r>
          </w:p>
        </w:tc>
        <w:tc>
          <w:tcPr>
            <w:tcW w:w="0" w:type="auto"/>
            <w:shd w:val="clear" w:color="auto" w:fill="auto"/>
            <w:vAlign w:val="center"/>
          </w:tcPr>
          <w:p w:rsidR="00B6569C" w:rsidRDefault="00E82474">
            <w:pPr>
              <w:pStyle w:val="Tabletext"/>
              <w:keepNext/>
              <w:jc w:val="right"/>
            </w:pPr>
            <w:r>
              <w:t>$</w:t>
            </w:r>
            <w:r w:rsidR="00277D7E">
              <w:rPr>
                <w:noProof/>
                <w:color w:val="000000"/>
                <w:highlight w:val="black"/>
              </w:rPr>
              <w:t>'''''''''''''''''''''''''</w:t>
            </w:r>
          </w:p>
        </w:tc>
        <w:tc>
          <w:tcPr>
            <w:tcW w:w="0" w:type="auto"/>
            <w:shd w:val="clear" w:color="auto" w:fill="auto"/>
            <w:vAlign w:val="center"/>
          </w:tcPr>
          <w:p w:rsidR="00B6569C" w:rsidRDefault="00E82474">
            <w:pPr>
              <w:pStyle w:val="Tabletext"/>
              <w:keepNext/>
              <w:jc w:val="right"/>
            </w:pPr>
            <w:r>
              <w:t>$</w:t>
            </w:r>
            <w:r w:rsidR="00277D7E">
              <w:rPr>
                <w:noProof/>
                <w:color w:val="000000"/>
                <w:highlight w:val="black"/>
              </w:rPr>
              <w:t>''''''''''''''''''''''''''''</w:t>
            </w:r>
          </w:p>
        </w:tc>
        <w:tc>
          <w:tcPr>
            <w:tcW w:w="0" w:type="auto"/>
            <w:shd w:val="clear" w:color="auto" w:fill="auto"/>
            <w:vAlign w:val="center"/>
          </w:tcPr>
          <w:p w:rsidR="00B6569C" w:rsidRDefault="00E82474">
            <w:pPr>
              <w:pStyle w:val="Tabletext"/>
              <w:keepNext/>
              <w:jc w:val="right"/>
            </w:pPr>
            <w:r>
              <w:t>$</w:t>
            </w:r>
            <w:r w:rsidR="00277D7E">
              <w:rPr>
                <w:noProof/>
                <w:color w:val="000000"/>
                <w:highlight w:val="black"/>
              </w:rPr>
              <w:t>''''''''''''''''''''''''''''</w:t>
            </w:r>
          </w:p>
        </w:tc>
        <w:tc>
          <w:tcPr>
            <w:tcW w:w="0" w:type="auto"/>
            <w:shd w:val="clear" w:color="auto" w:fill="auto"/>
            <w:vAlign w:val="center"/>
          </w:tcPr>
          <w:p w:rsidR="00B6569C" w:rsidRDefault="00E82474">
            <w:pPr>
              <w:pStyle w:val="Tabletext"/>
              <w:keepNext/>
              <w:jc w:val="right"/>
            </w:pPr>
            <w:r>
              <w:t>$</w:t>
            </w:r>
            <w:r w:rsidR="00277D7E">
              <w:rPr>
                <w:noProof/>
                <w:color w:val="000000"/>
                <w:highlight w:val="black"/>
              </w:rPr>
              <w:t>'''''''''''''''''''''''''</w:t>
            </w:r>
          </w:p>
        </w:tc>
        <w:tc>
          <w:tcPr>
            <w:tcW w:w="0" w:type="auto"/>
            <w:shd w:val="clear" w:color="auto" w:fill="auto"/>
            <w:vAlign w:val="center"/>
          </w:tcPr>
          <w:p w:rsidR="00B6569C" w:rsidRDefault="00E82474">
            <w:pPr>
              <w:pStyle w:val="Tabletext"/>
              <w:keepNext/>
              <w:jc w:val="right"/>
            </w:pPr>
            <w:r>
              <w:t>$</w:t>
            </w:r>
            <w:r w:rsidR="00277D7E">
              <w:rPr>
                <w:noProof/>
                <w:color w:val="000000"/>
                <w:highlight w:val="black"/>
              </w:rPr>
              <w:t>''''''''''''''''''''''''''</w:t>
            </w:r>
          </w:p>
        </w:tc>
        <w:tc>
          <w:tcPr>
            <w:tcW w:w="0" w:type="auto"/>
            <w:shd w:val="clear" w:color="auto" w:fill="auto"/>
            <w:vAlign w:val="center"/>
          </w:tcPr>
          <w:p w:rsidR="00B6569C" w:rsidRDefault="00E82474">
            <w:pPr>
              <w:pStyle w:val="Tabletext"/>
              <w:keepNext/>
              <w:jc w:val="right"/>
            </w:pPr>
            <w:r>
              <w:t>$</w:t>
            </w:r>
            <w:r w:rsidR="00277D7E">
              <w:rPr>
                <w:noProof/>
                <w:color w:val="000000"/>
                <w:highlight w:val="black"/>
              </w:rPr>
              <w:t>''''''''''''''''''''''''''</w:t>
            </w:r>
          </w:p>
        </w:tc>
      </w:tr>
      <w:tr w:rsidR="00B6569C">
        <w:tc>
          <w:tcPr>
            <w:tcW w:w="0" w:type="auto"/>
          </w:tcPr>
          <w:p w:rsidR="00B6569C" w:rsidRDefault="00E82474">
            <w:pPr>
              <w:pStyle w:val="Tabletext"/>
              <w:keepNext/>
            </w:pPr>
            <w:r>
              <w:t>Stage IIIC</w:t>
            </w:r>
          </w:p>
        </w:tc>
        <w:tc>
          <w:tcPr>
            <w:tcW w:w="0" w:type="auto"/>
            <w:shd w:val="clear" w:color="auto" w:fill="auto"/>
            <w:vAlign w:val="center"/>
          </w:tcPr>
          <w:p w:rsidR="00B6569C" w:rsidRDefault="00E82474">
            <w:pPr>
              <w:pStyle w:val="Tabletext"/>
              <w:keepNext/>
              <w:jc w:val="right"/>
            </w:pPr>
            <w:r>
              <w:t>$</w:t>
            </w:r>
            <w:r w:rsidR="00277D7E">
              <w:rPr>
                <w:noProof/>
                <w:color w:val="000000"/>
                <w:highlight w:val="black"/>
              </w:rPr>
              <w:t>'''''''''''''''''''''''''''''</w:t>
            </w:r>
          </w:p>
        </w:tc>
        <w:tc>
          <w:tcPr>
            <w:tcW w:w="0" w:type="auto"/>
            <w:shd w:val="clear" w:color="auto" w:fill="auto"/>
            <w:vAlign w:val="center"/>
          </w:tcPr>
          <w:p w:rsidR="00B6569C" w:rsidRDefault="00E82474">
            <w:pPr>
              <w:pStyle w:val="Tabletext"/>
              <w:keepNext/>
              <w:jc w:val="right"/>
            </w:pPr>
            <w:r>
              <w:t>$</w:t>
            </w:r>
            <w:r w:rsidR="00277D7E">
              <w:rPr>
                <w:noProof/>
                <w:color w:val="000000"/>
                <w:highlight w:val="black"/>
              </w:rPr>
              <w:t>'''''''''''''''''''''''</w:t>
            </w:r>
          </w:p>
        </w:tc>
        <w:tc>
          <w:tcPr>
            <w:tcW w:w="0" w:type="auto"/>
            <w:shd w:val="clear" w:color="auto" w:fill="auto"/>
            <w:vAlign w:val="center"/>
          </w:tcPr>
          <w:p w:rsidR="00B6569C" w:rsidRDefault="00E82474">
            <w:pPr>
              <w:pStyle w:val="Tabletext"/>
              <w:keepNext/>
              <w:jc w:val="right"/>
            </w:pPr>
            <w:r>
              <w:t>$</w:t>
            </w:r>
            <w:r w:rsidR="00277D7E">
              <w:rPr>
                <w:noProof/>
                <w:color w:val="000000"/>
                <w:highlight w:val="black"/>
              </w:rPr>
              <w:t>''''''''''''''''''''''''''''</w:t>
            </w:r>
          </w:p>
        </w:tc>
        <w:tc>
          <w:tcPr>
            <w:tcW w:w="0" w:type="auto"/>
            <w:shd w:val="clear" w:color="auto" w:fill="auto"/>
            <w:vAlign w:val="center"/>
          </w:tcPr>
          <w:p w:rsidR="00B6569C" w:rsidRDefault="00E82474">
            <w:pPr>
              <w:pStyle w:val="Tabletext"/>
              <w:keepNext/>
              <w:jc w:val="right"/>
            </w:pPr>
            <w:r>
              <w:t>$</w:t>
            </w:r>
            <w:r w:rsidR="00277D7E">
              <w:rPr>
                <w:noProof/>
                <w:color w:val="000000"/>
                <w:highlight w:val="black"/>
              </w:rPr>
              <w:t>''''''''''''''''''''''''''''</w:t>
            </w:r>
          </w:p>
        </w:tc>
        <w:tc>
          <w:tcPr>
            <w:tcW w:w="0" w:type="auto"/>
            <w:shd w:val="clear" w:color="auto" w:fill="auto"/>
            <w:vAlign w:val="center"/>
          </w:tcPr>
          <w:p w:rsidR="00B6569C" w:rsidRDefault="00E82474">
            <w:pPr>
              <w:pStyle w:val="Tabletext"/>
              <w:keepNext/>
              <w:jc w:val="right"/>
            </w:pPr>
            <w:r>
              <w:t>$</w:t>
            </w:r>
            <w:r w:rsidR="00277D7E">
              <w:rPr>
                <w:noProof/>
                <w:color w:val="000000"/>
                <w:highlight w:val="black"/>
              </w:rPr>
              <w:t>''''''''''''''''''''''''''</w:t>
            </w:r>
          </w:p>
        </w:tc>
        <w:tc>
          <w:tcPr>
            <w:tcW w:w="0" w:type="auto"/>
            <w:shd w:val="clear" w:color="auto" w:fill="auto"/>
            <w:vAlign w:val="center"/>
          </w:tcPr>
          <w:p w:rsidR="00B6569C" w:rsidRDefault="00E82474">
            <w:pPr>
              <w:pStyle w:val="Tabletext"/>
              <w:keepNext/>
              <w:jc w:val="right"/>
            </w:pPr>
            <w:r>
              <w:t>$</w:t>
            </w:r>
            <w:r w:rsidR="00277D7E">
              <w:rPr>
                <w:noProof/>
                <w:color w:val="000000"/>
                <w:highlight w:val="black"/>
              </w:rPr>
              <w:t>''''''''''''''''''''''''</w:t>
            </w:r>
          </w:p>
        </w:tc>
      </w:tr>
      <w:tr w:rsidR="00B6569C">
        <w:tc>
          <w:tcPr>
            <w:tcW w:w="0" w:type="auto"/>
          </w:tcPr>
          <w:p w:rsidR="00B6569C" w:rsidRDefault="00E82474">
            <w:pPr>
              <w:pStyle w:val="Tabletext"/>
              <w:keepNext/>
            </w:pPr>
            <w:r>
              <w:t>Stage IIID</w:t>
            </w:r>
          </w:p>
        </w:tc>
        <w:tc>
          <w:tcPr>
            <w:tcW w:w="0" w:type="auto"/>
            <w:shd w:val="clear" w:color="auto" w:fill="auto"/>
            <w:vAlign w:val="center"/>
          </w:tcPr>
          <w:p w:rsidR="00B6569C" w:rsidRDefault="00E82474">
            <w:pPr>
              <w:pStyle w:val="Tabletext"/>
              <w:keepNext/>
              <w:jc w:val="right"/>
            </w:pPr>
            <w:r>
              <w:t>$</w:t>
            </w:r>
            <w:r w:rsidR="00277D7E">
              <w:rPr>
                <w:noProof/>
                <w:color w:val="000000"/>
                <w:highlight w:val="black"/>
              </w:rPr>
              <w:t>'''''''''''''''''''''''</w:t>
            </w:r>
          </w:p>
        </w:tc>
        <w:tc>
          <w:tcPr>
            <w:tcW w:w="0" w:type="auto"/>
            <w:shd w:val="clear" w:color="auto" w:fill="auto"/>
            <w:vAlign w:val="center"/>
          </w:tcPr>
          <w:p w:rsidR="00B6569C" w:rsidRDefault="00E82474">
            <w:pPr>
              <w:pStyle w:val="Tabletext"/>
              <w:keepNext/>
              <w:jc w:val="right"/>
            </w:pPr>
            <w:r>
              <w:t>$</w:t>
            </w:r>
            <w:r w:rsidR="00277D7E">
              <w:rPr>
                <w:noProof/>
                <w:color w:val="000000"/>
                <w:highlight w:val="black"/>
              </w:rPr>
              <w:t>''''''''''''''''''''''</w:t>
            </w:r>
          </w:p>
        </w:tc>
        <w:tc>
          <w:tcPr>
            <w:tcW w:w="0" w:type="auto"/>
            <w:shd w:val="clear" w:color="auto" w:fill="auto"/>
            <w:vAlign w:val="center"/>
          </w:tcPr>
          <w:p w:rsidR="00B6569C" w:rsidRDefault="00E82474">
            <w:pPr>
              <w:pStyle w:val="Tabletext"/>
              <w:keepNext/>
              <w:jc w:val="right"/>
            </w:pPr>
            <w:r>
              <w:t>$</w:t>
            </w:r>
            <w:r w:rsidR="00277D7E">
              <w:rPr>
                <w:noProof/>
                <w:color w:val="000000"/>
                <w:highlight w:val="black"/>
              </w:rPr>
              <w:t>''''''''''''''''''''''''''</w:t>
            </w:r>
          </w:p>
        </w:tc>
        <w:tc>
          <w:tcPr>
            <w:tcW w:w="0" w:type="auto"/>
            <w:shd w:val="clear" w:color="auto" w:fill="auto"/>
            <w:vAlign w:val="center"/>
          </w:tcPr>
          <w:p w:rsidR="00B6569C" w:rsidRDefault="00E82474">
            <w:pPr>
              <w:pStyle w:val="Tabletext"/>
              <w:keepNext/>
              <w:jc w:val="right"/>
            </w:pPr>
            <w:r>
              <w:t>$</w:t>
            </w:r>
            <w:r w:rsidR="00277D7E">
              <w:rPr>
                <w:noProof/>
                <w:color w:val="000000"/>
                <w:highlight w:val="black"/>
              </w:rPr>
              <w:t>''''''''''''''''''''''''</w:t>
            </w:r>
          </w:p>
        </w:tc>
        <w:tc>
          <w:tcPr>
            <w:tcW w:w="0" w:type="auto"/>
            <w:shd w:val="clear" w:color="auto" w:fill="auto"/>
            <w:vAlign w:val="center"/>
          </w:tcPr>
          <w:p w:rsidR="00B6569C" w:rsidRDefault="00E82474">
            <w:pPr>
              <w:pStyle w:val="Tabletext"/>
              <w:keepNext/>
              <w:jc w:val="right"/>
            </w:pPr>
            <w:r>
              <w:t>$</w:t>
            </w:r>
            <w:r w:rsidR="00277D7E">
              <w:rPr>
                <w:noProof/>
                <w:color w:val="000000"/>
                <w:highlight w:val="black"/>
              </w:rPr>
              <w:t>'''''''''''''''''''''''</w:t>
            </w:r>
          </w:p>
        </w:tc>
        <w:tc>
          <w:tcPr>
            <w:tcW w:w="0" w:type="auto"/>
            <w:shd w:val="clear" w:color="auto" w:fill="auto"/>
            <w:vAlign w:val="center"/>
          </w:tcPr>
          <w:p w:rsidR="00B6569C" w:rsidRDefault="00E82474">
            <w:pPr>
              <w:pStyle w:val="Tabletext"/>
              <w:keepNext/>
              <w:jc w:val="right"/>
            </w:pPr>
            <w:r>
              <w:t>$</w:t>
            </w:r>
            <w:r w:rsidR="00277D7E">
              <w:rPr>
                <w:noProof/>
                <w:color w:val="000000"/>
                <w:highlight w:val="black"/>
              </w:rPr>
              <w:t>'''''''''''''''''''''</w:t>
            </w:r>
          </w:p>
        </w:tc>
      </w:tr>
      <w:tr w:rsidR="00B6569C">
        <w:tc>
          <w:tcPr>
            <w:tcW w:w="0" w:type="auto"/>
          </w:tcPr>
          <w:p w:rsidR="00B6569C" w:rsidRDefault="00E82474">
            <w:pPr>
              <w:pStyle w:val="Tabletext"/>
              <w:keepNext/>
              <w:rPr>
                <w:b/>
              </w:rPr>
            </w:pPr>
            <w:r>
              <w:rPr>
                <w:b/>
              </w:rPr>
              <w:t>Overall</w:t>
            </w:r>
          </w:p>
        </w:tc>
        <w:tc>
          <w:tcPr>
            <w:tcW w:w="0" w:type="auto"/>
            <w:shd w:val="clear" w:color="auto" w:fill="auto"/>
            <w:vAlign w:val="center"/>
          </w:tcPr>
          <w:p w:rsidR="00B6569C" w:rsidRDefault="00E82474">
            <w:pPr>
              <w:pStyle w:val="Tabletext"/>
              <w:keepNext/>
              <w:jc w:val="right"/>
              <w:rPr>
                <w:b/>
              </w:rPr>
            </w:pPr>
            <w:r>
              <w:rPr>
                <w:b/>
              </w:rPr>
              <w:t>$</w:t>
            </w:r>
            <w:r w:rsidR="00277D7E">
              <w:rPr>
                <w:b/>
                <w:noProof/>
                <w:color w:val="000000"/>
                <w:highlight w:val="black"/>
              </w:rPr>
              <w:t>'''''''''''''''''''''''''</w:t>
            </w:r>
          </w:p>
        </w:tc>
        <w:tc>
          <w:tcPr>
            <w:tcW w:w="0" w:type="auto"/>
            <w:shd w:val="clear" w:color="auto" w:fill="auto"/>
            <w:vAlign w:val="center"/>
          </w:tcPr>
          <w:p w:rsidR="00B6569C" w:rsidRDefault="00E82474">
            <w:pPr>
              <w:pStyle w:val="Tabletext"/>
              <w:keepNext/>
              <w:jc w:val="right"/>
              <w:rPr>
                <w:b/>
              </w:rPr>
            </w:pPr>
            <w:r>
              <w:rPr>
                <w:b/>
              </w:rPr>
              <w:t>$</w:t>
            </w:r>
            <w:r w:rsidR="00277D7E">
              <w:rPr>
                <w:b/>
                <w:noProof/>
                <w:color w:val="000000"/>
                <w:highlight w:val="black"/>
              </w:rPr>
              <w:t>''''''''''''''''''''''</w:t>
            </w:r>
          </w:p>
        </w:tc>
        <w:tc>
          <w:tcPr>
            <w:tcW w:w="0" w:type="auto"/>
            <w:shd w:val="clear" w:color="auto" w:fill="auto"/>
            <w:vAlign w:val="center"/>
          </w:tcPr>
          <w:p w:rsidR="00B6569C" w:rsidRDefault="00E82474">
            <w:pPr>
              <w:pStyle w:val="Tabletext"/>
              <w:keepNext/>
              <w:jc w:val="right"/>
              <w:rPr>
                <w:b/>
              </w:rPr>
            </w:pPr>
            <w:r>
              <w:rPr>
                <w:b/>
              </w:rPr>
              <w:t>$</w:t>
            </w:r>
            <w:r w:rsidR="00277D7E">
              <w:rPr>
                <w:b/>
                <w:noProof/>
                <w:color w:val="000000"/>
                <w:highlight w:val="black"/>
              </w:rPr>
              <w:t>'''''''''''''''''''''''''</w:t>
            </w:r>
          </w:p>
        </w:tc>
        <w:tc>
          <w:tcPr>
            <w:tcW w:w="0" w:type="auto"/>
            <w:shd w:val="clear" w:color="auto" w:fill="auto"/>
            <w:vAlign w:val="center"/>
          </w:tcPr>
          <w:p w:rsidR="00B6569C" w:rsidRDefault="00E82474">
            <w:pPr>
              <w:pStyle w:val="Tabletext"/>
              <w:keepNext/>
              <w:jc w:val="right"/>
              <w:rPr>
                <w:b/>
              </w:rPr>
            </w:pPr>
            <w:r>
              <w:rPr>
                <w:b/>
              </w:rPr>
              <w:t>$</w:t>
            </w:r>
            <w:r w:rsidR="00277D7E">
              <w:rPr>
                <w:b/>
                <w:noProof/>
                <w:color w:val="000000"/>
                <w:highlight w:val="black"/>
              </w:rPr>
              <w:t>'''''''''''''''''''''''''</w:t>
            </w:r>
          </w:p>
        </w:tc>
        <w:tc>
          <w:tcPr>
            <w:tcW w:w="0" w:type="auto"/>
            <w:shd w:val="clear" w:color="auto" w:fill="auto"/>
            <w:vAlign w:val="center"/>
          </w:tcPr>
          <w:p w:rsidR="00B6569C" w:rsidRDefault="00E82474">
            <w:pPr>
              <w:pStyle w:val="Tabletext"/>
              <w:keepNext/>
              <w:jc w:val="right"/>
              <w:rPr>
                <w:b/>
              </w:rPr>
            </w:pPr>
            <w:r>
              <w:rPr>
                <w:b/>
              </w:rPr>
              <w:t>$</w:t>
            </w:r>
            <w:r w:rsidR="00277D7E">
              <w:rPr>
                <w:b/>
                <w:noProof/>
                <w:color w:val="000000"/>
                <w:highlight w:val="black"/>
              </w:rPr>
              <w:t>''''''''''''''''''''''''''</w:t>
            </w:r>
          </w:p>
        </w:tc>
        <w:tc>
          <w:tcPr>
            <w:tcW w:w="0" w:type="auto"/>
            <w:shd w:val="clear" w:color="auto" w:fill="auto"/>
            <w:vAlign w:val="center"/>
          </w:tcPr>
          <w:p w:rsidR="00B6569C" w:rsidRDefault="00E82474">
            <w:pPr>
              <w:pStyle w:val="Tabletext"/>
              <w:keepNext/>
              <w:jc w:val="right"/>
              <w:rPr>
                <w:b/>
              </w:rPr>
            </w:pPr>
            <w:r>
              <w:rPr>
                <w:b/>
              </w:rPr>
              <w:t>$</w:t>
            </w:r>
            <w:r w:rsidR="00277D7E">
              <w:rPr>
                <w:b/>
                <w:noProof/>
                <w:color w:val="000000"/>
                <w:highlight w:val="black"/>
              </w:rPr>
              <w:t>''''''''''''''''''''''''</w:t>
            </w:r>
          </w:p>
        </w:tc>
      </w:tr>
      <w:tr w:rsidR="00B6569C">
        <w:tc>
          <w:tcPr>
            <w:tcW w:w="0" w:type="auto"/>
            <w:gridSpan w:val="7"/>
          </w:tcPr>
          <w:p w:rsidR="00B6569C" w:rsidRDefault="00E82474">
            <w:pPr>
              <w:pStyle w:val="Tabletext"/>
              <w:keepNext/>
              <w:rPr>
                <w:b/>
              </w:rPr>
            </w:pPr>
            <w:r>
              <w:rPr>
                <w:b/>
              </w:rPr>
              <w:t>PSCR to the July 2019 resubmission</w:t>
            </w:r>
          </w:p>
        </w:tc>
      </w:tr>
      <w:tr w:rsidR="00B6569C">
        <w:tc>
          <w:tcPr>
            <w:tcW w:w="0" w:type="auto"/>
          </w:tcPr>
          <w:p w:rsidR="00B6569C" w:rsidRDefault="00E82474">
            <w:pPr>
              <w:pStyle w:val="Tabletext"/>
              <w:keepNext/>
              <w:rPr>
                <w:b/>
              </w:rPr>
            </w:pPr>
            <w:r>
              <w:rPr>
                <w:b/>
              </w:rPr>
              <w:t>Overall</w:t>
            </w:r>
          </w:p>
        </w:tc>
        <w:tc>
          <w:tcPr>
            <w:tcW w:w="0" w:type="auto"/>
            <w:shd w:val="clear" w:color="auto" w:fill="auto"/>
            <w:vAlign w:val="center"/>
          </w:tcPr>
          <w:p w:rsidR="00B6569C" w:rsidRDefault="00E82474">
            <w:pPr>
              <w:pStyle w:val="Tabletext"/>
              <w:keepNext/>
              <w:jc w:val="right"/>
              <w:rPr>
                <w:b/>
              </w:rPr>
            </w:pPr>
            <w:r>
              <w:rPr>
                <w:b/>
              </w:rPr>
              <w:t>$</w:t>
            </w:r>
            <w:r w:rsidR="00277D7E">
              <w:rPr>
                <w:b/>
                <w:noProof/>
                <w:color w:val="000000"/>
                <w:highlight w:val="black"/>
              </w:rPr>
              <w:t>''''''''''''''''''''''''''</w:t>
            </w:r>
          </w:p>
        </w:tc>
        <w:tc>
          <w:tcPr>
            <w:tcW w:w="0" w:type="auto"/>
            <w:shd w:val="clear" w:color="auto" w:fill="auto"/>
            <w:vAlign w:val="center"/>
          </w:tcPr>
          <w:p w:rsidR="00B6569C" w:rsidRDefault="00E82474">
            <w:pPr>
              <w:pStyle w:val="Tabletext"/>
              <w:keepNext/>
              <w:jc w:val="right"/>
              <w:rPr>
                <w:b/>
              </w:rPr>
            </w:pPr>
            <w:r>
              <w:rPr>
                <w:b/>
              </w:rPr>
              <w:t>$</w:t>
            </w:r>
            <w:r w:rsidR="00277D7E">
              <w:rPr>
                <w:b/>
                <w:noProof/>
                <w:color w:val="000000"/>
                <w:highlight w:val="black"/>
              </w:rPr>
              <w:t>''''''''''''''''''''''''''</w:t>
            </w:r>
          </w:p>
        </w:tc>
        <w:tc>
          <w:tcPr>
            <w:tcW w:w="0" w:type="auto"/>
            <w:shd w:val="clear" w:color="auto" w:fill="auto"/>
            <w:vAlign w:val="center"/>
          </w:tcPr>
          <w:p w:rsidR="00B6569C" w:rsidRDefault="00E82474">
            <w:pPr>
              <w:pStyle w:val="Tabletext"/>
              <w:keepNext/>
              <w:jc w:val="right"/>
              <w:rPr>
                <w:b/>
              </w:rPr>
            </w:pPr>
            <w:r>
              <w:rPr>
                <w:b/>
              </w:rPr>
              <w:t>$</w:t>
            </w:r>
            <w:r w:rsidR="00277D7E">
              <w:rPr>
                <w:b/>
                <w:noProof/>
                <w:color w:val="000000"/>
                <w:highlight w:val="black"/>
              </w:rPr>
              <w:t>'''''''''''''''''''''''''</w:t>
            </w:r>
          </w:p>
        </w:tc>
        <w:tc>
          <w:tcPr>
            <w:tcW w:w="0" w:type="auto"/>
            <w:shd w:val="clear" w:color="auto" w:fill="auto"/>
            <w:vAlign w:val="center"/>
          </w:tcPr>
          <w:p w:rsidR="00B6569C" w:rsidRDefault="00E82474">
            <w:pPr>
              <w:pStyle w:val="Tabletext"/>
              <w:keepNext/>
              <w:jc w:val="right"/>
              <w:rPr>
                <w:b/>
              </w:rPr>
            </w:pPr>
            <w:r>
              <w:rPr>
                <w:b/>
              </w:rPr>
              <w:t>$</w:t>
            </w:r>
            <w:r w:rsidR="00277D7E">
              <w:rPr>
                <w:b/>
                <w:noProof/>
                <w:color w:val="000000"/>
                <w:highlight w:val="black"/>
              </w:rPr>
              <w:t>''''''''''''''''''''''</w:t>
            </w:r>
          </w:p>
        </w:tc>
        <w:tc>
          <w:tcPr>
            <w:tcW w:w="0" w:type="auto"/>
            <w:shd w:val="clear" w:color="auto" w:fill="auto"/>
            <w:vAlign w:val="center"/>
          </w:tcPr>
          <w:p w:rsidR="00B6569C" w:rsidRDefault="00E82474">
            <w:pPr>
              <w:pStyle w:val="Tabletext"/>
              <w:keepNext/>
              <w:jc w:val="right"/>
              <w:rPr>
                <w:b/>
              </w:rPr>
            </w:pPr>
            <w:r>
              <w:rPr>
                <w:b/>
              </w:rPr>
              <w:t>$</w:t>
            </w:r>
            <w:r w:rsidR="00277D7E">
              <w:rPr>
                <w:b/>
                <w:noProof/>
                <w:color w:val="000000"/>
                <w:highlight w:val="black"/>
              </w:rPr>
              <w:t>''''''''''''''''''''''''''</w:t>
            </w:r>
          </w:p>
        </w:tc>
        <w:tc>
          <w:tcPr>
            <w:tcW w:w="0" w:type="auto"/>
            <w:shd w:val="clear" w:color="auto" w:fill="auto"/>
            <w:vAlign w:val="center"/>
          </w:tcPr>
          <w:p w:rsidR="00B6569C" w:rsidRDefault="00E82474">
            <w:pPr>
              <w:pStyle w:val="Tabletext"/>
              <w:keepNext/>
              <w:jc w:val="right"/>
              <w:rPr>
                <w:b/>
              </w:rPr>
            </w:pPr>
            <w:r>
              <w:rPr>
                <w:b/>
              </w:rPr>
              <w:t>$</w:t>
            </w:r>
            <w:r w:rsidR="00277D7E">
              <w:rPr>
                <w:b/>
                <w:noProof/>
                <w:color w:val="000000"/>
                <w:highlight w:val="black"/>
              </w:rPr>
              <w:t>'''''''''''''''''''''''</w:t>
            </w:r>
          </w:p>
        </w:tc>
      </w:tr>
    </w:tbl>
    <w:p w:rsidR="00B6569C" w:rsidRDefault="00E82474">
      <w:pPr>
        <w:pStyle w:val="TableFooter"/>
        <w:widowControl/>
        <w:rPr>
          <w:i/>
        </w:rPr>
      </w:pPr>
      <w:r>
        <w:t xml:space="preserve">Source: Compiled during the evaluation from information presented in ‘Att 20 BIM’ Excel spreadsheet; </w:t>
      </w:r>
      <w:r>
        <w:rPr>
          <w:i/>
        </w:rPr>
        <w:t>and Table 3, p5 of the PSCR</w:t>
      </w:r>
    </w:p>
    <w:p w:rsidR="00B6569C" w:rsidRDefault="00B6569C">
      <w:pPr>
        <w:pStyle w:val="TableFooter"/>
        <w:widowControl/>
      </w:pPr>
    </w:p>
    <w:p w:rsidR="00B6569C" w:rsidRDefault="00E82474">
      <w:pPr>
        <w:pStyle w:val="ListParagraph"/>
        <w:widowControl/>
        <w:numPr>
          <w:ilvl w:val="1"/>
          <w:numId w:val="3"/>
        </w:numPr>
      </w:pPr>
      <w:r>
        <w:t>The net cost to the PBS/RPBS of listing pembrolizumab for the adjuvant treatment of Stage III resected melanoma (excluding Stage IIIA) after cost offsets were applied was estimated to be more than $100 million  in the sixth year of listing. The estimated cumulative net cost over six years was more than $100  million.</w:t>
      </w:r>
    </w:p>
    <w:p w:rsidR="00B6569C" w:rsidRDefault="00E82474">
      <w:pPr>
        <w:pStyle w:val="Heading2"/>
        <w:widowControl/>
      </w:pPr>
      <w:bookmarkStart w:id="14" w:name="_Toc9330477"/>
      <w:r>
        <w:t>Quality Use of Medicines</w:t>
      </w:r>
      <w:bookmarkEnd w:id="14"/>
    </w:p>
    <w:p w:rsidR="00B6569C" w:rsidRDefault="00B6569C">
      <w:pPr>
        <w:widowControl/>
      </w:pPr>
    </w:p>
    <w:p w:rsidR="00B6569C" w:rsidRDefault="00E82474">
      <w:pPr>
        <w:pStyle w:val="ListParagraph"/>
        <w:widowControl/>
        <w:numPr>
          <w:ilvl w:val="1"/>
          <w:numId w:val="3"/>
        </w:numPr>
        <w:rPr>
          <w:color w:val="000000" w:themeColor="text1"/>
        </w:rPr>
      </w:pPr>
      <w:r>
        <w:rPr>
          <w:color w:val="000000" w:themeColor="text1"/>
        </w:rPr>
        <w:t>The resubmission outlined a number of activities to promote the safe and effective use of pembrolizumab, including the development of educational materials, the delivery of education programs, and the provision of a telephone medical information service to respond to questions from patients, carers and health care professionals.</w:t>
      </w:r>
    </w:p>
    <w:p w:rsidR="00B6569C" w:rsidRDefault="00E82474">
      <w:pPr>
        <w:pStyle w:val="Heading2"/>
        <w:widowControl/>
      </w:pPr>
      <w:bookmarkStart w:id="15" w:name="_Toc9330478"/>
      <w:r>
        <w:t>Financial Management – Risk Sharing Arrangements</w:t>
      </w:r>
      <w:bookmarkEnd w:id="15"/>
    </w:p>
    <w:p w:rsidR="00B6569C" w:rsidRDefault="00B6569C">
      <w:pPr>
        <w:widowControl/>
      </w:pPr>
    </w:p>
    <w:p w:rsidR="00B6569C" w:rsidRDefault="00E82474">
      <w:pPr>
        <w:pStyle w:val="ListParagraph"/>
        <w:widowControl/>
        <w:numPr>
          <w:ilvl w:val="1"/>
          <w:numId w:val="3"/>
        </w:numPr>
      </w:pPr>
      <w:r>
        <w:t xml:space="preserve">The sponsor indicated that they were willing to enter into a Deed of Agreement for supply of pembrolizumab in the adjuvant treatment of Stage III melanoma, including a Special Pricing Arrangement as well as annual subsidisation caps based on appropriate patient numbers. </w:t>
      </w:r>
    </w:p>
    <w:p w:rsidR="00B6569C" w:rsidRDefault="00E82474">
      <w:pPr>
        <w:pStyle w:val="ListParagraph"/>
        <w:widowControl/>
        <w:numPr>
          <w:ilvl w:val="1"/>
          <w:numId w:val="3"/>
        </w:numPr>
      </w:pPr>
      <w:r>
        <w:t>The resubmission stated that in order to structure reasonable RSAs that accommodate adjuvant treatment for resected Stage III patients, the existing deed for advanced melanoma patients would also need to be considered due to the interdependence between the two populations. The sponsor would be willing to negotiate an RSA that allows for the treatment of melanoma patients across the adjuvant and metastatic settings based on appropriate patient numbers and associated offsets. The PBAC advised that any RSA should encompass adjuvant and unresectable or metastatic use of the PD-1 inhibitors and consider that any other PD-1s recommended for the treatment of adjuvant melanoma in the future should be included within the same subsidisation caps. The resubmission calculated costs to the PBS taking into account the impact on PD-1 treatment and patient numbers in the unresectable or metastatic setting. The PSCR stated that the current melanoma deed has inappropriately low numbers and that any future RSA would need to take the current melanoma deed into account.</w:t>
      </w:r>
    </w:p>
    <w:p w:rsidR="00B6569C" w:rsidRDefault="00E82474">
      <w:pPr>
        <w:pStyle w:val="ListParagraph"/>
        <w:widowControl/>
        <w:numPr>
          <w:ilvl w:val="1"/>
          <w:numId w:val="3"/>
        </w:numPr>
      </w:pPr>
      <w:r>
        <w:lastRenderedPageBreak/>
        <w:t>The PBAC advised that any subsidisation caps should include a reduction to the existing caps in the unresectable or metastatic setting to account for patients who no longer required treatment due to adjuvant treatment providing a cure. The PBAC considered that any reduction in use in the unresectable or metastatic setting was unlikely to be observed in the first year of the adjuvant listing.</w:t>
      </w:r>
    </w:p>
    <w:p w:rsidR="00B6569C" w:rsidRDefault="00E82474">
      <w:pPr>
        <w:pStyle w:val="ListParagraph"/>
        <w:widowControl/>
        <w:rPr>
          <w:i/>
        </w:rPr>
      </w:pPr>
      <w:r>
        <w:rPr>
          <w:i/>
        </w:rPr>
        <w:t>For more detail on PBAC’s view, see Section 7 PBAC outcome.</w:t>
      </w:r>
    </w:p>
    <w:p w:rsidR="00B6569C" w:rsidRDefault="00E82474">
      <w:pPr>
        <w:pStyle w:val="PBACHeading1"/>
        <w:spacing w:after="120"/>
      </w:pPr>
      <w:r>
        <w:t>PBAC Outcome</w:t>
      </w:r>
    </w:p>
    <w:p w:rsidR="00B6569C" w:rsidRDefault="00E82474">
      <w:pPr>
        <w:numPr>
          <w:ilvl w:val="1"/>
          <w:numId w:val="3"/>
        </w:numPr>
        <w:spacing w:after="120"/>
        <w:rPr>
          <w:rFonts w:asciiTheme="minorHAnsi" w:hAnsiTheme="minorHAnsi"/>
          <w:bCs/>
          <w:lang w:val="en-GB"/>
        </w:rPr>
      </w:pPr>
      <w:r>
        <w:rPr>
          <w:rFonts w:asciiTheme="minorHAnsi" w:hAnsiTheme="minorHAnsi"/>
          <w:bCs/>
          <w:lang w:val="en-GB"/>
        </w:rPr>
        <w:t>The PBAC did not recommend listing of pembrolizumab as an adjuvant treatment for completely surgically resected Stage IIIB, IIIC or IIID melanoma. The PBAC acknowledged that there was a high clinical need for effective therapies to reduce the risk of recurrence of resected Stage III melanoma, and considered that in some circumstances recurrence was less likely for those treated with pembrolizumab compared to placebo. However, the PBAC considered that due to the limited duration of follow-up in the key trial, KN054, the magnitude of the clinical benefit was uncertain. The PBAC considered that the modelled incremental benefit, in terms of overall survival, was substantially overestimated and, as a result, the economic model did not provide a reliable basis for assessing the cost-effectiveness of pembrolizumab. The PBAC also remained concerned about the high overall financial opportunity cost.</w:t>
      </w:r>
    </w:p>
    <w:p w:rsidR="00B6569C" w:rsidRDefault="00E82474">
      <w:pPr>
        <w:numPr>
          <w:ilvl w:val="1"/>
          <w:numId w:val="3"/>
        </w:numPr>
        <w:spacing w:after="120"/>
        <w:rPr>
          <w:rFonts w:asciiTheme="minorHAnsi" w:hAnsiTheme="minorHAnsi"/>
          <w:bCs/>
          <w:lang w:val="en-GB"/>
        </w:rPr>
      </w:pPr>
      <w:r>
        <w:rPr>
          <w:rFonts w:asciiTheme="minorHAnsi" w:hAnsiTheme="minorHAnsi"/>
          <w:bCs/>
          <w:lang w:val="en-GB"/>
        </w:rPr>
        <w:t>The PBAC acknowledged the consumer comments, which were supportive of listing and described a range of benefits including improved survival and quality of life, and the strong support from the Medical Oncology Group of Australia.</w:t>
      </w:r>
    </w:p>
    <w:p w:rsidR="00B6569C" w:rsidRDefault="00E82474">
      <w:pPr>
        <w:numPr>
          <w:ilvl w:val="1"/>
          <w:numId w:val="3"/>
        </w:numPr>
        <w:spacing w:after="120"/>
        <w:rPr>
          <w:rFonts w:asciiTheme="minorHAnsi" w:hAnsiTheme="minorHAnsi"/>
          <w:bCs/>
          <w:lang w:val="en-GB"/>
        </w:rPr>
      </w:pPr>
      <w:r>
        <w:rPr>
          <w:rFonts w:asciiTheme="minorHAnsi" w:hAnsiTheme="minorHAnsi"/>
          <w:bCs/>
          <w:lang w:val="en-GB"/>
        </w:rPr>
        <w:t>The PBAC noted that the proposed patient population was updated in the Pre-Sub-Committee Response (PSCR) from patients with completely resected Stage III malignant melanoma and at a high risk of recurrence (defined as Stage IIIA (metastases &gt; 1 mm), IIIB, IIIC or IIID disease based on the 8</w:t>
      </w:r>
      <w:r>
        <w:rPr>
          <w:rFonts w:asciiTheme="minorHAnsi" w:hAnsiTheme="minorHAnsi"/>
          <w:bCs/>
          <w:vertAlign w:val="superscript"/>
          <w:lang w:val="en-GB"/>
        </w:rPr>
        <w:t>th</w:t>
      </w:r>
      <w:r>
        <w:rPr>
          <w:rFonts w:asciiTheme="minorHAnsi" w:hAnsiTheme="minorHAnsi"/>
          <w:bCs/>
          <w:lang w:val="en-GB"/>
        </w:rPr>
        <w:t xml:space="preserve"> edition of the American Joint Committee on Cancer (AJCC) melanoma staging system) to patients with Stage IIIB, IIIC or IIID disease. The PBAC noted that this was consistent with advice provided for the near market comparators (nivolumab and dabrafenib+trametinib) in March 2019.</w:t>
      </w:r>
    </w:p>
    <w:p w:rsidR="00B6569C" w:rsidRDefault="00E82474">
      <w:pPr>
        <w:numPr>
          <w:ilvl w:val="1"/>
          <w:numId w:val="3"/>
        </w:numPr>
        <w:spacing w:after="120"/>
        <w:rPr>
          <w:rFonts w:asciiTheme="minorHAnsi" w:hAnsiTheme="minorHAnsi"/>
          <w:bCs/>
          <w:lang w:val="en-GB"/>
        </w:rPr>
      </w:pPr>
      <w:r>
        <w:rPr>
          <w:rFonts w:asciiTheme="minorHAnsi" w:hAnsiTheme="minorHAnsi"/>
          <w:bCs/>
          <w:lang w:val="en-GB"/>
        </w:rPr>
        <w:t>The PBAC reaffirmed that standard of care (routine follow-up) was the appropriate main comparator for pembrolizumab as adjuvant treatment for melanoma. Nivolumab was also considered for the same indication at the July 2019 meeting and was a near market comparator. Dabrafenib+trametinib was also considered for adjuvant treatment of patients with BRAF mutant melanoma at the July 2019 meeting and was a near market comparator for the BRAF mutant subgroup of patients.</w:t>
      </w:r>
    </w:p>
    <w:p w:rsidR="00B6569C" w:rsidRDefault="00E82474">
      <w:pPr>
        <w:numPr>
          <w:ilvl w:val="1"/>
          <w:numId w:val="3"/>
        </w:numPr>
        <w:spacing w:after="120"/>
        <w:rPr>
          <w:rFonts w:asciiTheme="minorHAnsi" w:hAnsiTheme="minorHAnsi"/>
          <w:bCs/>
          <w:lang w:val="en-GB"/>
        </w:rPr>
      </w:pPr>
      <w:r>
        <w:rPr>
          <w:rFonts w:asciiTheme="minorHAnsi" w:hAnsiTheme="minorHAnsi"/>
          <w:bCs/>
          <w:lang w:val="en-GB"/>
        </w:rPr>
        <w:t xml:space="preserve">The PBAC noted that the resubmission was again based on trial KN054 comparing pembrolizumab to placebo as adjuvant therapy in patients with completely resected Stage III melanoma. The PBAC noted that no new clinical evidence was presented in the resubmission, but that the resubmission did present new </w:t>
      </w:r>
      <w:r>
        <w:rPr>
          <w:rFonts w:asciiTheme="minorHAnsi" w:hAnsiTheme="minorHAnsi"/>
          <w:bCs/>
          <w:i/>
          <w:lang w:val="en-GB"/>
        </w:rPr>
        <w:t>post hoc</w:t>
      </w:r>
      <w:r>
        <w:rPr>
          <w:rFonts w:asciiTheme="minorHAnsi" w:hAnsiTheme="minorHAnsi"/>
          <w:bCs/>
          <w:lang w:val="en-GB"/>
        </w:rPr>
        <w:t xml:space="preserve"> subgroup analyses using the AJCC 8</w:t>
      </w:r>
      <w:r>
        <w:rPr>
          <w:rFonts w:asciiTheme="minorHAnsi" w:hAnsiTheme="minorHAnsi"/>
          <w:bCs/>
          <w:vertAlign w:val="superscript"/>
          <w:lang w:val="en-GB"/>
        </w:rPr>
        <w:t>th</w:t>
      </w:r>
      <w:r>
        <w:rPr>
          <w:rFonts w:asciiTheme="minorHAnsi" w:hAnsiTheme="minorHAnsi"/>
          <w:bCs/>
          <w:lang w:val="en-GB"/>
        </w:rPr>
        <w:t xml:space="preserve"> edition staging system. </w:t>
      </w:r>
    </w:p>
    <w:p w:rsidR="00B6569C" w:rsidRDefault="00E82474">
      <w:pPr>
        <w:numPr>
          <w:ilvl w:val="1"/>
          <w:numId w:val="3"/>
        </w:numPr>
        <w:spacing w:after="120"/>
        <w:rPr>
          <w:rFonts w:asciiTheme="minorHAnsi" w:hAnsiTheme="minorHAnsi"/>
          <w:bCs/>
          <w:lang w:val="en-GB"/>
        </w:rPr>
      </w:pPr>
      <w:r>
        <w:rPr>
          <w:rFonts w:asciiTheme="minorHAnsi" w:hAnsiTheme="minorHAnsi"/>
          <w:bCs/>
          <w:lang w:val="en-GB"/>
        </w:rPr>
        <w:lastRenderedPageBreak/>
        <w:t>The PBAC remained concerned that the data were immature and, that at the median duration of follow-up (16 months), the median recurrence free survival had not been reached for patients in the pembrolizumab arm (interim analysis: HR = 0.57; 95% CI: 0.43, 0.74) and that no overall survival data were available. The PBAC again considered that the claim that pembrolizumab was superior compared to placebo in terms of recurrence free survival was reasonable, but due to the immaturity of the data considered that the magnitude of the treatment effect was highly uncertain.</w:t>
      </w:r>
    </w:p>
    <w:p w:rsidR="00B6569C" w:rsidRDefault="00E82474">
      <w:pPr>
        <w:numPr>
          <w:ilvl w:val="1"/>
          <w:numId w:val="3"/>
        </w:numPr>
        <w:spacing w:after="120"/>
        <w:rPr>
          <w:rFonts w:asciiTheme="minorHAnsi" w:hAnsiTheme="minorHAnsi"/>
          <w:bCs/>
          <w:lang w:val="en-GB"/>
        </w:rPr>
      </w:pPr>
      <w:r>
        <w:rPr>
          <w:rFonts w:asciiTheme="minorHAnsi" w:hAnsiTheme="minorHAnsi"/>
          <w:bCs/>
          <w:lang w:val="en-GB"/>
        </w:rPr>
        <w:t>In terms of overall survival, the PBAC considered that further evidence was required to quantify the relationship between recurrence free and overall survival with PD-1 inhibitor therapy.</w:t>
      </w:r>
    </w:p>
    <w:p w:rsidR="00B6569C" w:rsidRDefault="00E82474">
      <w:pPr>
        <w:numPr>
          <w:ilvl w:val="1"/>
          <w:numId w:val="3"/>
        </w:numPr>
        <w:spacing w:after="120"/>
        <w:rPr>
          <w:rFonts w:asciiTheme="minorHAnsi" w:hAnsiTheme="minorHAnsi"/>
          <w:bCs/>
          <w:lang w:val="en-GB"/>
        </w:rPr>
      </w:pPr>
      <w:r>
        <w:rPr>
          <w:rFonts w:asciiTheme="minorHAnsi" w:hAnsiTheme="minorHAnsi"/>
          <w:bCs/>
          <w:lang w:val="en-GB"/>
        </w:rPr>
        <w:t xml:space="preserve">The PBAC noted that the resubmission described pembrolizumab as inferior compared to placebo in terms of safety, but that the safety profile was manageable. The PBAC considered that this was reasonable. </w:t>
      </w:r>
    </w:p>
    <w:p w:rsidR="00B6569C" w:rsidRDefault="00E82474">
      <w:pPr>
        <w:numPr>
          <w:ilvl w:val="1"/>
          <w:numId w:val="3"/>
        </w:numPr>
        <w:spacing w:after="120"/>
        <w:rPr>
          <w:rFonts w:asciiTheme="minorHAnsi" w:hAnsiTheme="minorHAnsi"/>
          <w:bCs/>
          <w:lang w:val="en-GB"/>
        </w:rPr>
      </w:pPr>
      <w:r>
        <w:rPr>
          <w:rFonts w:asciiTheme="minorHAnsi" w:hAnsiTheme="minorHAnsi"/>
          <w:bCs/>
          <w:lang w:val="en-GB"/>
        </w:rPr>
        <w:t>The PBAC noted the indirect comparison between pembrolizumab and nivolumab, and for the BRAF mutant population the indirect comparison between pembrolizumab and dabrafenib+trametinib. Acknowledging the indirect nature of the comparisons and the likely transitivity issues between the trials, the PBAC noted that in terms of recurrence free survival, there were no statistically significant differences between pembrolizumab and nivolumab (HR = 1.17; 95% CI: 0.78, 1.75) or pembrolizumab and dabrafenib+trametinib (HR = 1.00; 95% CI: 0.39, 1.44).  The PBAC considered the upper 95% confidence limit for the comparison with dabrafenib+trametinib supported non-inferiority. The PBAC noted the upper 95% confidence limit for the comparison versus nivolumab was higher; however, overall considered the claim of non-inferiority was reasonable and consistent with the conclusion for the unresectable or metastatic setting.</w:t>
      </w:r>
    </w:p>
    <w:p w:rsidR="00B6569C" w:rsidRDefault="00E82474">
      <w:pPr>
        <w:numPr>
          <w:ilvl w:val="1"/>
          <w:numId w:val="3"/>
        </w:numPr>
        <w:spacing w:after="120"/>
        <w:rPr>
          <w:rFonts w:asciiTheme="minorHAnsi" w:hAnsiTheme="minorHAnsi"/>
          <w:bCs/>
          <w:lang w:val="en-GB"/>
        </w:rPr>
      </w:pPr>
      <w:r>
        <w:rPr>
          <w:rFonts w:asciiTheme="minorHAnsi" w:hAnsiTheme="minorHAnsi"/>
          <w:bCs/>
          <w:lang w:val="en-GB"/>
        </w:rPr>
        <w:t>The PBAC noted that some minor changes were made to the economic model in response to the November 2018 consideration; however, a number of concerns remained, including:</w:t>
      </w:r>
    </w:p>
    <w:p w:rsidR="00B6569C" w:rsidRDefault="00E82474">
      <w:pPr>
        <w:numPr>
          <w:ilvl w:val="1"/>
          <w:numId w:val="31"/>
        </w:numPr>
        <w:spacing w:after="120"/>
        <w:ind w:left="1077" w:hanging="357"/>
        <w:rPr>
          <w:rFonts w:asciiTheme="minorHAnsi" w:hAnsiTheme="minorHAnsi"/>
          <w:bCs/>
          <w:lang w:val="en-GB"/>
        </w:rPr>
      </w:pPr>
      <w:r>
        <w:rPr>
          <w:rFonts w:asciiTheme="minorHAnsi" w:hAnsiTheme="minorHAnsi"/>
          <w:bCs/>
          <w:lang w:val="en-GB"/>
        </w:rPr>
        <w:t>Overall survival in both arms of the model, but particularly the placebo arm, was low compared to 10 year survival data presented in the AJCC 8</w:t>
      </w:r>
      <w:r>
        <w:rPr>
          <w:rFonts w:asciiTheme="minorHAnsi" w:hAnsiTheme="minorHAnsi"/>
          <w:bCs/>
          <w:vertAlign w:val="superscript"/>
          <w:lang w:val="en-GB"/>
        </w:rPr>
        <w:t>th</w:t>
      </w:r>
      <w:r>
        <w:rPr>
          <w:rFonts w:asciiTheme="minorHAnsi" w:hAnsiTheme="minorHAnsi"/>
          <w:bCs/>
          <w:lang w:val="en-GB"/>
        </w:rPr>
        <w:t xml:space="preserve"> edition. The PBAC noted the comments provided by the ESC in paragraph 6.50 and agreed that the modelled overall survival estimates were not only underestimated, but clinically implausible;</w:t>
      </w:r>
    </w:p>
    <w:p w:rsidR="00B6569C" w:rsidRDefault="00E82474">
      <w:pPr>
        <w:numPr>
          <w:ilvl w:val="1"/>
          <w:numId w:val="31"/>
        </w:numPr>
        <w:spacing w:after="120"/>
        <w:ind w:left="1077" w:hanging="357"/>
        <w:rPr>
          <w:rFonts w:asciiTheme="minorHAnsi" w:hAnsiTheme="minorHAnsi"/>
          <w:bCs/>
          <w:lang w:val="en-GB"/>
        </w:rPr>
      </w:pPr>
      <w:r>
        <w:rPr>
          <w:rFonts w:asciiTheme="minorHAnsi" w:hAnsiTheme="minorHAnsi"/>
          <w:bCs/>
          <w:lang w:val="en-GB"/>
        </w:rPr>
        <w:t>Modelled data were based on immature recurrence free survival data from the KN054 trial; thus, the true magnitude of the treatment effect of pembrolizumab, and whether it would be maintained over time was uncertain. In addition, no overall survival data were available to determine the extent to which adjuvant pembrolizumab delivered an overall survival benefit. The PBAC, noting the use of external evidence to estimate the transition probabilities from distant metastases to death, considered that the incorporation of external data into the model introduced substantial uncertainty;</w:t>
      </w:r>
    </w:p>
    <w:p w:rsidR="00B6569C" w:rsidRDefault="00E82474">
      <w:pPr>
        <w:numPr>
          <w:ilvl w:val="1"/>
          <w:numId w:val="31"/>
        </w:numPr>
        <w:spacing w:after="120"/>
        <w:ind w:left="1077" w:hanging="357"/>
        <w:rPr>
          <w:rFonts w:asciiTheme="minorHAnsi" w:hAnsiTheme="minorHAnsi"/>
          <w:bCs/>
          <w:lang w:val="en-GB"/>
        </w:rPr>
      </w:pPr>
      <w:r>
        <w:rPr>
          <w:rFonts w:asciiTheme="minorHAnsi" w:hAnsiTheme="minorHAnsi"/>
          <w:bCs/>
          <w:lang w:val="en-GB"/>
        </w:rPr>
        <w:lastRenderedPageBreak/>
        <w:t>The model relied on the surrogate relationship between recurrence free survival and overall survival which remained uncertain;</w:t>
      </w:r>
    </w:p>
    <w:p w:rsidR="00B6569C" w:rsidRDefault="00E82474">
      <w:pPr>
        <w:numPr>
          <w:ilvl w:val="1"/>
          <w:numId w:val="31"/>
        </w:numPr>
        <w:spacing w:after="120"/>
        <w:ind w:left="1077" w:hanging="357"/>
        <w:rPr>
          <w:rFonts w:asciiTheme="minorHAnsi" w:hAnsiTheme="minorHAnsi"/>
          <w:bCs/>
          <w:lang w:val="en-GB"/>
        </w:rPr>
      </w:pPr>
      <w:r>
        <w:rPr>
          <w:rFonts w:asciiTheme="minorHAnsi" w:hAnsiTheme="minorHAnsi"/>
          <w:bCs/>
          <w:lang w:val="en-GB"/>
        </w:rPr>
        <w:t>The relevance of post-recurrence inputs for the adjuvant pembrolizumab arm remained uncertain, given that there were no data for patients who received a PD-1 inhibitor in both the adjuvant and unresectable settings and the proportion of patients likely to become eligible for retreatment is unknown.</w:t>
      </w:r>
    </w:p>
    <w:p w:rsidR="00B6569C" w:rsidRDefault="00E82474">
      <w:pPr>
        <w:numPr>
          <w:ilvl w:val="1"/>
          <w:numId w:val="3"/>
        </w:numPr>
        <w:spacing w:after="120"/>
        <w:rPr>
          <w:rFonts w:asciiTheme="minorHAnsi" w:hAnsiTheme="minorHAnsi"/>
          <w:bCs/>
          <w:lang w:val="en-GB"/>
        </w:rPr>
      </w:pPr>
      <w:r>
        <w:t xml:space="preserve">The PBAC noted the modelled gain in QALYs for pembrolizumab versus watchful waiting of 1.03 was highly uncertain given only 0.03 QALYs (3% of the total QALY gain) were accrued during the first 16 months of the model time horizon, the median period for which follow up data from the KN054 trial were available, with the remaining 97% of the QALY gain accrued during the modelled period.  </w:t>
      </w:r>
      <w:r>
        <w:rPr>
          <w:lang w:val="en-GB"/>
        </w:rPr>
        <w:t>The PBAC noted the challenges of making comparisons across the nivolumab, pembrolizumab and dabrafenib+trametinib submissions, given the distinct economic modelling approaches adopted. However, in a comparative assessment of the outcomes across the models, the PBAC considered that the pembrolizumab model appeared to have resulted in an overestimate of the incremental benefits</w:t>
      </w:r>
      <w:r>
        <w:t>.</w:t>
      </w:r>
    </w:p>
    <w:p w:rsidR="00B6569C" w:rsidRDefault="00E82474">
      <w:pPr>
        <w:numPr>
          <w:ilvl w:val="1"/>
          <w:numId w:val="3"/>
        </w:numPr>
        <w:spacing w:after="120"/>
        <w:rPr>
          <w:rFonts w:asciiTheme="minorHAnsi" w:hAnsiTheme="minorHAnsi"/>
          <w:bCs/>
          <w:lang w:val="en-GB"/>
        </w:rPr>
      </w:pPr>
      <w:r>
        <w:rPr>
          <w:rFonts w:asciiTheme="minorHAnsi" w:hAnsiTheme="minorHAnsi"/>
          <w:bCs/>
          <w:lang w:val="en-GB"/>
        </w:rPr>
        <w:t>Overall, the PBAC considered that the ICER presented of $15,000/QALY - $45,000/QALY  remained highly uncertain, variable and was most likely underestimated.</w:t>
      </w:r>
    </w:p>
    <w:p w:rsidR="00B6569C" w:rsidRDefault="00E82474">
      <w:pPr>
        <w:numPr>
          <w:ilvl w:val="1"/>
          <w:numId w:val="3"/>
        </w:numPr>
        <w:spacing w:after="120"/>
        <w:rPr>
          <w:rFonts w:asciiTheme="minorHAnsi" w:hAnsiTheme="minorHAnsi"/>
          <w:bCs/>
          <w:lang w:val="en-GB"/>
        </w:rPr>
      </w:pPr>
      <w:r>
        <w:t>The PBAC considered if nivolumab was listed on the PBS for the adjuvant treatment of melanoma, it would be appropriate for pembrolizumab to be cost minimised to nivolumab. The PBAC considered if dabrafenib+trametinib was listed on the PBS for the adjuvant treatment of BRAF mutant melanoma, it would be appropriate for pembrolizumab to be cost minimised to dabrafenib+trametinib for the proportion of the population that is BRAF mutant positive</w:t>
      </w:r>
      <w:r>
        <w:rPr>
          <w:rFonts w:asciiTheme="minorHAnsi" w:hAnsiTheme="minorHAnsi"/>
          <w:bCs/>
          <w:lang w:val="en-GB"/>
        </w:rPr>
        <w:t xml:space="preserve">. </w:t>
      </w:r>
    </w:p>
    <w:p w:rsidR="00B6569C" w:rsidRDefault="00E82474">
      <w:pPr>
        <w:numPr>
          <w:ilvl w:val="1"/>
          <w:numId w:val="3"/>
        </w:numPr>
        <w:spacing w:after="120"/>
        <w:rPr>
          <w:rFonts w:asciiTheme="minorHAnsi" w:hAnsiTheme="minorHAnsi"/>
          <w:bCs/>
          <w:lang w:val="en-GB"/>
        </w:rPr>
      </w:pPr>
      <w:r>
        <w:rPr>
          <w:rFonts w:asciiTheme="minorHAnsi" w:hAnsiTheme="minorHAnsi"/>
          <w:bCs/>
          <w:lang w:val="en-GB"/>
        </w:rPr>
        <w:t xml:space="preserve">The PBAC noted that the estimated financial implications of listing pembrolizumab on the PBS for use in adjuvant melanoma had been updated to exclude cost offsets compared to the November 2018 submission. The PBAC considered that the financial impact remained very high (approximately more than $100  million per year for approximately </w:t>
      </w:r>
      <w:r w:rsidR="00277D7E">
        <w:rPr>
          <w:rFonts w:asciiTheme="minorHAnsi" w:hAnsiTheme="minorHAnsi"/>
          <w:bCs/>
          <w:noProof/>
          <w:color w:val="000000"/>
          <w:highlight w:val="black"/>
          <w:lang w:val="en-GB"/>
        </w:rPr>
        <w:t>''''''''''</w:t>
      </w:r>
      <w:r>
        <w:rPr>
          <w:rFonts w:asciiTheme="minorHAnsi" w:hAnsiTheme="minorHAnsi"/>
          <w:bCs/>
          <w:lang w:val="en-GB"/>
        </w:rPr>
        <w:t xml:space="preserve"> patients). The average number of administrations per patient (</w:t>
      </w:r>
      <w:r w:rsidR="00277D7E">
        <w:rPr>
          <w:rFonts w:asciiTheme="minorHAnsi" w:hAnsiTheme="minorHAnsi"/>
          <w:bCs/>
          <w:noProof/>
          <w:color w:val="000000"/>
          <w:highlight w:val="black"/>
          <w:lang w:val="en-GB"/>
        </w:rPr>
        <w:t>''''''''''</w:t>
      </w:r>
      <w:r>
        <w:rPr>
          <w:rFonts w:asciiTheme="minorHAnsi" w:hAnsiTheme="minorHAnsi"/>
          <w:bCs/>
          <w:lang w:val="en-GB"/>
        </w:rPr>
        <w:t xml:space="preserve"> per year) and the uptake rate (85%) remained the same as in November 2018. The PBAC noted that it had previously considered these values to be overestimations. </w:t>
      </w:r>
    </w:p>
    <w:p w:rsidR="00B6569C" w:rsidRDefault="00E82474">
      <w:pPr>
        <w:numPr>
          <w:ilvl w:val="1"/>
          <w:numId w:val="3"/>
        </w:numPr>
        <w:spacing w:after="120"/>
        <w:rPr>
          <w:rFonts w:asciiTheme="minorHAnsi" w:hAnsiTheme="minorHAnsi"/>
          <w:bCs/>
          <w:lang w:val="en-GB"/>
        </w:rPr>
      </w:pPr>
      <w:r>
        <w:rPr>
          <w:rFonts w:asciiTheme="minorHAnsi" w:hAnsiTheme="minorHAnsi"/>
          <w:bCs/>
          <w:lang w:val="en-GB"/>
        </w:rPr>
        <w:t xml:space="preserve">The PBAC noted that the resubmission proposed a Risk-Sharing Arrangement (RSA). The PBAC considered that, in the context of the uncertain use across the adjuvant and unresectable or metastatic settings, any proposed RSA should encompass adjuvant and unresectable use of all PD-1 inhibitors. The PBAC considered that an appropriate RSA would consist of subsidisation caps across both the adjuvant and unresectable or metastatic settings, beyond which 100% rebates would apply. </w:t>
      </w:r>
    </w:p>
    <w:p w:rsidR="00B6569C" w:rsidRDefault="00E82474">
      <w:pPr>
        <w:numPr>
          <w:ilvl w:val="1"/>
          <w:numId w:val="3"/>
        </w:numPr>
        <w:spacing w:after="120"/>
        <w:rPr>
          <w:rFonts w:asciiTheme="minorHAnsi" w:hAnsiTheme="minorHAnsi"/>
          <w:bCs/>
          <w:lang w:val="en-GB"/>
        </w:rPr>
      </w:pPr>
      <w:r>
        <w:rPr>
          <w:rFonts w:asciiTheme="minorHAnsi" w:hAnsiTheme="minorHAnsi"/>
          <w:bCs/>
          <w:lang w:val="en-GB"/>
        </w:rPr>
        <w:t xml:space="preserve">The PBAC considered that the subsidisation caps in the unresectable or metastatic settings should include a reduction in utilisation to account for patients receiving </w:t>
      </w:r>
      <w:r>
        <w:rPr>
          <w:rFonts w:asciiTheme="minorHAnsi" w:hAnsiTheme="minorHAnsi"/>
          <w:bCs/>
          <w:lang w:val="en-GB"/>
        </w:rPr>
        <w:lastRenderedPageBreak/>
        <w:t xml:space="preserve">adjuvant treatment that results in a cure. The PBAC noted that such a </w:t>
      </w:r>
      <w:r>
        <w:rPr>
          <w:rFonts w:asciiTheme="minorHAnsi" w:hAnsiTheme="minorHAnsi"/>
          <w:bCs/>
        </w:rPr>
        <w:t>reduction in use in the unresectable setting was unlikely to be observed in the first year of the adjuvant listing; however, from the second year onwards, a reduction in use in the unresectable or metastatic setting should be accounted for.</w:t>
      </w:r>
    </w:p>
    <w:p w:rsidR="00B6569C" w:rsidRDefault="00E82474">
      <w:pPr>
        <w:numPr>
          <w:ilvl w:val="1"/>
          <w:numId w:val="3"/>
        </w:numPr>
        <w:spacing w:after="120"/>
        <w:rPr>
          <w:rFonts w:asciiTheme="minorHAnsi" w:hAnsiTheme="minorHAnsi"/>
          <w:bCs/>
          <w:lang w:val="en-GB"/>
        </w:rPr>
      </w:pPr>
      <w:r>
        <w:rPr>
          <w:rFonts w:asciiTheme="minorHAnsi" w:hAnsiTheme="minorHAnsi"/>
          <w:bCs/>
        </w:rPr>
        <w:t>The PBAC advised that any future submission should be a major submission and should provide more mature follow-up data from the KN054 trial, if available, and address the issues noted by the ESC and PBAC from this consideration and from November 2018 regarding the economic model, update the financial impact estimations and outline a proposed RSA.</w:t>
      </w:r>
    </w:p>
    <w:p w:rsidR="00B6569C" w:rsidRDefault="00E82474">
      <w:pPr>
        <w:numPr>
          <w:ilvl w:val="1"/>
          <w:numId w:val="3"/>
        </w:numPr>
        <w:spacing w:after="120"/>
        <w:rPr>
          <w:rFonts w:asciiTheme="minorHAnsi" w:hAnsiTheme="minorHAnsi"/>
          <w:bCs/>
          <w:lang w:val="en-GB"/>
        </w:rPr>
      </w:pPr>
      <w:r>
        <w:rPr>
          <w:rFonts w:asciiTheme="minorHAnsi" w:hAnsiTheme="minorHAnsi"/>
          <w:bCs/>
        </w:rPr>
        <w:t>The PBAC noted that this submission is eligible for an Independent Review.</w:t>
      </w:r>
    </w:p>
    <w:p w:rsidR="00B6569C" w:rsidRDefault="00E82474">
      <w:pPr>
        <w:spacing w:before="240"/>
        <w:rPr>
          <w:rFonts w:asciiTheme="minorHAnsi" w:hAnsiTheme="minorHAnsi"/>
          <w:b/>
          <w:bCs/>
          <w:lang w:val="en-GB"/>
        </w:rPr>
      </w:pPr>
      <w:r>
        <w:rPr>
          <w:rFonts w:asciiTheme="minorHAnsi" w:hAnsiTheme="minorHAnsi"/>
          <w:b/>
          <w:bCs/>
          <w:lang w:val="en-GB"/>
        </w:rPr>
        <w:t>Outcome:</w:t>
      </w:r>
    </w:p>
    <w:p w:rsidR="00B6569C" w:rsidRDefault="00E82474">
      <w:pPr>
        <w:rPr>
          <w:rFonts w:asciiTheme="minorHAnsi" w:hAnsiTheme="minorHAnsi"/>
          <w:bCs/>
          <w:lang w:val="en-GB"/>
        </w:rPr>
      </w:pPr>
      <w:r>
        <w:rPr>
          <w:rFonts w:asciiTheme="minorHAnsi" w:hAnsiTheme="minorHAnsi"/>
          <w:bCs/>
          <w:lang w:val="en-GB"/>
        </w:rPr>
        <w:t xml:space="preserve">Rejected </w:t>
      </w:r>
    </w:p>
    <w:p w:rsidR="00B6569C" w:rsidRDefault="00B6569C">
      <w:pPr>
        <w:rPr>
          <w:rFonts w:asciiTheme="minorHAnsi" w:hAnsiTheme="minorHAnsi"/>
          <w:bCs/>
          <w:lang w:val="en-GB"/>
        </w:rPr>
      </w:pPr>
    </w:p>
    <w:p w:rsidR="00B6569C" w:rsidRDefault="00E82474">
      <w:pPr>
        <w:pStyle w:val="PBACHeading1"/>
        <w:spacing w:after="120"/>
      </w:pPr>
      <w:r>
        <w:t>Context for Decision</w:t>
      </w:r>
    </w:p>
    <w:p w:rsidR="00B6569C" w:rsidRDefault="00E82474">
      <w:pPr>
        <w:widowControl/>
        <w:spacing w:line="276" w:lineRule="auto"/>
        <w:rPr>
          <w:rFonts w:asciiTheme="minorHAnsi" w:eastAsiaTheme="minorHAnsi" w:hAnsiTheme="minorHAnsi"/>
          <w:snapToGrid/>
        </w:rPr>
      </w:pPr>
      <w:r>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6569C" w:rsidRDefault="00B6569C">
      <w:pPr>
        <w:widowControl/>
        <w:spacing w:after="200" w:line="276" w:lineRule="auto"/>
        <w:ind w:left="426"/>
        <w:rPr>
          <w:rFonts w:ascii="Arial" w:eastAsiaTheme="minorHAnsi" w:hAnsi="Arial"/>
          <w:snapToGrid/>
          <w:sz w:val="22"/>
        </w:rPr>
      </w:pPr>
    </w:p>
    <w:p w:rsidR="00B6569C" w:rsidRDefault="00E82474">
      <w:pPr>
        <w:pStyle w:val="PBACHeading1"/>
        <w:spacing w:after="120"/>
      </w:pPr>
      <w:r>
        <w:t>Sponsor’s Comment</w:t>
      </w:r>
    </w:p>
    <w:p w:rsidR="0069644F" w:rsidRPr="0069644F" w:rsidRDefault="0069644F" w:rsidP="0069644F">
      <w:pPr>
        <w:widowControl/>
        <w:spacing w:after="120" w:line="276" w:lineRule="auto"/>
        <w:rPr>
          <w:rFonts w:asciiTheme="minorHAnsi" w:eastAsiaTheme="minorHAnsi" w:hAnsiTheme="minorHAnsi"/>
          <w:bCs/>
          <w:snapToGrid/>
          <w:szCs w:val="24"/>
        </w:rPr>
      </w:pPr>
      <w:r w:rsidRPr="0069644F">
        <w:rPr>
          <w:rFonts w:asciiTheme="minorHAnsi" w:eastAsiaTheme="minorHAnsi" w:hAnsiTheme="minorHAnsi"/>
          <w:bCs/>
          <w:snapToGrid/>
          <w:szCs w:val="24"/>
        </w:rPr>
        <w:t>MSD is disappointed with this outcome and will continue to work with the PBAC towards a PBS listing for eligible patients. More than 60% of patients are BRAF wildtype and currently do not have any treatment options recommended for reimbur</w:t>
      </w:r>
      <w:r>
        <w:rPr>
          <w:rFonts w:asciiTheme="minorHAnsi" w:eastAsiaTheme="minorHAnsi" w:hAnsiTheme="minorHAnsi"/>
          <w:bCs/>
          <w:snapToGrid/>
          <w:szCs w:val="24"/>
        </w:rPr>
        <w:t>sement in the adjuvant setting.</w:t>
      </w:r>
    </w:p>
    <w:p w:rsidR="0069644F" w:rsidRDefault="0069644F">
      <w:pPr>
        <w:widowControl/>
        <w:spacing w:after="120" w:line="276" w:lineRule="auto"/>
        <w:rPr>
          <w:rFonts w:asciiTheme="minorHAnsi" w:eastAsiaTheme="minorHAnsi" w:hAnsiTheme="minorHAnsi"/>
          <w:bCs/>
          <w:snapToGrid/>
          <w:szCs w:val="24"/>
        </w:rPr>
      </w:pPr>
      <w:r w:rsidRPr="0069644F">
        <w:rPr>
          <w:rFonts w:asciiTheme="minorHAnsi" w:eastAsiaTheme="minorHAnsi" w:hAnsiTheme="minorHAnsi"/>
          <w:bCs/>
          <w:snapToGrid/>
          <w:szCs w:val="24"/>
        </w:rPr>
        <w:t>PBAC has accepted that PEMBRO and NIVO are non-inferior. MSD has published an independent ITC in the Journal of Drug Assessment, (Lorenzi et al 2019) which outlines commentary on the transitivity between trials. MSD would like to note that there are molecular differences between the regimens and they cannot be considered biosimilar. Across indications, PEMBRO has higher binding affinity and produces lower anti-drug antibodies compared with NIVO.</w:t>
      </w:r>
    </w:p>
    <w:p w:rsidR="00B6569C" w:rsidRDefault="00B6569C">
      <w:pPr>
        <w:rPr>
          <w:rFonts w:asciiTheme="minorHAnsi" w:hAnsiTheme="minorHAnsi"/>
          <w:bCs/>
          <w:lang w:val="en-GB"/>
        </w:rPr>
      </w:pPr>
    </w:p>
    <w:sectPr w:rsidR="00B6569C">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C95" w:rsidRDefault="001F7C95">
      <w:r>
        <w:separator/>
      </w:r>
    </w:p>
    <w:p w:rsidR="001F7C95" w:rsidRDefault="001F7C95"/>
  </w:endnote>
  <w:endnote w:type="continuationSeparator" w:id="0">
    <w:p w:rsidR="001F7C95" w:rsidRDefault="001F7C95">
      <w:r>
        <w:continuationSeparator/>
      </w:r>
    </w:p>
    <w:p w:rsidR="001F7C95" w:rsidRDefault="001F7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C95" w:rsidRDefault="001F7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C95" w:rsidRDefault="001F7C95">
    <w:pPr>
      <w:pStyle w:val="Footer"/>
      <w:jc w:val="center"/>
    </w:pPr>
  </w:p>
  <w:p w:rsidR="001F7C95" w:rsidRDefault="001F7C95">
    <w:pPr>
      <w:pStyle w:val="Footer"/>
      <w:jc w:val="center"/>
    </w:pPr>
    <w:sdt>
      <w:sdtPr>
        <w:id w:val="-1867983320"/>
        <w:docPartObj>
          <w:docPartGallery w:val="Page Numbers (Bottom of Page)"/>
          <w:docPartUnique/>
        </w:docPartObj>
      </w:sdtPr>
      <w:sdtEndPr>
        <w:rPr>
          <w:noProof/>
        </w:rPr>
      </w:sdtEndPr>
      <w:sdtContent>
        <w:r>
          <w:rPr>
            <w:b/>
          </w:rPr>
          <w:fldChar w:fldCharType="begin"/>
        </w:r>
        <w:r>
          <w:rPr>
            <w:b/>
          </w:rPr>
          <w:instrText xml:space="preserve"> PAGE   \* MERGEFORMAT </w:instrText>
        </w:r>
        <w:r>
          <w:rPr>
            <w:b/>
          </w:rPr>
          <w:fldChar w:fldCharType="separate"/>
        </w:r>
        <w:r w:rsidR="00632FE3">
          <w:rPr>
            <w:b/>
            <w:noProof/>
          </w:rPr>
          <w:t>34</w:t>
        </w:r>
        <w:r>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C95" w:rsidRDefault="001F7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C95" w:rsidRDefault="001F7C95">
      <w:r>
        <w:separator/>
      </w:r>
    </w:p>
    <w:p w:rsidR="001F7C95" w:rsidRDefault="001F7C95"/>
  </w:footnote>
  <w:footnote w:type="continuationSeparator" w:id="0">
    <w:p w:rsidR="001F7C95" w:rsidRDefault="001F7C95">
      <w:r>
        <w:continuationSeparator/>
      </w:r>
    </w:p>
    <w:p w:rsidR="001F7C95" w:rsidRDefault="001F7C95"/>
  </w:footnote>
  <w:footnote w:id="1">
    <w:p w:rsidR="001F7C95" w:rsidRDefault="001F7C95">
      <w:pPr>
        <w:pStyle w:val="FootnoteText"/>
      </w:pPr>
      <w:r>
        <w:rPr>
          <w:rStyle w:val="FootnoteReference"/>
        </w:rPr>
        <w:footnoteRef/>
      </w:r>
      <w:r>
        <w:t xml:space="preserve"> </w:t>
      </w:r>
      <w:r>
        <w:rPr>
          <w:rFonts w:asciiTheme="minorHAnsi" w:hAnsiTheme="minorHAnsi"/>
          <w:bCs/>
        </w:rPr>
        <w:t xml:space="preserve">Cherny N, Dafni U, Bogaerts J, et al. ESMO-magnitude of clinical benefits scale, version 1.1. </w:t>
      </w:r>
      <w:r>
        <w:rPr>
          <w:rFonts w:asciiTheme="minorHAnsi" w:hAnsiTheme="minorHAnsi"/>
          <w:bCs/>
          <w:i/>
        </w:rPr>
        <w:t>Annals of Oncology</w:t>
      </w:r>
      <w:r>
        <w:rPr>
          <w:rFonts w:asciiTheme="minorHAnsi" w:hAnsiTheme="minorHAnsi"/>
          <w:bCs/>
        </w:rPr>
        <w:t>. 2017; 28: 2340-2366.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C95" w:rsidRDefault="001F7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C95" w:rsidRDefault="001F7C95">
    <w:pPr>
      <w:pStyle w:val="Header"/>
      <w:jc w:val="center"/>
      <w:rPr>
        <w:i/>
      </w:rPr>
    </w:pPr>
    <w:r>
      <w:rPr>
        <w:i/>
      </w:rPr>
      <w:t>Public Summary Document – July 2019 PBAC Meeting</w:t>
    </w:r>
  </w:p>
  <w:p w:rsidR="001F7C95" w:rsidRDefault="001F7C9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C95" w:rsidRDefault="001F7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AC0811"/>
    <w:multiLevelType w:val="hybridMultilevel"/>
    <w:tmpl w:val="8EC473F4"/>
    <w:lvl w:ilvl="0" w:tplc="538693EC">
      <w:start w:val="1"/>
      <w:numFmt w:val="decimal"/>
      <w:lvlText w:val="%1."/>
      <w:lvlJc w:val="left"/>
      <w:pPr>
        <w:tabs>
          <w:tab w:val="num" w:pos="720"/>
        </w:tabs>
        <w:ind w:left="720" w:hanging="360"/>
      </w:pPr>
      <w:rPr>
        <w:rFonts w:hint="default"/>
        <w:b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07D17"/>
    <w:multiLevelType w:val="hybridMultilevel"/>
    <w:tmpl w:val="6F5EF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205739"/>
    <w:multiLevelType w:val="hybridMultilevel"/>
    <w:tmpl w:val="78584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461CF5"/>
    <w:multiLevelType w:val="hybridMultilevel"/>
    <w:tmpl w:val="7CA2B1B0"/>
    <w:lvl w:ilvl="0" w:tplc="0C090001">
      <w:start w:val="1"/>
      <w:numFmt w:val="bullet"/>
      <w:lvlText w:val=""/>
      <w:lvlJc w:val="left"/>
      <w:pPr>
        <w:ind w:left="720" w:hanging="360"/>
      </w:pPr>
      <w:rPr>
        <w:rFonts w:ascii="Symbol" w:hAnsi="Symbol" w:hint="default"/>
      </w:rPr>
    </w:lvl>
    <w:lvl w:ilvl="1" w:tplc="53821158">
      <w:numFmt w:val="bullet"/>
      <w:lvlText w:val="•"/>
      <w:lvlJc w:val="left"/>
      <w:pPr>
        <w:ind w:left="1800" w:hanging="720"/>
      </w:pPr>
      <w:rPr>
        <w:rFonts w:ascii="Calibri" w:eastAsia="Times New Roman" w:hAnsi="Calibri"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710B8E"/>
    <w:multiLevelType w:val="hybridMultilevel"/>
    <w:tmpl w:val="09A45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C9253B"/>
    <w:multiLevelType w:val="hybridMultilevel"/>
    <w:tmpl w:val="1BC0E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5C0F54"/>
    <w:multiLevelType w:val="hybridMultilevel"/>
    <w:tmpl w:val="862A88F0"/>
    <w:lvl w:ilvl="0" w:tplc="42E01100">
      <w:start w:val="9"/>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7C34E2"/>
    <w:multiLevelType w:val="hybridMultilevel"/>
    <w:tmpl w:val="285A5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6750D9"/>
    <w:multiLevelType w:val="hybridMultilevel"/>
    <w:tmpl w:val="0B6EC7A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2A50391"/>
    <w:multiLevelType w:val="hybridMultilevel"/>
    <w:tmpl w:val="F5DCC2EA"/>
    <w:lvl w:ilvl="0" w:tplc="0C090001">
      <w:start w:val="1"/>
      <w:numFmt w:val="bullet"/>
      <w:lvlText w:val=""/>
      <w:lvlJc w:val="left"/>
      <w:pPr>
        <w:ind w:left="135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39782A"/>
    <w:multiLevelType w:val="hybridMultilevel"/>
    <w:tmpl w:val="711CA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53513"/>
    <w:multiLevelType w:val="multilevel"/>
    <w:tmpl w:val="BD4490C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7560DE"/>
    <w:multiLevelType w:val="hybridMultilevel"/>
    <w:tmpl w:val="BE926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8F7C9C"/>
    <w:multiLevelType w:val="hybridMultilevel"/>
    <w:tmpl w:val="8FECE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29728E"/>
    <w:multiLevelType w:val="hybridMultilevel"/>
    <w:tmpl w:val="8954DBC6"/>
    <w:lvl w:ilvl="0" w:tplc="0C090001">
      <w:start w:val="1"/>
      <w:numFmt w:val="bullet"/>
      <w:lvlText w:val=""/>
      <w:lvlJc w:val="left"/>
      <w:pPr>
        <w:ind w:left="720" w:hanging="360"/>
      </w:pPr>
      <w:rPr>
        <w:rFonts w:ascii="Symbol" w:hAnsi="Symbol" w:hint="default"/>
      </w:rPr>
    </w:lvl>
    <w:lvl w:ilvl="1" w:tplc="6A2CBC0C">
      <w:start w:val="2"/>
      <w:numFmt w:val="bullet"/>
      <w:lvlText w:val="-"/>
      <w:lvlJc w:val="left"/>
      <w:pPr>
        <w:ind w:left="1440" w:hanging="360"/>
      </w:pPr>
      <w:rPr>
        <w:rFonts w:ascii="Times New Roman" w:eastAsia="MS Mincho"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0445F4"/>
    <w:multiLevelType w:val="multilevel"/>
    <w:tmpl w:val="2EB0A30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52025495"/>
    <w:multiLevelType w:val="hybridMultilevel"/>
    <w:tmpl w:val="5DD07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F00113"/>
    <w:multiLevelType w:val="hybridMultilevel"/>
    <w:tmpl w:val="DB5AC3E4"/>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D44187"/>
    <w:multiLevelType w:val="hybridMultilevel"/>
    <w:tmpl w:val="AFF00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BF1EF5"/>
    <w:multiLevelType w:val="hybridMultilevel"/>
    <w:tmpl w:val="8B166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946E9A"/>
    <w:multiLevelType w:val="hybridMultilevel"/>
    <w:tmpl w:val="A3520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4D033C"/>
    <w:multiLevelType w:val="multilevel"/>
    <w:tmpl w:val="7E589A5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3"/>
  </w:num>
  <w:num w:numId="3">
    <w:abstractNumId w:val="29"/>
  </w:num>
  <w:num w:numId="4">
    <w:abstractNumId w:val="16"/>
  </w:num>
  <w:num w:numId="5">
    <w:abstractNumId w:val="8"/>
  </w:num>
  <w:num w:numId="6">
    <w:abstractNumId w:val="21"/>
  </w:num>
  <w:num w:numId="7">
    <w:abstractNumId w:val="19"/>
  </w:num>
  <w:num w:numId="8">
    <w:abstractNumId w:val="14"/>
  </w:num>
  <w:num w:numId="9">
    <w:abstractNumId w:val="2"/>
  </w:num>
  <w:num w:numId="10">
    <w:abstractNumId w:val="20"/>
  </w:num>
  <w:num w:numId="11">
    <w:abstractNumId w:val="18"/>
  </w:num>
  <w:num w:numId="12">
    <w:abstractNumId w:val="26"/>
  </w:num>
  <w:num w:numId="13">
    <w:abstractNumId w:val="6"/>
  </w:num>
  <w:num w:numId="14">
    <w:abstractNumId w:val="15"/>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7"/>
  </w:num>
  <w:num w:numId="18">
    <w:abstractNumId w:val="25"/>
  </w:num>
  <w:num w:numId="19">
    <w:abstractNumId w:val="10"/>
  </w:num>
  <w:num w:numId="20">
    <w:abstractNumId w:val="28"/>
  </w:num>
  <w:num w:numId="21">
    <w:abstractNumId w:val="1"/>
  </w:num>
  <w:num w:numId="22">
    <w:abstractNumId w:val="9"/>
  </w:num>
  <w:num w:numId="23">
    <w:abstractNumId w:val="13"/>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3"/>
  </w:num>
  <w:num w:numId="27">
    <w:abstractNumId w:val="24"/>
  </w:num>
  <w:num w:numId="28">
    <w:abstractNumId w:val="4"/>
  </w:num>
  <w:num w:numId="29">
    <w:abstractNumId w:val="0"/>
  </w:num>
  <w:num w:numId="30">
    <w:abstractNumId w:val="7"/>
  </w:num>
  <w:num w:numId="31">
    <w:abstractNumId w:val="17"/>
  </w:num>
  <w:num w:numId="32">
    <w:abstractNumId w:val="5"/>
  </w:num>
  <w:num w:numId="33">
    <w:abstractNumId w:val="29"/>
  </w:num>
  <w:num w:numId="34">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9C"/>
    <w:rsid w:val="000C1ACC"/>
    <w:rsid w:val="00170997"/>
    <w:rsid w:val="001F7C95"/>
    <w:rsid w:val="00277D7E"/>
    <w:rsid w:val="005B297D"/>
    <w:rsid w:val="00632FE3"/>
    <w:rsid w:val="0069644F"/>
    <w:rsid w:val="008C4C5B"/>
    <w:rsid w:val="00925745"/>
    <w:rsid w:val="00B6569C"/>
    <w:rsid w:val="00C30C67"/>
    <w:rsid w:val="00E8247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29A6C3C"/>
  <w15:docId w15:val="{429F222C-D86D-4736-9467-93E9F9E8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6"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qFormat/>
    <w:pPr>
      <w:ind w:left="720" w:hanging="720"/>
      <w:outlineLvl w:val="0"/>
    </w:pPr>
    <w:rPr>
      <w:b/>
      <w:caps/>
      <w:sz w:val="32"/>
    </w:rPr>
  </w:style>
  <w:style w:type="paragraph" w:styleId="Heading2">
    <w:name w:val="heading 2"/>
    <w:basedOn w:val="Normal"/>
    <w:next w:val="Normal"/>
    <w:link w:val="Heading2Char"/>
    <w:qFormat/>
    <w:pPr>
      <w:outlineLvl w:val="1"/>
    </w:pPr>
    <w:rPr>
      <w:b/>
      <w:i/>
      <w:sz w:val="28"/>
    </w:rPr>
  </w:style>
  <w:style w:type="paragraph" w:styleId="Heading3">
    <w:name w:val="heading 3"/>
    <w:basedOn w:val="Normal"/>
    <w:next w:val="Normal"/>
    <w:link w:val="Heading3Char"/>
    <w:qFormat/>
    <w:pPr>
      <w:outlineLvl w:val="2"/>
    </w:pPr>
    <w:rPr>
      <w:u w:val="single"/>
    </w:rPr>
  </w:style>
  <w:style w:type="paragraph" w:styleId="Heading4">
    <w:name w:val="heading 4"/>
    <w:basedOn w:val="Normal"/>
    <w:next w:val="Normal"/>
    <w:link w:val="Heading4Char"/>
    <w:qFormat/>
    <w:pPr>
      <w:keepNext/>
      <w:spacing w:before="240" w:after="60"/>
      <w:outlineLvl w:val="3"/>
    </w:pPr>
    <w:rPr>
      <w:b/>
      <w:bCs/>
      <w:i/>
      <w:sz w:val="26"/>
      <w:szCs w:val="28"/>
    </w:rPr>
  </w:style>
  <w:style w:type="paragraph" w:styleId="Heading5">
    <w:name w:val="heading 5"/>
    <w:basedOn w:val="Normal"/>
    <w:next w:val="Normal"/>
    <w:link w:val="Heading5Char"/>
    <w:qFormat/>
    <w:pPr>
      <w:spacing w:before="240" w:after="60"/>
      <w:outlineLvl w:val="4"/>
    </w:pPr>
    <w:rPr>
      <w:b/>
      <w:bCs/>
      <w:iCs/>
      <w:sz w:val="26"/>
      <w:szCs w:val="26"/>
    </w:rPr>
  </w:style>
  <w:style w:type="paragraph" w:styleId="Heading6">
    <w:name w:val="heading 6"/>
    <w:basedOn w:val="Normal"/>
    <w:next w:val="Normal"/>
    <w:link w:val="Heading6Char"/>
    <w:qFormat/>
    <w:pPr>
      <w:spacing w:before="240" w:after="60"/>
      <w:outlineLvl w:val="5"/>
    </w:pPr>
    <w:rPr>
      <w:b/>
      <w:bCs/>
      <w:i/>
    </w:rPr>
  </w:style>
  <w:style w:type="paragraph" w:styleId="Heading7">
    <w:name w:val="heading 7"/>
    <w:basedOn w:val="Normal"/>
    <w:next w:val="Normal"/>
    <w:link w:val="Heading7Char"/>
    <w:uiPriority w:val="99"/>
    <w:qFormat/>
    <w:pPr>
      <w:keepNext/>
      <w:jc w:val="center"/>
      <w:outlineLvl w:val="6"/>
    </w:pPr>
    <w:rPr>
      <w:b/>
      <w:sz w:val="20"/>
    </w:rPr>
  </w:style>
  <w:style w:type="paragraph" w:styleId="Heading8">
    <w:name w:val="heading 8"/>
    <w:basedOn w:val="Normal"/>
    <w:next w:val="Normal"/>
    <w:link w:val="Heading8Char"/>
    <w:uiPriority w:val="99"/>
    <w:qFormat/>
    <w:pPr>
      <w:keepNext/>
      <w:jc w:val="right"/>
      <w:outlineLvl w:val="7"/>
    </w:pPr>
    <w:rPr>
      <w:b/>
    </w:rPr>
  </w:style>
  <w:style w:type="paragraph" w:styleId="Heading9">
    <w:name w:val="heading 9"/>
    <w:basedOn w:val="Normal"/>
    <w:next w:val="Normal"/>
    <w:link w:val="Heading9Char"/>
    <w:uiPriority w:val="99"/>
    <w:qFormat/>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9"/>
    <w:rPr>
      <w:rFonts w:ascii="Arial" w:hAnsi="Arial"/>
      <w:b/>
      <w:snapToGrid w:val="0"/>
      <w:lang w:eastAsia="en-US"/>
    </w:rPr>
  </w:style>
  <w:style w:type="character" w:customStyle="1" w:styleId="Heading8Char">
    <w:name w:val="Heading 8 Char"/>
    <w:basedOn w:val="DefaultParagraphFont"/>
    <w:link w:val="Heading8"/>
    <w:uiPriority w:val="99"/>
    <w:rPr>
      <w:b/>
      <w:snapToGrid w:val="0"/>
      <w:sz w:val="24"/>
      <w:lang w:eastAsia="en-US"/>
    </w:rPr>
  </w:style>
  <w:style w:type="character" w:customStyle="1" w:styleId="Heading9Char">
    <w:name w:val="Heading 9 Char"/>
    <w:basedOn w:val="DefaultParagraphFont"/>
    <w:link w:val="Heading9"/>
    <w:uiPriority w:val="99"/>
    <w:rPr>
      <w:rFonts w:ascii="Arial" w:hAnsi="Arial"/>
      <w:b/>
      <w:snapToGrid w:val="0"/>
      <w:color w:val="000000"/>
      <w:lang w:eastAsia="en-US"/>
    </w:rPr>
  </w:style>
  <w:style w:type="paragraph" w:customStyle="1" w:styleId="TableFooter">
    <w:name w:val="Table Footer"/>
    <w:basedOn w:val="Normal"/>
    <w:link w:val="TableFooterChar"/>
    <w:qFormat/>
    <w:rPr>
      <w:rFonts w:ascii="Arial Narrow" w:hAnsi="Arial Narrow"/>
      <w:sz w:val="18"/>
    </w:rPr>
  </w:style>
  <w:style w:type="character" w:customStyle="1" w:styleId="TableFooterChar">
    <w:name w:val="Table Footer Char"/>
    <w:link w:val="TableFooter"/>
    <w:rPr>
      <w:rFonts w:ascii="Arial Narrow" w:hAnsi="Arial Narrow" w:cs="Arial"/>
      <w:snapToGrid w:val="0"/>
      <w:sz w:val="18"/>
      <w:lang w:eastAsia="en-US"/>
    </w:rPr>
  </w:style>
  <w:style w:type="paragraph" w:customStyle="1" w:styleId="TableHeader">
    <w:name w:val="Table Header"/>
    <w:basedOn w:val="Normal"/>
    <w:uiPriority w:val="3"/>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Pr>
      <w:b/>
      <w:bCs/>
      <w:snapToGrid w:val="0"/>
      <w:color w:val="4F81BD" w:themeColor="accent1"/>
      <w:sz w:val="18"/>
      <w:szCs w:val="18"/>
      <w:lang w:eastAsia="en-US"/>
    </w:rPr>
  </w:style>
  <w:style w:type="paragraph" w:styleId="Title">
    <w:name w:val="Title"/>
    <w:basedOn w:val="Normal"/>
    <w:next w:val="Normal"/>
    <w:link w:val="TitleChar"/>
    <w:uiPriority w:val="99"/>
    <w:qFormat/>
    <w:pPr>
      <w:outlineLvl w:val="0"/>
    </w:pPr>
    <w:rPr>
      <w:b/>
      <w:sz w:val="36"/>
      <w:szCs w:val="36"/>
    </w:rPr>
  </w:style>
  <w:style w:type="character" w:customStyle="1" w:styleId="TitleChar">
    <w:name w:val="Title Char"/>
    <w:basedOn w:val="DefaultParagraphFont"/>
    <w:link w:val="Title"/>
    <w:uiPriority w:val="99"/>
    <w:rPr>
      <w:rFonts w:ascii="Calibri" w:hAnsi="Calibri" w:cs="Arial"/>
      <w:b/>
      <w:snapToGrid w:val="0"/>
      <w:sz w:val="36"/>
      <w:szCs w:val="36"/>
      <w:lang w:eastAsia="en-US"/>
    </w:rPr>
  </w:style>
  <w:style w:type="paragraph" w:styleId="BodyText">
    <w:name w:val="Body Text"/>
    <w:basedOn w:val="Normal"/>
    <w:link w:val="BodyTextChar"/>
    <w:uiPriority w:val="99"/>
    <w:qFormat/>
    <w:pPr>
      <w:jc w:val="left"/>
    </w:pPr>
  </w:style>
  <w:style w:type="character" w:customStyle="1" w:styleId="BodyTextChar">
    <w:name w:val="Body Text Char"/>
    <w:basedOn w:val="DefaultParagraphFont"/>
    <w:link w:val="BodyText"/>
    <w:uiPriority w:val="99"/>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ES Paragraph,PBAC ES Paragraph,PBAC normal points"/>
    <w:basedOn w:val="Normal"/>
    <w:link w:val="ListParagraphChar"/>
    <w:uiPriority w:val="34"/>
    <w:qFormat/>
    <w:pPr>
      <w:spacing w:after="160"/>
      <w:ind w:left="720"/>
    </w:pPr>
  </w:style>
  <w:style w:type="character" w:customStyle="1" w:styleId="ListParagraphChar">
    <w:name w:val="List Paragraph Char"/>
    <w:aliases w:val="Numbered para Char,BulletPoints Char,Footnote Char,Bullet point Char,List Paragraph1 Char,List Paragraph11 Char,Recommendation Char,ES Paragraph Char,PBAC ES Paragraph Char,PBAC normal points Char"/>
    <w:basedOn w:val="DefaultParagraphFont"/>
    <w:link w:val="ListParagraph"/>
    <w:uiPriority w:val="72"/>
    <w:qFormat/>
    <w:locked/>
    <w:rPr>
      <w:rFonts w:ascii="Arial" w:hAnsi="Arial" w:cs="Arial"/>
      <w:snapToGrid w:val="0"/>
      <w:sz w:val="22"/>
      <w:szCs w:val="22"/>
      <w:lang w:eastAsia="en-US"/>
    </w:rPr>
  </w:style>
  <w:style w:type="paragraph" w:customStyle="1" w:styleId="RegularText">
    <w:name w:val="Regular Text"/>
    <w:basedOn w:val="BodyText"/>
    <w:link w:val="RegularTextChar"/>
    <w:rPr>
      <w:b/>
    </w:rPr>
  </w:style>
  <w:style w:type="character" w:customStyle="1" w:styleId="RegularTextChar">
    <w:name w:val="Regular Text Char"/>
    <w:basedOn w:val="BodyTextChar"/>
    <w:link w:val="RegularText"/>
    <w:rPr>
      <w:rFonts w:ascii="Arial" w:hAnsi="Arial" w:cs="Arial"/>
      <w:b/>
      <w:snapToGrid w:val="0"/>
      <w:sz w:val="22"/>
      <w:lang w:eastAsia="en-US"/>
    </w:rPr>
  </w:style>
  <w:style w:type="paragraph" w:styleId="NoSpacing">
    <w:name w:val="No Spacing"/>
    <w:link w:val="NoSpacingChar"/>
    <w:uiPriority w:val="1"/>
    <w:qFormat/>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Pr>
      <w:rFonts w:ascii="Arial" w:hAnsi="Arial" w:cs="Arial"/>
      <w:snapToGrid w:val="0"/>
      <w:sz w:val="22"/>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Arial" w:hAnsi="Arial" w:cs="Arial"/>
      <w:snapToGrid w:val="0"/>
      <w:sz w:val="22"/>
      <w:lang w:eastAsia="en-US"/>
    </w:rPr>
  </w:style>
  <w:style w:type="table" w:styleId="TableGrid">
    <w:name w:val="Table Grid"/>
    <w:aliases w:val="Summary box,Table Gridbeth,ASD Tabl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Pr>
      <w:rFonts w:ascii="Arial Narrow" w:hAnsi="Arial Narrow"/>
      <w:b/>
      <w:sz w:val="20"/>
      <w:szCs w:val="16"/>
    </w:rPr>
  </w:style>
  <w:style w:type="paragraph" w:customStyle="1" w:styleId="Tabletext">
    <w:name w:val="Table text"/>
    <w:basedOn w:val="Normal"/>
    <w:link w:val="TabletextChar"/>
    <w:qFormat/>
    <w:pPr>
      <w:widowControl/>
      <w:jc w:val="left"/>
    </w:pPr>
    <w:rPr>
      <w:rFonts w:ascii="Arial Narrow" w:hAnsi="Arial Narrow" w:cs="Times New Roman"/>
      <w:snapToGrid/>
      <w:sz w:val="20"/>
    </w:rPr>
  </w:style>
  <w:style w:type="character" w:customStyle="1" w:styleId="TabletextChar">
    <w:name w:val="Table text Char"/>
    <w:link w:val="Tabletext"/>
    <w:rPr>
      <w:rFonts w:ascii="Arial Narrow" w:hAnsi="Arial Narrow"/>
      <w:lang w:eastAsia="en-US"/>
    </w:rPr>
  </w:style>
  <w:style w:type="paragraph" w:customStyle="1" w:styleId="TableHeading">
    <w:name w:val="TableHeading"/>
    <w:basedOn w:val="Normal"/>
    <w:uiPriority w:val="99"/>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pPr>
      <w:widowControl/>
      <w:jc w:val="both"/>
    </w:pPr>
    <w:rPr>
      <w:rFonts w:ascii="Times" w:hAnsi="Times" w:cs="Times New Roman"/>
      <w:snapToGrid/>
      <w:lang w:val="en-US"/>
    </w:rPr>
  </w:style>
  <w:style w:type="paragraph" w:styleId="NormalWeb">
    <w:name w:val="Normal (Web)"/>
    <w:basedOn w:val="Normal"/>
    <w:uiPriority w:val="99"/>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pPr>
      <w:spacing w:before="240" w:after="120"/>
      <w:jc w:val="left"/>
    </w:pPr>
    <w:rPr>
      <w:bCs/>
      <w:sz w:val="20"/>
    </w:r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qFormat/>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pPr>
      <w:ind w:left="440"/>
      <w:jc w:val="left"/>
    </w:pPr>
    <w:rPr>
      <w:rFonts w:asciiTheme="minorHAnsi" w:hAnsiTheme="minorHAnsi"/>
      <w:sz w:val="20"/>
    </w:rPr>
  </w:style>
  <w:style w:type="paragraph" w:styleId="TOC4">
    <w:name w:val="toc 4"/>
    <w:basedOn w:val="Normal"/>
    <w:next w:val="Normal"/>
    <w:autoRedefine/>
    <w:uiPriority w:val="99"/>
    <w:pPr>
      <w:ind w:left="660"/>
      <w:jc w:val="left"/>
    </w:pPr>
    <w:rPr>
      <w:rFonts w:asciiTheme="minorHAnsi" w:hAnsiTheme="minorHAnsi"/>
      <w:sz w:val="20"/>
    </w:rPr>
  </w:style>
  <w:style w:type="paragraph" w:styleId="TOC5">
    <w:name w:val="toc 5"/>
    <w:basedOn w:val="Normal"/>
    <w:next w:val="Normal"/>
    <w:autoRedefine/>
    <w:uiPriority w:val="99"/>
    <w:pPr>
      <w:ind w:left="880"/>
      <w:jc w:val="left"/>
    </w:pPr>
    <w:rPr>
      <w:rFonts w:asciiTheme="minorHAnsi" w:hAnsiTheme="minorHAnsi"/>
      <w:sz w:val="20"/>
    </w:rPr>
  </w:style>
  <w:style w:type="paragraph" w:styleId="TOC6">
    <w:name w:val="toc 6"/>
    <w:basedOn w:val="Normal"/>
    <w:next w:val="Normal"/>
    <w:autoRedefine/>
    <w:uiPriority w:val="99"/>
    <w:pPr>
      <w:ind w:left="1100"/>
      <w:jc w:val="left"/>
    </w:pPr>
    <w:rPr>
      <w:rFonts w:asciiTheme="minorHAnsi" w:hAnsiTheme="minorHAnsi"/>
      <w:sz w:val="20"/>
    </w:rPr>
  </w:style>
  <w:style w:type="paragraph" w:styleId="TOC7">
    <w:name w:val="toc 7"/>
    <w:basedOn w:val="Normal"/>
    <w:next w:val="Normal"/>
    <w:autoRedefine/>
    <w:uiPriority w:val="99"/>
    <w:pPr>
      <w:ind w:left="1320"/>
      <w:jc w:val="left"/>
    </w:pPr>
    <w:rPr>
      <w:rFonts w:asciiTheme="minorHAnsi" w:hAnsiTheme="minorHAnsi"/>
      <w:sz w:val="20"/>
    </w:rPr>
  </w:style>
  <w:style w:type="paragraph" w:styleId="TOC8">
    <w:name w:val="toc 8"/>
    <w:basedOn w:val="Normal"/>
    <w:next w:val="Normal"/>
    <w:autoRedefine/>
    <w:uiPriority w:val="99"/>
    <w:pPr>
      <w:ind w:left="1540"/>
      <w:jc w:val="left"/>
    </w:pPr>
    <w:rPr>
      <w:rFonts w:asciiTheme="minorHAnsi" w:hAnsiTheme="minorHAnsi"/>
      <w:sz w:val="20"/>
    </w:rPr>
  </w:style>
  <w:style w:type="paragraph" w:styleId="TOC9">
    <w:name w:val="toc 9"/>
    <w:basedOn w:val="Normal"/>
    <w:next w:val="Normal"/>
    <w:autoRedefine/>
    <w:uiPriority w:val="99"/>
    <w:pPr>
      <w:ind w:left="1760"/>
      <w:jc w:val="left"/>
    </w:pPr>
    <w:rPr>
      <w:rFonts w:asciiTheme="minorHAnsi" w:hAnsiTheme="minorHAnsi"/>
      <w:sz w:val="20"/>
    </w:rPr>
  </w:style>
  <w:style w:type="paragraph" w:styleId="CommentText">
    <w:name w:val="annotation text"/>
    <w:aliases w:val="- H19"/>
    <w:basedOn w:val="Normal"/>
    <w:link w:val="CommentTextChar"/>
    <w:qFormat/>
    <w:rPr>
      <w:rFonts w:ascii="Times New Roman" w:hAnsi="Times New Roman" w:cs="Times New Roman"/>
      <w:sz w:val="20"/>
    </w:rPr>
  </w:style>
  <w:style w:type="character" w:customStyle="1" w:styleId="CommentTextChar">
    <w:name w:val="Comment Text Char"/>
    <w:aliases w:val="- H19 Char"/>
    <w:basedOn w:val="DefaultParagraphFont"/>
    <w:link w:val="CommentText"/>
    <w:rPr>
      <w:snapToGrid w:val="0"/>
      <w:lang w:eastAsia="en-US"/>
    </w:rPr>
  </w:style>
  <w:style w:type="paragraph" w:customStyle="1" w:styleId="Bulletpoints">
    <w:name w:val="Bullet points"/>
    <w:basedOn w:val="ListParagraph"/>
    <w:uiPriority w:val="99"/>
    <w:qFormat/>
    <w:pPr>
      <w:numPr>
        <w:numId w:val="4"/>
      </w:numPr>
      <w:spacing w:after="0"/>
      <w:ind w:left="425" w:hanging="425"/>
    </w:pPr>
    <w:rPr>
      <w:szCs w:val="24"/>
    </w:rPr>
  </w:style>
  <w:style w:type="paragraph" w:customStyle="1" w:styleId="TableName">
    <w:name w:val="TableName"/>
    <w:basedOn w:val="Normal"/>
    <w:uiPriority w:val="9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uiPriority w:val="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uiPriority w:val="99"/>
    <w:pPr>
      <w:keepNext/>
      <w:spacing w:after="0"/>
    </w:pPr>
  </w:style>
  <w:style w:type="paragraph" w:styleId="CommentSubject">
    <w:name w:val="annotation subject"/>
    <w:basedOn w:val="CommentText"/>
    <w:next w:val="CommentText"/>
    <w:link w:val="CommentSubjectChar"/>
    <w:uiPriority w:val="99"/>
    <w:rPr>
      <w:rFonts w:ascii="Arial" w:hAnsi="Arial" w:cs="Arial"/>
      <w:b/>
      <w:bCs/>
    </w:rPr>
  </w:style>
  <w:style w:type="character" w:customStyle="1" w:styleId="CommentSubjectChar">
    <w:name w:val="Comment Subject Char"/>
    <w:basedOn w:val="CommentTextChar"/>
    <w:link w:val="CommentSubject"/>
    <w:uiPriority w:val="99"/>
    <w:rPr>
      <w:rFonts w:ascii="Arial" w:hAnsi="Arial" w:cs="Arial"/>
      <w:b/>
      <w:bCs/>
      <w:snapToGrid w:val="0"/>
      <w:lang w:eastAsia="en-US"/>
    </w:rPr>
  </w:style>
  <w:style w:type="paragraph" w:styleId="Revision">
    <w:name w:val="Revision"/>
    <w:hidden/>
    <w:uiPriority w:val="99"/>
    <w:semiHidden/>
    <w:rPr>
      <w:rFonts w:ascii="Arial" w:hAnsi="Arial" w:cs="Arial"/>
      <w:snapToGrid w:val="0"/>
      <w:sz w:val="22"/>
      <w:lang w:eastAsia="en-U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rFonts w:ascii="Arial" w:hAnsi="Arial" w:cs="Arial"/>
      <w:snapToGrid w:val="0"/>
      <w:sz w:val="22"/>
      <w:lang w:eastAsia="en-US"/>
    </w:rPr>
  </w:style>
  <w:style w:type="paragraph" w:customStyle="1" w:styleId="Char1CharCharChar">
    <w:name w:val="Char1 Char Char Char"/>
    <w:basedOn w:val="Normal"/>
    <w:uiPriority w:val="99"/>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9"/>
    <w:rPr>
      <w:lang w:eastAsia="en-US"/>
    </w:rPr>
  </w:style>
  <w:style w:type="paragraph" w:styleId="Subtitle">
    <w:name w:val="Subtitle"/>
    <w:basedOn w:val="Normal"/>
    <w:link w:val="SubtitleChar"/>
    <w:uiPriority w:val="99"/>
    <w:qFormat/>
    <w:pPr>
      <w:widowControl/>
    </w:pPr>
    <w:rPr>
      <w:rFonts w:ascii="Times New Roman" w:hAnsi="Times New Roman" w:cs="Times New Roman"/>
      <w:snapToGrid/>
      <w:sz w:val="20"/>
    </w:rPr>
  </w:style>
  <w:style w:type="character" w:customStyle="1" w:styleId="SubtitleChar1">
    <w:name w:val="Subtitle Char1"/>
    <w:basedOn w:val="DefaultParagraphFont"/>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pPr>
      <w:numPr>
        <w:numId w:val="3"/>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Pr>
      <w:color w:val="800080" w:themeColor="followedHyperlink"/>
      <w:u w:val="single"/>
    </w:rPr>
  </w:style>
  <w:style w:type="character" w:styleId="PageNumber">
    <w:name w:val="page number"/>
    <w:basedOn w:val="DefaultParagraphFont"/>
    <w:semiHidden/>
    <w:unhideWhenUsed/>
  </w:style>
  <w:style w:type="paragraph" w:customStyle="1" w:styleId="Commentitalics">
    <w:name w:val="Comment (italics)"/>
    <w:basedOn w:val="Normal"/>
    <w:next w:val="Normal"/>
    <w:uiPriority w:val="99"/>
    <w:qFormat/>
    <w:rPr>
      <w:i/>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napToGrid w:val="0"/>
      <w:sz w:val="16"/>
      <w:szCs w:val="16"/>
      <w:lang w:eastAsia="en-US"/>
    </w:rPr>
  </w:style>
  <w:style w:type="paragraph" w:styleId="ListNumber">
    <w:name w:val="List Number"/>
    <w:basedOn w:val="Normal"/>
    <w:uiPriority w:val="16"/>
    <w:qFormat/>
    <w:pPr>
      <w:widowControl/>
      <w:tabs>
        <w:tab w:val="num" w:pos="357"/>
      </w:tabs>
      <w:spacing w:after="240" w:line="360" w:lineRule="auto"/>
      <w:ind w:left="357" w:hanging="357"/>
      <w:jc w:val="left"/>
    </w:pPr>
    <w:rPr>
      <w:rFonts w:ascii="Arial" w:eastAsiaTheme="minorHAnsi" w:hAnsi="Arial" w:cstheme="minorBidi"/>
      <w:snapToGrid/>
      <w:sz w:val="20"/>
      <w:szCs w:val="20"/>
    </w:rPr>
  </w:style>
  <w:style w:type="paragraph" w:styleId="ListNumber2">
    <w:name w:val="List Number 2"/>
    <w:basedOn w:val="Normal"/>
    <w:uiPriority w:val="16"/>
    <w:qFormat/>
    <w:pPr>
      <w:widowControl/>
      <w:tabs>
        <w:tab w:val="num" w:pos="720"/>
      </w:tabs>
      <w:spacing w:after="240" w:line="360" w:lineRule="auto"/>
      <w:ind w:left="720" w:hanging="363"/>
      <w:jc w:val="left"/>
    </w:pPr>
    <w:rPr>
      <w:rFonts w:ascii="Arial" w:eastAsiaTheme="minorHAnsi" w:hAnsi="Arial" w:cstheme="minorBidi"/>
      <w:snapToGrid/>
      <w:sz w:val="20"/>
      <w:szCs w:val="20"/>
    </w:rPr>
  </w:style>
  <w:style w:type="numbering" w:customStyle="1" w:styleId="Lists">
    <w:name w:val="Lists"/>
    <w:uiPriority w:val="99"/>
    <w:pPr>
      <w:numPr>
        <w:numId w:val="6"/>
      </w:numPr>
    </w:pPr>
  </w:style>
  <w:style w:type="paragraph" w:styleId="ListNumber3">
    <w:name w:val="List Number 3"/>
    <w:basedOn w:val="Normal"/>
    <w:uiPriority w:val="16"/>
    <w:qFormat/>
    <w:pPr>
      <w:widowControl/>
      <w:tabs>
        <w:tab w:val="num" w:pos="1077"/>
      </w:tabs>
      <w:spacing w:after="240" w:line="360" w:lineRule="auto"/>
      <w:ind w:left="1077" w:hanging="357"/>
      <w:jc w:val="left"/>
    </w:pPr>
    <w:rPr>
      <w:rFonts w:ascii="Arial" w:eastAsiaTheme="minorHAnsi" w:hAnsi="Arial" w:cstheme="minorBidi"/>
      <w:snapToGrid/>
      <w:sz w:val="20"/>
      <w:szCs w:val="20"/>
    </w:rPr>
  </w:style>
  <w:style w:type="paragraph" w:styleId="ListNumber4">
    <w:name w:val="List Number 4"/>
    <w:basedOn w:val="Normal"/>
    <w:uiPriority w:val="16"/>
    <w:qFormat/>
    <w:pPr>
      <w:widowControl/>
      <w:tabs>
        <w:tab w:val="num" w:pos="1435"/>
      </w:tabs>
      <w:spacing w:after="240" w:line="360" w:lineRule="auto"/>
      <w:ind w:left="1435" w:hanging="358"/>
      <w:contextualSpacing/>
      <w:jc w:val="left"/>
    </w:pPr>
    <w:rPr>
      <w:rFonts w:ascii="Arial" w:eastAsiaTheme="minorHAnsi" w:hAnsi="Arial" w:cstheme="minorBidi"/>
      <w:snapToGrid/>
      <w:sz w:val="20"/>
      <w:szCs w:val="20"/>
    </w:rPr>
  </w:style>
  <w:style w:type="paragraph" w:customStyle="1" w:styleId="TableText0">
    <w:name w:val="Table Text"/>
    <w:basedOn w:val="Normal"/>
    <w:link w:val="TableTextChar0"/>
    <w:uiPriority w:val="99"/>
    <w:qFormat/>
    <w:pPr>
      <w:widowControl/>
      <w:spacing w:before="40" w:after="40"/>
      <w:jc w:val="left"/>
    </w:pPr>
    <w:rPr>
      <w:rFonts w:ascii="Arial Narrow" w:eastAsiaTheme="minorHAnsi" w:hAnsi="Arial Narrow" w:cstheme="minorBidi"/>
      <w:snapToGrid/>
      <w:sz w:val="20"/>
    </w:rPr>
  </w:style>
  <w:style w:type="character" w:customStyle="1" w:styleId="Heading1Char">
    <w:name w:val="Heading 1 Char"/>
    <w:basedOn w:val="DefaultParagraphFont"/>
    <w:link w:val="Heading1"/>
    <w:rPr>
      <w:rFonts w:ascii="Calibri" w:hAnsi="Calibri" w:cs="Arial"/>
      <w:b/>
      <w:caps/>
      <w:snapToGrid w:val="0"/>
      <w:sz w:val="32"/>
      <w:szCs w:val="22"/>
      <w:lang w:eastAsia="en-US"/>
    </w:rPr>
  </w:style>
  <w:style w:type="table" w:customStyle="1" w:styleId="TableGrid1">
    <w:name w:val="Table Grid1"/>
    <w:basedOn w:val="TableNormal"/>
    <w:next w:val="TableGrid"/>
    <w:uiPriority w:val="59"/>
    <w:pPr>
      <w:spacing w:before="57" w:after="57" w:line="360" w:lineRule="auto"/>
      <w:ind w:left="108" w:right="108"/>
    </w:pPr>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FootnoteText">
    <w:name w:val="footnote text"/>
    <w:aliases w:val="Footnote Text Char1,Footnote Text Char Char,Footnote Text Char2,Footnote Text Char Char1"/>
    <w:basedOn w:val="Normal"/>
    <w:link w:val="FootnoteTextChar"/>
    <w:unhideWhenUsed/>
    <w:rPr>
      <w:sz w:val="20"/>
      <w:szCs w:val="20"/>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rPr>
      <w:rFonts w:ascii="Calibri" w:hAnsi="Calibri" w:cs="Arial"/>
      <w:snapToGrid w:val="0"/>
      <w:lang w:eastAsia="en-US"/>
    </w:rPr>
  </w:style>
  <w:style w:type="character" w:styleId="FootnoteReference">
    <w:name w:val="footnote reference"/>
    <w:basedOn w:val="DefaultParagraphFont"/>
    <w:unhideWhenUsed/>
    <w:rPr>
      <w:vertAlign w:val="superscript"/>
    </w:rPr>
  </w:style>
  <w:style w:type="character" w:styleId="Emphasis">
    <w:name w:val="Emphasis"/>
    <w:basedOn w:val="DefaultParagraphFont"/>
    <w:uiPriority w:val="20"/>
    <w:qFormat/>
    <w:rPr>
      <w:i/>
      <w:iCs/>
    </w:rPr>
  </w:style>
  <w:style w:type="paragraph" w:customStyle="1" w:styleId="TableHeading0">
    <w:name w:val="Table Heading"/>
    <w:basedOn w:val="Normal"/>
    <w:link w:val="TableHeadingChar"/>
    <w:qFormat/>
    <w:pPr>
      <w:keepNext/>
      <w:widowControl/>
      <w:spacing w:after="60"/>
      <w:jc w:val="left"/>
    </w:pPr>
    <w:rPr>
      <w:rFonts w:ascii="Arial Narrow" w:eastAsiaTheme="minorHAnsi" w:hAnsi="Arial Narrow" w:cstheme="minorBidi"/>
      <w:b/>
      <w:snapToGrid/>
      <w:sz w:val="20"/>
    </w:rPr>
  </w:style>
  <w:style w:type="character" w:customStyle="1" w:styleId="TableTextChar0">
    <w:name w:val="Table Text Char"/>
    <w:link w:val="TableText0"/>
    <w:uiPriority w:val="99"/>
    <w:locked/>
    <w:rPr>
      <w:rFonts w:ascii="Arial Narrow" w:eastAsiaTheme="minorHAnsi" w:hAnsi="Arial Narrow" w:cstheme="minorBidi"/>
      <w:szCs w:val="22"/>
      <w:lang w:eastAsia="en-US"/>
    </w:rPr>
  </w:style>
  <w:style w:type="character" w:customStyle="1" w:styleId="TableHeadingChar">
    <w:name w:val="Table Heading Char"/>
    <w:link w:val="TableHeading0"/>
    <w:rPr>
      <w:rFonts w:ascii="Arial Narrow" w:eastAsiaTheme="minorHAnsi" w:hAnsi="Arial Narrow" w:cstheme="minorBidi"/>
      <w:b/>
      <w:szCs w:val="22"/>
      <w:lang w:eastAsia="en-US"/>
    </w:rPr>
  </w:style>
  <w:style w:type="numbering" w:customStyle="1" w:styleId="Lists1">
    <w:name w:val="Lists1"/>
    <w:uiPriority w:val="99"/>
  </w:style>
  <w:style w:type="character" w:customStyle="1" w:styleId="Heading3Char">
    <w:name w:val="Heading 3 Char"/>
    <w:basedOn w:val="DefaultParagraphFont"/>
    <w:link w:val="Heading3"/>
    <w:rPr>
      <w:rFonts w:ascii="Calibri" w:hAnsi="Calibri" w:cs="Arial"/>
      <w:snapToGrid w:val="0"/>
      <w:sz w:val="24"/>
      <w:szCs w:val="22"/>
      <w:u w:val="single"/>
      <w:lang w:eastAsia="en-US"/>
    </w:rPr>
  </w:style>
  <w:style w:type="character" w:customStyle="1" w:styleId="Heading4Char">
    <w:name w:val="Heading 4 Char"/>
    <w:basedOn w:val="DefaultParagraphFont"/>
    <w:link w:val="Heading4"/>
    <w:rPr>
      <w:rFonts w:ascii="Calibri" w:hAnsi="Calibri" w:cs="Arial"/>
      <w:b/>
      <w:bCs/>
      <w:i/>
      <w:snapToGrid w:val="0"/>
      <w:sz w:val="26"/>
      <w:szCs w:val="28"/>
      <w:lang w:eastAsia="en-US"/>
    </w:rPr>
  </w:style>
  <w:style w:type="character" w:customStyle="1" w:styleId="Heading5Char">
    <w:name w:val="Heading 5 Char"/>
    <w:basedOn w:val="DefaultParagraphFont"/>
    <w:link w:val="Heading5"/>
    <w:rPr>
      <w:rFonts w:ascii="Calibri" w:hAnsi="Calibri" w:cs="Arial"/>
      <w:b/>
      <w:bCs/>
      <w:iCs/>
      <w:snapToGrid w:val="0"/>
      <w:sz w:val="26"/>
      <w:szCs w:val="26"/>
      <w:lang w:eastAsia="en-US"/>
    </w:rPr>
  </w:style>
  <w:style w:type="character" w:customStyle="1" w:styleId="Heading6Char">
    <w:name w:val="Heading 6 Char"/>
    <w:basedOn w:val="DefaultParagraphFont"/>
    <w:link w:val="Heading6"/>
    <w:rPr>
      <w:rFonts w:ascii="Calibri" w:hAnsi="Calibri" w:cs="Arial"/>
      <w:b/>
      <w:bCs/>
      <w:i/>
      <w:snapToGrid w:val="0"/>
      <w:sz w:val="24"/>
      <w:szCs w:val="22"/>
      <w:lang w:eastAsia="en-US"/>
    </w:rPr>
  </w:style>
  <w:style w:type="paragraph" w:customStyle="1" w:styleId="msonormal0">
    <w:name w:val="msonormal"/>
    <w:basedOn w:val="Normal"/>
    <w:uiPriority w:val="99"/>
    <w:pPr>
      <w:widowControl/>
      <w:spacing w:before="100" w:after="100"/>
      <w:jc w:val="left"/>
    </w:pPr>
    <w:rPr>
      <w:rFonts w:ascii="Times New Roman" w:hAnsi="Times New Roman" w:cs="Times New Roman"/>
      <w:snapToGrid/>
      <w:lang w:val="en-GB"/>
    </w:rPr>
  </w:style>
  <w:style w:type="character" w:customStyle="1" w:styleId="FootnoteTextChar3">
    <w:name w:val="Footnote Text Char3"/>
    <w:aliases w:val="Footnote Text Char1 Char1,Footnote Text Char Char Char1,Footnote Text Char2 Char1,Footnote Text Char Char1 Char1"/>
    <w:basedOn w:val="DefaultParagraphFont"/>
    <w:semiHidden/>
    <w:rPr>
      <w:rFonts w:ascii="Calibri" w:hAnsi="Calibri" w:cs="Arial"/>
      <w:lang w:eastAsia="en-US"/>
    </w:rPr>
  </w:style>
  <w:style w:type="character" w:customStyle="1" w:styleId="CommentTextChar1">
    <w:name w:val="Comment Text Char1"/>
    <w:aliases w:val="- H19 Char1"/>
    <w:basedOn w:val="DefaultParagraphFont"/>
    <w:uiPriority w:val="99"/>
    <w:semiHidden/>
    <w:rPr>
      <w:rFonts w:ascii="Calibri" w:eastAsia="Times New Roman" w:hAnsi="Calibri" w:cs="Arial"/>
      <w:sz w:val="20"/>
      <w:szCs w:val="20"/>
    </w:rPr>
  </w:style>
  <w:style w:type="character" w:customStyle="1" w:styleId="HeaderChar1">
    <w:name w:val="Header Char1"/>
    <w:aliases w:val="Page Header Char1,Header title Char1,he=header Char1,cntr/bld Char1"/>
    <w:basedOn w:val="DefaultParagraphFont"/>
    <w:uiPriority w:val="99"/>
    <w:semiHidden/>
    <w:rPr>
      <w:rFonts w:ascii="Calibri" w:eastAsia="Times New Roman" w:hAnsi="Calibri" w:cs="Arial"/>
      <w:szCs w:val="22"/>
    </w:rPr>
  </w:style>
  <w:style w:type="table" w:customStyle="1" w:styleId="Summarybox1">
    <w:name w:val="Summary box1"/>
    <w:basedOn w:val="TableNormal"/>
    <w:next w:val="TableGrid"/>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Pr>
      <w:rFonts w:ascii="Arial" w:hAnsi="Arial" w:cs="Arial"/>
      <w:snapToGrid w:val="0"/>
      <w:sz w:val="22"/>
      <w:lang w:eastAsia="en-US"/>
    </w:rPr>
  </w:style>
  <w:style w:type="paragraph" w:customStyle="1" w:styleId="2Sections">
    <w:name w:val="2. Sections"/>
    <w:qFormat/>
    <w:pPr>
      <w:spacing w:before="240" w:after="120"/>
      <w:ind w:left="720" w:hanging="720"/>
      <w:outlineLvl w:val="0"/>
    </w:pPr>
    <w:rPr>
      <w:rFonts w:asciiTheme="minorHAnsi" w:hAnsiTheme="minorHAnsi" w:cs="Arial"/>
      <w:b/>
      <w:snapToGrid w:val="0"/>
      <w:sz w:val="32"/>
      <w:szCs w:val="32"/>
      <w:lang w:eastAsia="en-US"/>
    </w:rPr>
  </w:style>
  <w:style w:type="paragraph" w:customStyle="1" w:styleId="3Bodytext">
    <w:name w:val="3. Body text"/>
    <w:basedOn w:val="ListParagraph"/>
    <w:qFormat/>
    <w:pPr>
      <w:widowControl/>
      <w:spacing w:after="120"/>
      <w:ind w:hanging="720"/>
    </w:pPr>
    <w:rPr>
      <w:rFonts w:asciiTheme="minorHAnsi" w:eastAsiaTheme="minorHAnsi" w:hAnsiTheme="minorHAnsi" w:cstheme="minorBidi"/>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826918">
      <w:bodyDiv w:val="1"/>
      <w:marLeft w:val="0"/>
      <w:marRight w:val="0"/>
      <w:marTop w:val="0"/>
      <w:marBottom w:val="0"/>
      <w:divBdr>
        <w:top w:val="none" w:sz="0" w:space="0" w:color="auto"/>
        <w:left w:val="none" w:sz="0" w:space="0" w:color="auto"/>
        <w:bottom w:val="none" w:sz="0" w:space="0" w:color="auto"/>
        <w:right w:val="none" w:sz="0" w:space="0" w:color="auto"/>
      </w:divBdr>
    </w:div>
    <w:div w:id="206833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14059-4272-4087-931B-99B5DA0C7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14192</Words>
  <Characters>83276</Characters>
  <Application>Microsoft Office Word</Application>
  <DocSecurity>0</DocSecurity>
  <Lines>693</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KRSTIK, Dejan</dc:creator>
  <cp:keywords/>
  <dc:description/>
  <cp:lastModifiedBy>Author</cp:lastModifiedBy>
  <cp:revision>3</cp:revision>
  <cp:lastPrinted>2019-10-17T21:46:00Z</cp:lastPrinted>
  <dcterms:created xsi:type="dcterms:W3CDTF">2019-10-08T04:13:00Z</dcterms:created>
  <dcterms:modified xsi:type="dcterms:W3CDTF">2019-10-17T21:47:00Z</dcterms:modified>
</cp:coreProperties>
</file>