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A59" w:rsidRDefault="007D3F6A">
      <w:pPr>
        <w:pStyle w:val="Title"/>
        <w:keepLines/>
        <w:widowControl/>
        <w:ind w:left="720" w:hanging="720"/>
      </w:pPr>
      <w:bookmarkStart w:id="0" w:name="_GoBack"/>
      <w:bookmarkEnd w:id="0"/>
      <w:r>
        <w:t>7.09</w:t>
      </w:r>
      <w:r>
        <w:tab/>
        <w:t>PEMBROLIZUMAB,</w:t>
      </w:r>
      <w:r>
        <w:br/>
        <w:t xml:space="preserve">Solution concentrate for I.V. infusion 100 mg in 4 mL, Keytruda®, </w:t>
      </w:r>
      <w:r>
        <w:br/>
        <w:t>Merck Sharp &amp; Dohme (Australia) Pty Ltd.</w:t>
      </w:r>
    </w:p>
    <w:p w:rsidR="00516A59" w:rsidRDefault="007D3F6A">
      <w:pPr>
        <w:keepLines/>
        <w:widowControl/>
        <w:jc w:val="left"/>
        <w:rPr>
          <w:rFonts w:asciiTheme="minorHAnsi" w:hAnsiTheme="minorHAnsi"/>
          <w:b/>
          <w:caps/>
        </w:rPr>
      </w:pPr>
      <w:r>
        <w:rPr>
          <w:rFonts w:asciiTheme="minorHAnsi" w:hAnsiTheme="minorHAnsi"/>
          <w:b/>
          <w:caps/>
        </w:rPr>
        <w:t xml:space="preserve">  </w:t>
      </w:r>
    </w:p>
    <w:p w:rsidR="00516A59" w:rsidRDefault="007D3F6A">
      <w:pPr>
        <w:pStyle w:val="PBACHeading1"/>
        <w:keepLines/>
        <w:numPr>
          <w:ilvl w:val="0"/>
          <w:numId w:val="12"/>
        </w:numPr>
      </w:pPr>
      <w:bookmarkStart w:id="1" w:name="_Toc9436234"/>
      <w:r>
        <w:t>Purpose of Application</w:t>
      </w:r>
      <w:bookmarkEnd w:id="1"/>
    </w:p>
    <w:p w:rsidR="00516A59" w:rsidRDefault="007D3F6A">
      <w:pPr>
        <w:pStyle w:val="ListParagraph"/>
        <w:keepLines/>
        <w:widowControl/>
      </w:pPr>
      <w:r>
        <w:t xml:space="preserve">The resubmission requested a Section 100 Efficient Funding of Chemotherapy Authority Required (Streamlined) listing for pembrolizumab to be used in combination with cisplatin/carboplatin and pemetrexed (referred to as pembrolizumab+platinum+pemetrexed herein). The requested listing was for the treatment of patients with Stage IV non-squamous (NSQ) non-small cell lung cancer (NSCLC), who are epidermal growth factor receptor (EGFR) wild type, negative for anaplastic lymphoma kinase (ALK) or c-ROS proto-oncogene (ROS1) gene rearrangement, and with an Eastern Cooperative Oncology Group (ECOG) performance status of 0 or 1. </w:t>
      </w:r>
    </w:p>
    <w:p w:rsidR="00516A59" w:rsidRDefault="007D3F6A">
      <w:pPr>
        <w:pStyle w:val="ListParagraph"/>
        <w:keepLines/>
        <w:widowControl/>
      </w:pPr>
      <w:r>
        <w:t>This was the second submission to request to list pembrolizumab+platinum+pemetrexed for this indication, with the first submission considered by PBAC in November 2018. Currently pembrolizumab is subsidised for use as monotherapy in patients with Stage IV NSCLC, who are EGFR wild type and ALK translocation negative, have a World Health Organisation (WHO) status of 0 or 1 AND have a programmed death ligand 1(PD-L1) tumour proportion score (TPS) ≥50% (both NSQ and squamous (SQ)).</w:t>
      </w:r>
    </w:p>
    <w:p w:rsidR="00516A59" w:rsidRDefault="007D3F6A">
      <w:pPr>
        <w:pStyle w:val="ListParagraph"/>
        <w:keepLines/>
        <w:widowControl/>
      </w:pPr>
      <w:r>
        <w:t xml:space="preserve">The requested basis for listing in the resubmission were cost-effectiveness analyses of pembrolizumab+platinum+pemetrexed compared with two comparators, which differed depending on the patient’s PD-L1 TPS status (&lt;50% or ≥50%) (Table 1). </w:t>
      </w:r>
    </w:p>
    <w:p w:rsidR="0065766E" w:rsidRDefault="0065766E" w:rsidP="0065766E">
      <w:pPr>
        <w:pStyle w:val="Caption"/>
        <w:keepNext/>
      </w:pPr>
      <w:r>
        <w:t xml:space="preserve">Table </w:t>
      </w:r>
      <w:r w:rsidR="0093515B">
        <w:rPr>
          <w:noProof/>
        </w:rPr>
        <w:t>1</w:t>
      </w:r>
      <w:r w:rsidRPr="00402B94">
        <w:t>: Key components of the clinical issue addressed by the resubmission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Key components of the clinical issue addressed by the resubmission"/>
      </w:tblPr>
      <w:tblGrid>
        <w:gridCol w:w="1668"/>
        <w:gridCol w:w="7488"/>
      </w:tblGrid>
      <w:tr w:rsidR="00516A59">
        <w:tc>
          <w:tcPr>
            <w:tcW w:w="1668" w:type="dxa"/>
            <w:vAlign w:val="center"/>
          </w:tcPr>
          <w:p w:rsidR="00516A59" w:rsidRDefault="007D3F6A">
            <w:pPr>
              <w:pStyle w:val="Tabletext"/>
              <w:keepLines/>
              <w:spacing w:before="40" w:after="40"/>
              <w:rPr>
                <w:b/>
              </w:rPr>
            </w:pPr>
            <w:r>
              <w:rPr>
                <w:b/>
              </w:rPr>
              <w:t>Component</w:t>
            </w:r>
          </w:p>
        </w:tc>
        <w:tc>
          <w:tcPr>
            <w:tcW w:w="7488" w:type="dxa"/>
            <w:vAlign w:val="center"/>
          </w:tcPr>
          <w:p w:rsidR="00516A59" w:rsidRDefault="007D3F6A">
            <w:pPr>
              <w:pStyle w:val="Tabletext"/>
              <w:keepLines/>
              <w:spacing w:before="40" w:after="40"/>
              <w:jc w:val="center"/>
              <w:rPr>
                <w:b/>
              </w:rPr>
            </w:pPr>
            <w:r>
              <w:rPr>
                <w:b/>
              </w:rPr>
              <w:t>Description</w:t>
            </w:r>
          </w:p>
        </w:tc>
      </w:tr>
      <w:tr w:rsidR="00516A59">
        <w:tc>
          <w:tcPr>
            <w:tcW w:w="1668" w:type="dxa"/>
            <w:vAlign w:val="center"/>
          </w:tcPr>
          <w:p w:rsidR="00516A59" w:rsidRDefault="007D3F6A">
            <w:pPr>
              <w:pStyle w:val="Tabletext"/>
              <w:keepLines/>
              <w:spacing w:before="40" w:after="40"/>
            </w:pPr>
            <w:r>
              <w:t>Population</w:t>
            </w:r>
          </w:p>
        </w:tc>
        <w:tc>
          <w:tcPr>
            <w:tcW w:w="7488" w:type="dxa"/>
            <w:vAlign w:val="center"/>
          </w:tcPr>
          <w:p w:rsidR="00516A59" w:rsidRDefault="007D3F6A">
            <w:pPr>
              <w:pStyle w:val="Tabletext"/>
              <w:keepLines/>
              <w:spacing w:before="40" w:after="40"/>
            </w:pPr>
            <w:r>
              <w:t xml:space="preserve">Previously untreated patients with Stage IV non-small cell lung cancer whose tumours are non-squamous and are EGFR wild-type, </w:t>
            </w:r>
            <w:r>
              <w:rPr>
                <w:u w:val="single"/>
              </w:rPr>
              <w:t>ROS-1 negative</w:t>
            </w:r>
            <w:r>
              <w:t xml:space="preserve"> and ALK translocation negative and whose ECOG status is 0 or 1.</w:t>
            </w:r>
          </w:p>
        </w:tc>
      </w:tr>
      <w:tr w:rsidR="00516A59">
        <w:tc>
          <w:tcPr>
            <w:tcW w:w="1668" w:type="dxa"/>
            <w:vAlign w:val="center"/>
          </w:tcPr>
          <w:p w:rsidR="00516A59" w:rsidRDefault="007D3F6A">
            <w:pPr>
              <w:pStyle w:val="Tabletext"/>
              <w:keepLines/>
              <w:spacing w:before="40" w:after="40"/>
            </w:pPr>
            <w:r>
              <w:t>Intervention</w:t>
            </w:r>
          </w:p>
        </w:tc>
        <w:tc>
          <w:tcPr>
            <w:tcW w:w="7488" w:type="dxa"/>
            <w:vAlign w:val="center"/>
          </w:tcPr>
          <w:p w:rsidR="00516A59" w:rsidRDefault="007D3F6A">
            <w:pPr>
              <w:pStyle w:val="Tabletext"/>
              <w:keepLines/>
              <w:spacing w:before="40" w:after="40"/>
            </w:pPr>
            <w:r>
              <w:t xml:space="preserve">Pembrolizumab + platinum chemotherapy + pemetrexed </w:t>
            </w:r>
            <w:r>
              <w:rPr>
                <w:u w:val="single"/>
              </w:rPr>
              <w:t>followed by single-agent chemotherapy</w:t>
            </w:r>
          </w:p>
        </w:tc>
      </w:tr>
      <w:tr w:rsidR="00516A59">
        <w:tc>
          <w:tcPr>
            <w:tcW w:w="1668" w:type="dxa"/>
            <w:vAlign w:val="center"/>
          </w:tcPr>
          <w:p w:rsidR="00516A59" w:rsidRDefault="007D3F6A">
            <w:pPr>
              <w:pStyle w:val="Tabletext"/>
              <w:keepLines/>
              <w:spacing w:before="40" w:after="40"/>
            </w:pPr>
            <w:r>
              <w:t>Comparator</w:t>
            </w:r>
          </w:p>
        </w:tc>
        <w:tc>
          <w:tcPr>
            <w:tcW w:w="7488" w:type="dxa"/>
            <w:vAlign w:val="center"/>
          </w:tcPr>
          <w:p w:rsidR="00516A59" w:rsidRDefault="007D3F6A">
            <w:pPr>
              <w:pStyle w:val="Tabletext"/>
              <w:keepLines/>
              <w:spacing w:before="40" w:after="40"/>
            </w:pPr>
            <w:r>
              <w:t xml:space="preserve">For patients with PD-L1 TPS &lt;50%: platinum doublet </w:t>
            </w:r>
            <w:r>
              <w:rPr>
                <w:szCs w:val="20"/>
                <w:u w:val="single"/>
              </w:rPr>
              <w:t>followed by a PD-(L)1 inhibitor</w:t>
            </w:r>
          </w:p>
          <w:p w:rsidR="00516A59" w:rsidRDefault="007D3F6A">
            <w:pPr>
              <w:pStyle w:val="Tabletext"/>
              <w:keepLines/>
              <w:spacing w:before="40" w:after="40"/>
            </w:pPr>
            <w:r>
              <w:t xml:space="preserve">For patients with PD-L1 TPS ≥50%: pembrolizumab monotherapy </w:t>
            </w:r>
            <w:r>
              <w:rPr>
                <w:szCs w:val="20"/>
                <w:u w:val="single"/>
              </w:rPr>
              <w:t>followed by platinum doublet</w:t>
            </w:r>
          </w:p>
        </w:tc>
      </w:tr>
      <w:tr w:rsidR="00516A59">
        <w:tc>
          <w:tcPr>
            <w:tcW w:w="1668" w:type="dxa"/>
            <w:vAlign w:val="center"/>
          </w:tcPr>
          <w:p w:rsidR="00516A59" w:rsidRDefault="007D3F6A">
            <w:pPr>
              <w:pStyle w:val="Tabletext"/>
              <w:keepLines/>
              <w:spacing w:before="40" w:after="40"/>
            </w:pPr>
            <w:r>
              <w:t>Outcomes</w:t>
            </w:r>
          </w:p>
        </w:tc>
        <w:tc>
          <w:tcPr>
            <w:tcW w:w="7488" w:type="dxa"/>
            <w:vAlign w:val="center"/>
          </w:tcPr>
          <w:p w:rsidR="00516A59" w:rsidRDefault="007D3F6A">
            <w:pPr>
              <w:pStyle w:val="Tabletext"/>
              <w:keepLines/>
              <w:spacing w:before="40" w:after="40"/>
            </w:pPr>
            <w:r>
              <w:t>OS and PFS</w:t>
            </w:r>
          </w:p>
        </w:tc>
      </w:tr>
      <w:tr w:rsidR="00516A59">
        <w:tc>
          <w:tcPr>
            <w:tcW w:w="1668" w:type="dxa"/>
            <w:vAlign w:val="center"/>
          </w:tcPr>
          <w:p w:rsidR="00516A59" w:rsidRDefault="007D3F6A">
            <w:pPr>
              <w:pStyle w:val="Tabletext"/>
              <w:keepLines/>
              <w:spacing w:before="40" w:after="40"/>
            </w:pPr>
            <w:r>
              <w:t>Clinical claim</w:t>
            </w:r>
          </w:p>
        </w:tc>
        <w:tc>
          <w:tcPr>
            <w:tcW w:w="7488" w:type="dxa"/>
            <w:vAlign w:val="center"/>
          </w:tcPr>
          <w:p w:rsidR="00516A59" w:rsidRDefault="007D3F6A">
            <w:pPr>
              <w:pStyle w:val="Tabletext"/>
              <w:keepLines/>
              <w:spacing w:before="40" w:after="40"/>
            </w:pPr>
            <w:r>
              <w:t>In TPS &lt;50%: Pembrolizumab + platinum + pemetrexed (followed by single-agent chemotherapy) is superior in terms of efficacy and inferior but manageable in terms of safety to platinum + pemetrexed (followed by a PD-(L)1 inhibitor)</w:t>
            </w:r>
          </w:p>
          <w:p w:rsidR="00516A59" w:rsidRDefault="007D3F6A">
            <w:pPr>
              <w:pStyle w:val="Tabletext"/>
              <w:keepLines/>
              <w:spacing w:before="40" w:after="40"/>
            </w:pPr>
            <w:r>
              <w:lastRenderedPageBreak/>
              <w:t>In TPS ≥50%: Pembrolizumab + platinum + pemetrexed (followed by single agent chemotherapy) is superior in terms of efficacy and inferior in terms of safety to pembrolizumab monotherapy followed by platinum doublet.</w:t>
            </w:r>
          </w:p>
        </w:tc>
      </w:tr>
    </w:tbl>
    <w:p w:rsidR="00516A59" w:rsidRDefault="007D3F6A">
      <w:pPr>
        <w:pStyle w:val="TableFooter"/>
        <w:keepLines/>
        <w:widowControl/>
      </w:pPr>
      <w:r>
        <w:lastRenderedPageBreak/>
        <w:t>The underlined wording is the addition in the resubmission compared with the previous submission.</w:t>
      </w:r>
    </w:p>
    <w:p w:rsidR="00516A59" w:rsidRDefault="007D3F6A">
      <w:pPr>
        <w:pStyle w:val="TableFooter"/>
        <w:keepLines/>
        <w:widowControl/>
      </w:pPr>
      <w:r>
        <w:t>NSQ = non-squamous, NSCLC = non-small cell lung cancer, EGFR = epidermal growth factor receptor, ALK = anaplastic lymphoma kinase, ECOG = Eastern Cooperative Oncology Group, PD-L1 = programmed death ligand 1, TPS = tumour proportion score, OS = overall survival, PFS = progression free survival.</w:t>
      </w:r>
    </w:p>
    <w:p w:rsidR="00516A59" w:rsidRDefault="007D3F6A">
      <w:pPr>
        <w:pStyle w:val="TableFooter"/>
        <w:keepLines/>
        <w:widowControl/>
      </w:pPr>
      <w:r>
        <w:t>TPS is a measure of PD-L1 protein expression, which is the percentage of viable tumour cells showing partial or complete membrane staining.</w:t>
      </w:r>
    </w:p>
    <w:p w:rsidR="00516A59" w:rsidRDefault="007D3F6A">
      <w:pPr>
        <w:pStyle w:val="TableFooter"/>
        <w:keepLines/>
        <w:widowControl/>
      </w:pPr>
      <w:r>
        <w:t>Source: Table 1.1-2, p15 of the resubmission</w:t>
      </w:r>
    </w:p>
    <w:p w:rsidR="00516A59" w:rsidRDefault="00516A59">
      <w:pPr>
        <w:pStyle w:val="TableFooter"/>
        <w:keepLines/>
        <w:widowControl/>
      </w:pPr>
    </w:p>
    <w:p w:rsidR="00516A59" w:rsidRDefault="00516A59">
      <w:pPr>
        <w:pStyle w:val="TableFooter"/>
        <w:keepLines/>
        <w:widowControl/>
      </w:pPr>
    </w:p>
    <w:p w:rsidR="00516A59" w:rsidRDefault="007D3F6A">
      <w:pPr>
        <w:pStyle w:val="PBACHeading1"/>
        <w:keepLines/>
        <w:spacing w:before="0" w:after="0"/>
      </w:pPr>
      <w:bookmarkStart w:id="2" w:name="_Toc371170700"/>
      <w:bookmarkStart w:id="3" w:name="_Toc9436235"/>
      <w:r>
        <w:t>Requested listing</w:t>
      </w:r>
      <w:bookmarkEnd w:id="2"/>
      <w:bookmarkEnd w:id="3"/>
    </w:p>
    <w:p w:rsidR="00516A59" w:rsidRDefault="00516A59"/>
    <w:p w:rsidR="00516A59" w:rsidRDefault="007D3F6A">
      <w:pPr>
        <w:pStyle w:val="ListParagraph"/>
        <w:keepLines/>
        <w:widowControl/>
      </w:pPr>
      <w:r>
        <w:t xml:space="preserve">The abridged restriction criteria are provided below with Secretariat additions in italics and deletions in strikethrough. </w:t>
      </w:r>
    </w:p>
    <w:p w:rsidR="00516A59" w:rsidRDefault="00516A59">
      <w:pPr>
        <w:keepLines/>
        <w:widowControl/>
      </w:pPr>
    </w:p>
    <w:tbl>
      <w:tblPr>
        <w:tblW w:w="9180" w:type="dxa"/>
        <w:tblBorders>
          <w:top w:val="single" w:sz="4" w:space="0" w:color="auto"/>
          <w:bottom w:val="single" w:sz="4" w:space="0" w:color="auto"/>
        </w:tblBorders>
        <w:tblLook w:val="04A0" w:firstRow="1" w:lastRow="0" w:firstColumn="1" w:lastColumn="0" w:noHBand="0" w:noVBand="1"/>
      </w:tblPr>
      <w:tblGrid>
        <w:gridCol w:w="1856"/>
        <w:gridCol w:w="1066"/>
        <w:gridCol w:w="2492"/>
        <w:gridCol w:w="2065"/>
        <w:gridCol w:w="1701"/>
      </w:tblGrid>
      <w:tr w:rsidR="00516A59">
        <w:trPr>
          <w:tblHeader/>
        </w:trPr>
        <w:tc>
          <w:tcPr>
            <w:tcW w:w="0" w:type="auto"/>
          </w:tcPr>
          <w:p w:rsidR="00516A59" w:rsidRDefault="007D3F6A">
            <w:pPr>
              <w:keepLines/>
              <w:widowControl/>
              <w:jc w:val="left"/>
              <w:rPr>
                <w:rFonts w:ascii="Arial Narrow" w:hAnsi="Arial Narrow"/>
                <w:b/>
                <w:sz w:val="20"/>
                <w:szCs w:val="20"/>
              </w:rPr>
            </w:pPr>
            <w:r>
              <w:rPr>
                <w:rFonts w:ascii="Arial Narrow" w:hAnsi="Arial Narrow"/>
                <w:b/>
                <w:sz w:val="20"/>
                <w:szCs w:val="20"/>
              </w:rPr>
              <w:t>Name, restriction, manner of administration, form</w:t>
            </w:r>
          </w:p>
        </w:tc>
        <w:tc>
          <w:tcPr>
            <w:tcW w:w="1066" w:type="dxa"/>
          </w:tcPr>
          <w:p w:rsidR="00516A59" w:rsidRDefault="007D3F6A">
            <w:pPr>
              <w:keepLines/>
              <w:widowControl/>
              <w:jc w:val="left"/>
              <w:rPr>
                <w:rFonts w:ascii="Arial Narrow" w:hAnsi="Arial Narrow"/>
                <w:b/>
                <w:sz w:val="20"/>
                <w:szCs w:val="20"/>
              </w:rPr>
            </w:pPr>
            <w:r>
              <w:rPr>
                <w:rFonts w:ascii="Arial Narrow" w:hAnsi="Arial Narrow"/>
                <w:b/>
                <w:sz w:val="20"/>
                <w:szCs w:val="20"/>
              </w:rPr>
              <w:t>Maximum amount (units)</w:t>
            </w:r>
          </w:p>
        </w:tc>
        <w:tc>
          <w:tcPr>
            <w:tcW w:w="2492" w:type="dxa"/>
          </w:tcPr>
          <w:p w:rsidR="00516A59" w:rsidRDefault="007D3F6A">
            <w:pPr>
              <w:keepLines/>
              <w:widowControl/>
              <w:jc w:val="left"/>
              <w:rPr>
                <w:rFonts w:ascii="Arial Narrow" w:hAnsi="Arial Narrow"/>
                <w:b/>
                <w:sz w:val="20"/>
                <w:szCs w:val="20"/>
              </w:rPr>
            </w:pPr>
            <w:r>
              <w:rPr>
                <w:rFonts w:ascii="Arial Narrow" w:hAnsi="Arial Narrow"/>
                <w:b/>
                <w:sz w:val="20"/>
                <w:szCs w:val="20"/>
              </w:rPr>
              <w:t>No. of repeats</w:t>
            </w:r>
          </w:p>
        </w:tc>
        <w:tc>
          <w:tcPr>
            <w:tcW w:w="2065" w:type="dxa"/>
          </w:tcPr>
          <w:p w:rsidR="00516A59" w:rsidRDefault="007D3F6A">
            <w:pPr>
              <w:keepLines/>
              <w:widowControl/>
              <w:jc w:val="left"/>
              <w:rPr>
                <w:rFonts w:ascii="Arial Narrow" w:hAnsi="Arial Narrow"/>
                <w:b/>
                <w:sz w:val="20"/>
                <w:szCs w:val="20"/>
              </w:rPr>
            </w:pPr>
            <w:r>
              <w:rPr>
                <w:rFonts w:ascii="Arial Narrow" w:hAnsi="Arial Narrow"/>
                <w:b/>
                <w:sz w:val="20"/>
                <w:szCs w:val="20"/>
              </w:rPr>
              <w:t>Dispensed price for maximum amount (published)</w:t>
            </w:r>
          </w:p>
        </w:tc>
        <w:tc>
          <w:tcPr>
            <w:tcW w:w="1701" w:type="dxa"/>
          </w:tcPr>
          <w:p w:rsidR="00516A59" w:rsidRDefault="007D3F6A">
            <w:pPr>
              <w:keepLines/>
              <w:widowControl/>
              <w:jc w:val="left"/>
              <w:rPr>
                <w:rFonts w:ascii="Arial Narrow" w:hAnsi="Arial Narrow"/>
                <w:b/>
                <w:sz w:val="20"/>
                <w:szCs w:val="20"/>
              </w:rPr>
            </w:pPr>
            <w:r>
              <w:rPr>
                <w:rFonts w:ascii="Arial Narrow" w:hAnsi="Arial Narrow"/>
                <w:b/>
                <w:sz w:val="20"/>
                <w:szCs w:val="20"/>
              </w:rPr>
              <w:t>Proprietary name and manufacturer</w:t>
            </w:r>
          </w:p>
        </w:tc>
      </w:tr>
      <w:tr w:rsidR="00516A59">
        <w:tc>
          <w:tcPr>
            <w:tcW w:w="0" w:type="auto"/>
          </w:tcPr>
          <w:p w:rsidR="00516A59" w:rsidRDefault="007D3F6A">
            <w:pPr>
              <w:pStyle w:val="Tabletext"/>
              <w:keepLines/>
            </w:pPr>
            <w:r>
              <w:t>Pembrolizumab</w:t>
            </w:r>
          </w:p>
          <w:p w:rsidR="00516A59" w:rsidRDefault="007D3F6A">
            <w:pPr>
              <w:pStyle w:val="Tabletext"/>
              <w:keepLines/>
            </w:pPr>
            <w:r>
              <w:t>100 mg injections</w:t>
            </w:r>
          </w:p>
        </w:tc>
        <w:tc>
          <w:tcPr>
            <w:tcW w:w="1066" w:type="dxa"/>
          </w:tcPr>
          <w:p w:rsidR="00516A59" w:rsidRDefault="007D3F6A">
            <w:pPr>
              <w:pStyle w:val="Tabletext"/>
              <w:keepLines/>
              <w:jc w:val="center"/>
            </w:pPr>
            <w:r>
              <w:t>200 mg</w:t>
            </w:r>
          </w:p>
        </w:tc>
        <w:tc>
          <w:tcPr>
            <w:tcW w:w="2492" w:type="dxa"/>
          </w:tcPr>
          <w:p w:rsidR="00516A59" w:rsidRDefault="007D3F6A">
            <w:pPr>
              <w:pStyle w:val="Tabletext"/>
              <w:keepLines/>
            </w:pPr>
            <w:r>
              <w:t>3 (initial)</w:t>
            </w:r>
          </w:p>
          <w:p w:rsidR="00516A59" w:rsidRDefault="007D3F6A">
            <w:pPr>
              <w:pStyle w:val="Tabletext"/>
              <w:keepLines/>
            </w:pPr>
            <w:r>
              <w:t>6 (continuing/grandfathering)</w:t>
            </w:r>
          </w:p>
        </w:tc>
        <w:tc>
          <w:tcPr>
            <w:tcW w:w="2065" w:type="dxa"/>
          </w:tcPr>
          <w:p w:rsidR="00516A59" w:rsidRDefault="007D3F6A">
            <w:pPr>
              <w:pStyle w:val="Tabletext"/>
              <w:keepLines/>
              <w:jc w:val="center"/>
            </w:pPr>
            <w:r>
              <w:t>$9,186.18 private price</w:t>
            </w:r>
          </w:p>
          <w:p w:rsidR="00516A59" w:rsidRDefault="007D3F6A">
            <w:pPr>
              <w:pStyle w:val="Tabletext"/>
              <w:keepLines/>
              <w:jc w:val="center"/>
            </w:pPr>
            <w:r>
              <w:t>$9,023.22 public price</w:t>
            </w:r>
          </w:p>
        </w:tc>
        <w:tc>
          <w:tcPr>
            <w:tcW w:w="1701" w:type="dxa"/>
          </w:tcPr>
          <w:p w:rsidR="00516A59" w:rsidRDefault="007D3F6A">
            <w:pPr>
              <w:pStyle w:val="Tabletext"/>
              <w:keepLines/>
              <w:jc w:val="center"/>
            </w:pPr>
            <w:r>
              <w:t>Keytruda®, Merck Sharp &amp; Dohme (Australia)  Pty Ltd</w:t>
            </w:r>
          </w:p>
        </w:tc>
      </w:tr>
    </w:tbl>
    <w:p w:rsidR="00516A59" w:rsidRDefault="00516A59">
      <w:pPr>
        <w:keepLines/>
        <w:widowContro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6946"/>
      </w:tblGrid>
      <w:tr w:rsidR="00516A59">
        <w:tc>
          <w:tcPr>
            <w:tcW w:w="2071" w:type="dxa"/>
            <w:hideMark/>
          </w:tcPr>
          <w:p w:rsidR="00516A59" w:rsidRDefault="007D3F6A">
            <w:pPr>
              <w:keepLines/>
              <w:widowControl/>
              <w:jc w:val="left"/>
              <w:rPr>
                <w:rFonts w:ascii="Arial Narrow" w:hAnsi="Arial Narrow"/>
                <w:b/>
                <w:sz w:val="20"/>
                <w:szCs w:val="20"/>
              </w:rPr>
            </w:pPr>
            <w:r>
              <w:rPr>
                <w:rFonts w:ascii="Arial Narrow" w:hAnsi="Arial Narrow"/>
                <w:b/>
                <w:sz w:val="20"/>
                <w:szCs w:val="20"/>
              </w:rPr>
              <w:t>Category/program</w:t>
            </w:r>
          </w:p>
        </w:tc>
        <w:tc>
          <w:tcPr>
            <w:tcW w:w="0" w:type="auto"/>
            <w:hideMark/>
          </w:tcPr>
          <w:p w:rsidR="00516A59" w:rsidRDefault="007D3F6A">
            <w:pPr>
              <w:keepLines/>
              <w:widowControl/>
              <w:rPr>
                <w:rFonts w:ascii="Arial Narrow" w:hAnsi="Arial Narrow"/>
                <w:sz w:val="20"/>
                <w:szCs w:val="20"/>
              </w:rPr>
            </w:pPr>
            <w:r>
              <w:rPr>
                <w:rFonts w:ascii="Arial Narrow" w:hAnsi="Arial Narrow"/>
                <w:sz w:val="20"/>
                <w:szCs w:val="20"/>
              </w:rPr>
              <w:t>Chemotherapy Items for Private Hospital Use, Chemotherapy items for Public Hospital use.</w:t>
            </w:r>
          </w:p>
        </w:tc>
      </w:tr>
      <w:tr w:rsidR="00516A59">
        <w:tc>
          <w:tcPr>
            <w:tcW w:w="2071" w:type="dxa"/>
            <w:hideMark/>
          </w:tcPr>
          <w:p w:rsidR="00516A59" w:rsidRDefault="007D3F6A">
            <w:pPr>
              <w:keepLines/>
              <w:widowControl/>
              <w:jc w:val="left"/>
              <w:rPr>
                <w:rFonts w:ascii="Arial Narrow" w:hAnsi="Arial Narrow"/>
                <w:b/>
                <w:sz w:val="20"/>
                <w:szCs w:val="20"/>
              </w:rPr>
            </w:pPr>
            <w:r>
              <w:rPr>
                <w:rFonts w:ascii="Arial Narrow" w:hAnsi="Arial Narrow"/>
                <w:b/>
                <w:sz w:val="20"/>
                <w:szCs w:val="20"/>
              </w:rPr>
              <w:t>Severity:</w:t>
            </w:r>
          </w:p>
        </w:tc>
        <w:tc>
          <w:tcPr>
            <w:tcW w:w="0" w:type="auto"/>
          </w:tcPr>
          <w:p w:rsidR="00516A59" w:rsidRDefault="007D3F6A">
            <w:pPr>
              <w:keepLines/>
              <w:widowControl/>
              <w:rPr>
                <w:rFonts w:ascii="Arial Narrow" w:hAnsi="Arial Narrow"/>
                <w:sz w:val="20"/>
                <w:szCs w:val="20"/>
              </w:rPr>
            </w:pPr>
            <w:r>
              <w:rPr>
                <w:rFonts w:ascii="Arial Narrow" w:hAnsi="Arial Narrow"/>
                <w:sz w:val="20"/>
                <w:szCs w:val="20"/>
              </w:rPr>
              <w:t xml:space="preserve">Stage IV (metastatic) </w:t>
            </w:r>
          </w:p>
        </w:tc>
      </w:tr>
      <w:tr w:rsidR="00516A59">
        <w:tc>
          <w:tcPr>
            <w:tcW w:w="2071" w:type="dxa"/>
            <w:hideMark/>
          </w:tcPr>
          <w:p w:rsidR="00516A59" w:rsidRDefault="007D3F6A">
            <w:pPr>
              <w:keepLines/>
              <w:widowControl/>
              <w:jc w:val="left"/>
              <w:rPr>
                <w:rFonts w:ascii="Arial Narrow" w:hAnsi="Arial Narrow"/>
                <w:b/>
                <w:sz w:val="20"/>
                <w:szCs w:val="20"/>
              </w:rPr>
            </w:pPr>
            <w:r>
              <w:rPr>
                <w:rFonts w:ascii="Arial Narrow" w:hAnsi="Arial Narrow"/>
                <w:b/>
                <w:sz w:val="20"/>
                <w:szCs w:val="20"/>
              </w:rPr>
              <w:t>Condition:</w:t>
            </w:r>
          </w:p>
        </w:tc>
        <w:tc>
          <w:tcPr>
            <w:tcW w:w="0" w:type="auto"/>
            <w:hideMark/>
          </w:tcPr>
          <w:p w:rsidR="00516A59" w:rsidRDefault="007D3F6A">
            <w:pPr>
              <w:keepLines/>
              <w:widowControl/>
              <w:rPr>
                <w:rFonts w:ascii="Arial Narrow" w:hAnsi="Arial Narrow"/>
                <w:sz w:val="20"/>
                <w:szCs w:val="20"/>
              </w:rPr>
            </w:pPr>
            <w:r>
              <w:rPr>
                <w:rFonts w:ascii="Arial Narrow" w:hAnsi="Arial Narrow"/>
                <w:strike/>
                <w:sz w:val="20"/>
                <w:szCs w:val="20"/>
              </w:rPr>
              <w:t>Non-squamous</w:t>
            </w:r>
            <w:r>
              <w:rPr>
                <w:rFonts w:ascii="Arial Narrow" w:hAnsi="Arial Narrow"/>
                <w:sz w:val="20"/>
                <w:szCs w:val="20"/>
              </w:rPr>
              <w:t xml:space="preserve"> non-small cell lung cancer </w:t>
            </w:r>
          </w:p>
        </w:tc>
      </w:tr>
      <w:tr w:rsidR="00516A59">
        <w:tc>
          <w:tcPr>
            <w:tcW w:w="2071" w:type="dxa"/>
            <w:hideMark/>
          </w:tcPr>
          <w:p w:rsidR="00516A59" w:rsidRDefault="007D3F6A">
            <w:pPr>
              <w:keepLines/>
              <w:widowControl/>
              <w:jc w:val="left"/>
              <w:rPr>
                <w:rFonts w:ascii="Arial Narrow" w:hAnsi="Arial Narrow"/>
                <w:b/>
                <w:sz w:val="20"/>
                <w:szCs w:val="20"/>
              </w:rPr>
            </w:pPr>
            <w:r>
              <w:rPr>
                <w:rFonts w:ascii="Arial Narrow" w:hAnsi="Arial Narrow"/>
                <w:b/>
                <w:sz w:val="20"/>
                <w:szCs w:val="20"/>
              </w:rPr>
              <w:t>PBS Indication:</w:t>
            </w:r>
          </w:p>
        </w:tc>
        <w:tc>
          <w:tcPr>
            <w:tcW w:w="0" w:type="auto"/>
            <w:hideMark/>
          </w:tcPr>
          <w:p w:rsidR="00516A59" w:rsidRDefault="007D3F6A">
            <w:pPr>
              <w:keepLines/>
              <w:widowControl/>
              <w:rPr>
                <w:rFonts w:ascii="Arial Narrow" w:hAnsi="Arial Narrow"/>
                <w:sz w:val="20"/>
                <w:szCs w:val="20"/>
              </w:rPr>
            </w:pPr>
            <w:r>
              <w:rPr>
                <w:rFonts w:ascii="Arial Narrow" w:hAnsi="Arial Narrow"/>
                <w:sz w:val="20"/>
                <w:szCs w:val="20"/>
              </w:rPr>
              <w:t>Stage IV (metastatic</w:t>
            </w:r>
            <w:r>
              <w:rPr>
                <w:rFonts w:ascii="Arial Narrow" w:hAnsi="Arial Narrow"/>
                <w:strike/>
                <w:sz w:val="20"/>
                <w:szCs w:val="20"/>
              </w:rPr>
              <w:t>) non-squamous</w:t>
            </w:r>
            <w:r>
              <w:rPr>
                <w:rFonts w:ascii="Arial Narrow" w:hAnsi="Arial Narrow"/>
                <w:sz w:val="20"/>
                <w:szCs w:val="20"/>
              </w:rPr>
              <w:t xml:space="preserve"> non-small cell lung cancer</w:t>
            </w:r>
          </w:p>
        </w:tc>
      </w:tr>
      <w:tr w:rsidR="00516A59">
        <w:tc>
          <w:tcPr>
            <w:tcW w:w="2071" w:type="dxa"/>
            <w:hideMark/>
          </w:tcPr>
          <w:p w:rsidR="00516A59" w:rsidRDefault="007D3F6A">
            <w:pPr>
              <w:keepLines/>
              <w:widowControl/>
              <w:jc w:val="left"/>
              <w:rPr>
                <w:rFonts w:ascii="Arial Narrow" w:hAnsi="Arial Narrow"/>
                <w:sz w:val="20"/>
                <w:szCs w:val="20"/>
              </w:rPr>
            </w:pPr>
            <w:r>
              <w:rPr>
                <w:rFonts w:ascii="Arial Narrow" w:hAnsi="Arial Narrow"/>
                <w:b/>
                <w:sz w:val="20"/>
                <w:szCs w:val="20"/>
              </w:rPr>
              <w:t xml:space="preserve">Treatment phase: </w:t>
            </w:r>
            <w:r>
              <w:rPr>
                <w:rFonts w:ascii="Arial Narrow" w:hAnsi="Arial Narrow"/>
                <w:sz w:val="20"/>
                <w:szCs w:val="20"/>
              </w:rPr>
              <w:t>(initial)</w:t>
            </w:r>
          </w:p>
        </w:tc>
        <w:tc>
          <w:tcPr>
            <w:tcW w:w="0" w:type="auto"/>
            <w:hideMark/>
          </w:tcPr>
          <w:p w:rsidR="00516A59" w:rsidRDefault="007D3F6A">
            <w:pPr>
              <w:keepLines/>
              <w:widowControl/>
              <w:rPr>
                <w:rFonts w:ascii="Arial Narrow" w:hAnsi="Arial Narrow"/>
                <w:sz w:val="20"/>
                <w:szCs w:val="20"/>
              </w:rPr>
            </w:pPr>
            <w:r>
              <w:rPr>
                <w:rFonts w:ascii="Arial Narrow" w:hAnsi="Arial Narrow"/>
                <w:sz w:val="20"/>
                <w:szCs w:val="20"/>
              </w:rPr>
              <w:t xml:space="preserve">Initial </w:t>
            </w:r>
            <w:r>
              <w:rPr>
                <w:rFonts w:ascii="Arial Narrow" w:hAnsi="Arial Narrow"/>
                <w:strike/>
                <w:sz w:val="20"/>
                <w:szCs w:val="20"/>
              </w:rPr>
              <w:t>(combination platinum+pemetrexed+pembrolizumab)</w:t>
            </w:r>
          </w:p>
        </w:tc>
      </w:tr>
      <w:tr w:rsidR="00516A59">
        <w:tc>
          <w:tcPr>
            <w:tcW w:w="2071" w:type="dxa"/>
          </w:tcPr>
          <w:p w:rsidR="00516A59" w:rsidRDefault="007D3F6A">
            <w:pPr>
              <w:keepLines/>
              <w:widowControl/>
              <w:jc w:val="left"/>
              <w:rPr>
                <w:rFonts w:ascii="Arial Narrow" w:hAnsi="Arial Narrow"/>
                <w:sz w:val="20"/>
                <w:szCs w:val="20"/>
              </w:rPr>
            </w:pPr>
            <w:r>
              <w:rPr>
                <w:rFonts w:ascii="Arial Narrow" w:hAnsi="Arial Narrow"/>
                <w:b/>
                <w:sz w:val="20"/>
                <w:szCs w:val="20"/>
              </w:rPr>
              <w:t xml:space="preserve">Treatment phase: </w:t>
            </w:r>
            <w:r>
              <w:rPr>
                <w:rFonts w:ascii="Arial Narrow" w:hAnsi="Arial Narrow"/>
                <w:sz w:val="20"/>
                <w:szCs w:val="20"/>
              </w:rPr>
              <w:t>(continuing)</w:t>
            </w:r>
          </w:p>
        </w:tc>
        <w:tc>
          <w:tcPr>
            <w:tcW w:w="0" w:type="auto"/>
          </w:tcPr>
          <w:p w:rsidR="00516A59" w:rsidRDefault="007D3F6A">
            <w:pPr>
              <w:keepLines/>
              <w:widowControl/>
              <w:rPr>
                <w:rFonts w:ascii="Arial Narrow" w:hAnsi="Arial Narrow"/>
                <w:sz w:val="20"/>
                <w:szCs w:val="20"/>
              </w:rPr>
            </w:pPr>
            <w:r>
              <w:rPr>
                <w:rFonts w:ascii="Arial Narrow" w:hAnsi="Arial Narrow"/>
                <w:sz w:val="20"/>
                <w:szCs w:val="20"/>
              </w:rPr>
              <w:t xml:space="preserve">Continuing </w:t>
            </w:r>
            <w:r>
              <w:rPr>
                <w:rFonts w:ascii="Arial Narrow" w:hAnsi="Arial Narrow"/>
                <w:strike/>
                <w:sz w:val="20"/>
                <w:szCs w:val="20"/>
              </w:rPr>
              <w:t>combination (pemetrexed+pembrolizumab)</w:t>
            </w:r>
          </w:p>
        </w:tc>
      </w:tr>
      <w:tr w:rsidR="00516A59">
        <w:tc>
          <w:tcPr>
            <w:tcW w:w="2071" w:type="dxa"/>
          </w:tcPr>
          <w:p w:rsidR="00516A59" w:rsidRDefault="007D3F6A">
            <w:pPr>
              <w:keepLines/>
              <w:widowControl/>
              <w:jc w:val="left"/>
              <w:rPr>
                <w:rFonts w:ascii="Arial Narrow" w:hAnsi="Arial Narrow"/>
                <w:sz w:val="20"/>
                <w:szCs w:val="20"/>
              </w:rPr>
            </w:pPr>
            <w:r>
              <w:rPr>
                <w:rFonts w:ascii="Arial Narrow" w:hAnsi="Arial Narrow"/>
                <w:b/>
                <w:sz w:val="20"/>
                <w:szCs w:val="20"/>
              </w:rPr>
              <w:t xml:space="preserve">Treatment phase: </w:t>
            </w:r>
            <w:r>
              <w:rPr>
                <w:rFonts w:ascii="Arial Narrow" w:hAnsi="Arial Narrow"/>
                <w:sz w:val="20"/>
                <w:szCs w:val="20"/>
              </w:rPr>
              <w:t>(grandfathering)</w:t>
            </w:r>
          </w:p>
        </w:tc>
        <w:tc>
          <w:tcPr>
            <w:tcW w:w="0" w:type="auto"/>
          </w:tcPr>
          <w:p w:rsidR="00516A59" w:rsidRDefault="007D3F6A">
            <w:pPr>
              <w:keepLines/>
              <w:widowControl/>
              <w:rPr>
                <w:rFonts w:ascii="Arial Narrow" w:hAnsi="Arial Narrow"/>
                <w:sz w:val="20"/>
                <w:szCs w:val="20"/>
              </w:rPr>
            </w:pPr>
            <w:r>
              <w:rPr>
                <w:rFonts w:ascii="Arial Narrow" w:hAnsi="Arial Narrow"/>
                <w:sz w:val="20"/>
                <w:szCs w:val="20"/>
              </w:rPr>
              <w:t xml:space="preserve">Grandfathering </w:t>
            </w:r>
            <w:r>
              <w:rPr>
                <w:rFonts w:ascii="Arial Narrow" w:hAnsi="Arial Narrow"/>
                <w:strike/>
                <w:sz w:val="20"/>
                <w:szCs w:val="20"/>
              </w:rPr>
              <w:t>pembrolizumab in combination with cisplatin or carboplatin and pemetrexed or in combination with pemetrexed alone</w:t>
            </w:r>
          </w:p>
        </w:tc>
      </w:tr>
      <w:tr w:rsidR="00516A59">
        <w:tc>
          <w:tcPr>
            <w:tcW w:w="2071" w:type="dxa"/>
          </w:tcPr>
          <w:p w:rsidR="00516A59" w:rsidRDefault="007D3F6A">
            <w:pPr>
              <w:keepLines/>
              <w:widowControl/>
              <w:jc w:val="left"/>
              <w:rPr>
                <w:rFonts w:ascii="Arial Narrow" w:hAnsi="Arial Narrow"/>
                <w:b/>
                <w:sz w:val="20"/>
                <w:szCs w:val="20"/>
              </w:rPr>
            </w:pPr>
            <w:r>
              <w:rPr>
                <w:rFonts w:ascii="Arial Narrow" w:hAnsi="Arial Narrow"/>
                <w:b/>
                <w:sz w:val="20"/>
                <w:szCs w:val="20"/>
              </w:rPr>
              <w:t>Restriction:</w:t>
            </w:r>
          </w:p>
          <w:p w:rsidR="00516A59" w:rsidRDefault="007D3F6A">
            <w:pPr>
              <w:keepLines/>
              <w:widowControl/>
              <w:jc w:val="left"/>
              <w:rPr>
                <w:rFonts w:ascii="Arial Narrow" w:hAnsi="Arial Narrow"/>
                <w:b/>
                <w:sz w:val="20"/>
                <w:szCs w:val="20"/>
              </w:rPr>
            </w:pPr>
            <w:r>
              <w:rPr>
                <w:rFonts w:ascii="Arial Narrow" w:hAnsi="Arial Narrow"/>
                <w:b/>
                <w:sz w:val="20"/>
                <w:szCs w:val="20"/>
              </w:rPr>
              <w:t xml:space="preserve">Section 100 (HSD) </w:t>
            </w:r>
          </w:p>
          <w:p w:rsidR="00516A59" w:rsidRDefault="007D3F6A">
            <w:pPr>
              <w:keepLines/>
              <w:widowControl/>
              <w:jc w:val="left"/>
              <w:rPr>
                <w:rFonts w:ascii="Arial Narrow" w:hAnsi="Arial Narrow"/>
                <w:b/>
                <w:sz w:val="20"/>
                <w:szCs w:val="20"/>
              </w:rPr>
            </w:pPr>
            <w:r>
              <w:rPr>
                <w:rFonts w:ascii="Arial Narrow" w:hAnsi="Arial Narrow"/>
                <w:b/>
                <w:sz w:val="20"/>
                <w:szCs w:val="20"/>
              </w:rPr>
              <w:t>Authority required (STREAMLINED)</w:t>
            </w:r>
          </w:p>
        </w:tc>
        <w:tc>
          <w:tcPr>
            <w:tcW w:w="0" w:type="auto"/>
            <w:hideMark/>
          </w:tcPr>
          <w:p w:rsidR="00516A59" w:rsidRDefault="007D3F6A">
            <w:pPr>
              <w:keepLines/>
              <w:widowControl/>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CE6F54">
              <w:rPr>
                <w:rFonts w:ascii="Arial Narrow" w:hAnsi="Arial Narrow"/>
                <w:sz w:val="20"/>
                <w:szCs w:val="20"/>
              </w:rPr>
            </w:r>
            <w:r w:rsidR="00CE6F54">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Restricted benefit</w:t>
            </w:r>
          </w:p>
          <w:p w:rsidR="00516A59" w:rsidRDefault="007D3F6A">
            <w:pPr>
              <w:keepLines/>
              <w:widowControl/>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CE6F54">
              <w:rPr>
                <w:rFonts w:ascii="Arial Narrow" w:hAnsi="Arial Narrow"/>
                <w:sz w:val="20"/>
                <w:szCs w:val="20"/>
              </w:rPr>
            </w:r>
            <w:r w:rsidR="00CE6F54">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In Writing</w:t>
            </w:r>
          </w:p>
          <w:p w:rsidR="00516A59" w:rsidRDefault="007D3F6A">
            <w:pPr>
              <w:keepLines/>
              <w:widowControl/>
              <w:rPr>
                <w:rFonts w:ascii="Arial Narrow" w:hAnsi="Arial Narrow"/>
                <w:sz w:val="20"/>
                <w:szCs w:val="20"/>
              </w:rPr>
            </w:pPr>
            <w:r>
              <w:rPr>
                <w:rFonts w:ascii="Arial Narrow" w:hAnsi="Arial Narrow"/>
                <w:sz w:val="20"/>
                <w:szCs w:val="20"/>
              </w:rPr>
              <w:fldChar w:fldCharType="begin">
                <w:ffData>
                  <w:name w:val="Check3"/>
                  <w:enabled/>
                  <w:calcOnExit w:val="0"/>
                  <w:checkBox>
                    <w:sizeAuto/>
                    <w:default w:val="0"/>
                  </w:checkBox>
                </w:ffData>
              </w:fldChar>
            </w:r>
            <w:bookmarkStart w:id="4" w:name="Check3"/>
            <w:r>
              <w:rPr>
                <w:rFonts w:ascii="Arial Narrow" w:hAnsi="Arial Narrow"/>
                <w:sz w:val="20"/>
                <w:szCs w:val="20"/>
              </w:rPr>
              <w:instrText xml:space="preserve"> FORMCHECKBOX </w:instrText>
            </w:r>
            <w:r w:rsidR="00CE6F54">
              <w:rPr>
                <w:rFonts w:ascii="Arial Narrow" w:hAnsi="Arial Narrow"/>
                <w:sz w:val="20"/>
                <w:szCs w:val="20"/>
              </w:rPr>
            </w:r>
            <w:r w:rsidR="00CE6F54">
              <w:rPr>
                <w:rFonts w:ascii="Arial Narrow" w:hAnsi="Arial Narrow"/>
                <w:sz w:val="20"/>
                <w:szCs w:val="20"/>
              </w:rPr>
              <w:fldChar w:fldCharType="separate"/>
            </w:r>
            <w:r>
              <w:rPr>
                <w:rFonts w:ascii="Arial Narrow" w:hAnsi="Arial Narrow"/>
                <w:sz w:val="20"/>
                <w:szCs w:val="20"/>
              </w:rPr>
              <w:fldChar w:fldCharType="end"/>
            </w:r>
            <w:bookmarkEnd w:id="4"/>
            <w:r>
              <w:rPr>
                <w:rFonts w:ascii="Arial Narrow" w:hAnsi="Arial Narrow"/>
                <w:sz w:val="20"/>
                <w:szCs w:val="20"/>
              </w:rPr>
              <w:t>Authority Required – Telephone</w:t>
            </w:r>
          </w:p>
          <w:p w:rsidR="00516A59" w:rsidRDefault="007D3F6A">
            <w:pPr>
              <w:keepLines/>
              <w:widowControl/>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CE6F54">
              <w:rPr>
                <w:rFonts w:ascii="Arial Narrow" w:hAnsi="Arial Narrow"/>
                <w:sz w:val="20"/>
                <w:szCs w:val="20"/>
              </w:rPr>
            </w:r>
            <w:r w:rsidR="00CE6F54">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Emergency</w:t>
            </w:r>
          </w:p>
          <w:p w:rsidR="00516A59" w:rsidRDefault="007D3F6A">
            <w:pPr>
              <w:keepLines/>
              <w:widowControl/>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bookmarkStart w:id="5" w:name="Check5"/>
            <w:r>
              <w:rPr>
                <w:rFonts w:ascii="Arial Narrow" w:hAnsi="Arial Narrow"/>
                <w:sz w:val="20"/>
                <w:szCs w:val="20"/>
              </w:rPr>
              <w:instrText xml:space="preserve"> FORMCHECKBOX </w:instrText>
            </w:r>
            <w:r w:rsidR="00CE6F54">
              <w:rPr>
                <w:rFonts w:ascii="Arial Narrow" w:hAnsi="Arial Narrow"/>
                <w:sz w:val="20"/>
                <w:szCs w:val="20"/>
              </w:rPr>
            </w:r>
            <w:r w:rsidR="00CE6F54">
              <w:rPr>
                <w:rFonts w:ascii="Arial Narrow" w:hAnsi="Arial Narrow"/>
                <w:sz w:val="20"/>
                <w:szCs w:val="20"/>
              </w:rPr>
              <w:fldChar w:fldCharType="separate"/>
            </w:r>
            <w:r>
              <w:rPr>
                <w:rFonts w:ascii="Arial Narrow" w:hAnsi="Arial Narrow"/>
                <w:sz w:val="20"/>
                <w:szCs w:val="20"/>
              </w:rPr>
              <w:fldChar w:fldCharType="end"/>
            </w:r>
            <w:bookmarkEnd w:id="5"/>
            <w:r>
              <w:rPr>
                <w:rFonts w:ascii="Arial Narrow" w:hAnsi="Arial Narrow"/>
                <w:sz w:val="20"/>
                <w:szCs w:val="20"/>
              </w:rPr>
              <w:t>Authority Required – Electronic</w:t>
            </w:r>
          </w:p>
          <w:p w:rsidR="00516A59" w:rsidRDefault="007D3F6A">
            <w:pPr>
              <w:keepLines/>
              <w:widowControl/>
              <w:rPr>
                <w:rFonts w:ascii="Arial Narrow" w:hAnsi="Arial Narrow"/>
                <w:sz w:val="20"/>
                <w:szCs w:val="20"/>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CE6F54">
              <w:rPr>
                <w:rFonts w:ascii="Arial Narrow" w:hAnsi="Arial Narrow"/>
                <w:sz w:val="20"/>
                <w:szCs w:val="20"/>
              </w:rPr>
            </w:r>
            <w:r w:rsidR="00CE6F54">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Streamlined</w:t>
            </w:r>
          </w:p>
        </w:tc>
      </w:tr>
      <w:tr w:rsidR="00516A59">
        <w:tc>
          <w:tcPr>
            <w:tcW w:w="2071" w:type="dxa"/>
          </w:tcPr>
          <w:p w:rsidR="00516A59" w:rsidRDefault="007D3F6A">
            <w:pPr>
              <w:keepLines/>
              <w:widowControl/>
              <w:jc w:val="left"/>
              <w:rPr>
                <w:rFonts w:ascii="Arial Narrow" w:hAnsi="Arial Narrow"/>
                <w:b/>
                <w:sz w:val="20"/>
                <w:szCs w:val="20"/>
              </w:rPr>
            </w:pPr>
            <w:r>
              <w:rPr>
                <w:rFonts w:ascii="Arial Narrow" w:hAnsi="Arial Narrow"/>
                <w:b/>
                <w:sz w:val="20"/>
                <w:szCs w:val="20"/>
              </w:rPr>
              <w:t xml:space="preserve">Clinical criteria: </w:t>
            </w:r>
            <w:r>
              <w:rPr>
                <w:rFonts w:ascii="Arial Narrow" w:hAnsi="Arial Narrow"/>
                <w:sz w:val="20"/>
                <w:szCs w:val="20"/>
              </w:rPr>
              <w:t>(initial)</w:t>
            </w:r>
          </w:p>
        </w:tc>
        <w:tc>
          <w:tcPr>
            <w:tcW w:w="0" w:type="auto"/>
            <w:hideMark/>
          </w:tcPr>
          <w:p w:rsidR="00516A59" w:rsidRDefault="007D3F6A">
            <w:pPr>
              <w:keepLines/>
              <w:widowControl/>
              <w:rPr>
                <w:rFonts w:ascii="Arial Narrow" w:hAnsi="Arial Narrow"/>
                <w:sz w:val="20"/>
                <w:szCs w:val="20"/>
              </w:rPr>
            </w:pPr>
            <w:r>
              <w:rPr>
                <w:rFonts w:ascii="Arial Narrow" w:hAnsi="Arial Narrow"/>
                <w:sz w:val="20"/>
                <w:szCs w:val="20"/>
              </w:rPr>
              <w:t>The patient must not have received prior systemic treatment for this condition in the metastatic setting</w:t>
            </w:r>
          </w:p>
          <w:p w:rsidR="00516A59" w:rsidRDefault="007D3F6A">
            <w:pPr>
              <w:keepLines/>
              <w:widowControl/>
              <w:rPr>
                <w:rFonts w:ascii="Arial Narrow" w:hAnsi="Arial Narrow"/>
                <w:sz w:val="20"/>
                <w:szCs w:val="20"/>
              </w:rPr>
            </w:pPr>
            <w:r>
              <w:rPr>
                <w:rFonts w:ascii="Arial Narrow" w:hAnsi="Arial Narrow"/>
                <w:sz w:val="20"/>
                <w:szCs w:val="20"/>
              </w:rPr>
              <w:t xml:space="preserve">AND The condition must be non-squamous type non-small cell lung cancer </w:t>
            </w:r>
          </w:p>
          <w:p w:rsidR="00516A59" w:rsidRDefault="007D3F6A">
            <w:pPr>
              <w:keepLines/>
              <w:widowControl/>
              <w:rPr>
                <w:rFonts w:ascii="Arial Narrow" w:hAnsi="Arial Narrow"/>
                <w:sz w:val="20"/>
                <w:szCs w:val="20"/>
              </w:rPr>
            </w:pPr>
            <w:r>
              <w:rPr>
                <w:rFonts w:ascii="Arial Narrow" w:hAnsi="Arial Narrow"/>
                <w:sz w:val="20"/>
                <w:szCs w:val="20"/>
              </w:rPr>
              <w:t xml:space="preserve">AND The treatment must be in combination with pemetrexed </w:t>
            </w:r>
          </w:p>
          <w:p w:rsidR="00516A59" w:rsidRDefault="007D3F6A">
            <w:pPr>
              <w:keepLines/>
              <w:widowControl/>
              <w:rPr>
                <w:rFonts w:ascii="Arial Narrow" w:hAnsi="Arial Narrow"/>
                <w:sz w:val="20"/>
                <w:szCs w:val="20"/>
              </w:rPr>
            </w:pPr>
            <w:r>
              <w:rPr>
                <w:rFonts w:ascii="Arial Narrow" w:hAnsi="Arial Narrow"/>
                <w:sz w:val="20"/>
                <w:szCs w:val="20"/>
              </w:rPr>
              <w:t>AND the treatment must be in combination with carboplatin OR the treatment must be in combination with cisplatin</w:t>
            </w:r>
          </w:p>
          <w:p w:rsidR="00516A59" w:rsidRDefault="007D3F6A">
            <w:pPr>
              <w:keepLines/>
              <w:widowControl/>
              <w:rPr>
                <w:rFonts w:ascii="Arial Narrow" w:hAnsi="Arial Narrow"/>
                <w:sz w:val="20"/>
                <w:szCs w:val="20"/>
              </w:rPr>
            </w:pPr>
            <w:r>
              <w:rPr>
                <w:rFonts w:ascii="Arial Narrow" w:hAnsi="Arial Narrow"/>
                <w:sz w:val="20"/>
                <w:szCs w:val="20"/>
              </w:rPr>
              <w:t xml:space="preserve">AND Patient must have a WHO performance status score of 0 or 1, </w:t>
            </w:r>
          </w:p>
          <w:p w:rsidR="00516A59" w:rsidRDefault="007D3F6A">
            <w:pPr>
              <w:keepLines/>
              <w:widowControl/>
              <w:rPr>
                <w:rFonts w:ascii="Arial Narrow" w:hAnsi="Arial Narrow"/>
                <w:i/>
                <w:sz w:val="20"/>
                <w:szCs w:val="20"/>
              </w:rPr>
            </w:pPr>
            <w:r>
              <w:rPr>
                <w:rFonts w:ascii="Arial Narrow" w:hAnsi="Arial Narrow"/>
                <w:i/>
                <w:sz w:val="20"/>
                <w:szCs w:val="20"/>
              </w:rPr>
              <w:t>AND</w:t>
            </w:r>
          </w:p>
          <w:p w:rsidR="00516A59" w:rsidRDefault="007D3F6A">
            <w:pPr>
              <w:keepNext/>
              <w:widowControl/>
              <w:jc w:val="left"/>
              <w:rPr>
                <w:rFonts w:ascii="Arial Narrow" w:eastAsia="Calibri" w:hAnsi="Arial Narrow"/>
                <w:i/>
                <w:snapToGrid/>
                <w:sz w:val="20"/>
                <w:szCs w:val="20"/>
              </w:rPr>
            </w:pPr>
            <w:r>
              <w:rPr>
                <w:rFonts w:ascii="Arial Narrow" w:eastAsia="Calibri" w:hAnsi="Arial Narrow"/>
                <w:i/>
                <w:snapToGrid/>
                <w:sz w:val="20"/>
                <w:szCs w:val="20"/>
              </w:rPr>
              <w:t>The condition must not have evidence of an activating epidermal growth factor receptor (EGFR) gene or an anaplastic lymphoma kinase (ALK) gene rearrangement or a c-ROS proto-oncogene 1 (ROS1) gene rearrangement in tumour material</w:t>
            </w:r>
          </w:p>
          <w:p w:rsidR="00516A59" w:rsidRDefault="007D3F6A">
            <w:pPr>
              <w:keepLines/>
              <w:widowControl/>
              <w:rPr>
                <w:rFonts w:ascii="Arial Narrow" w:hAnsi="Arial Narrow"/>
                <w:strike/>
                <w:sz w:val="20"/>
                <w:szCs w:val="20"/>
              </w:rPr>
            </w:pPr>
            <w:r>
              <w:rPr>
                <w:rFonts w:ascii="Arial Narrow" w:hAnsi="Arial Narrow"/>
                <w:strike/>
                <w:sz w:val="20"/>
                <w:szCs w:val="20"/>
              </w:rPr>
              <w:t>AND The treatment with pembrolizumab must not exceed a total of 6 doses at a dose of 200 mg every 3 weeks.</w:t>
            </w:r>
          </w:p>
          <w:p w:rsidR="00516A59" w:rsidRDefault="007D3F6A">
            <w:pPr>
              <w:keepLines/>
              <w:widowControl/>
              <w:rPr>
                <w:rFonts w:ascii="Arial Narrow" w:hAnsi="Arial Narrow"/>
                <w:strike/>
                <w:sz w:val="20"/>
                <w:szCs w:val="20"/>
              </w:rPr>
            </w:pPr>
            <w:r>
              <w:rPr>
                <w:rFonts w:ascii="Arial Narrow" w:hAnsi="Arial Narrow"/>
                <w:strike/>
                <w:sz w:val="20"/>
                <w:szCs w:val="20"/>
              </w:rPr>
              <w:lastRenderedPageBreak/>
              <w:t>AND The patient may only receive one course of anti-PD-(L)1 treatment in their lifetime for this condition</w:t>
            </w:r>
          </w:p>
        </w:tc>
      </w:tr>
      <w:tr w:rsidR="00516A59">
        <w:trPr>
          <w:trHeight w:val="1517"/>
        </w:trPr>
        <w:tc>
          <w:tcPr>
            <w:tcW w:w="2071" w:type="dxa"/>
          </w:tcPr>
          <w:p w:rsidR="00516A59" w:rsidRDefault="007D3F6A">
            <w:pPr>
              <w:keepLines/>
              <w:widowControl/>
              <w:jc w:val="left"/>
              <w:rPr>
                <w:rFonts w:ascii="Arial Narrow" w:hAnsi="Arial Narrow"/>
                <w:b/>
                <w:sz w:val="20"/>
                <w:szCs w:val="20"/>
              </w:rPr>
            </w:pPr>
            <w:r>
              <w:rPr>
                <w:rFonts w:ascii="Arial Narrow" w:hAnsi="Arial Narrow"/>
                <w:b/>
                <w:sz w:val="20"/>
                <w:szCs w:val="20"/>
              </w:rPr>
              <w:lastRenderedPageBreak/>
              <w:t xml:space="preserve">Clinical criteria: </w:t>
            </w:r>
            <w:r>
              <w:rPr>
                <w:rFonts w:ascii="Arial Narrow" w:hAnsi="Arial Narrow"/>
                <w:sz w:val="20"/>
                <w:szCs w:val="20"/>
              </w:rPr>
              <w:t>(continuing)</w:t>
            </w:r>
          </w:p>
        </w:tc>
        <w:tc>
          <w:tcPr>
            <w:tcW w:w="0" w:type="auto"/>
          </w:tcPr>
          <w:p w:rsidR="00516A59" w:rsidRDefault="007D3F6A">
            <w:pPr>
              <w:pStyle w:val="Tabletext"/>
              <w:keepLines/>
            </w:pPr>
            <w:r>
              <w:rPr>
                <w:strike/>
              </w:rPr>
              <w:t>Patient must have previously been issued with an Authority prescription for this indication</w:t>
            </w:r>
            <w:r>
              <w:t xml:space="preserve"> </w:t>
            </w:r>
          </w:p>
          <w:p w:rsidR="00516A59" w:rsidRDefault="007D3F6A">
            <w:pPr>
              <w:pStyle w:val="Tabletext"/>
              <w:keepLines/>
              <w:rPr>
                <w:i/>
              </w:rPr>
            </w:pPr>
            <w:r>
              <w:rPr>
                <w:i/>
              </w:rPr>
              <w:t>Patient must have previously received PBS-subsidised treatment with this drug for this condition</w:t>
            </w:r>
          </w:p>
          <w:p w:rsidR="00516A59" w:rsidRDefault="007D3F6A">
            <w:pPr>
              <w:pStyle w:val="Tabletext"/>
              <w:keepLines/>
            </w:pPr>
            <w:r>
              <w:t>AND</w:t>
            </w:r>
          </w:p>
          <w:p w:rsidR="00516A59" w:rsidRDefault="007D3F6A">
            <w:pPr>
              <w:pStyle w:val="Tabletext"/>
              <w:keepLines/>
              <w:rPr>
                <w:strike/>
              </w:rPr>
            </w:pPr>
            <w:r>
              <w:rPr>
                <w:strike/>
              </w:rPr>
              <w:t>Patient must not have progressive disease;</w:t>
            </w:r>
          </w:p>
          <w:p w:rsidR="00516A59" w:rsidRDefault="007D3F6A">
            <w:pPr>
              <w:pStyle w:val="Tabletext"/>
              <w:keepLines/>
              <w:rPr>
                <w:i/>
              </w:rPr>
            </w:pPr>
            <w:r>
              <w:rPr>
                <w:i/>
              </w:rPr>
              <w:t>Patient must not have developed disease progression while being treated with this drug for this condition</w:t>
            </w:r>
          </w:p>
          <w:p w:rsidR="00516A59" w:rsidRDefault="007D3F6A">
            <w:pPr>
              <w:pStyle w:val="Tabletext"/>
              <w:keepLines/>
            </w:pPr>
            <w:r>
              <w:t xml:space="preserve">AND </w:t>
            </w:r>
          </w:p>
          <w:p w:rsidR="00516A59" w:rsidRDefault="007D3F6A">
            <w:pPr>
              <w:pStyle w:val="Tabletext"/>
              <w:keepLines/>
            </w:pPr>
            <w:r>
              <w:t xml:space="preserve">AND The treatment must be in combination with pemetrexed </w:t>
            </w:r>
          </w:p>
          <w:p w:rsidR="00516A59" w:rsidRDefault="007D3F6A">
            <w:pPr>
              <w:pStyle w:val="Tabletext"/>
              <w:keepLines/>
              <w:rPr>
                <w:strike/>
              </w:rPr>
            </w:pPr>
            <w:r>
              <w:rPr>
                <w:strike/>
              </w:rPr>
              <w:t>AND The treatment with pembrolizumab must not exceed a total of 6 doses at a maximum dose of 200 mg every 3 weeks</w:t>
            </w:r>
          </w:p>
          <w:p w:rsidR="00516A59" w:rsidRDefault="007D3F6A">
            <w:pPr>
              <w:pStyle w:val="Tabletext"/>
              <w:keepLines/>
              <w:rPr>
                <w:strike/>
                <w:szCs w:val="20"/>
              </w:rPr>
            </w:pPr>
            <w:r>
              <w:rPr>
                <w:strike/>
              </w:rPr>
              <w:t>AND Treatment must not exceed 35 administrations or 2 years of continuous treatment overall (initial + continuing treatment).</w:t>
            </w:r>
          </w:p>
        </w:tc>
      </w:tr>
      <w:tr w:rsidR="00516A59">
        <w:tc>
          <w:tcPr>
            <w:tcW w:w="2071" w:type="dxa"/>
          </w:tcPr>
          <w:p w:rsidR="00516A59" w:rsidRDefault="007D3F6A">
            <w:pPr>
              <w:keepLines/>
              <w:widowControl/>
              <w:jc w:val="left"/>
              <w:rPr>
                <w:rFonts w:ascii="Arial Narrow" w:hAnsi="Arial Narrow"/>
                <w:b/>
                <w:sz w:val="20"/>
                <w:szCs w:val="20"/>
              </w:rPr>
            </w:pPr>
            <w:r>
              <w:rPr>
                <w:rFonts w:ascii="Arial Narrow" w:hAnsi="Arial Narrow"/>
                <w:b/>
                <w:sz w:val="20"/>
                <w:szCs w:val="20"/>
              </w:rPr>
              <w:t xml:space="preserve">Clinical criteria: </w:t>
            </w:r>
            <w:r>
              <w:rPr>
                <w:rFonts w:ascii="Arial Narrow" w:hAnsi="Arial Narrow"/>
                <w:sz w:val="20"/>
                <w:szCs w:val="20"/>
              </w:rPr>
              <w:t>(grandfathering)</w:t>
            </w:r>
          </w:p>
        </w:tc>
        <w:tc>
          <w:tcPr>
            <w:tcW w:w="0" w:type="auto"/>
          </w:tcPr>
          <w:p w:rsidR="00516A59" w:rsidRDefault="007D3F6A">
            <w:pPr>
              <w:keepLines/>
              <w:widowControl/>
              <w:rPr>
                <w:rFonts w:ascii="Arial Narrow" w:hAnsi="Arial Narrow"/>
                <w:strike/>
                <w:sz w:val="20"/>
                <w:szCs w:val="20"/>
              </w:rPr>
            </w:pPr>
            <w:r>
              <w:rPr>
                <w:rFonts w:ascii="Arial Narrow" w:hAnsi="Arial Narrow"/>
                <w:strike/>
                <w:sz w:val="20"/>
                <w:szCs w:val="20"/>
              </w:rPr>
              <w:t>Patient must have stable or responding disease,</w:t>
            </w:r>
          </w:p>
          <w:p w:rsidR="00516A59" w:rsidRDefault="007D3F6A">
            <w:pPr>
              <w:pStyle w:val="Tabletext"/>
              <w:keepLines/>
              <w:rPr>
                <w:i/>
              </w:rPr>
            </w:pPr>
            <w:r>
              <w:rPr>
                <w:i/>
              </w:rPr>
              <w:t>Patient must not have developed disease progression while being treated with this drug for this condition</w:t>
            </w:r>
          </w:p>
          <w:p w:rsidR="00516A59" w:rsidRDefault="007D3F6A">
            <w:pPr>
              <w:keepLines/>
              <w:widowControl/>
              <w:rPr>
                <w:rFonts w:ascii="Arial Narrow" w:hAnsi="Arial Narrow"/>
                <w:sz w:val="20"/>
                <w:szCs w:val="20"/>
              </w:rPr>
            </w:pPr>
            <w:r>
              <w:rPr>
                <w:rFonts w:ascii="Arial Narrow" w:hAnsi="Arial Narrow"/>
                <w:sz w:val="20"/>
                <w:szCs w:val="20"/>
              </w:rPr>
              <w:t>AND Patient must have previously received non-PBS subsidised treatment with this drug for this condition prior to (date of listing),</w:t>
            </w:r>
          </w:p>
          <w:p w:rsidR="00516A59" w:rsidRDefault="007D3F6A">
            <w:pPr>
              <w:keepLines/>
              <w:widowControl/>
              <w:rPr>
                <w:rFonts w:ascii="Arial Narrow" w:hAnsi="Arial Narrow"/>
                <w:sz w:val="20"/>
                <w:szCs w:val="20"/>
              </w:rPr>
            </w:pPr>
            <w:r>
              <w:rPr>
                <w:rFonts w:ascii="Arial Narrow" w:hAnsi="Arial Narrow"/>
                <w:sz w:val="20"/>
                <w:szCs w:val="20"/>
              </w:rPr>
              <w:t>AND Patient must have had a WHO performance status of 0 or 1 at the time of treatment initiation,</w:t>
            </w:r>
          </w:p>
          <w:p w:rsidR="00516A59" w:rsidRDefault="007D3F6A">
            <w:pPr>
              <w:keepLines/>
              <w:widowControl/>
              <w:rPr>
                <w:rFonts w:ascii="Arial Narrow" w:hAnsi="Arial Narrow"/>
                <w:strike/>
                <w:sz w:val="20"/>
                <w:szCs w:val="20"/>
              </w:rPr>
            </w:pPr>
            <w:r>
              <w:rPr>
                <w:rFonts w:ascii="Arial Narrow" w:hAnsi="Arial Narrow"/>
                <w:strike/>
                <w:sz w:val="20"/>
                <w:szCs w:val="20"/>
              </w:rPr>
              <w:t>AND The patient may only receive one course of anti-PD-(L)1 treatment in their lifetime for this condition</w:t>
            </w:r>
          </w:p>
        </w:tc>
      </w:tr>
      <w:tr w:rsidR="00516A59">
        <w:tc>
          <w:tcPr>
            <w:tcW w:w="2071" w:type="dxa"/>
          </w:tcPr>
          <w:p w:rsidR="00516A59" w:rsidRDefault="007D3F6A">
            <w:pPr>
              <w:keepLines/>
              <w:widowControl/>
              <w:rPr>
                <w:rFonts w:ascii="Arial Narrow" w:hAnsi="Arial Narrow"/>
                <w:b/>
                <w:sz w:val="20"/>
                <w:szCs w:val="20"/>
              </w:rPr>
            </w:pPr>
            <w:r>
              <w:rPr>
                <w:rFonts w:ascii="Arial Narrow" w:hAnsi="Arial Narrow"/>
                <w:b/>
                <w:sz w:val="20"/>
                <w:szCs w:val="20"/>
              </w:rPr>
              <w:t>Population criteria:</w:t>
            </w:r>
          </w:p>
          <w:p w:rsidR="00516A59" w:rsidRDefault="00516A59">
            <w:pPr>
              <w:keepLines/>
              <w:widowControl/>
              <w:rPr>
                <w:rFonts w:ascii="Arial Narrow" w:hAnsi="Arial Narrow"/>
                <w:b/>
                <w:sz w:val="20"/>
                <w:szCs w:val="20"/>
              </w:rPr>
            </w:pPr>
          </w:p>
        </w:tc>
        <w:tc>
          <w:tcPr>
            <w:tcW w:w="0" w:type="auto"/>
          </w:tcPr>
          <w:p w:rsidR="00516A59" w:rsidRDefault="007D3F6A">
            <w:pPr>
              <w:keepLines/>
              <w:widowControl/>
              <w:rPr>
                <w:rFonts w:ascii="Arial Narrow" w:hAnsi="Arial Narrow"/>
                <w:strike/>
                <w:sz w:val="20"/>
                <w:szCs w:val="20"/>
              </w:rPr>
            </w:pPr>
            <w:r>
              <w:rPr>
                <w:rFonts w:ascii="Arial Narrow" w:hAnsi="Arial Narrow"/>
                <w:strike/>
                <w:sz w:val="20"/>
                <w:szCs w:val="20"/>
              </w:rPr>
              <w:t>Patient must have no evidence of an activating epidermal growth factor gene or of an anaplastic lymphoma kinase (ALK) gene rearrangement or of c-ROS proto-oncogene 1 (ROS1) gene rearrangement in tumour material</w:t>
            </w:r>
          </w:p>
        </w:tc>
      </w:tr>
      <w:tr w:rsidR="00516A59">
        <w:tc>
          <w:tcPr>
            <w:tcW w:w="2071" w:type="dxa"/>
            <w:hideMark/>
          </w:tcPr>
          <w:p w:rsidR="00516A59" w:rsidRDefault="007D3F6A">
            <w:pPr>
              <w:keepLines/>
              <w:widowControl/>
              <w:rPr>
                <w:rFonts w:ascii="Arial Narrow" w:hAnsi="Arial Narrow"/>
                <w:b/>
                <w:sz w:val="20"/>
                <w:szCs w:val="20"/>
              </w:rPr>
            </w:pPr>
            <w:r>
              <w:rPr>
                <w:rFonts w:ascii="Arial Narrow" w:hAnsi="Arial Narrow"/>
                <w:b/>
                <w:sz w:val="20"/>
                <w:szCs w:val="20"/>
              </w:rPr>
              <w:t>Administrative Advice</w:t>
            </w:r>
          </w:p>
        </w:tc>
        <w:tc>
          <w:tcPr>
            <w:tcW w:w="0" w:type="auto"/>
          </w:tcPr>
          <w:p w:rsidR="00516A59" w:rsidRDefault="007D3F6A">
            <w:pPr>
              <w:keepLines/>
              <w:widowControl/>
              <w:rPr>
                <w:rFonts w:ascii="Arial Narrow" w:hAnsi="Arial Narrow"/>
                <w:sz w:val="20"/>
                <w:szCs w:val="20"/>
              </w:rPr>
            </w:pPr>
            <w:r>
              <w:rPr>
                <w:rFonts w:ascii="Arial Narrow" w:hAnsi="Arial Narrow"/>
                <w:sz w:val="20"/>
                <w:szCs w:val="20"/>
              </w:rPr>
              <w:t>No increase in the maximum number of repeats will be authorised.</w:t>
            </w:r>
          </w:p>
          <w:p w:rsidR="00516A59" w:rsidRDefault="007D3F6A">
            <w:pPr>
              <w:keepLines/>
              <w:widowControl/>
              <w:rPr>
                <w:rFonts w:ascii="Arial Narrow" w:hAnsi="Arial Narrow"/>
                <w:sz w:val="20"/>
                <w:szCs w:val="20"/>
              </w:rPr>
            </w:pPr>
            <w:r>
              <w:rPr>
                <w:rFonts w:ascii="Arial Narrow" w:hAnsi="Arial Narrow"/>
                <w:sz w:val="20"/>
                <w:szCs w:val="20"/>
              </w:rPr>
              <w:t xml:space="preserve">In the first few months after start of immunotherapy, some patients can have a transient tumour flare with subsequent disease response. When progression is suspected, this should be confirmed through a confirmatory scan, taken at least 4 weeks later. </w:t>
            </w:r>
          </w:p>
          <w:p w:rsidR="00516A59" w:rsidRDefault="007D3F6A">
            <w:pPr>
              <w:keepLines/>
              <w:widowControl/>
              <w:rPr>
                <w:rFonts w:ascii="Arial Narrow" w:hAnsi="Arial Narrow"/>
                <w:sz w:val="20"/>
                <w:szCs w:val="20"/>
              </w:rPr>
            </w:pPr>
            <w:r>
              <w:rPr>
                <w:rFonts w:ascii="Arial Narrow" w:hAnsi="Arial Narrow"/>
                <w:sz w:val="20"/>
                <w:szCs w:val="20"/>
              </w:rPr>
              <w:t>Special pricing arrangement apply</w:t>
            </w:r>
          </w:p>
        </w:tc>
      </w:tr>
    </w:tbl>
    <w:p w:rsidR="00516A59" w:rsidRDefault="007D3F6A">
      <w:pPr>
        <w:pStyle w:val="ListParagraph"/>
        <w:keepLines/>
        <w:widowControl/>
      </w:pPr>
      <w:r>
        <w:t>As in the previous submission, a special pricing arrangement (SPA) was proposed. The proposed effective price of pembrolizumab when used in combination with platinum and pemetrexed was weighted by the proportion of use in patients with PD-L1 TPS status (≥50% and &lt;50%). The effective prices proposed in the resubmission are summarised in Table</w:t>
      </w:r>
      <w:r>
        <w:rPr>
          <w:noProof/>
        </w:rPr>
        <w:t xml:space="preserve"> 2</w:t>
      </w:r>
      <w:r w:rsidR="00C17D32">
        <w:t xml:space="preserve">. The PSCR </w:t>
      </w:r>
      <w:r>
        <w:t>proposed a revised price for the TPS ≥50% population of $</w:t>
      </w:r>
      <w:r w:rsidR="00845E21">
        <w:rPr>
          <w:noProof/>
          <w:color w:val="000000"/>
          <w:highlight w:val="black"/>
        </w:rPr>
        <w:t>''''''''''''</w:t>
      </w:r>
      <w:r>
        <w:t xml:space="preserve"> per 100 mg vial. </w:t>
      </w:r>
    </w:p>
    <w:p w:rsidR="0065766E" w:rsidRDefault="0065766E">
      <w:pPr>
        <w:widowControl/>
        <w:jc w:val="left"/>
        <w:rPr>
          <w:rFonts w:ascii="Arial Narrow" w:hAnsi="Arial Narrow"/>
          <w:b/>
          <w:bCs/>
          <w:sz w:val="20"/>
          <w:szCs w:val="18"/>
        </w:rPr>
      </w:pPr>
      <w:r>
        <w:br w:type="page"/>
      </w:r>
    </w:p>
    <w:p w:rsidR="0065766E" w:rsidRDefault="0065766E" w:rsidP="0065766E">
      <w:pPr>
        <w:pStyle w:val="Caption"/>
        <w:keepNext/>
      </w:pPr>
      <w:r>
        <w:lastRenderedPageBreak/>
        <w:t xml:space="preserve">Table </w:t>
      </w:r>
      <w:r w:rsidR="0093515B">
        <w:rPr>
          <w:noProof/>
        </w:rPr>
        <w:t>2</w:t>
      </w:r>
      <w:r w:rsidRPr="000813EF">
        <w:t>: Proposed effective price for pembrolizumab when used in combination with platinum chemotherapy and pemetrexed</w:t>
      </w:r>
    </w:p>
    <w:tbl>
      <w:tblPr>
        <w:tblStyle w:val="TableGrid"/>
        <w:tblW w:w="0" w:type="auto"/>
        <w:tblCellMar>
          <w:left w:w="28" w:type="dxa"/>
          <w:right w:w="28" w:type="dxa"/>
        </w:tblCellMar>
        <w:tblLook w:val="04A0" w:firstRow="1" w:lastRow="0" w:firstColumn="1" w:lastColumn="0" w:noHBand="0" w:noVBand="1"/>
        <w:tblCaption w:val="Table 2: Proposed effective price for pembrolizumab when used in combination with platinum chemotherapy and pemetrexed"/>
      </w:tblPr>
      <w:tblGrid>
        <w:gridCol w:w="3430"/>
        <w:gridCol w:w="2793"/>
        <w:gridCol w:w="2794"/>
      </w:tblGrid>
      <w:tr w:rsidR="00516A59">
        <w:trPr>
          <w:tblHeader/>
        </w:trPr>
        <w:tc>
          <w:tcPr>
            <w:tcW w:w="3430" w:type="dxa"/>
          </w:tcPr>
          <w:p w:rsidR="00516A59" w:rsidRDefault="00516A59">
            <w:pPr>
              <w:keepNext/>
              <w:keepLines/>
              <w:widowControl/>
              <w:rPr>
                <w:rFonts w:ascii="Arial Narrow" w:hAnsi="Arial Narrow"/>
                <w:sz w:val="20"/>
                <w:szCs w:val="20"/>
              </w:rPr>
            </w:pPr>
          </w:p>
        </w:tc>
        <w:tc>
          <w:tcPr>
            <w:tcW w:w="2793" w:type="dxa"/>
            <w:vAlign w:val="center"/>
          </w:tcPr>
          <w:p w:rsidR="00516A59" w:rsidRDefault="007D3F6A">
            <w:pPr>
              <w:keepNext/>
              <w:keepLines/>
              <w:widowControl/>
              <w:jc w:val="center"/>
              <w:rPr>
                <w:rFonts w:ascii="Arial Narrow" w:hAnsi="Arial Narrow"/>
                <w:b/>
                <w:sz w:val="20"/>
                <w:szCs w:val="20"/>
              </w:rPr>
            </w:pPr>
            <w:r>
              <w:rPr>
                <w:rFonts w:ascii="Arial Narrow" w:hAnsi="Arial Narrow"/>
                <w:b/>
                <w:sz w:val="20"/>
                <w:szCs w:val="20"/>
              </w:rPr>
              <w:t>Effective  AEMP per 100mg vial</w:t>
            </w:r>
          </w:p>
        </w:tc>
        <w:tc>
          <w:tcPr>
            <w:tcW w:w="2794" w:type="dxa"/>
            <w:vAlign w:val="center"/>
          </w:tcPr>
          <w:p w:rsidR="00516A59" w:rsidRDefault="007D3F6A">
            <w:pPr>
              <w:keepNext/>
              <w:keepLines/>
              <w:widowControl/>
              <w:jc w:val="center"/>
              <w:rPr>
                <w:rFonts w:ascii="Arial Narrow" w:hAnsi="Arial Narrow"/>
                <w:b/>
                <w:sz w:val="20"/>
                <w:szCs w:val="20"/>
              </w:rPr>
            </w:pPr>
            <w:r>
              <w:rPr>
                <w:rFonts w:ascii="Arial Narrow" w:hAnsi="Arial Narrow"/>
                <w:b/>
                <w:sz w:val="20"/>
                <w:szCs w:val="20"/>
              </w:rPr>
              <w:t>Weighting</w:t>
            </w:r>
            <w:r>
              <w:rPr>
                <w:rFonts w:ascii="Arial Narrow" w:hAnsi="Arial Narrow"/>
                <w:b/>
                <w:sz w:val="20"/>
                <w:szCs w:val="20"/>
                <w:vertAlign w:val="superscript"/>
              </w:rPr>
              <w:t>b</w:t>
            </w:r>
          </w:p>
        </w:tc>
      </w:tr>
      <w:tr w:rsidR="00516A59">
        <w:tc>
          <w:tcPr>
            <w:tcW w:w="9017" w:type="dxa"/>
            <w:gridSpan w:val="3"/>
          </w:tcPr>
          <w:p w:rsidR="00516A59" w:rsidRDefault="007D3F6A">
            <w:pPr>
              <w:keepNext/>
              <w:keepLines/>
              <w:widowControl/>
              <w:jc w:val="left"/>
              <w:rPr>
                <w:rFonts w:ascii="Arial Narrow" w:hAnsi="Arial Narrow"/>
                <w:sz w:val="20"/>
                <w:szCs w:val="20"/>
              </w:rPr>
            </w:pPr>
            <w:r>
              <w:rPr>
                <w:rFonts w:ascii="Arial Narrow" w:hAnsi="Arial Narrow"/>
                <w:b/>
                <w:sz w:val="20"/>
                <w:szCs w:val="20"/>
              </w:rPr>
              <w:t>Current resubmission</w:t>
            </w:r>
          </w:p>
        </w:tc>
      </w:tr>
      <w:tr w:rsidR="00516A59">
        <w:tc>
          <w:tcPr>
            <w:tcW w:w="3430" w:type="dxa"/>
          </w:tcPr>
          <w:p w:rsidR="00516A59" w:rsidRDefault="007D3F6A">
            <w:pPr>
              <w:keepNext/>
              <w:keepLines/>
              <w:widowControl/>
              <w:rPr>
                <w:rFonts w:ascii="Arial Narrow" w:hAnsi="Arial Narrow"/>
                <w:sz w:val="20"/>
                <w:szCs w:val="20"/>
              </w:rPr>
            </w:pPr>
            <w:r>
              <w:rPr>
                <w:rFonts w:ascii="Arial Narrow" w:hAnsi="Arial Narrow"/>
                <w:sz w:val="20"/>
                <w:szCs w:val="20"/>
              </w:rPr>
              <w:t>PD-L1 TPS &lt;50%</w:t>
            </w:r>
          </w:p>
        </w:tc>
        <w:tc>
          <w:tcPr>
            <w:tcW w:w="2793" w:type="dxa"/>
            <w:vAlign w:val="center"/>
          </w:tcPr>
          <w:p w:rsidR="00516A59" w:rsidRDefault="007D3F6A">
            <w:pPr>
              <w:keepNext/>
              <w:keepLines/>
              <w:widowControl/>
              <w:jc w:val="center"/>
              <w:rPr>
                <w:rFonts w:ascii="Arial Narrow" w:hAnsi="Arial Narrow"/>
                <w:sz w:val="20"/>
                <w:szCs w:val="20"/>
              </w:rPr>
            </w:pPr>
            <w:r>
              <w:rPr>
                <w:rFonts w:ascii="Arial Narrow" w:hAnsi="Arial Narrow"/>
                <w:sz w:val="20"/>
                <w:szCs w:val="20"/>
              </w:rPr>
              <w:t>$</w:t>
            </w:r>
            <w:r w:rsidR="00845E21">
              <w:rPr>
                <w:rFonts w:ascii="Arial Narrow" w:hAnsi="Arial Narrow"/>
                <w:noProof/>
                <w:color w:val="000000"/>
                <w:sz w:val="20"/>
                <w:szCs w:val="20"/>
                <w:highlight w:val="black"/>
              </w:rPr>
              <w:t>'''''''''''''''''''''''</w:t>
            </w:r>
            <w:r>
              <w:rPr>
                <w:rFonts w:ascii="Arial Narrow" w:hAnsi="Arial Narrow"/>
                <w:sz w:val="20"/>
                <w:szCs w:val="20"/>
              </w:rPr>
              <w:t xml:space="preserve"> </w:t>
            </w:r>
          </w:p>
        </w:tc>
        <w:tc>
          <w:tcPr>
            <w:tcW w:w="2794" w:type="dxa"/>
            <w:vAlign w:val="center"/>
          </w:tcPr>
          <w:p w:rsidR="00516A59" w:rsidRDefault="007D3F6A">
            <w:pPr>
              <w:keepNext/>
              <w:keepLines/>
              <w:widowControl/>
              <w:jc w:val="center"/>
              <w:rPr>
                <w:rFonts w:ascii="Arial Narrow" w:hAnsi="Arial Narrow"/>
                <w:sz w:val="20"/>
                <w:szCs w:val="20"/>
              </w:rPr>
            </w:pPr>
            <w:r>
              <w:rPr>
                <w:rFonts w:ascii="Arial Narrow" w:hAnsi="Arial Narrow"/>
                <w:sz w:val="20"/>
                <w:szCs w:val="20"/>
              </w:rPr>
              <w:t>86.5%</w:t>
            </w:r>
          </w:p>
        </w:tc>
      </w:tr>
      <w:tr w:rsidR="00516A59">
        <w:tc>
          <w:tcPr>
            <w:tcW w:w="3430" w:type="dxa"/>
          </w:tcPr>
          <w:p w:rsidR="00516A59" w:rsidRDefault="007D3F6A">
            <w:pPr>
              <w:keepNext/>
              <w:keepLines/>
              <w:widowControl/>
              <w:rPr>
                <w:rFonts w:ascii="Arial Narrow" w:hAnsi="Arial Narrow"/>
                <w:sz w:val="20"/>
                <w:szCs w:val="20"/>
              </w:rPr>
            </w:pPr>
            <w:r>
              <w:rPr>
                <w:rFonts w:ascii="Arial Narrow" w:hAnsi="Arial Narrow"/>
                <w:sz w:val="20"/>
                <w:szCs w:val="20"/>
              </w:rPr>
              <w:t xml:space="preserve">PD-L1 TPS </w:t>
            </w:r>
            <w:r>
              <w:rPr>
                <w:rFonts w:ascii="Arial Narrow" w:hAnsi="Arial Narrow" w:cs="Calibri"/>
                <w:sz w:val="20"/>
                <w:szCs w:val="20"/>
              </w:rPr>
              <w:t>≥</w:t>
            </w:r>
            <w:r>
              <w:rPr>
                <w:rFonts w:ascii="Arial Narrow" w:hAnsi="Arial Narrow"/>
                <w:sz w:val="20"/>
                <w:szCs w:val="20"/>
              </w:rPr>
              <w:t>50%</w:t>
            </w:r>
            <w:r>
              <w:rPr>
                <w:rFonts w:ascii="Arial Narrow" w:hAnsi="Arial Narrow"/>
                <w:sz w:val="20"/>
                <w:szCs w:val="20"/>
                <w:vertAlign w:val="superscript"/>
              </w:rPr>
              <w:t>a</w:t>
            </w:r>
          </w:p>
        </w:tc>
        <w:tc>
          <w:tcPr>
            <w:tcW w:w="2793" w:type="dxa"/>
            <w:vAlign w:val="center"/>
          </w:tcPr>
          <w:p w:rsidR="00516A59" w:rsidRDefault="007D3F6A">
            <w:pPr>
              <w:keepNext/>
              <w:keepLines/>
              <w:widowControl/>
              <w:jc w:val="center"/>
              <w:rPr>
                <w:rFonts w:ascii="Arial Narrow" w:hAnsi="Arial Narrow"/>
                <w:sz w:val="20"/>
                <w:szCs w:val="20"/>
              </w:rPr>
            </w:pPr>
            <w:r>
              <w:rPr>
                <w:rFonts w:ascii="Arial Narrow" w:hAnsi="Arial Narrow"/>
                <w:sz w:val="20"/>
                <w:szCs w:val="20"/>
              </w:rPr>
              <w:t>$</w:t>
            </w:r>
            <w:r w:rsidR="00845E21">
              <w:rPr>
                <w:rFonts w:ascii="Arial Narrow" w:hAnsi="Arial Narrow"/>
                <w:noProof/>
                <w:color w:val="000000"/>
                <w:sz w:val="20"/>
                <w:szCs w:val="20"/>
                <w:highlight w:val="black"/>
              </w:rPr>
              <w:t>'''''''''''''''''''''</w:t>
            </w:r>
            <w:r>
              <w:rPr>
                <w:rFonts w:ascii="Arial Narrow" w:hAnsi="Arial Narrow"/>
                <w:sz w:val="20"/>
                <w:szCs w:val="20"/>
              </w:rPr>
              <w:t xml:space="preserve"> </w:t>
            </w:r>
          </w:p>
        </w:tc>
        <w:tc>
          <w:tcPr>
            <w:tcW w:w="2794" w:type="dxa"/>
            <w:vAlign w:val="center"/>
          </w:tcPr>
          <w:p w:rsidR="00516A59" w:rsidRDefault="007D3F6A">
            <w:pPr>
              <w:keepNext/>
              <w:keepLines/>
              <w:widowControl/>
              <w:jc w:val="center"/>
              <w:rPr>
                <w:rFonts w:ascii="Arial Narrow" w:hAnsi="Arial Narrow"/>
                <w:sz w:val="20"/>
                <w:szCs w:val="20"/>
              </w:rPr>
            </w:pPr>
            <w:r>
              <w:rPr>
                <w:rFonts w:ascii="Arial Narrow" w:hAnsi="Arial Narrow"/>
                <w:sz w:val="20"/>
                <w:szCs w:val="20"/>
              </w:rPr>
              <w:t>13.5%</w:t>
            </w:r>
          </w:p>
        </w:tc>
      </w:tr>
      <w:tr w:rsidR="00516A59">
        <w:tc>
          <w:tcPr>
            <w:tcW w:w="3430" w:type="dxa"/>
          </w:tcPr>
          <w:p w:rsidR="00516A59" w:rsidRDefault="007D3F6A">
            <w:pPr>
              <w:keepNext/>
              <w:keepLines/>
              <w:widowControl/>
              <w:rPr>
                <w:rFonts w:ascii="Arial Narrow" w:hAnsi="Arial Narrow"/>
                <w:sz w:val="20"/>
                <w:szCs w:val="20"/>
              </w:rPr>
            </w:pPr>
            <w:r>
              <w:rPr>
                <w:rFonts w:ascii="Arial Narrow" w:hAnsi="Arial Narrow"/>
                <w:sz w:val="20"/>
                <w:szCs w:val="20"/>
              </w:rPr>
              <w:t>Weighted</w:t>
            </w:r>
          </w:p>
        </w:tc>
        <w:tc>
          <w:tcPr>
            <w:tcW w:w="2793" w:type="dxa"/>
            <w:vAlign w:val="center"/>
          </w:tcPr>
          <w:p w:rsidR="00516A59" w:rsidRDefault="007D3F6A">
            <w:pPr>
              <w:keepNext/>
              <w:keepLines/>
              <w:widowControl/>
              <w:jc w:val="center"/>
              <w:rPr>
                <w:rFonts w:ascii="Arial Narrow" w:hAnsi="Arial Narrow"/>
                <w:sz w:val="20"/>
                <w:szCs w:val="20"/>
              </w:rPr>
            </w:pPr>
            <w:r>
              <w:rPr>
                <w:rFonts w:ascii="Arial Narrow" w:hAnsi="Arial Narrow"/>
                <w:sz w:val="20"/>
                <w:szCs w:val="20"/>
              </w:rPr>
              <w:t>$</w:t>
            </w:r>
            <w:r w:rsidR="00845E21">
              <w:rPr>
                <w:rFonts w:ascii="Arial Narrow" w:hAnsi="Arial Narrow"/>
                <w:noProof/>
                <w:color w:val="000000"/>
                <w:sz w:val="20"/>
                <w:szCs w:val="20"/>
                <w:highlight w:val="black"/>
              </w:rPr>
              <w:t>''''''''''''''''''''''</w:t>
            </w:r>
            <w:r>
              <w:rPr>
                <w:rFonts w:ascii="Arial Narrow" w:hAnsi="Arial Narrow"/>
                <w:sz w:val="20"/>
                <w:szCs w:val="20"/>
              </w:rPr>
              <w:t xml:space="preserve"> </w:t>
            </w:r>
          </w:p>
        </w:tc>
        <w:tc>
          <w:tcPr>
            <w:tcW w:w="2794" w:type="dxa"/>
            <w:vAlign w:val="center"/>
          </w:tcPr>
          <w:p w:rsidR="00516A59" w:rsidRDefault="007D3F6A">
            <w:pPr>
              <w:keepNext/>
              <w:keepLines/>
              <w:widowControl/>
              <w:jc w:val="center"/>
              <w:rPr>
                <w:rFonts w:ascii="Arial Narrow" w:hAnsi="Arial Narrow"/>
                <w:sz w:val="20"/>
                <w:szCs w:val="20"/>
              </w:rPr>
            </w:pPr>
            <w:r>
              <w:rPr>
                <w:rFonts w:ascii="Arial Narrow" w:hAnsi="Arial Narrow"/>
                <w:sz w:val="20"/>
                <w:szCs w:val="20"/>
              </w:rPr>
              <w:t>-</w:t>
            </w:r>
          </w:p>
        </w:tc>
      </w:tr>
      <w:tr w:rsidR="00516A59">
        <w:tc>
          <w:tcPr>
            <w:tcW w:w="9017" w:type="dxa"/>
            <w:gridSpan w:val="3"/>
          </w:tcPr>
          <w:p w:rsidR="00516A59" w:rsidRDefault="007D3F6A">
            <w:pPr>
              <w:keepNext/>
              <w:keepLines/>
              <w:widowControl/>
              <w:jc w:val="left"/>
              <w:rPr>
                <w:rFonts w:ascii="Arial Narrow" w:hAnsi="Arial Narrow"/>
                <w:sz w:val="20"/>
                <w:szCs w:val="20"/>
              </w:rPr>
            </w:pPr>
            <w:r>
              <w:rPr>
                <w:rFonts w:ascii="Arial Narrow" w:hAnsi="Arial Narrow"/>
                <w:b/>
                <w:sz w:val="20"/>
                <w:szCs w:val="20"/>
              </w:rPr>
              <w:t>Pre-Sub-Committee Response</w:t>
            </w:r>
          </w:p>
        </w:tc>
      </w:tr>
      <w:tr w:rsidR="00516A59">
        <w:tc>
          <w:tcPr>
            <w:tcW w:w="3430" w:type="dxa"/>
          </w:tcPr>
          <w:p w:rsidR="00516A59" w:rsidRDefault="007D3F6A">
            <w:pPr>
              <w:keepNext/>
              <w:keepLines/>
              <w:widowControl/>
              <w:rPr>
                <w:rFonts w:ascii="Arial Narrow" w:hAnsi="Arial Narrow"/>
                <w:sz w:val="20"/>
                <w:szCs w:val="20"/>
              </w:rPr>
            </w:pPr>
            <w:r>
              <w:rPr>
                <w:rFonts w:ascii="Arial Narrow" w:hAnsi="Arial Narrow"/>
                <w:sz w:val="20"/>
                <w:szCs w:val="20"/>
              </w:rPr>
              <w:t>PD-L1 TPS &lt;50%</w:t>
            </w:r>
          </w:p>
        </w:tc>
        <w:tc>
          <w:tcPr>
            <w:tcW w:w="2793" w:type="dxa"/>
            <w:tcBorders>
              <w:top w:val="single" w:sz="4" w:space="0" w:color="auto"/>
              <w:left w:val="single" w:sz="4" w:space="0" w:color="auto"/>
              <w:bottom w:val="single" w:sz="4" w:space="0" w:color="auto"/>
              <w:right w:val="single" w:sz="4" w:space="0" w:color="auto"/>
            </w:tcBorders>
            <w:vAlign w:val="center"/>
          </w:tcPr>
          <w:p w:rsidR="00516A59" w:rsidRDefault="007D3F6A">
            <w:pPr>
              <w:keepNext/>
              <w:keepLines/>
              <w:widowControl/>
              <w:jc w:val="center"/>
              <w:rPr>
                <w:rFonts w:ascii="Arial Narrow" w:hAnsi="Arial Narrow"/>
                <w:sz w:val="20"/>
                <w:szCs w:val="20"/>
              </w:rPr>
            </w:pPr>
            <w:r>
              <w:rPr>
                <w:rFonts w:ascii="Arial Narrow" w:hAnsi="Arial Narrow"/>
                <w:color w:val="000000"/>
                <w:sz w:val="20"/>
                <w:szCs w:val="18"/>
              </w:rPr>
              <w:t>$</w:t>
            </w:r>
            <w:r w:rsidR="00845E21">
              <w:rPr>
                <w:rFonts w:ascii="Arial Narrow" w:hAnsi="Arial Narrow"/>
                <w:noProof/>
                <w:color w:val="000000"/>
                <w:sz w:val="20"/>
                <w:szCs w:val="18"/>
                <w:highlight w:val="black"/>
              </w:rPr>
              <w:t>''''''''''''''''''''</w:t>
            </w:r>
            <w:r>
              <w:rPr>
                <w:rFonts w:ascii="Arial Narrow" w:hAnsi="Arial Narrow"/>
                <w:color w:val="000000"/>
                <w:sz w:val="20"/>
                <w:szCs w:val="18"/>
              </w:rPr>
              <w:t xml:space="preserve"> </w:t>
            </w:r>
          </w:p>
        </w:tc>
        <w:tc>
          <w:tcPr>
            <w:tcW w:w="2794" w:type="dxa"/>
            <w:vAlign w:val="center"/>
          </w:tcPr>
          <w:p w:rsidR="00516A59" w:rsidRDefault="007D3F6A">
            <w:pPr>
              <w:keepNext/>
              <w:keepLines/>
              <w:widowControl/>
              <w:jc w:val="center"/>
              <w:rPr>
                <w:rFonts w:ascii="Arial Narrow" w:hAnsi="Arial Narrow"/>
                <w:sz w:val="20"/>
                <w:szCs w:val="20"/>
              </w:rPr>
            </w:pPr>
            <w:r>
              <w:rPr>
                <w:rFonts w:ascii="Arial Narrow" w:hAnsi="Arial Narrow"/>
                <w:sz w:val="20"/>
                <w:szCs w:val="20"/>
              </w:rPr>
              <w:t>86.5%</w:t>
            </w:r>
          </w:p>
        </w:tc>
      </w:tr>
      <w:tr w:rsidR="00516A59">
        <w:trPr>
          <w:trHeight w:val="53"/>
        </w:trPr>
        <w:tc>
          <w:tcPr>
            <w:tcW w:w="3430" w:type="dxa"/>
          </w:tcPr>
          <w:p w:rsidR="00516A59" w:rsidRDefault="007D3F6A">
            <w:pPr>
              <w:keepNext/>
              <w:keepLines/>
              <w:widowControl/>
              <w:rPr>
                <w:rFonts w:ascii="Arial Narrow" w:hAnsi="Arial Narrow"/>
                <w:sz w:val="20"/>
                <w:szCs w:val="20"/>
              </w:rPr>
            </w:pPr>
            <w:r>
              <w:rPr>
                <w:rFonts w:ascii="Arial Narrow" w:hAnsi="Arial Narrow"/>
                <w:sz w:val="20"/>
                <w:szCs w:val="20"/>
              </w:rPr>
              <w:t xml:space="preserve">PD-L1 TPS </w:t>
            </w:r>
            <w:r>
              <w:rPr>
                <w:rFonts w:ascii="Arial Narrow" w:hAnsi="Arial Narrow" w:cs="Calibri"/>
                <w:sz w:val="20"/>
                <w:szCs w:val="20"/>
              </w:rPr>
              <w:t>≥</w:t>
            </w:r>
            <w:r>
              <w:rPr>
                <w:rFonts w:ascii="Arial Narrow" w:hAnsi="Arial Narrow"/>
                <w:sz w:val="20"/>
                <w:szCs w:val="20"/>
              </w:rPr>
              <w:t>50%</w:t>
            </w:r>
          </w:p>
        </w:tc>
        <w:tc>
          <w:tcPr>
            <w:tcW w:w="2793" w:type="dxa"/>
            <w:tcBorders>
              <w:top w:val="single" w:sz="4" w:space="0" w:color="auto"/>
              <w:left w:val="single" w:sz="4" w:space="0" w:color="auto"/>
              <w:bottom w:val="single" w:sz="4" w:space="0" w:color="auto"/>
              <w:right w:val="single" w:sz="4" w:space="0" w:color="auto"/>
            </w:tcBorders>
            <w:vAlign w:val="center"/>
          </w:tcPr>
          <w:p w:rsidR="00516A59" w:rsidRDefault="007D3F6A">
            <w:pPr>
              <w:keepNext/>
              <w:keepLines/>
              <w:widowControl/>
              <w:jc w:val="center"/>
              <w:rPr>
                <w:rFonts w:ascii="Arial Narrow" w:hAnsi="Arial Narrow"/>
                <w:sz w:val="20"/>
                <w:szCs w:val="20"/>
              </w:rPr>
            </w:pPr>
            <w:r>
              <w:rPr>
                <w:rFonts w:ascii="Arial Narrow" w:hAnsi="Arial Narrow"/>
                <w:color w:val="000000"/>
                <w:sz w:val="20"/>
                <w:szCs w:val="18"/>
              </w:rPr>
              <w:t>$</w:t>
            </w:r>
            <w:r w:rsidR="00845E21">
              <w:rPr>
                <w:rFonts w:ascii="Arial Narrow" w:hAnsi="Arial Narrow"/>
                <w:noProof/>
                <w:color w:val="000000"/>
                <w:sz w:val="20"/>
                <w:szCs w:val="18"/>
                <w:highlight w:val="black"/>
              </w:rPr>
              <w:t>''''''''''''''''''''''</w:t>
            </w:r>
            <w:r>
              <w:rPr>
                <w:rFonts w:ascii="Arial Narrow" w:hAnsi="Arial Narrow"/>
                <w:color w:val="000000"/>
                <w:sz w:val="20"/>
                <w:szCs w:val="18"/>
              </w:rPr>
              <w:t xml:space="preserve"> </w:t>
            </w:r>
          </w:p>
        </w:tc>
        <w:tc>
          <w:tcPr>
            <w:tcW w:w="2794" w:type="dxa"/>
            <w:vAlign w:val="center"/>
          </w:tcPr>
          <w:p w:rsidR="00516A59" w:rsidRDefault="007D3F6A">
            <w:pPr>
              <w:keepNext/>
              <w:keepLines/>
              <w:widowControl/>
              <w:jc w:val="center"/>
              <w:rPr>
                <w:rFonts w:ascii="Arial Narrow" w:hAnsi="Arial Narrow"/>
                <w:sz w:val="20"/>
                <w:szCs w:val="20"/>
              </w:rPr>
            </w:pPr>
            <w:r>
              <w:rPr>
                <w:rFonts w:ascii="Arial Narrow" w:hAnsi="Arial Narrow"/>
                <w:sz w:val="20"/>
                <w:szCs w:val="20"/>
              </w:rPr>
              <w:t>13.5%</w:t>
            </w:r>
          </w:p>
        </w:tc>
      </w:tr>
      <w:tr w:rsidR="00516A59">
        <w:tc>
          <w:tcPr>
            <w:tcW w:w="3430" w:type="dxa"/>
          </w:tcPr>
          <w:p w:rsidR="00516A59" w:rsidRDefault="007D3F6A">
            <w:pPr>
              <w:keepNext/>
              <w:keepLines/>
              <w:widowControl/>
              <w:rPr>
                <w:rFonts w:ascii="Arial Narrow" w:hAnsi="Arial Narrow"/>
                <w:sz w:val="20"/>
                <w:szCs w:val="20"/>
              </w:rPr>
            </w:pPr>
            <w:r>
              <w:rPr>
                <w:rFonts w:ascii="Arial Narrow" w:hAnsi="Arial Narrow"/>
                <w:sz w:val="20"/>
                <w:szCs w:val="20"/>
              </w:rPr>
              <w:t>Weighted</w:t>
            </w:r>
          </w:p>
        </w:tc>
        <w:tc>
          <w:tcPr>
            <w:tcW w:w="2793" w:type="dxa"/>
            <w:tcBorders>
              <w:top w:val="single" w:sz="4" w:space="0" w:color="auto"/>
              <w:left w:val="single" w:sz="4" w:space="0" w:color="auto"/>
              <w:bottom w:val="single" w:sz="4" w:space="0" w:color="auto"/>
              <w:right w:val="single" w:sz="4" w:space="0" w:color="auto"/>
            </w:tcBorders>
            <w:vAlign w:val="center"/>
          </w:tcPr>
          <w:p w:rsidR="00516A59" w:rsidRDefault="007D3F6A">
            <w:pPr>
              <w:keepNext/>
              <w:keepLines/>
              <w:widowControl/>
              <w:jc w:val="center"/>
              <w:rPr>
                <w:rFonts w:ascii="Arial Narrow" w:hAnsi="Arial Narrow"/>
                <w:sz w:val="20"/>
                <w:szCs w:val="20"/>
              </w:rPr>
            </w:pPr>
            <w:r>
              <w:rPr>
                <w:rFonts w:ascii="Arial Narrow" w:hAnsi="Arial Narrow"/>
                <w:color w:val="000000"/>
                <w:sz w:val="20"/>
                <w:szCs w:val="18"/>
              </w:rPr>
              <w:t>$</w:t>
            </w:r>
            <w:r w:rsidR="00845E21">
              <w:rPr>
                <w:rFonts w:ascii="Arial Narrow" w:hAnsi="Arial Narrow"/>
                <w:noProof/>
                <w:color w:val="000000"/>
                <w:sz w:val="20"/>
                <w:szCs w:val="18"/>
                <w:highlight w:val="black"/>
              </w:rPr>
              <w:t>''''''''''''''''''''''</w:t>
            </w:r>
            <w:r>
              <w:rPr>
                <w:rFonts w:ascii="Arial Narrow" w:hAnsi="Arial Narrow"/>
                <w:color w:val="000000"/>
                <w:sz w:val="20"/>
                <w:szCs w:val="18"/>
              </w:rPr>
              <w:t xml:space="preserve"> </w:t>
            </w:r>
          </w:p>
        </w:tc>
        <w:tc>
          <w:tcPr>
            <w:tcW w:w="2794" w:type="dxa"/>
            <w:vAlign w:val="center"/>
          </w:tcPr>
          <w:p w:rsidR="00516A59" w:rsidRDefault="007D3F6A">
            <w:pPr>
              <w:keepNext/>
              <w:keepLines/>
              <w:widowControl/>
              <w:jc w:val="center"/>
              <w:rPr>
                <w:rFonts w:ascii="Arial Narrow" w:hAnsi="Arial Narrow"/>
                <w:sz w:val="20"/>
                <w:szCs w:val="20"/>
              </w:rPr>
            </w:pPr>
            <w:r>
              <w:rPr>
                <w:rFonts w:ascii="Arial Narrow" w:hAnsi="Arial Narrow"/>
                <w:sz w:val="20"/>
                <w:szCs w:val="20"/>
              </w:rPr>
              <w:t>-</w:t>
            </w:r>
          </w:p>
        </w:tc>
      </w:tr>
      <w:tr w:rsidR="00516A59">
        <w:tc>
          <w:tcPr>
            <w:tcW w:w="9017" w:type="dxa"/>
            <w:gridSpan w:val="3"/>
            <w:shd w:val="clear" w:color="auto" w:fill="D9D9D9" w:themeFill="background1" w:themeFillShade="D9"/>
          </w:tcPr>
          <w:p w:rsidR="00516A59" w:rsidRDefault="007D3F6A">
            <w:pPr>
              <w:keepNext/>
              <w:keepLines/>
              <w:widowControl/>
              <w:jc w:val="left"/>
              <w:rPr>
                <w:rFonts w:ascii="Arial Narrow" w:hAnsi="Arial Narrow"/>
                <w:b/>
                <w:sz w:val="20"/>
                <w:szCs w:val="20"/>
              </w:rPr>
            </w:pPr>
            <w:r>
              <w:rPr>
                <w:rFonts w:ascii="Arial Narrow" w:hAnsi="Arial Narrow"/>
                <w:b/>
                <w:sz w:val="20"/>
                <w:szCs w:val="20"/>
              </w:rPr>
              <w:t>November 2018 submission</w:t>
            </w:r>
          </w:p>
        </w:tc>
      </w:tr>
      <w:tr w:rsidR="00516A59">
        <w:tc>
          <w:tcPr>
            <w:tcW w:w="3430" w:type="dxa"/>
            <w:shd w:val="clear" w:color="auto" w:fill="D9D9D9" w:themeFill="background1" w:themeFillShade="D9"/>
          </w:tcPr>
          <w:p w:rsidR="00516A59" w:rsidRDefault="007D3F6A">
            <w:pPr>
              <w:keepNext/>
              <w:keepLines/>
              <w:widowControl/>
              <w:rPr>
                <w:rFonts w:ascii="Arial Narrow" w:hAnsi="Arial Narrow"/>
                <w:sz w:val="20"/>
                <w:szCs w:val="20"/>
              </w:rPr>
            </w:pPr>
            <w:r>
              <w:rPr>
                <w:rFonts w:ascii="Arial Narrow" w:hAnsi="Arial Narrow"/>
                <w:sz w:val="20"/>
                <w:szCs w:val="20"/>
              </w:rPr>
              <w:t>PD-L1 TPS &lt;50%</w:t>
            </w:r>
          </w:p>
        </w:tc>
        <w:tc>
          <w:tcPr>
            <w:tcW w:w="2793" w:type="dxa"/>
            <w:shd w:val="clear" w:color="auto" w:fill="D9D9D9" w:themeFill="background1" w:themeFillShade="D9"/>
            <w:vAlign w:val="center"/>
          </w:tcPr>
          <w:p w:rsidR="00516A59" w:rsidRDefault="007D3F6A">
            <w:pPr>
              <w:keepNext/>
              <w:keepLines/>
              <w:widowControl/>
              <w:jc w:val="center"/>
              <w:rPr>
                <w:rFonts w:ascii="Arial Narrow" w:hAnsi="Arial Narrow"/>
                <w:sz w:val="20"/>
                <w:szCs w:val="20"/>
              </w:rPr>
            </w:pPr>
            <w:r>
              <w:rPr>
                <w:rFonts w:ascii="Arial Narrow" w:hAnsi="Arial Narrow"/>
                <w:sz w:val="20"/>
                <w:szCs w:val="20"/>
              </w:rPr>
              <w:t>$</w:t>
            </w:r>
            <w:r w:rsidR="00845E21">
              <w:rPr>
                <w:rFonts w:ascii="Arial Narrow" w:hAnsi="Arial Narrow"/>
                <w:noProof/>
                <w:color w:val="000000"/>
                <w:sz w:val="20"/>
                <w:szCs w:val="20"/>
                <w:highlight w:val="black"/>
              </w:rPr>
              <w:t>'''''''''''''''''''</w:t>
            </w:r>
            <w:r>
              <w:rPr>
                <w:rFonts w:ascii="Arial Narrow" w:hAnsi="Arial Narrow"/>
                <w:sz w:val="20"/>
                <w:szCs w:val="20"/>
              </w:rPr>
              <w:t xml:space="preserve"> </w:t>
            </w:r>
          </w:p>
        </w:tc>
        <w:tc>
          <w:tcPr>
            <w:tcW w:w="2794" w:type="dxa"/>
            <w:shd w:val="clear" w:color="auto" w:fill="D9D9D9" w:themeFill="background1" w:themeFillShade="D9"/>
            <w:vAlign w:val="center"/>
          </w:tcPr>
          <w:p w:rsidR="00516A59" w:rsidRDefault="007D3F6A">
            <w:pPr>
              <w:keepNext/>
              <w:keepLines/>
              <w:widowControl/>
              <w:jc w:val="center"/>
              <w:rPr>
                <w:rFonts w:ascii="Arial Narrow" w:hAnsi="Arial Narrow"/>
                <w:sz w:val="20"/>
                <w:szCs w:val="20"/>
              </w:rPr>
            </w:pPr>
            <w:r>
              <w:rPr>
                <w:rFonts w:ascii="Arial Narrow" w:hAnsi="Arial Narrow"/>
                <w:sz w:val="20"/>
                <w:szCs w:val="20"/>
              </w:rPr>
              <w:t>71.5%</w:t>
            </w:r>
          </w:p>
        </w:tc>
      </w:tr>
      <w:tr w:rsidR="00516A59">
        <w:tc>
          <w:tcPr>
            <w:tcW w:w="3430" w:type="dxa"/>
            <w:shd w:val="clear" w:color="auto" w:fill="D9D9D9" w:themeFill="background1" w:themeFillShade="D9"/>
          </w:tcPr>
          <w:p w:rsidR="00516A59" w:rsidRDefault="007D3F6A">
            <w:pPr>
              <w:keepNext/>
              <w:keepLines/>
              <w:widowControl/>
              <w:rPr>
                <w:rFonts w:ascii="Arial Narrow" w:hAnsi="Arial Narrow"/>
                <w:sz w:val="20"/>
                <w:szCs w:val="20"/>
              </w:rPr>
            </w:pPr>
            <w:r>
              <w:rPr>
                <w:rFonts w:ascii="Arial Narrow" w:hAnsi="Arial Narrow"/>
                <w:sz w:val="20"/>
                <w:szCs w:val="20"/>
              </w:rPr>
              <w:t xml:space="preserve">PD-L1 TPS </w:t>
            </w:r>
            <w:r>
              <w:rPr>
                <w:rFonts w:ascii="Arial Narrow" w:hAnsi="Arial Narrow" w:cs="Calibri"/>
                <w:sz w:val="20"/>
                <w:szCs w:val="20"/>
              </w:rPr>
              <w:t>≥</w:t>
            </w:r>
            <w:r>
              <w:rPr>
                <w:rFonts w:ascii="Arial Narrow" w:hAnsi="Arial Narrow"/>
                <w:sz w:val="20"/>
                <w:szCs w:val="20"/>
              </w:rPr>
              <w:t>50%</w:t>
            </w:r>
          </w:p>
        </w:tc>
        <w:tc>
          <w:tcPr>
            <w:tcW w:w="2793" w:type="dxa"/>
            <w:shd w:val="clear" w:color="auto" w:fill="D9D9D9" w:themeFill="background1" w:themeFillShade="D9"/>
            <w:vAlign w:val="center"/>
          </w:tcPr>
          <w:p w:rsidR="00516A59" w:rsidRDefault="007D3F6A">
            <w:pPr>
              <w:keepNext/>
              <w:keepLines/>
              <w:widowControl/>
              <w:jc w:val="center"/>
              <w:rPr>
                <w:rFonts w:ascii="Arial Narrow" w:hAnsi="Arial Narrow"/>
                <w:sz w:val="20"/>
                <w:szCs w:val="20"/>
              </w:rPr>
            </w:pPr>
            <w:r>
              <w:rPr>
                <w:rFonts w:ascii="Arial Narrow" w:hAnsi="Arial Narrow"/>
                <w:sz w:val="20"/>
                <w:szCs w:val="20"/>
              </w:rPr>
              <w:t>$</w:t>
            </w:r>
            <w:r w:rsidR="00845E21">
              <w:rPr>
                <w:rFonts w:ascii="Arial Narrow" w:hAnsi="Arial Narrow"/>
                <w:noProof/>
                <w:color w:val="000000"/>
                <w:sz w:val="20"/>
                <w:szCs w:val="20"/>
                <w:highlight w:val="black"/>
              </w:rPr>
              <w:t>''''''''''''''''''''''</w:t>
            </w:r>
            <w:r>
              <w:rPr>
                <w:rFonts w:ascii="Arial Narrow" w:hAnsi="Arial Narrow"/>
                <w:sz w:val="20"/>
                <w:szCs w:val="20"/>
              </w:rPr>
              <w:t xml:space="preserve"> </w:t>
            </w:r>
          </w:p>
        </w:tc>
        <w:tc>
          <w:tcPr>
            <w:tcW w:w="2794" w:type="dxa"/>
            <w:shd w:val="clear" w:color="auto" w:fill="D9D9D9" w:themeFill="background1" w:themeFillShade="D9"/>
            <w:vAlign w:val="center"/>
          </w:tcPr>
          <w:p w:rsidR="00516A59" w:rsidRDefault="007D3F6A">
            <w:pPr>
              <w:keepNext/>
              <w:keepLines/>
              <w:widowControl/>
              <w:jc w:val="center"/>
              <w:rPr>
                <w:rFonts w:ascii="Arial Narrow" w:hAnsi="Arial Narrow"/>
                <w:sz w:val="20"/>
                <w:szCs w:val="20"/>
              </w:rPr>
            </w:pPr>
            <w:r>
              <w:rPr>
                <w:rFonts w:ascii="Arial Narrow" w:hAnsi="Arial Narrow"/>
                <w:sz w:val="20"/>
                <w:szCs w:val="20"/>
              </w:rPr>
              <w:t>28.5%</w:t>
            </w:r>
          </w:p>
        </w:tc>
      </w:tr>
      <w:tr w:rsidR="00516A59">
        <w:tc>
          <w:tcPr>
            <w:tcW w:w="3430" w:type="dxa"/>
            <w:shd w:val="clear" w:color="auto" w:fill="D9D9D9" w:themeFill="background1" w:themeFillShade="D9"/>
          </w:tcPr>
          <w:p w:rsidR="00516A59" w:rsidRDefault="007D3F6A">
            <w:pPr>
              <w:keepNext/>
              <w:keepLines/>
              <w:widowControl/>
              <w:rPr>
                <w:rFonts w:ascii="Arial Narrow" w:hAnsi="Arial Narrow"/>
                <w:sz w:val="20"/>
                <w:szCs w:val="20"/>
              </w:rPr>
            </w:pPr>
            <w:r>
              <w:rPr>
                <w:rFonts w:ascii="Arial Narrow" w:hAnsi="Arial Narrow"/>
                <w:sz w:val="20"/>
                <w:szCs w:val="20"/>
              </w:rPr>
              <w:t>Weighted</w:t>
            </w:r>
          </w:p>
        </w:tc>
        <w:tc>
          <w:tcPr>
            <w:tcW w:w="2793" w:type="dxa"/>
            <w:shd w:val="clear" w:color="auto" w:fill="D9D9D9" w:themeFill="background1" w:themeFillShade="D9"/>
            <w:vAlign w:val="center"/>
          </w:tcPr>
          <w:p w:rsidR="00516A59" w:rsidRDefault="007D3F6A">
            <w:pPr>
              <w:keepNext/>
              <w:keepLines/>
              <w:widowControl/>
              <w:jc w:val="center"/>
              <w:rPr>
                <w:rFonts w:ascii="Arial Narrow" w:hAnsi="Arial Narrow"/>
                <w:sz w:val="20"/>
                <w:szCs w:val="20"/>
              </w:rPr>
            </w:pPr>
            <w:r>
              <w:rPr>
                <w:rFonts w:ascii="Arial Narrow" w:hAnsi="Arial Narrow"/>
                <w:sz w:val="20"/>
                <w:szCs w:val="20"/>
              </w:rPr>
              <w:t>$</w:t>
            </w:r>
            <w:r w:rsidR="00845E21">
              <w:rPr>
                <w:rFonts w:ascii="Arial Narrow" w:hAnsi="Arial Narrow"/>
                <w:noProof/>
                <w:color w:val="000000"/>
                <w:sz w:val="20"/>
                <w:szCs w:val="20"/>
                <w:highlight w:val="black"/>
              </w:rPr>
              <w:t>'''''''''''''''''''''''</w:t>
            </w:r>
          </w:p>
        </w:tc>
        <w:tc>
          <w:tcPr>
            <w:tcW w:w="2794" w:type="dxa"/>
            <w:shd w:val="clear" w:color="auto" w:fill="D9D9D9" w:themeFill="background1" w:themeFillShade="D9"/>
            <w:vAlign w:val="center"/>
          </w:tcPr>
          <w:p w:rsidR="00516A59" w:rsidRDefault="007D3F6A">
            <w:pPr>
              <w:keepNext/>
              <w:keepLines/>
              <w:widowControl/>
              <w:jc w:val="center"/>
              <w:rPr>
                <w:rFonts w:ascii="Arial Narrow" w:hAnsi="Arial Narrow"/>
                <w:sz w:val="20"/>
                <w:szCs w:val="20"/>
              </w:rPr>
            </w:pPr>
            <w:r>
              <w:rPr>
                <w:rFonts w:ascii="Arial Narrow" w:hAnsi="Arial Narrow"/>
                <w:sz w:val="20"/>
                <w:szCs w:val="20"/>
              </w:rPr>
              <w:t>-</w:t>
            </w:r>
          </w:p>
        </w:tc>
      </w:tr>
    </w:tbl>
    <w:p w:rsidR="00516A59" w:rsidRDefault="007D3F6A">
      <w:pPr>
        <w:pStyle w:val="TableFooter"/>
        <w:keepNext/>
        <w:keepLines/>
        <w:widowControl/>
      </w:pPr>
      <w:r>
        <w:rPr>
          <w:highlight w:val="lightGray"/>
        </w:rPr>
        <w:t>Shaded cells previously considered by PBAC</w:t>
      </w:r>
    </w:p>
    <w:p w:rsidR="00516A59" w:rsidRDefault="007D3F6A">
      <w:pPr>
        <w:pStyle w:val="TableFooter"/>
        <w:keepNext/>
        <w:keepLines/>
        <w:widowControl/>
      </w:pPr>
      <w:r>
        <w:t>PD-L1 = programmed cell death ligand 1; TPS = tumour proportion score.</w:t>
      </w:r>
    </w:p>
    <w:p w:rsidR="00516A59" w:rsidRDefault="007D3F6A">
      <w:pPr>
        <w:pStyle w:val="TableFooter"/>
        <w:keepNext/>
        <w:keepLines/>
        <w:widowControl/>
      </w:pPr>
      <w:r>
        <w:rPr>
          <w:vertAlign w:val="superscript"/>
        </w:rPr>
        <w:t>a</w:t>
      </w:r>
      <w:r>
        <w:t xml:space="preserve"> This price is the same as the current price for pembrolizumab as monotherapy in this patient population (not the 6% price reduction to $</w:t>
      </w:r>
      <w:r w:rsidR="00845E21">
        <w:rPr>
          <w:noProof/>
          <w:color w:val="000000"/>
          <w:highlight w:val="black"/>
        </w:rPr>
        <w:t>'''''''''''''</w:t>
      </w:r>
      <w:r>
        <w:t xml:space="preserve"> per 100 mg, recommended at the March 2019 PBAC meeting). </w:t>
      </w:r>
    </w:p>
    <w:p w:rsidR="00516A59" w:rsidRDefault="007D3F6A">
      <w:pPr>
        <w:pStyle w:val="TableFooter"/>
        <w:keepNext/>
        <w:keepLines/>
        <w:widowControl/>
      </w:pPr>
      <w:r>
        <w:rPr>
          <w:vertAlign w:val="superscript"/>
        </w:rPr>
        <w:t xml:space="preserve">b </w:t>
      </w:r>
      <w:r>
        <w:t>For the current resubmission, this weighting was based on a ratio of the expected utilisation of vials between the populations. For the previous submission, this weighting was based on a screening prevalence from KN024 (28.5% TPS≥50%).</w:t>
      </w:r>
    </w:p>
    <w:p w:rsidR="00516A59" w:rsidRDefault="007D3F6A">
      <w:pPr>
        <w:pStyle w:val="TableFooter"/>
        <w:keepNext/>
        <w:keepLines/>
        <w:widowControl/>
      </w:pPr>
      <w:r>
        <w:t>Source: Compiled during the evaluation. Current estimates from ‘Pembrolizumab_1L NSCLC KN0189_Budget Impact Model_March 2019.xlsx</w:t>
      </w:r>
    </w:p>
    <w:p w:rsidR="00516A59" w:rsidRDefault="00516A59">
      <w:pPr>
        <w:keepLines/>
        <w:widowControl/>
      </w:pPr>
    </w:p>
    <w:p w:rsidR="00516A59" w:rsidRDefault="007D3F6A">
      <w:pPr>
        <w:pStyle w:val="ListParagraph"/>
        <w:keepLines/>
        <w:widowControl/>
        <w:spacing w:after="120"/>
      </w:pPr>
      <w:r>
        <w:t xml:space="preserve">The resubmission proposed a lower price for pembrolizumab when used in combination with platinum+pemetrexed compared with that proposed in the previous submission. In addition, the vial price proposed in the resubmission and the PSCR for the TPS ≥50% population is lower than that proposed for the TPS &lt;50% population (Table </w:t>
      </w:r>
      <w:r>
        <w:rPr>
          <w:noProof/>
        </w:rPr>
        <w:t>2</w:t>
      </w:r>
      <w:r>
        <w:t xml:space="preserve">). </w:t>
      </w:r>
    </w:p>
    <w:p w:rsidR="00516A59" w:rsidRDefault="007D3F6A">
      <w:pPr>
        <w:pStyle w:val="ListParagraph"/>
        <w:keepLines/>
        <w:widowControl/>
        <w:spacing w:after="120"/>
      </w:pPr>
      <w:r>
        <w:t>When the PBAC considered the value proposition of pembrolizumab monotherapy in March 2019, taking into account the hazard ratios of pembrolizumab versus standard of care observed in both KN024 and KN042 trials, the PBAC noted that the ex-manufacturer price of pembrolizumab should be reduced to $</w:t>
      </w:r>
      <w:r w:rsidR="00845E21">
        <w:rPr>
          <w:noProof/>
          <w:color w:val="000000"/>
          <w:highlight w:val="black"/>
        </w:rPr>
        <w:t>''''''''''''''''</w:t>
      </w:r>
      <w:r>
        <w:t xml:space="preserve"> per 100 mg vial  to achieve an ICER of $45,000/QALY - $75,000/QALY</w:t>
      </w:r>
      <w:r w:rsidRPr="00213980">
        <w:t>.</w:t>
      </w:r>
      <w:r>
        <w:t xml:space="preserve"> The ESC noted that the price offered in the PSCR for the TPS ≥50% population ($</w:t>
      </w:r>
      <w:r w:rsidR="00845E21">
        <w:rPr>
          <w:noProof/>
          <w:color w:val="000000"/>
          <w:highlight w:val="black"/>
        </w:rPr>
        <w:t>''''''''''''''''</w:t>
      </w:r>
      <w:r>
        <w:t xml:space="preserve"> per 100 mg vial)</w:t>
      </w:r>
      <w:r>
        <w:rPr>
          <w:rFonts w:ascii="Arial Narrow" w:hAnsi="Arial Narrow"/>
          <w:color w:val="000000"/>
          <w:sz w:val="20"/>
          <w:szCs w:val="18"/>
        </w:rPr>
        <w:t xml:space="preserve"> </w:t>
      </w:r>
      <w:r>
        <w:t>was lower than the price recommended for pembrolizumab monotherapy at the March 2019 PBAC.</w:t>
      </w:r>
    </w:p>
    <w:p w:rsidR="00516A59" w:rsidRDefault="007D3F6A">
      <w:pPr>
        <w:pStyle w:val="ListParagraph"/>
        <w:keepLines/>
        <w:widowControl/>
        <w:spacing w:after="120"/>
      </w:pPr>
      <w:r>
        <w:t>The resubmission considered that pembrolizumab+platinum+pemetrexed would be used instead of pembrolizumab monotherapy in patients with aggressive disease and a high tumour burden. However, this was not specifically reflected in the requested restriction.</w:t>
      </w:r>
    </w:p>
    <w:p w:rsidR="00516A59" w:rsidRDefault="007D3F6A">
      <w:pPr>
        <w:pStyle w:val="ListParagraph"/>
        <w:keepLines/>
        <w:widowControl/>
        <w:numPr>
          <w:ilvl w:val="0"/>
          <w:numId w:val="0"/>
        </w:numPr>
        <w:ind w:left="720"/>
      </w:pPr>
      <w:r>
        <w:rPr>
          <w:rFonts w:asciiTheme="minorHAnsi" w:hAnsiTheme="minorHAnsi"/>
          <w:i/>
        </w:rPr>
        <w:t>For more detail on PBAC’s view, see section 7 PBAC outcome.</w:t>
      </w:r>
    </w:p>
    <w:p w:rsidR="00C17D32" w:rsidRDefault="00C17D32">
      <w:pPr>
        <w:widowControl/>
        <w:jc w:val="left"/>
        <w:rPr>
          <w:b/>
          <w:sz w:val="32"/>
        </w:rPr>
      </w:pPr>
      <w:bookmarkStart w:id="6" w:name="_Toc9436236"/>
      <w:r>
        <w:br w:type="page"/>
      </w:r>
    </w:p>
    <w:p w:rsidR="00516A59" w:rsidRDefault="007D3F6A">
      <w:pPr>
        <w:pStyle w:val="PBACHeading1"/>
        <w:keepLines/>
        <w:spacing w:before="0" w:after="0"/>
      </w:pPr>
      <w:r>
        <w:lastRenderedPageBreak/>
        <w:t>Background</w:t>
      </w:r>
      <w:bookmarkEnd w:id="6"/>
    </w:p>
    <w:p w:rsidR="00516A59" w:rsidRDefault="00516A59">
      <w:pPr>
        <w:keepLines/>
        <w:widowControl/>
        <w:rPr>
          <w:b/>
          <w:sz w:val="28"/>
          <w:szCs w:val="28"/>
        </w:rPr>
      </w:pPr>
    </w:p>
    <w:p w:rsidR="00516A59" w:rsidRPr="00216BCE" w:rsidRDefault="007D3F6A" w:rsidP="00216BCE">
      <w:pPr>
        <w:keepLines/>
        <w:widowControl/>
        <w:spacing w:after="120"/>
        <w:rPr>
          <w:b/>
          <w:i/>
          <w:sz w:val="28"/>
          <w:szCs w:val="28"/>
        </w:rPr>
      </w:pPr>
      <w:r w:rsidRPr="00216BCE">
        <w:rPr>
          <w:b/>
          <w:i/>
          <w:sz w:val="28"/>
          <w:szCs w:val="28"/>
        </w:rPr>
        <w:t>Registration status</w:t>
      </w:r>
    </w:p>
    <w:p w:rsidR="00516A59" w:rsidRDefault="007D3F6A">
      <w:pPr>
        <w:pStyle w:val="ListParagraph"/>
        <w:keepLines/>
        <w:widowControl/>
      </w:pPr>
      <w:r>
        <w:t xml:space="preserve">Pembrolizumab was approved by the TGA on 12 June 2018, for use in combination with pemetrexed + platinum chemotherapy, for the first-line treatment of patients with metastatic, non-squamous NSCLC and the indication was updated on 5 December 2018, for use only in patients “with no EGFR or ALK genomic tumour aberrations”. </w:t>
      </w:r>
    </w:p>
    <w:p w:rsidR="00516A59" w:rsidRPr="00216BCE" w:rsidRDefault="007D3F6A" w:rsidP="00216BCE">
      <w:pPr>
        <w:keepLines/>
        <w:widowControl/>
        <w:spacing w:after="120"/>
        <w:rPr>
          <w:b/>
          <w:i/>
          <w:sz w:val="28"/>
          <w:szCs w:val="28"/>
        </w:rPr>
      </w:pPr>
      <w:r w:rsidRPr="00216BCE">
        <w:rPr>
          <w:b/>
          <w:i/>
          <w:sz w:val="28"/>
          <w:szCs w:val="28"/>
        </w:rPr>
        <w:t>Previous PBAC consideration</w:t>
      </w:r>
    </w:p>
    <w:p w:rsidR="00516A59" w:rsidRDefault="007D3F6A">
      <w:pPr>
        <w:pStyle w:val="ListParagraph"/>
        <w:keepLines/>
        <w:widowControl/>
      </w:pPr>
      <w:r>
        <w:t xml:space="preserve">Table </w:t>
      </w:r>
      <w:r>
        <w:rPr>
          <w:noProof/>
        </w:rPr>
        <w:t>3</w:t>
      </w:r>
      <w:r>
        <w:rPr>
          <w:snapToGrid/>
          <w:lang w:eastAsia="en-AU"/>
        </w:rPr>
        <w:t xml:space="preserve"> summarises</w:t>
      </w:r>
      <w:r>
        <w:rPr>
          <w:snapToGrid/>
          <w:lang w:val="en-US" w:eastAsia="en-AU"/>
        </w:rPr>
        <w:t xml:space="preserve"> the outstanding PBAC concerns and how the resubmission addressed these.</w:t>
      </w:r>
    </w:p>
    <w:p w:rsidR="0065766E" w:rsidRDefault="0065766E" w:rsidP="0065766E">
      <w:pPr>
        <w:pStyle w:val="Caption"/>
        <w:keepNext/>
      </w:pPr>
      <w:r>
        <w:t xml:space="preserve">Table </w:t>
      </w:r>
      <w:r w:rsidR="0093515B">
        <w:rPr>
          <w:noProof/>
        </w:rPr>
        <w:t>3</w:t>
      </w:r>
      <w:r w:rsidRPr="00C2313C">
        <w:t>: Key outstanding matters from previous PBAC consideration (November 2018 PBAC Meeting) and how the resubmission addressed these</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Key outstanding matters from previous PBAC consideration (November 2018 PBAC Meeting) and how the resubmission addressed these"/>
      </w:tblPr>
      <w:tblGrid>
        <w:gridCol w:w="4264"/>
        <w:gridCol w:w="4753"/>
      </w:tblGrid>
      <w:tr w:rsidR="00516A59" w:rsidTr="0065766E">
        <w:trPr>
          <w:cantSplit/>
          <w:tblHeader/>
        </w:trPr>
        <w:tc>
          <w:tcPr>
            <w:tcW w:w="4264" w:type="dxa"/>
            <w:tcMar>
              <w:left w:w="28" w:type="dxa"/>
              <w:right w:w="28" w:type="dxa"/>
            </w:tcMar>
          </w:tcPr>
          <w:p w:rsidR="00516A59" w:rsidRDefault="007D3F6A">
            <w:pPr>
              <w:pStyle w:val="TableText0"/>
              <w:keepNext w:val="0"/>
              <w:keepLines/>
              <w:rPr>
                <w:b/>
              </w:rPr>
            </w:pPr>
            <w:r>
              <w:rPr>
                <w:b/>
              </w:rPr>
              <w:t>Paragraph: November 2018 PBAC PSD</w:t>
            </w:r>
          </w:p>
        </w:tc>
        <w:tc>
          <w:tcPr>
            <w:tcW w:w="4753" w:type="dxa"/>
            <w:tcMar>
              <w:left w:w="28" w:type="dxa"/>
              <w:right w:w="28" w:type="dxa"/>
            </w:tcMar>
          </w:tcPr>
          <w:p w:rsidR="00516A59" w:rsidRDefault="007D3F6A">
            <w:pPr>
              <w:pStyle w:val="TableText0"/>
              <w:keepNext w:val="0"/>
              <w:keepLines/>
              <w:rPr>
                <w:b/>
              </w:rPr>
            </w:pPr>
            <w:r>
              <w:rPr>
                <w:b/>
              </w:rPr>
              <w:t>How the resubmission addressed the issue</w:t>
            </w:r>
          </w:p>
        </w:tc>
      </w:tr>
      <w:tr w:rsidR="00516A59" w:rsidTr="0065766E">
        <w:trPr>
          <w:cantSplit/>
        </w:trPr>
        <w:tc>
          <w:tcPr>
            <w:tcW w:w="4264" w:type="dxa"/>
            <w:tcMar>
              <w:left w:w="28" w:type="dxa"/>
              <w:right w:w="28" w:type="dxa"/>
            </w:tcMar>
          </w:tcPr>
          <w:p w:rsidR="00516A59" w:rsidRDefault="007D3F6A">
            <w:pPr>
              <w:pStyle w:val="TableText0"/>
              <w:keepNext w:val="0"/>
              <w:keepLines/>
              <w:jc w:val="left"/>
            </w:pPr>
            <w:r>
              <w:t>7.2: The PBAC considered that a listing that made pembrolizumab available to patients as a first-line treatment for Stage IV NSCLC, irrespective of PD-L1 status, was appropriate but that this would require a reduction in the proposed price.</w:t>
            </w:r>
          </w:p>
          <w:p w:rsidR="00516A59" w:rsidRDefault="007D3F6A">
            <w:pPr>
              <w:pStyle w:val="TableText0"/>
              <w:keepNext w:val="0"/>
              <w:keepLines/>
              <w:jc w:val="left"/>
            </w:pPr>
            <w:r>
              <w:t>7.3: The PBAC did not agree to the request by the sponsor in the pre-PBAC response to defer consideration in patients with TPS ≥50%. The PBAC considered all patients (irrespective of their tumour PD-L1 status) should have the choice, based on the advice of their clinician, to undertake treatment with pembrolizumab in combination with chemotherapy.</w:t>
            </w:r>
          </w:p>
        </w:tc>
        <w:tc>
          <w:tcPr>
            <w:tcW w:w="4753" w:type="dxa"/>
            <w:tcMar>
              <w:left w:w="28" w:type="dxa"/>
              <w:right w:w="28" w:type="dxa"/>
            </w:tcMar>
          </w:tcPr>
          <w:p w:rsidR="00516A59" w:rsidRDefault="007D3F6A">
            <w:pPr>
              <w:pStyle w:val="TableText0"/>
              <w:keepNext w:val="0"/>
              <w:keepLines/>
              <w:jc w:val="left"/>
            </w:pPr>
            <w:r>
              <w:t xml:space="preserve">Accepted by sponsor. Restriction does not include criteria based on PD-L1 status. The price for the PD-L1 TPS ≥50% population was aligned to the current price for pembrolizumab monotherapy, (not the </w:t>
            </w:r>
            <w:r w:rsidR="00845E21">
              <w:rPr>
                <w:noProof/>
                <w:color w:val="000000"/>
                <w:highlight w:val="black"/>
              </w:rPr>
              <w:t>'''</w:t>
            </w:r>
            <w:r>
              <w:t>% price reduction recommended at the March 2019 PBAC meeting). The PSCR proposed a price for the TPS ≥50% population, which was lower than the price recommended for this population at the March 2019 PBAC.</w:t>
            </w:r>
          </w:p>
        </w:tc>
      </w:tr>
      <w:tr w:rsidR="00516A59" w:rsidTr="0065766E">
        <w:trPr>
          <w:cantSplit/>
        </w:trPr>
        <w:tc>
          <w:tcPr>
            <w:tcW w:w="4264" w:type="dxa"/>
            <w:tcMar>
              <w:left w:w="28" w:type="dxa"/>
              <w:right w:w="28" w:type="dxa"/>
            </w:tcMar>
          </w:tcPr>
          <w:p w:rsidR="00516A59" w:rsidRDefault="007D3F6A">
            <w:pPr>
              <w:pStyle w:val="TableText0"/>
              <w:keepNext w:val="0"/>
              <w:keepLines/>
              <w:jc w:val="left"/>
            </w:pPr>
            <w:r>
              <w:t>7.4: The PBAC considered the effectiveness of pembrolizumab in patients with ROS-1 translocations is unknown and the restriction should preclude the use of pembrolizumab in this subset</w:t>
            </w:r>
          </w:p>
        </w:tc>
        <w:tc>
          <w:tcPr>
            <w:tcW w:w="4753" w:type="dxa"/>
            <w:tcMar>
              <w:left w:w="28" w:type="dxa"/>
              <w:right w:w="28" w:type="dxa"/>
            </w:tcMar>
          </w:tcPr>
          <w:p w:rsidR="00516A59" w:rsidRDefault="007D3F6A">
            <w:pPr>
              <w:pStyle w:val="TableText0"/>
              <w:keepNext w:val="0"/>
              <w:keepLines/>
              <w:jc w:val="left"/>
            </w:pPr>
            <w:r>
              <w:t>Accepted by sponsor. ROS-1 patients have been excluded in the requested restriction in the resubmission.</w:t>
            </w:r>
          </w:p>
        </w:tc>
      </w:tr>
      <w:tr w:rsidR="00516A59" w:rsidTr="0065766E">
        <w:trPr>
          <w:cantSplit/>
        </w:trPr>
        <w:tc>
          <w:tcPr>
            <w:tcW w:w="4264" w:type="dxa"/>
            <w:tcMar>
              <w:left w:w="28" w:type="dxa"/>
              <w:right w:w="28" w:type="dxa"/>
            </w:tcMar>
          </w:tcPr>
          <w:p w:rsidR="00516A59" w:rsidRDefault="007D3F6A">
            <w:pPr>
              <w:pStyle w:val="TableText0"/>
              <w:keepNext w:val="0"/>
              <w:keepLines/>
              <w:jc w:val="left"/>
            </w:pPr>
            <w:r>
              <w:t xml:space="preserve">7.5: The PBAC recommended that the restriction preclude the use of pembrolizumab+platinum+pemetrexed in patients previously treated for NSCLC with PD-(L)1 therapies, regardless of disease stage or treatment line. </w:t>
            </w:r>
          </w:p>
        </w:tc>
        <w:tc>
          <w:tcPr>
            <w:tcW w:w="4753" w:type="dxa"/>
            <w:tcMar>
              <w:left w:w="28" w:type="dxa"/>
              <w:right w:w="28" w:type="dxa"/>
            </w:tcMar>
          </w:tcPr>
          <w:p w:rsidR="00516A59" w:rsidRDefault="007D3F6A">
            <w:pPr>
              <w:pStyle w:val="TableText0"/>
              <w:keepNext w:val="0"/>
              <w:keepLines/>
              <w:jc w:val="left"/>
            </w:pPr>
            <w:r>
              <w:t>Accepted by sponsor. The proposed restriction allows use of PD-(L)1 inhibitors only once per lifetime for NSCLC.</w:t>
            </w:r>
          </w:p>
        </w:tc>
      </w:tr>
      <w:tr w:rsidR="00516A59" w:rsidTr="0065766E">
        <w:trPr>
          <w:cantSplit/>
        </w:trPr>
        <w:tc>
          <w:tcPr>
            <w:tcW w:w="4264" w:type="dxa"/>
            <w:tcMar>
              <w:left w:w="28" w:type="dxa"/>
              <w:right w:w="28" w:type="dxa"/>
            </w:tcMar>
          </w:tcPr>
          <w:p w:rsidR="00516A59" w:rsidRDefault="007D3F6A">
            <w:pPr>
              <w:pStyle w:val="TableText0"/>
              <w:keepNext w:val="0"/>
              <w:keepLines/>
              <w:jc w:val="left"/>
            </w:pPr>
            <w:r>
              <w:t>7.6: For patients with a PD-L1 TPS &lt;50% and patients with a PD-L1 TPS ≥50%, the PBAC did not consider the submission’s nominated comparators to be appropriate, and that sequential treatment with a platinum doublet followed by PD-(L)1 therapy, or PD-(L)1 therapy followed by platinum doublet to be the appropriate comparators in these settings, respectively.</w:t>
            </w:r>
          </w:p>
        </w:tc>
        <w:tc>
          <w:tcPr>
            <w:tcW w:w="4753" w:type="dxa"/>
            <w:tcMar>
              <w:left w:w="28" w:type="dxa"/>
              <w:right w:w="28" w:type="dxa"/>
            </w:tcMar>
          </w:tcPr>
          <w:p w:rsidR="00516A59" w:rsidRDefault="007D3F6A">
            <w:pPr>
              <w:pStyle w:val="TableText0"/>
              <w:keepNext w:val="0"/>
              <w:keepLines/>
              <w:jc w:val="left"/>
            </w:pPr>
            <w:r>
              <w:t>Accepted by sponsor. The sponsor has updated the comparators as follows:</w:t>
            </w:r>
          </w:p>
          <w:p w:rsidR="00516A59" w:rsidRDefault="007D3F6A">
            <w:pPr>
              <w:pStyle w:val="TableText0"/>
              <w:keepNext w:val="0"/>
              <w:keepLines/>
              <w:jc w:val="left"/>
            </w:pPr>
            <w:r>
              <w:t>TPS &lt;50%: Platinum doublet chemotherapy followed by PD-(L)1 inhibitors.</w:t>
            </w:r>
          </w:p>
          <w:p w:rsidR="00516A59" w:rsidRDefault="007D3F6A">
            <w:pPr>
              <w:pStyle w:val="TableText0"/>
              <w:keepNext w:val="0"/>
              <w:keepLines/>
              <w:jc w:val="left"/>
            </w:pPr>
            <w:r>
              <w:t>TPS ≥50%: Pembrolizumab monotherapy followed by platinum doublet.</w:t>
            </w:r>
          </w:p>
        </w:tc>
      </w:tr>
      <w:tr w:rsidR="00516A59" w:rsidTr="0065766E">
        <w:trPr>
          <w:cantSplit/>
        </w:trPr>
        <w:tc>
          <w:tcPr>
            <w:tcW w:w="4264" w:type="dxa"/>
            <w:tcMar>
              <w:left w:w="28" w:type="dxa"/>
              <w:right w:w="28" w:type="dxa"/>
            </w:tcMar>
          </w:tcPr>
          <w:p w:rsidR="00516A59" w:rsidRDefault="007D3F6A">
            <w:pPr>
              <w:pStyle w:val="TableText0"/>
              <w:keepNext w:val="0"/>
              <w:keepLines/>
              <w:jc w:val="left"/>
            </w:pPr>
            <w:r>
              <w:lastRenderedPageBreak/>
              <w:t>7.7: The PBAC noted that the KN-189 clinical trial demonstrated a statistically significant improvement in OS and PFS in the ITT, TPS &lt;50% and ≥50% populations treated with pembrolizumab+platinum+pemetrexed. However, the data remained immature with median OS not reached in the pembrolizumab+platinum+pemetrexed arm.</w:t>
            </w:r>
          </w:p>
        </w:tc>
        <w:tc>
          <w:tcPr>
            <w:tcW w:w="4753" w:type="dxa"/>
            <w:tcMar>
              <w:left w:w="28" w:type="dxa"/>
              <w:right w:w="28" w:type="dxa"/>
            </w:tcMar>
          </w:tcPr>
          <w:p w:rsidR="00516A59" w:rsidRDefault="007D3F6A">
            <w:pPr>
              <w:pStyle w:val="TableText0"/>
              <w:keepNext w:val="0"/>
              <w:keepLines/>
              <w:jc w:val="left"/>
            </w:pPr>
            <w:r>
              <w:t xml:space="preserve">The sponsor provided an additional 6 months’ follow up data from KN189. For the ITT population, median OS has now been reached in both trial arms (pembrolizumab+platinum+pemetrexed: 22.0 months, 95% CI: 19.5, 25.2; Standard of Care (SoC) 11.3 months, 95% CI: 8.7, 15.1). In the updated data, the median OS for patients with a PD-L1 TPS ≥50% was not reached. </w:t>
            </w:r>
          </w:p>
        </w:tc>
      </w:tr>
      <w:tr w:rsidR="00516A59" w:rsidTr="0065766E">
        <w:trPr>
          <w:cantSplit/>
        </w:trPr>
        <w:tc>
          <w:tcPr>
            <w:tcW w:w="4264" w:type="dxa"/>
            <w:tcMar>
              <w:left w:w="28" w:type="dxa"/>
              <w:right w:w="28" w:type="dxa"/>
            </w:tcMar>
          </w:tcPr>
          <w:p w:rsidR="00516A59" w:rsidRDefault="007D3F6A">
            <w:pPr>
              <w:pStyle w:val="TableText0"/>
              <w:keepNext w:val="0"/>
              <w:keepLines/>
              <w:jc w:val="left"/>
            </w:pPr>
            <w:r>
              <w:t>7.8: For the PD-L1 TPS ≥50% subgroup, the PBAC agreed with ESC that the indirect comparison with pembrolizumab monotherapy using the KN024 trial was highly uncertain. The PBAC noted that the estimate of the indirect treatment effect was not statistically significant, and a claim of non-inferiority would have been more appropriate.</w:t>
            </w:r>
          </w:p>
        </w:tc>
        <w:tc>
          <w:tcPr>
            <w:tcW w:w="4753" w:type="dxa"/>
            <w:tcMar>
              <w:left w:w="28" w:type="dxa"/>
              <w:right w:w="28" w:type="dxa"/>
            </w:tcMar>
          </w:tcPr>
          <w:p w:rsidR="00516A59" w:rsidRDefault="007D3F6A">
            <w:pPr>
              <w:pStyle w:val="TableText0"/>
              <w:keepNext w:val="0"/>
              <w:keepLines/>
              <w:jc w:val="left"/>
            </w:pPr>
            <w:r>
              <w:t xml:space="preserve">The estimate of PFS HR for the indirect comparison between KN189 and (KN024+KN042) was statistically significant (PFS HR: </w:t>
            </w:r>
            <w:r w:rsidR="00845E21">
              <w:rPr>
                <w:noProof/>
                <w:color w:val="000000"/>
                <w:highlight w:val="black"/>
              </w:rPr>
              <w:t>''''''''''''</w:t>
            </w:r>
            <w:r>
              <w:t xml:space="preserve"> (95% CI: </w:t>
            </w:r>
            <w:r w:rsidR="00845E21">
              <w:rPr>
                <w:noProof/>
                <w:color w:val="000000"/>
                <w:highlight w:val="black"/>
              </w:rPr>
              <w:t>''''''''''</w:t>
            </w:r>
            <w:r>
              <w:t xml:space="preserve">, </w:t>
            </w:r>
            <w:r w:rsidR="00845E21">
              <w:rPr>
                <w:noProof/>
                <w:color w:val="000000"/>
                <w:highlight w:val="black"/>
              </w:rPr>
              <w:t>''''''''''</w:t>
            </w:r>
            <w:r>
              <w:t xml:space="preserve">)), but the OS HR was not (OS HR: </w:t>
            </w:r>
            <w:r w:rsidR="00845E21">
              <w:rPr>
                <w:noProof/>
                <w:color w:val="000000"/>
                <w:highlight w:val="black"/>
              </w:rPr>
              <w:t>''''''''''</w:t>
            </w:r>
            <w:r>
              <w:t xml:space="preserve"> (95% CI: </w:t>
            </w:r>
            <w:r w:rsidR="00845E21">
              <w:rPr>
                <w:noProof/>
                <w:color w:val="000000"/>
                <w:highlight w:val="black"/>
              </w:rPr>
              <w:t>'''''''''''</w:t>
            </w:r>
            <w:r>
              <w:t xml:space="preserve">, </w:t>
            </w:r>
            <w:r w:rsidR="00845E21">
              <w:rPr>
                <w:noProof/>
                <w:color w:val="000000"/>
                <w:highlight w:val="black"/>
              </w:rPr>
              <w:t>''''''''''</w:t>
            </w:r>
            <w:r>
              <w:t>)). There were important transitivity and methodological concerns with the indirect comparisons.</w:t>
            </w:r>
          </w:p>
          <w:p w:rsidR="00516A59" w:rsidRDefault="00516A59">
            <w:pPr>
              <w:pStyle w:val="TableText0"/>
              <w:keepNext w:val="0"/>
              <w:keepLines/>
              <w:jc w:val="left"/>
            </w:pPr>
          </w:p>
          <w:p w:rsidR="00516A59" w:rsidRDefault="00516A59">
            <w:pPr>
              <w:pStyle w:val="TableText0"/>
              <w:keepNext w:val="0"/>
              <w:keepLines/>
              <w:jc w:val="left"/>
            </w:pPr>
          </w:p>
        </w:tc>
      </w:tr>
      <w:tr w:rsidR="00516A59" w:rsidTr="0065766E">
        <w:trPr>
          <w:cantSplit/>
        </w:trPr>
        <w:tc>
          <w:tcPr>
            <w:tcW w:w="4264" w:type="dxa"/>
            <w:tcMar>
              <w:left w:w="28" w:type="dxa"/>
              <w:right w:w="28" w:type="dxa"/>
            </w:tcMar>
          </w:tcPr>
          <w:p w:rsidR="00516A59" w:rsidRDefault="007D3F6A">
            <w:pPr>
              <w:pStyle w:val="TableText0"/>
              <w:keepNext w:val="0"/>
              <w:keepLines/>
              <w:jc w:val="left"/>
            </w:pPr>
            <w:r>
              <w:t>7.12: The PBAC noted that, if the subsequent use of PD-(L)1 inhibitors in the key trial differed from use in the Australian setting, then the treatment effect observed in the key trial may also differ in Australian practice, and this will affect the estimate of the ICER. The PBAC noted that the proportion of patients in KN189 who crossed over was reported for the ITT population, but could not be located for the PD-L1 TPS &lt;50% subgroup.</w:t>
            </w:r>
          </w:p>
        </w:tc>
        <w:tc>
          <w:tcPr>
            <w:tcW w:w="4753" w:type="dxa"/>
            <w:tcMar>
              <w:left w:w="28" w:type="dxa"/>
              <w:right w:w="28" w:type="dxa"/>
            </w:tcMar>
          </w:tcPr>
          <w:p w:rsidR="00516A59" w:rsidRDefault="007D3F6A">
            <w:pPr>
              <w:pStyle w:val="TableText0"/>
              <w:keepNext w:val="0"/>
              <w:keepLines/>
              <w:jc w:val="left"/>
            </w:pPr>
            <w:r>
              <w:t>The resubmission provided data on subsequent therapies which indicated that, for the TPS &lt;50% population, 88% of patients who took a 2</w:t>
            </w:r>
            <w:r>
              <w:rPr>
                <w:vertAlign w:val="superscript"/>
              </w:rPr>
              <w:t>nd</w:t>
            </w:r>
            <w:r>
              <w:t xml:space="preserve"> line treatment went on to receive an anti-PD-(L)1. The resubmission stated that this was aligned with the current usage of 2</w:t>
            </w:r>
            <w:r>
              <w:rPr>
                <w:vertAlign w:val="superscript"/>
              </w:rPr>
              <w:t>nd</w:t>
            </w:r>
            <w:r>
              <w:t xml:space="preserve"> line PD-(L)1-inhibitor therapy after failure of chemotherapy in the Australian setting (92%). “Taken together, this supports a significant clinical benefit of Pembro Combo compared to platinum doublet followed by an anti-PD-(L)1 which is applicable to the Australian setting.” </w:t>
            </w:r>
          </w:p>
        </w:tc>
      </w:tr>
      <w:tr w:rsidR="00516A59" w:rsidTr="0065766E">
        <w:trPr>
          <w:cantSplit/>
        </w:trPr>
        <w:tc>
          <w:tcPr>
            <w:tcW w:w="4264" w:type="dxa"/>
            <w:tcMar>
              <w:left w:w="28" w:type="dxa"/>
              <w:right w:w="28" w:type="dxa"/>
            </w:tcMar>
          </w:tcPr>
          <w:p w:rsidR="00516A59" w:rsidRDefault="007D3F6A">
            <w:pPr>
              <w:pStyle w:val="TableText0"/>
              <w:keepNext w:val="0"/>
              <w:keepLines/>
              <w:jc w:val="left"/>
            </w:pPr>
            <w:r>
              <w:t>7.10: Regarding the economic analysis for the PD-L1 TPS &lt;50% subgroup, the PBAC agreed with the ESC that the extrapolation method, was not conservative and likely underestimated the ICER.</w:t>
            </w:r>
          </w:p>
          <w:p w:rsidR="00516A59" w:rsidRDefault="007D3F6A">
            <w:pPr>
              <w:pStyle w:val="TableText0"/>
              <w:keepNext w:val="0"/>
              <w:keepLines/>
              <w:jc w:val="left"/>
            </w:pPr>
            <w:r>
              <w:t>7.11: The PBAC agreed with the ESC that separately fitting OS extrapolations may be more appropriate, but considered that any extrapolation out to 7.5 years that maintained a substantial separation of the survival curves to be uncertain in the context of the maturity of the trial data.</w:t>
            </w:r>
          </w:p>
        </w:tc>
        <w:tc>
          <w:tcPr>
            <w:tcW w:w="4753" w:type="dxa"/>
            <w:tcMar>
              <w:left w:w="28" w:type="dxa"/>
              <w:right w:w="28" w:type="dxa"/>
            </w:tcMar>
          </w:tcPr>
          <w:p w:rsidR="00516A59" w:rsidRDefault="007D3F6A">
            <w:pPr>
              <w:pStyle w:val="TableText0"/>
              <w:keepNext w:val="0"/>
              <w:keepLines/>
              <w:jc w:val="left"/>
            </w:pPr>
            <w:r>
              <w:t xml:space="preserve">The base case CUA for the PD-L1 &lt;50% population employed the most conservative extrapolation function available (i.e. Gompertz) fitted individually to the pembrolizumab+platinum+pemetrexed and platinum doublet OS functions instead of employing a proportional hazards approach. These survival curves converge by the end of the modelled time horizon (i.e. 7.5 years). </w:t>
            </w:r>
          </w:p>
          <w:p w:rsidR="00516A59" w:rsidRDefault="00516A59">
            <w:pPr>
              <w:pStyle w:val="TableText0"/>
              <w:keepNext w:val="0"/>
              <w:keepLines/>
              <w:jc w:val="left"/>
            </w:pPr>
          </w:p>
          <w:p w:rsidR="00516A59" w:rsidRDefault="007D3F6A">
            <w:pPr>
              <w:pStyle w:val="TableText0"/>
              <w:keepNext w:val="0"/>
              <w:keepLines/>
              <w:jc w:val="left"/>
            </w:pPr>
            <w:r>
              <w:t xml:space="preserve">The use of the better fitting Weibull function was also tested in sensitivity analyses. This generated a lower ICER than that for the base case. </w:t>
            </w:r>
          </w:p>
        </w:tc>
      </w:tr>
      <w:tr w:rsidR="00516A59" w:rsidTr="0065766E">
        <w:trPr>
          <w:cantSplit/>
        </w:trPr>
        <w:tc>
          <w:tcPr>
            <w:tcW w:w="4264" w:type="dxa"/>
            <w:tcMar>
              <w:left w:w="28" w:type="dxa"/>
              <w:right w:w="28" w:type="dxa"/>
            </w:tcMar>
          </w:tcPr>
          <w:p w:rsidR="00516A59" w:rsidRDefault="007D3F6A">
            <w:pPr>
              <w:pStyle w:val="TableText0"/>
              <w:keepNext w:val="0"/>
              <w:keepLines/>
              <w:jc w:val="left"/>
            </w:pPr>
            <w:r>
              <w:t>7.16: The PBAC agreed with ESC that a cost-minimisation approach would be more appropriate for this patient group [TPS ≥50% subgroup]</w:t>
            </w:r>
          </w:p>
        </w:tc>
        <w:tc>
          <w:tcPr>
            <w:tcW w:w="4753" w:type="dxa"/>
            <w:tcMar>
              <w:left w:w="28" w:type="dxa"/>
              <w:right w:w="28" w:type="dxa"/>
            </w:tcMar>
          </w:tcPr>
          <w:p w:rsidR="00516A59" w:rsidRDefault="007D3F6A">
            <w:pPr>
              <w:pStyle w:val="TableText0"/>
              <w:keepNext w:val="0"/>
              <w:keepLines/>
              <w:jc w:val="left"/>
            </w:pPr>
            <w:r>
              <w:t>The resubmission disagreed with the PBAC and again presented a CUA for this patient group. The PSCR offered a price reduction for this population.</w:t>
            </w:r>
          </w:p>
        </w:tc>
      </w:tr>
      <w:tr w:rsidR="00516A59" w:rsidTr="0065766E">
        <w:trPr>
          <w:cantSplit/>
        </w:trPr>
        <w:tc>
          <w:tcPr>
            <w:tcW w:w="4264" w:type="dxa"/>
            <w:tcMar>
              <w:left w:w="28" w:type="dxa"/>
              <w:right w:w="28" w:type="dxa"/>
            </w:tcMar>
          </w:tcPr>
          <w:p w:rsidR="00516A59" w:rsidRDefault="007D3F6A">
            <w:pPr>
              <w:pStyle w:val="TableText0"/>
              <w:keepNext w:val="0"/>
              <w:keepLines/>
              <w:jc w:val="left"/>
            </w:pPr>
            <w:r>
              <w:t>7.19 The PBAC noted the high financial cost associated with the sponsor’s proposed listing. The PBAC considered the additional costs associated with the listing as presented in the pre-PBAC response appeared implausible as the majority of patients who would be eligible for treatment under the proposed listing are already eligible for treatment with a PD-(L)1 inhibitor before or after platinum doublet therapy. The PBAC requested the sponsor revisit these estimates in any future submission.</w:t>
            </w:r>
          </w:p>
        </w:tc>
        <w:tc>
          <w:tcPr>
            <w:tcW w:w="4753" w:type="dxa"/>
            <w:tcMar>
              <w:left w:w="28" w:type="dxa"/>
              <w:right w:w="28" w:type="dxa"/>
            </w:tcMar>
          </w:tcPr>
          <w:p w:rsidR="00516A59" w:rsidRDefault="007D3F6A">
            <w:pPr>
              <w:pStyle w:val="TableText0"/>
              <w:keepNext w:val="0"/>
              <w:keepLines/>
              <w:jc w:val="left"/>
            </w:pPr>
            <w:r>
              <w:t xml:space="preserve">The resubmission provided updated financial estimates based on the parameters identified in the PBAC Minutes, with the exception of the uptake of current chemotherapy regimens for the PD-L1 TPS &lt;50% population (adjusted from 81% to 71%) and market share of pembrolizumab+platinum+pemetrexed  relative to pembrolizumab monotherapy (from 80% to 30%). </w:t>
            </w:r>
          </w:p>
        </w:tc>
      </w:tr>
    </w:tbl>
    <w:p w:rsidR="00516A59" w:rsidRDefault="007D3F6A">
      <w:pPr>
        <w:pStyle w:val="TableFooter"/>
        <w:keepLines/>
        <w:widowControl/>
      </w:pPr>
      <w:r>
        <w:t>CUA = cost utility analysis; ITC = indirect treatment comparison; NSQ = non-squamous; NSCLC = non-small cell lung cancer; PD-L1 = programmed death ligand 1, TPS = tumour proportion score, OS = overall survival, PFS = progression free survival HR = hazard ratio; ITT = intention to treat.</w:t>
      </w:r>
    </w:p>
    <w:p w:rsidR="00516A59" w:rsidRDefault="007D3F6A">
      <w:pPr>
        <w:pStyle w:val="TableFooter"/>
        <w:keepLines/>
        <w:widowControl/>
      </w:pPr>
      <w:r>
        <w:t xml:space="preserve">Source: November 2018 PBAC PSD and Section 1 of the resubmission </w:t>
      </w:r>
    </w:p>
    <w:p w:rsidR="00516A59" w:rsidRDefault="00516A59">
      <w:pPr>
        <w:pStyle w:val="ListParagraph"/>
        <w:keepLines/>
        <w:widowControl/>
        <w:numPr>
          <w:ilvl w:val="0"/>
          <w:numId w:val="0"/>
        </w:numPr>
        <w:ind w:left="720"/>
        <w:rPr>
          <w:rFonts w:asciiTheme="minorHAnsi" w:hAnsiTheme="minorHAnsi"/>
          <w:i/>
          <w:highlight w:val="yellow"/>
        </w:rPr>
      </w:pPr>
    </w:p>
    <w:p w:rsidR="00C17D32" w:rsidRDefault="00C17D32">
      <w:pPr>
        <w:widowControl/>
        <w:jc w:val="left"/>
        <w:rPr>
          <w:b/>
          <w:sz w:val="32"/>
        </w:rPr>
      </w:pPr>
      <w:bookmarkStart w:id="7" w:name="_Toc371170702"/>
      <w:bookmarkStart w:id="8" w:name="_Toc9436237"/>
      <w:r>
        <w:br w:type="page"/>
      </w:r>
    </w:p>
    <w:p w:rsidR="00516A59" w:rsidRDefault="007D3F6A">
      <w:pPr>
        <w:pStyle w:val="PBACHeading1"/>
        <w:keepLines/>
        <w:spacing w:before="0" w:after="0"/>
      </w:pPr>
      <w:r>
        <w:lastRenderedPageBreak/>
        <w:t>Population and disease</w:t>
      </w:r>
      <w:bookmarkEnd w:id="7"/>
      <w:bookmarkEnd w:id="8"/>
    </w:p>
    <w:p w:rsidR="00516A59" w:rsidRDefault="00516A59">
      <w:pPr>
        <w:keepLines/>
        <w:widowControl/>
      </w:pPr>
    </w:p>
    <w:p w:rsidR="00516A59" w:rsidRDefault="007D3F6A">
      <w:pPr>
        <w:pStyle w:val="ListParagraph"/>
        <w:keepLines/>
        <w:widowControl/>
        <w:spacing w:after="120"/>
      </w:pPr>
      <w:r>
        <w:t>Lung cancer is the leading cause of death and the fifth most common cancer diagnosed in Australia. NSCLC is the most common type of lung cancer and accounts for around 80% of all cases. The 1-year and 5-year relative survival at diagnosis for all Australian lung cancer patients were estimated as 41.6% and 15.8%, respectively (AIHW 2017).</w:t>
      </w:r>
    </w:p>
    <w:p w:rsidR="00516A59" w:rsidRDefault="007D3F6A">
      <w:pPr>
        <w:pStyle w:val="ListParagraph"/>
        <w:keepLines/>
        <w:widowControl/>
        <w:spacing w:after="120"/>
      </w:pPr>
      <w:r>
        <w:t>Pembrolizumab+platinum+pemetrexed was proposed as first-line treatment for patients with Stage IV NSQ NSCLC, with an ECOG status of 0 or 1, who are EGFR wild type and negative for ALK or ROS1 gene rearrangements in tumour material. This is unchanged from the previous submission, except for the explicit preclusion of patients with ROS1 gene rearrangement, which is in line with PBAC advice on the previous submission.</w:t>
      </w:r>
    </w:p>
    <w:p w:rsidR="00516A59" w:rsidRDefault="007D3F6A">
      <w:pPr>
        <w:pStyle w:val="ListParagraph"/>
        <w:keepLines/>
        <w:widowControl/>
        <w:numPr>
          <w:ilvl w:val="0"/>
          <w:numId w:val="0"/>
        </w:numPr>
        <w:ind w:left="720"/>
        <w:rPr>
          <w:i/>
        </w:rPr>
      </w:pPr>
      <w:r>
        <w:rPr>
          <w:i/>
        </w:rPr>
        <w:t>For more detail on PBAC’s view, see section 7 PBAC outcome.</w:t>
      </w:r>
    </w:p>
    <w:p w:rsidR="00516A59" w:rsidRDefault="007D3F6A">
      <w:pPr>
        <w:pStyle w:val="PBACHeading1"/>
        <w:keepLines/>
        <w:spacing w:before="0" w:after="0"/>
      </w:pPr>
      <w:bookmarkStart w:id="9" w:name="_Toc371170703"/>
      <w:bookmarkStart w:id="10" w:name="_Toc9436238"/>
      <w:r>
        <w:t>Comparator</w:t>
      </w:r>
      <w:bookmarkEnd w:id="9"/>
      <w:bookmarkEnd w:id="10"/>
    </w:p>
    <w:p w:rsidR="00516A59" w:rsidRDefault="00516A59">
      <w:pPr>
        <w:keepLines/>
        <w:widowControl/>
      </w:pPr>
    </w:p>
    <w:p w:rsidR="00516A59" w:rsidRDefault="007D3F6A">
      <w:pPr>
        <w:pStyle w:val="ListParagraph"/>
        <w:keepLines/>
        <w:widowControl/>
        <w:spacing w:after="0"/>
      </w:pPr>
      <w:r>
        <w:t>The resubmission nominated two comparators:</w:t>
      </w:r>
    </w:p>
    <w:p w:rsidR="00516A59" w:rsidRDefault="007D3F6A">
      <w:pPr>
        <w:pStyle w:val="ListParagraph"/>
        <w:keepLines/>
        <w:widowControl/>
        <w:numPr>
          <w:ilvl w:val="0"/>
          <w:numId w:val="5"/>
        </w:numPr>
        <w:spacing w:after="0"/>
      </w:pPr>
      <w:r>
        <w:t xml:space="preserve">PD-L1 TPS &lt;50%: platinum doublet followed by a PD-(L)1 inhibitor; </w:t>
      </w:r>
    </w:p>
    <w:p w:rsidR="00516A59" w:rsidRDefault="007D3F6A">
      <w:pPr>
        <w:pStyle w:val="ListParagraph"/>
        <w:keepLines/>
        <w:widowControl/>
        <w:numPr>
          <w:ilvl w:val="0"/>
          <w:numId w:val="5"/>
        </w:numPr>
        <w:spacing w:after="0"/>
      </w:pPr>
      <w:r>
        <w:t>PD-L1 TPS ≥50%: pembrolizumab monotherapy followed by a platinum doublet.</w:t>
      </w:r>
    </w:p>
    <w:p w:rsidR="00516A59" w:rsidRDefault="007D3F6A">
      <w:pPr>
        <w:pStyle w:val="ListParagraph"/>
        <w:keepLines/>
        <w:widowControl/>
        <w:spacing w:after="0"/>
      </w:pPr>
      <w:r>
        <w:t>Compared with the previous submission, the nominated comparators in the resubmission have been revised to include sequential treatment. This includes a platinum doublet followed by PD-(L)1 therapy, or PD-(L)1 therapy followed by platinum doublet for patients with PD-L1 TPS &lt;50% and PD-L1 TPS ≥50%, respectively. These changes are appropriate and consistent with PBAC advice on the previous submission (Paragraph 7.6, Item 6.6, Pembrolizumab PSD, November 2018).</w:t>
      </w:r>
    </w:p>
    <w:p w:rsidR="00516A59" w:rsidRDefault="007D3F6A">
      <w:pPr>
        <w:pStyle w:val="ListParagraph"/>
        <w:keepLines/>
        <w:widowControl/>
        <w:spacing w:after="0"/>
      </w:pPr>
      <w:r>
        <w:t xml:space="preserve">The resubmission also identified atezolizumab+bevacizumab+carboplatin+paclitaxel (ABCP) as a near-term comparator, which was appropriate as it was recommended for a similar population at the March 2019 meeting. </w:t>
      </w:r>
    </w:p>
    <w:p w:rsidR="00516A59" w:rsidRDefault="007D3F6A">
      <w:pPr>
        <w:pStyle w:val="ListParagraph"/>
        <w:keepLines/>
        <w:widowControl/>
        <w:numPr>
          <w:ilvl w:val="0"/>
          <w:numId w:val="0"/>
        </w:numPr>
        <w:ind w:left="720"/>
        <w:rPr>
          <w:i/>
        </w:rPr>
      </w:pPr>
      <w:r>
        <w:rPr>
          <w:i/>
        </w:rPr>
        <w:t>For more detail on PBAC’s view, see section 7 PBAC outcome.</w:t>
      </w:r>
    </w:p>
    <w:p w:rsidR="00516A59" w:rsidRDefault="007D3F6A">
      <w:pPr>
        <w:pStyle w:val="PBACHeading1"/>
        <w:keepLines/>
      </w:pPr>
      <w:bookmarkStart w:id="11" w:name="_Toc9436239"/>
      <w:r>
        <w:t>Consideration of the evidence</w:t>
      </w:r>
      <w:bookmarkEnd w:id="11"/>
    </w:p>
    <w:p w:rsidR="00516A59" w:rsidRDefault="007D3F6A">
      <w:pPr>
        <w:pStyle w:val="Heading2"/>
      </w:pPr>
      <w:bookmarkStart w:id="12" w:name="_Toc371170705"/>
      <w:bookmarkStart w:id="13" w:name="_Toc9436240"/>
      <w:r>
        <w:t>Sponsor hearing</w:t>
      </w:r>
    </w:p>
    <w:p w:rsidR="00516A59" w:rsidRDefault="007D3F6A">
      <w:pPr>
        <w:keepLines/>
        <w:widowControl/>
        <w:numPr>
          <w:ilvl w:val="1"/>
          <w:numId w:val="1"/>
        </w:numPr>
        <w:spacing w:after="120"/>
        <w:rPr>
          <w:rFonts w:asciiTheme="minorHAnsi" w:hAnsiTheme="minorHAnsi"/>
          <w:bCs/>
          <w:szCs w:val="24"/>
        </w:rPr>
      </w:pPr>
      <w:r>
        <w:rPr>
          <w:rFonts w:asciiTheme="minorHAnsi" w:hAnsiTheme="minorHAnsi"/>
          <w:bCs/>
          <w:szCs w:val="24"/>
        </w:rPr>
        <w:t>The sponsor requested a hearing for this item. The clinician presented clinical case studies, and discussed how the drug would be used in practice. The PBAC considered that the hearing was not informative as it did not add substantively to the evidence presented in the submission.</w:t>
      </w:r>
    </w:p>
    <w:p w:rsidR="00C17D32" w:rsidRDefault="00C17D32">
      <w:pPr>
        <w:widowControl/>
        <w:jc w:val="left"/>
        <w:rPr>
          <w:b/>
          <w:i/>
          <w:sz w:val="28"/>
        </w:rPr>
      </w:pPr>
      <w:r>
        <w:br w:type="page"/>
      </w:r>
    </w:p>
    <w:p w:rsidR="00516A59" w:rsidRDefault="007D3F6A">
      <w:pPr>
        <w:pStyle w:val="Heading2"/>
      </w:pPr>
      <w:r>
        <w:lastRenderedPageBreak/>
        <w:t>Consumer comments</w:t>
      </w:r>
    </w:p>
    <w:p w:rsidR="00516A59" w:rsidRDefault="007D3F6A">
      <w:pPr>
        <w:keepLines/>
        <w:widowControl/>
        <w:numPr>
          <w:ilvl w:val="1"/>
          <w:numId w:val="1"/>
        </w:numPr>
        <w:spacing w:after="120"/>
        <w:rPr>
          <w:rFonts w:asciiTheme="minorHAnsi" w:hAnsiTheme="minorHAnsi"/>
          <w:bCs/>
          <w:szCs w:val="24"/>
        </w:rPr>
      </w:pPr>
      <w:r>
        <w:rPr>
          <w:rFonts w:asciiTheme="minorHAnsi" w:hAnsiTheme="minorHAnsi"/>
          <w:bCs/>
          <w:szCs w:val="24"/>
        </w:rPr>
        <w:t xml:space="preserve">The PBAC noted and welcomed the input from individuals (2) and health care professionals (16) via the Consumer Comments facility on the PBS website. The comments described a range of benefits of treatment with pembrolizumab in combination with chemotherapy, including survival benefits and tolerable side effects when compared with chemotherapy alone. Several comments supported the listing, as it would provide access to first-line pembrolizumab for patients with lower PD-L1 expression. </w:t>
      </w:r>
    </w:p>
    <w:p w:rsidR="00516A59" w:rsidRDefault="007D3F6A">
      <w:pPr>
        <w:pStyle w:val="ListParagraph"/>
        <w:spacing w:after="120"/>
      </w:pPr>
      <w:r>
        <w:t>The PBAC also noted and welcomed input from the Lung Foundation Australia. The Lung Foundation considered that this regime would be offered as routine standard of care for patients for patients with Stage IV non-squamous NSCLC, as it extends both PFS and OS, and would make first-line immunotherapy available to patients regardless of PD-L1 expression. The Lung Foundation commented that a proportion of patients with TPS&lt;50% who progress after chemotherapy do not currently go on to receive available second line immunotherapy agents. Furthermore, for patients with TPS&gt;50%, potentially eligible patients may be unable to access pembrolizumab monotherapy if a biopsy is unsuitable for testing and therefore their PD-L1 status unknown. Thus, it claimed that the current PBS arrangements do not provide the maximum possible impact of immunotherapy for the maximum number of NSCLC patients.</w:t>
      </w:r>
    </w:p>
    <w:p w:rsidR="00516A59" w:rsidRDefault="007D3F6A">
      <w:pPr>
        <w:keepLines/>
        <w:widowControl/>
        <w:numPr>
          <w:ilvl w:val="1"/>
          <w:numId w:val="1"/>
        </w:numPr>
        <w:spacing w:after="120"/>
        <w:rPr>
          <w:rFonts w:asciiTheme="minorHAnsi" w:hAnsiTheme="minorHAnsi"/>
          <w:bCs/>
          <w:szCs w:val="24"/>
        </w:rPr>
      </w:pPr>
      <w:r>
        <w:rPr>
          <w:rFonts w:asciiTheme="minorHAnsi" w:hAnsiTheme="minorHAnsi"/>
          <w:bCs/>
          <w:szCs w:val="24"/>
        </w:rPr>
        <w:t>The Medical Oncology Group of Australia (MOGA) also expressed its strong support for the submission, categorising it as one of the therapies of “highest priority for PBS listing” on the basis of the Keynote-189 trial. The PBAC noted that the MOGA presented a European Society for Medical Oncology Magnitude of Clinical Benefit Scale (ESMO-MCBS) for pembrolizumab and chemotherapy combination therapy, of 5 (out of a maximum of 5, where 5 and 4 represent the grades with substantial improvement)</w:t>
      </w:r>
      <w:r>
        <w:rPr>
          <w:rStyle w:val="FootnoteReference"/>
          <w:rFonts w:asciiTheme="minorHAnsi" w:hAnsiTheme="minorHAnsi"/>
          <w:bCs/>
          <w:szCs w:val="24"/>
        </w:rPr>
        <w:footnoteReference w:id="1"/>
      </w:r>
      <w:r>
        <w:rPr>
          <w:rFonts w:asciiTheme="minorHAnsi" w:hAnsiTheme="minorHAnsi"/>
          <w:bCs/>
          <w:szCs w:val="24"/>
          <w:vertAlign w:val="superscript"/>
        </w:rPr>
        <w:t xml:space="preserve"> </w:t>
      </w:r>
      <w:r>
        <w:rPr>
          <w:rFonts w:asciiTheme="minorHAnsi" w:hAnsiTheme="minorHAnsi"/>
          <w:bCs/>
          <w:szCs w:val="24"/>
        </w:rPr>
        <w:t>based on a comparison with chemotherapy alone.</w:t>
      </w:r>
    </w:p>
    <w:p w:rsidR="00516A59" w:rsidRDefault="00516A59">
      <w:pPr>
        <w:keepLines/>
        <w:widowControl/>
      </w:pPr>
    </w:p>
    <w:p w:rsidR="00516A59" w:rsidRDefault="007D3F6A" w:rsidP="00C17D32">
      <w:pPr>
        <w:pStyle w:val="Heading2"/>
      </w:pPr>
      <w:r>
        <w:t>Clinical trials</w:t>
      </w:r>
      <w:bookmarkEnd w:id="12"/>
      <w:bookmarkEnd w:id="13"/>
    </w:p>
    <w:p w:rsidR="00516A59" w:rsidRDefault="007D3F6A">
      <w:pPr>
        <w:pStyle w:val="ListParagraph"/>
        <w:keepLines/>
        <w:widowControl/>
      </w:pPr>
      <w:r>
        <w:t>The resubmission was based on:</w:t>
      </w:r>
    </w:p>
    <w:p w:rsidR="00516A59" w:rsidRDefault="007D3F6A">
      <w:pPr>
        <w:pStyle w:val="ListParagraph"/>
        <w:keepLines/>
        <w:widowControl/>
        <w:numPr>
          <w:ilvl w:val="0"/>
          <w:numId w:val="5"/>
        </w:numPr>
        <w:spacing w:after="120"/>
      </w:pPr>
      <w:r>
        <w:rPr>
          <w:u w:val="single"/>
        </w:rPr>
        <w:lastRenderedPageBreak/>
        <w:t>In patients with PD-L1 TPS &lt;50%,</w:t>
      </w:r>
      <w:r>
        <w:t xml:space="preserve"> a subgroup analysis of TPS &lt;50% patients from one head-to-head randomised trial (KN189), comparing pembrolizumab+platinum+pemetrexed versus platinum+pemetrexed, followed by anti PD-(L)1 therapy (patients enrolled in KN189 were not selected based on PD-L1 status). This was unchanged from the previous submission. Updated efficacy data from the previous submission from KN189 (median duration of follow-up 18.7 months vs. 10.5 months in the previous submission) were provided in the resubmission. </w:t>
      </w:r>
    </w:p>
    <w:p w:rsidR="00516A59" w:rsidRDefault="007D3F6A">
      <w:pPr>
        <w:pStyle w:val="ListParagraph"/>
        <w:keepLines/>
        <w:widowControl/>
        <w:numPr>
          <w:ilvl w:val="0"/>
          <w:numId w:val="5"/>
        </w:numPr>
        <w:spacing w:after="120"/>
      </w:pPr>
      <w:r>
        <w:rPr>
          <w:u w:val="single"/>
        </w:rPr>
        <w:t>In patients with PD-L1 TPS ≥50%,</w:t>
      </w:r>
      <w:r>
        <w:t xml:space="preserve"> an indirect comparison between pembrolizumab+platinum+pemetrexed (KN189) and pembrolizumab monotherapy (KN024: ITT PD-L1 TPS ≥50%; KN042: ITT PD-L1 TPS ≥1%), via platinum doublet as a common reference. These indirect comparisons involved the use of multiple subgroups and exclusions from the included studies to enable a comparison based on patients similar in terms of PD-L1 TPS status (≥50%) and platinum doublet received (platinum+pemetrexed). The PD-L1 TPS ≥50% patient population was a subgroup from the KN189 and KN042 studies, and the ITT from the KN024 study (Table </w:t>
      </w:r>
      <w:r>
        <w:rPr>
          <w:noProof/>
        </w:rPr>
        <w:t>4</w:t>
      </w:r>
      <w:r>
        <w:t xml:space="preserve">). The indirect comparison of pembrolizumab+platinum+pemetrexed with pembrolizumab monotherapy in the previous submission was based on the KN189 and KN024 studies, with data from Study KN042 provided in the PSCR. The results of KN024 and KN042 were discussed at the March 2019 PBAC meeting in the context of the value of the pembrolizumab monotherapy listing (Agenda Item 3.01). </w:t>
      </w:r>
    </w:p>
    <w:p w:rsidR="00516A59" w:rsidRDefault="007D3F6A">
      <w:pPr>
        <w:pStyle w:val="ListParagraph"/>
        <w:keepLines/>
        <w:widowControl/>
        <w:numPr>
          <w:ilvl w:val="0"/>
          <w:numId w:val="5"/>
        </w:numPr>
        <w:spacing w:after="120"/>
      </w:pPr>
      <w:r>
        <w:t xml:space="preserve">A naïve indirect comparison between pembrolizumab+platinum+pemetrexed and ABCP, as a near-term comparator, was also presented in the resubmission. </w:t>
      </w:r>
    </w:p>
    <w:p w:rsidR="00516A59" w:rsidRDefault="007D3F6A">
      <w:pPr>
        <w:pStyle w:val="ListParagraph"/>
        <w:keepLines/>
        <w:widowControl/>
        <w:numPr>
          <w:ilvl w:val="0"/>
          <w:numId w:val="5"/>
        </w:numPr>
        <w:spacing w:after="120"/>
        <w:ind w:left="1077" w:hanging="357"/>
      </w:pPr>
      <w:r>
        <w:t xml:space="preserve">A summary of the treatment arms and population characteristics selected for the indirect comparison is presented in Table </w:t>
      </w:r>
      <w:r>
        <w:rPr>
          <w:noProof/>
        </w:rPr>
        <w:t>4</w:t>
      </w:r>
      <w:r>
        <w:t>.</w:t>
      </w:r>
    </w:p>
    <w:p w:rsidR="0065766E" w:rsidRDefault="0065766E" w:rsidP="0065766E">
      <w:pPr>
        <w:pStyle w:val="Caption"/>
        <w:keepNext/>
      </w:pPr>
      <w:r>
        <w:t xml:space="preserve">Table </w:t>
      </w:r>
      <w:r w:rsidR="0093515B">
        <w:rPr>
          <w:noProof/>
        </w:rPr>
        <w:t>4</w:t>
      </w:r>
      <w:r w:rsidRPr="00AF13CE">
        <w:t>: Summary of treatment arms and population selected for the indirect comparison</w:t>
      </w:r>
    </w:p>
    <w:tbl>
      <w:tblPr>
        <w:tblStyle w:val="TableGrid"/>
        <w:tblW w:w="5000" w:type="pct"/>
        <w:tblLook w:val="04A0" w:firstRow="1" w:lastRow="0" w:firstColumn="1" w:lastColumn="0" w:noHBand="0" w:noVBand="1"/>
        <w:tblCaption w:val="Table 4: Summary of treatment arms and population selected for the indirect comparison"/>
      </w:tblPr>
      <w:tblGrid>
        <w:gridCol w:w="2136"/>
        <w:gridCol w:w="3336"/>
        <w:gridCol w:w="3545"/>
      </w:tblGrid>
      <w:tr w:rsidR="00516A59">
        <w:trPr>
          <w:trHeight w:val="308"/>
          <w:tblHeader/>
        </w:trPr>
        <w:tc>
          <w:tcPr>
            <w:tcW w:w="1184" w:type="pct"/>
          </w:tcPr>
          <w:p w:rsidR="00516A59" w:rsidRDefault="007D3F6A">
            <w:pPr>
              <w:pStyle w:val="TableText0"/>
              <w:keepNext w:val="0"/>
              <w:keepLines/>
              <w:rPr>
                <w:b/>
                <w:lang w:val="en-GB"/>
              </w:rPr>
            </w:pPr>
            <w:r>
              <w:rPr>
                <w:b/>
                <w:lang w:val="en-GB"/>
              </w:rPr>
              <w:t>Study</w:t>
            </w:r>
          </w:p>
        </w:tc>
        <w:tc>
          <w:tcPr>
            <w:tcW w:w="1850" w:type="pct"/>
          </w:tcPr>
          <w:p w:rsidR="00516A59" w:rsidRDefault="007D3F6A">
            <w:pPr>
              <w:pStyle w:val="TableText0"/>
              <w:keepNext w:val="0"/>
              <w:keepLines/>
              <w:rPr>
                <w:b/>
                <w:lang w:val="en-GB"/>
              </w:rPr>
            </w:pPr>
            <w:r>
              <w:rPr>
                <w:b/>
                <w:lang w:val="en-GB"/>
              </w:rPr>
              <w:t>Treatment arms</w:t>
            </w:r>
          </w:p>
        </w:tc>
        <w:tc>
          <w:tcPr>
            <w:tcW w:w="1966" w:type="pct"/>
          </w:tcPr>
          <w:p w:rsidR="00516A59" w:rsidRDefault="007D3F6A">
            <w:pPr>
              <w:pStyle w:val="TableText0"/>
              <w:keepNext w:val="0"/>
              <w:keepLines/>
              <w:rPr>
                <w:b/>
                <w:lang w:val="en-GB"/>
              </w:rPr>
            </w:pPr>
            <w:r>
              <w:rPr>
                <w:b/>
                <w:lang w:val="en-GB"/>
              </w:rPr>
              <w:t>Population Selection</w:t>
            </w:r>
          </w:p>
        </w:tc>
      </w:tr>
      <w:tr w:rsidR="00516A59">
        <w:trPr>
          <w:trHeight w:val="346"/>
        </w:trPr>
        <w:tc>
          <w:tcPr>
            <w:tcW w:w="1184" w:type="pct"/>
          </w:tcPr>
          <w:p w:rsidR="00516A59" w:rsidRDefault="007D3F6A">
            <w:pPr>
              <w:pStyle w:val="TableText0"/>
              <w:keepNext w:val="0"/>
              <w:keepLines/>
              <w:rPr>
                <w:lang w:val="en-GB"/>
              </w:rPr>
            </w:pPr>
            <w:r>
              <w:rPr>
                <w:lang w:val="en-GB"/>
              </w:rPr>
              <w:t>KN189</w:t>
            </w:r>
          </w:p>
        </w:tc>
        <w:tc>
          <w:tcPr>
            <w:tcW w:w="1850" w:type="pct"/>
          </w:tcPr>
          <w:p w:rsidR="00516A59" w:rsidRDefault="007D3F6A">
            <w:pPr>
              <w:pStyle w:val="TableText0"/>
              <w:keepNext w:val="0"/>
              <w:keepLines/>
              <w:rPr>
                <w:lang w:val="en-GB"/>
              </w:rPr>
            </w:pPr>
            <w:r>
              <w:rPr>
                <w:lang w:val="en-GB"/>
              </w:rPr>
              <w:t>- Pembrolizumab + Chemotherapy</w:t>
            </w:r>
            <w:r>
              <w:rPr>
                <w:vertAlign w:val="superscript"/>
                <w:lang w:val="en-GB"/>
              </w:rPr>
              <w:t>a</w:t>
            </w:r>
            <w:r>
              <w:rPr>
                <w:lang w:val="en-GB"/>
              </w:rPr>
              <w:t xml:space="preserve"> </w:t>
            </w:r>
          </w:p>
          <w:p w:rsidR="00516A59" w:rsidRDefault="007D3F6A">
            <w:pPr>
              <w:pStyle w:val="TableText0"/>
              <w:keepNext w:val="0"/>
              <w:keepLines/>
              <w:rPr>
                <w:lang w:val="en-GB"/>
              </w:rPr>
            </w:pPr>
            <w:r>
              <w:rPr>
                <w:lang w:val="en-GB"/>
              </w:rPr>
              <w:t>- Chemotherapy</w:t>
            </w:r>
            <w:r>
              <w:rPr>
                <w:vertAlign w:val="superscript"/>
                <w:lang w:val="en-GB"/>
              </w:rPr>
              <w:t>a</w:t>
            </w:r>
          </w:p>
        </w:tc>
        <w:tc>
          <w:tcPr>
            <w:tcW w:w="1966" w:type="pct"/>
          </w:tcPr>
          <w:p w:rsidR="00516A59" w:rsidRDefault="007D3F6A">
            <w:pPr>
              <w:pStyle w:val="TableText0"/>
              <w:keepNext w:val="0"/>
              <w:keepLines/>
              <w:rPr>
                <w:lang w:val="en-GB"/>
              </w:rPr>
            </w:pPr>
            <w:r>
              <w:rPr>
                <w:lang w:val="en-GB"/>
              </w:rPr>
              <w:t>Strong PD-L1 subjects (TPS ≥50%)</w:t>
            </w:r>
            <w:r>
              <w:rPr>
                <w:vertAlign w:val="superscript"/>
                <w:lang w:val="en-GB"/>
              </w:rPr>
              <w:t>b</w:t>
            </w:r>
          </w:p>
        </w:tc>
      </w:tr>
      <w:tr w:rsidR="00516A59">
        <w:trPr>
          <w:trHeight w:val="346"/>
        </w:trPr>
        <w:tc>
          <w:tcPr>
            <w:tcW w:w="1184" w:type="pct"/>
          </w:tcPr>
          <w:p w:rsidR="00516A59" w:rsidRDefault="007D3F6A">
            <w:pPr>
              <w:pStyle w:val="TableText0"/>
              <w:keepNext w:val="0"/>
              <w:keepLines/>
              <w:rPr>
                <w:lang w:val="en-GB"/>
              </w:rPr>
            </w:pPr>
            <w:r>
              <w:rPr>
                <w:lang w:val="en-GB"/>
              </w:rPr>
              <w:t>KN042</w:t>
            </w:r>
          </w:p>
        </w:tc>
        <w:tc>
          <w:tcPr>
            <w:tcW w:w="1850" w:type="pct"/>
          </w:tcPr>
          <w:p w:rsidR="00516A59" w:rsidRDefault="007D3F6A">
            <w:pPr>
              <w:pStyle w:val="TableText0"/>
              <w:keepNext w:val="0"/>
              <w:keepLines/>
              <w:rPr>
                <w:lang w:val="en-GB"/>
              </w:rPr>
            </w:pPr>
            <w:r>
              <w:rPr>
                <w:lang w:val="en-GB"/>
              </w:rPr>
              <w:t>- Pembrolizumab</w:t>
            </w:r>
          </w:p>
          <w:p w:rsidR="00516A59" w:rsidRDefault="007D3F6A">
            <w:pPr>
              <w:pStyle w:val="TableText0"/>
              <w:keepNext w:val="0"/>
              <w:keepLines/>
              <w:rPr>
                <w:lang w:val="en-GB"/>
              </w:rPr>
            </w:pPr>
            <w:r>
              <w:rPr>
                <w:lang w:val="en-GB"/>
              </w:rPr>
              <w:t>- Chemotherapy</w:t>
            </w:r>
            <w:r>
              <w:rPr>
                <w:vertAlign w:val="superscript"/>
                <w:lang w:val="en-GB"/>
              </w:rPr>
              <w:t>a</w:t>
            </w:r>
          </w:p>
        </w:tc>
        <w:tc>
          <w:tcPr>
            <w:tcW w:w="1966" w:type="pct"/>
          </w:tcPr>
          <w:p w:rsidR="00516A59" w:rsidRDefault="007D3F6A">
            <w:pPr>
              <w:pStyle w:val="TableText0"/>
              <w:keepNext w:val="0"/>
              <w:keepLines/>
              <w:rPr>
                <w:vertAlign w:val="superscript"/>
                <w:lang w:val="en-GB"/>
              </w:rPr>
            </w:pPr>
            <w:r>
              <w:rPr>
                <w:lang w:val="en-GB"/>
              </w:rPr>
              <w:t>Non-squamous histology subjects</w:t>
            </w:r>
            <w:r>
              <w:rPr>
                <w:vertAlign w:val="superscript"/>
                <w:lang w:val="en-GB"/>
              </w:rPr>
              <w:t>c</w:t>
            </w:r>
          </w:p>
          <w:p w:rsidR="00516A59" w:rsidRDefault="007D3F6A">
            <w:pPr>
              <w:pStyle w:val="TableText0"/>
              <w:keepNext w:val="0"/>
              <w:keepLines/>
              <w:rPr>
                <w:vertAlign w:val="subscript"/>
                <w:lang w:val="en-GB"/>
              </w:rPr>
            </w:pPr>
            <w:r>
              <w:rPr>
                <w:lang w:val="en-GB"/>
              </w:rPr>
              <w:t>Strong PD-L1 subjects (TPS ≥50%)</w:t>
            </w:r>
            <w:r>
              <w:rPr>
                <w:vertAlign w:val="superscript"/>
                <w:lang w:val="en-GB"/>
              </w:rPr>
              <w:t xml:space="preserve"> b</w:t>
            </w:r>
          </w:p>
        </w:tc>
      </w:tr>
      <w:tr w:rsidR="00516A59">
        <w:trPr>
          <w:trHeight w:val="346"/>
        </w:trPr>
        <w:tc>
          <w:tcPr>
            <w:tcW w:w="1184" w:type="pct"/>
          </w:tcPr>
          <w:p w:rsidR="00516A59" w:rsidRDefault="007D3F6A">
            <w:pPr>
              <w:pStyle w:val="TableText0"/>
              <w:keepNext w:val="0"/>
              <w:keepLines/>
              <w:rPr>
                <w:lang w:val="en-GB"/>
              </w:rPr>
            </w:pPr>
            <w:r>
              <w:rPr>
                <w:lang w:val="en-GB"/>
              </w:rPr>
              <w:t>KN024</w:t>
            </w:r>
          </w:p>
        </w:tc>
        <w:tc>
          <w:tcPr>
            <w:tcW w:w="1850" w:type="pct"/>
          </w:tcPr>
          <w:p w:rsidR="00516A59" w:rsidRDefault="007D3F6A">
            <w:pPr>
              <w:pStyle w:val="TableText0"/>
              <w:keepNext w:val="0"/>
              <w:keepLines/>
              <w:rPr>
                <w:lang w:val="en-GB"/>
              </w:rPr>
            </w:pPr>
            <w:r>
              <w:rPr>
                <w:lang w:val="en-GB"/>
              </w:rPr>
              <w:t>- Pembrolizumab</w:t>
            </w:r>
          </w:p>
          <w:p w:rsidR="00516A59" w:rsidRDefault="007D3F6A">
            <w:pPr>
              <w:pStyle w:val="TableText0"/>
              <w:keepNext w:val="0"/>
              <w:keepLines/>
              <w:rPr>
                <w:lang w:val="en-GB"/>
              </w:rPr>
            </w:pPr>
            <w:r>
              <w:rPr>
                <w:lang w:val="en-GB"/>
              </w:rPr>
              <w:t>- Chemotherapy</w:t>
            </w:r>
            <w:r>
              <w:rPr>
                <w:vertAlign w:val="superscript"/>
                <w:lang w:val="en-GB"/>
              </w:rPr>
              <w:t>a</w:t>
            </w:r>
          </w:p>
        </w:tc>
        <w:tc>
          <w:tcPr>
            <w:tcW w:w="1966" w:type="pct"/>
          </w:tcPr>
          <w:p w:rsidR="00516A59" w:rsidRDefault="007D3F6A">
            <w:pPr>
              <w:pStyle w:val="TableText0"/>
              <w:keepNext w:val="0"/>
              <w:keepLines/>
              <w:rPr>
                <w:vertAlign w:val="superscript"/>
                <w:lang w:val="en-GB"/>
              </w:rPr>
            </w:pPr>
            <w:r>
              <w:rPr>
                <w:lang w:val="en-GB"/>
              </w:rPr>
              <w:t>Non-squamous histology subjects</w:t>
            </w:r>
            <w:r>
              <w:rPr>
                <w:vertAlign w:val="superscript"/>
                <w:lang w:val="en-GB"/>
              </w:rPr>
              <w:t>c</w:t>
            </w:r>
          </w:p>
        </w:tc>
      </w:tr>
    </w:tbl>
    <w:p w:rsidR="00516A59" w:rsidRDefault="007D3F6A">
      <w:pPr>
        <w:pStyle w:val="FootnoteText"/>
        <w:keepLines/>
        <w:widowControl/>
        <w:rPr>
          <w:rFonts w:ascii="Arial Narrow" w:hAnsi="Arial Narrow"/>
          <w:sz w:val="18"/>
          <w:szCs w:val="18"/>
          <w:lang w:val="en-GB"/>
        </w:rPr>
      </w:pPr>
      <w:r>
        <w:rPr>
          <w:rFonts w:ascii="Arial Narrow" w:hAnsi="Arial Narrow"/>
          <w:sz w:val="18"/>
          <w:szCs w:val="18"/>
          <w:vertAlign w:val="superscript"/>
          <w:lang w:val="en-GB"/>
        </w:rPr>
        <w:t>a</w:t>
      </w:r>
      <w:r>
        <w:rPr>
          <w:rFonts w:ascii="Arial Narrow" w:hAnsi="Arial Narrow"/>
          <w:sz w:val="18"/>
          <w:szCs w:val="18"/>
          <w:lang w:val="en-GB"/>
        </w:rPr>
        <w:t xml:space="preserve"> Pemetrexed and carboplatin or pemetrexed and cisplatin for KN189 and KN024 and pemetrexed and carboplatin for KN042</w:t>
      </w:r>
    </w:p>
    <w:p w:rsidR="00516A59" w:rsidRDefault="007D3F6A">
      <w:pPr>
        <w:pStyle w:val="FootnoteText"/>
        <w:keepLines/>
        <w:widowControl/>
        <w:rPr>
          <w:rFonts w:ascii="Arial Narrow" w:hAnsi="Arial Narrow"/>
          <w:sz w:val="18"/>
          <w:szCs w:val="18"/>
          <w:lang w:val="en-GB"/>
        </w:rPr>
      </w:pPr>
      <w:r>
        <w:rPr>
          <w:rFonts w:ascii="Arial Narrow" w:hAnsi="Arial Narrow"/>
          <w:sz w:val="18"/>
          <w:szCs w:val="18"/>
          <w:vertAlign w:val="superscript"/>
          <w:lang w:val="en-GB"/>
        </w:rPr>
        <w:t>b</w:t>
      </w:r>
      <w:r>
        <w:rPr>
          <w:rFonts w:ascii="Arial Narrow" w:hAnsi="Arial Narrow"/>
          <w:sz w:val="18"/>
          <w:szCs w:val="18"/>
          <w:lang w:val="en-GB"/>
        </w:rPr>
        <w:t xml:space="preserve"> KN024 contains TPS ≥50% subjects only; patients with the same criterion are selected from KN189  and KN042</w:t>
      </w:r>
    </w:p>
    <w:p w:rsidR="00516A59" w:rsidRDefault="007D3F6A">
      <w:pPr>
        <w:pStyle w:val="FootnoteText"/>
        <w:keepLines/>
        <w:widowControl/>
        <w:rPr>
          <w:rFonts w:ascii="Arial Narrow" w:hAnsi="Arial Narrow"/>
          <w:sz w:val="18"/>
          <w:szCs w:val="18"/>
          <w:lang w:val="en-GB"/>
        </w:rPr>
      </w:pPr>
      <w:r>
        <w:rPr>
          <w:rFonts w:ascii="Arial Narrow" w:hAnsi="Arial Narrow"/>
          <w:sz w:val="18"/>
          <w:szCs w:val="18"/>
          <w:vertAlign w:val="superscript"/>
          <w:lang w:val="en-GB"/>
        </w:rPr>
        <w:t>c</w:t>
      </w:r>
      <w:r>
        <w:rPr>
          <w:rFonts w:ascii="Arial Narrow" w:hAnsi="Arial Narrow"/>
          <w:sz w:val="18"/>
          <w:szCs w:val="18"/>
          <w:lang w:val="en-GB"/>
        </w:rPr>
        <w:t xml:space="preserve"> KN189 contains non-squamous subjects only; patients with the same criterion are selected from KN042 and KN024</w:t>
      </w:r>
    </w:p>
    <w:p w:rsidR="00516A59" w:rsidRDefault="007D3F6A">
      <w:pPr>
        <w:keepLines/>
        <w:widowControl/>
        <w:spacing w:after="120"/>
      </w:pPr>
      <w:r>
        <w:rPr>
          <w:rFonts w:ascii="Arial Narrow" w:hAnsi="Arial Narrow"/>
          <w:sz w:val="18"/>
          <w:szCs w:val="18"/>
          <w:lang w:val="en-GB"/>
        </w:rPr>
        <w:t>Source: Table 2.6.10, p85 of the resubmission</w:t>
      </w:r>
    </w:p>
    <w:p w:rsidR="00516A59" w:rsidRDefault="007D3F6A">
      <w:pPr>
        <w:pStyle w:val="ListParagraph"/>
        <w:keepLines/>
        <w:widowControl/>
      </w:pPr>
      <w:r>
        <w:rPr>
          <w:snapToGrid/>
          <w:lang w:val="en-US" w:eastAsia="en-AU"/>
        </w:rPr>
        <w:t xml:space="preserve">Details of the trials presented in the resubmission are provided in Table 5. </w:t>
      </w:r>
    </w:p>
    <w:p w:rsidR="00C17D32" w:rsidRDefault="00C17D32">
      <w:pPr>
        <w:widowControl/>
        <w:jc w:val="left"/>
        <w:rPr>
          <w:rFonts w:ascii="Arial Narrow" w:hAnsi="Arial Narrow"/>
          <w:b/>
          <w:bCs/>
          <w:sz w:val="20"/>
          <w:szCs w:val="18"/>
        </w:rPr>
      </w:pPr>
      <w:r>
        <w:br w:type="page"/>
      </w:r>
    </w:p>
    <w:p w:rsidR="0065766E" w:rsidRDefault="0065766E" w:rsidP="0065766E">
      <w:pPr>
        <w:pStyle w:val="Caption"/>
        <w:keepNext/>
      </w:pPr>
      <w:r>
        <w:lastRenderedPageBreak/>
        <w:t xml:space="preserve">Table </w:t>
      </w:r>
      <w:r w:rsidR="0093515B">
        <w:rPr>
          <w:noProof/>
        </w:rPr>
        <w:t>5</w:t>
      </w:r>
      <w:r w:rsidRPr="00D758C5">
        <w:t>: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5: Trials and associated reports presented in the resubmission"/>
      </w:tblPr>
      <w:tblGrid>
        <w:gridCol w:w="829"/>
        <w:gridCol w:w="4855"/>
        <w:gridCol w:w="3333"/>
      </w:tblGrid>
      <w:tr w:rsidR="00516A59">
        <w:trPr>
          <w:tblHeader/>
        </w:trPr>
        <w:tc>
          <w:tcPr>
            <w:tcW w:w="460" w:type="pct"/>
            <w:vAlign w:val="center"/>
          </w:tcPr>
          <w:p w:rsidR="00516A59" w:rsidRDefault="007D3F6A">
            <w:pPr>
              <w:pStyle w:val="Tabletext"/>
              <w:keepLines/>
              <w:rPr>
                <w:b/>
              </w:rPr>
            </w:pPr>
            <w:r>
              <w:rPr>
                <w:b/>
              </w:rPr>
              <w:t>Trial ID</w:t>
            </w:r>
          </w:p>
        </w:tc>
        <w:tc>
          <w:tcPr>
            <w:tcW w:w="2692" w:type="pct"/>
            <w:vAlign w:val="center"/>
          </w:tcPr>
          <w:p w:rsidR="00516A59" w:rsidRDefault="007D3F6A">
            <w:pPr>
              <w:pStyle w:val="Tabletext"/>
              <w:keepLines/>
              <w:jc w:val="center"/>
              <w:rPr>
                <w:b/>
              </w:rPr>
            </w:pPr>
            <w:r>
              <w:rPr>
                <w:b/>
              </w:rPr>
              <w:t>Protocol title/ Publication title</w:t>
            </w:r>
          </w:p>
        </w:tc>
        <w:tc>
          <w:tcPr>
            <w:tcW w:w="1848" w:type="pct"/>
            <w:vAlign w:val="center"/>
          </w:tcPr>
          <w:p w:rsidR="00516A59" w:rsidRDefault="007D3F6A">
            <w:pPr>
              <w:pStyle w:val="Tabletext"/>
              <w:keepLines/>
              <w:jc w:val="center"/>
              <w:rPr>
                <w:b/>
              </w:rPr>
            </w:pPr>
            <w:r>
              <w:rPr>
                <w:b/>
              </w:rPr>
              <w:t>Publication citation</w:t>
            </w:r>
          </w:p>
        </w:tc>
      </w:tr>
      <w:tr w:rsidR="00516A59">
        <w:trPr>
          <w:tblHeader/>
        </w:trPr>
        <w:tc>
          <w:tcPr>
            <w:tcW w:w="5000" w:type="pct"/>
            <w:gridSpan w:val="3"/>
            <w:tcBorders>
              <w:bottom w:val="nil"/>
            </w:tcBorders>
            <w:vAlign w:val="center"/>
          </w:tcPr>
          <w:p w:rsidR="00516A59" w:rsidRDefault="007D3F6A">
            <w:pPr>
              <w:pStyle w:val="Tabletext"/>
              <w:keepLines/>
              <w:rPr>
                <w:b/>
                <w:szCs w:val="18"/>
              </w:rPr>
            </w:pPr>
            <w:r>
              <w:rPr>
                <w:b/>
                <w:szCs w:val="18"/>
              </w:rPr>
              <w:t xml:space="preserve">Pembrolizumab + platinum + pemetrexed versus platinum doublet </w:t>
            </w:r>
          </w:p>
        </w:tc>
      </w:tr>
      <w:tr w:rsidR="00516A59">
        <w:trPr>
          <w:tblHeader/>
        </w:trPr>
        <w:tc>
          <w:tcPr>
            <w:tcW w:w="460" w:type="pct"/>
            <w:vMerge w:val="restart"/>
            <w:vAlign w:val="center"/>
          </w:tcPr>
          <w:p w:rsidR="00516A59" w:rsidRDefault="007D3F6A">
            <w:pPr>
              <w:pStyle w:val="Tabletext"/>
              <w:keepLines/>
              <w:rPr>
                <w:szCs w:val="18"/>
              </w:rPr>
            </w:pPr>
            <w:r>
              <w:rPr>
                <w:szCs w:val="18"/>
              </w:rPr>
              <w:t>KN189</w:t>
            </w:r>
          </w:p>
        </w:tc>
        <w:tc>
          <w:tcPr>
            <w:tcW w:w="2692" w:type="pct"/>
            <w:tcBorders>
              <w:bottom w:val="nil"/>
            </w:tcBorders>
            <w:vAlign w:val="center"/>
          </w:tcPr>
          <w:p w:rsidR="00516A59" w:rsidRDefault="007D3F6A">
            <w:pPr>
              <w:pStyle w:val="Tabletext"/>
              <w:keepLines/>
              <w:rPr>
                <w:szCs w:val="18"/>
              </w:rPr>
            </w:pPr>
            <w:r>
              <w:rPr>
                <w:szCs w:val="18"/>
              </w:rPr>
              <w:t>Study of Platinum+Pemetrexed Chemotherapy With or Without Pembrolizumab (MK-3475) in Participants With First Line Metastatic Non-squamous Non-small Cell Lung Cancer (MK-3475-189/KEYNOTE-189)</w:t>
            </w:r>
            <w:r>
              <w:rPr>
                <w:szCs w:val="18"/>
                <w:vertAlign w:val="superscript"/>
              </w:rPr>
              <w:t>a</w:t>
            </w:r>
          </w:p>
        </w:tc>
        <w:tc>
          <w:tcPr>
            <w:tcW w:w="1848" w:type="pct"/>
            <w:tcBorders>
              <w:bottom w:val="nil"/>
            </w:tcBorders>
          </w:tcPr>
          <w:p w:rsidR="00516A59" w:rsidRDefault="007D3F6A">
            <w:pPr>
              <w:pStyle w:val="Tabletext"/>
              <w:keepLines/>
              <w:rPr>
                <w:szCs w:val="18"/>
              </w:rPr>
            </w:pPr>
            <w:r>
              <w:rPr>
                <w:szCs w:val="18"/>
              </w:rPr>
              <w:t>March 2018</w:t>
            </w:r>
          </w:p>
        </w:tc>
      </w:tr>
      <w:tr w:rsidR="00516A59">
        <w:trPr>
          <w:tblHeader/>
        </w:trPr>
        <w:tc>
          <w:tcPr>
            <w:tcW w:w="460" w:type="pct"/>
            <w:vMerge/>
            <w:tcBorders>
              <w:bottom w:val="nil"/>
            </w:tcBorders>
            <w:vAlign w:val="center"/>
          </w:tcPr>
          <w:p w:rsidR="00516A59" w:rsidRDefault="00516A59">
            <w:pPr>
              <w:pStyle w:val="Tabletext"/>
              <w:keepLines/>
              <w:rPr>
                <w:szCs w:val="18"/>
              </w:rPr>
            </w:pPr>
          </w:p>
        </w:tc>
        <w:tc>
          <w:tcPr>
            <w:tcW w:w="2692" w:type="pct"/>
            <w:tcBorders>
              <w:top w:val="nil"/>
              <w:bottom w:val="single" w:sz="4" w:space="0" w:color="auto"/>
            </w:tcBorders>
            <w:vAlign w:val="center"/>
          </w:tcPr>
          <w:p w:rsidR="00516A59" w:rsidRDefault="007D3F6A">
            <w:pPr>
              <w:pStyle w:val="Tabletext"/>
              <w:keepLines/>
              <w:rPr>
                <w:szCs w:val="18"/>
                <w:vertAlign w:val="superscript"/>
              </w:rPr>
            </w:pPr>
            <w:r>
              <w:rPr>
                <w:szCs w:val="18"/>
              </w:rPr>
              <w:t>Gandhi et al. Pembrolizumab plus Chemotherapy in Metastatic Non–Small-Cell Lung Cancer.</w:t>
            </w:r>
          </w:p>
        </w:tc>
        <w:tc>
          <w:tcPr>
            <w:tcW w:w="1848" w:type="pct"/>
            <w:tcBorders>
              <w:top w:val="nil"/>
              <w:bottom w:val="nil"/>
            </w:tcBorders>
          </w:tcPr>
          <w:p w:rsidR="00516A59" w:rsidRDefault="007D3F6A">
            <w:pPr>
              <w:pStyle w:val="Tabletext"/>
              <w:keepLines/>
              <w:rPr>
                <w:szCs w:val="18"/>
              </w:rPr>
            </w:pPr>
            <w:r>
              <w:rPr>
                <w:i/>
                <w:szCs w:val="18"/>
              </w:rPr>
              <w:t>N Engl J Med</w:t>
            </w:r>
            <w:r>
              <w:rPr>
                <w:szCs w:val="18"/>
              </w:rPr>
              <w:t xml:space="preserve"> 2018; 378(22): 2078-2092</w:t>
            </w:r>
          </w:p>
          <w:p w:rsidR="00516A59" w:rsidRDefault="00516A59">
            <w:pPr>
              <w:pStyle w:val="Tabletext"/>
              <w:keepLines/>
              <w:rPr>
                <w:szCs w:val="18"/>
              </w:rPr>
            </w:pPr>
          </w:p>
        </w:tc>
      </w:tr>
      <w:tr w:rsidR="00516A59">
        <w:trPr>
          <w:tblHeader/>
        </w:trPr>
        <w:tc>
          <w:tcPr>
            <w:tcW w:w="5000" w:type="pct"/>
            <w:gridSpan w:val="3"/>
            <w:tcBorders>
              <w:bottom w:val="nil"/>
            </w:tcBorders>
            <w:vAlign w:val="center"/>
          </w:tcPr>
          <w:p w:rsidR="00516A59" w:rsidRDefault="007D3F6A">
            <w:pPr>
              <w:pStyle w:val="Tabletext"/>
              <w:keepLines/>
              <w:rPr>
                <w:b/>
                <w:szCs w:val="18"/>
              </w:rPr>
            </w:pPr>
            <w:r>
              <w:rPr>
                <w:b/>
                <w:szCs w:val="18"/>
              </w:rPr>
              <w:t>Pembro Mono versus platinum doublet (used for indirect comparison of Pembro Combo from KN189 with Pembro Mono)</w:t>
            </w:r>
          </w:p>
        </w:tc>
      </w:tr>
      <w:tr w:rsidR="00516A59">
        <w:trPr>
          <w:tblHeader/>
        </w:trPr>
        <w:tc>
          <w:tcPr>
            <w:tcW w:w="460" w:type="pct"/>
            <w:vMerge w:val="restart"/>
            <w:vAlign w:val="center"/>
          </w:tcPr>
          <w:p w:rsidR="00516A59" w:rsidRDefault="007D3F6A">
            <w:pPr>
              <w:pStyle w:val="Tabletext"/>
              <w:keepLines/>
              <w:rPr>
                <w:szCs w:val="18"/>
              </w:rPr>
            </w:pPr>
            <w:r>
              <w:rPr>
                <w:szCs w:val="18"/>
              </w:rPr>
              <w:t>KN024</w:t>
            </w:r>
          </w:p>
        </w:tc>
        <w:tc>
          <w:tcPr>
            <w:tcW w:w="2692" w:type="pct"/>
            <w:tcBorders>
              <w:bottom w:val="nil"/>
            </w:tcBorders>
            <w:vAlign w:val="center"/>
          </w:tcPr>
          <w:p w:rsidR="00516A59" w:rsidRDefault="007D3F6A">
            <w:pPr>
              <w:pStyle w:val="NoSpacing"/>
              <w:keepLines/>
              <w:widowControl/>
              <w:jc w:val="left"/>
              <w:rPr>
                <w:szCs w:val="18"/>
              </w:rPr>
            </w:pPr>
            <w:r>
              <w:rPr>
                <w:rFonts w:ascii="Arial Narrow" w:hAnsi="Arial Narrow" w:cs="Times New Roman"/>
                <w:snapToGrid/>
                <w:sz w:val="20"/>
                <w:szCs w:val="18"/>
              </w:rPr>
              <w:t>A Randomized Open-Label Phase III Trial of Pembrolizumab versus (vs.) Platinum based Chemotherapy in First-Line (1L) Subjects with Programmed Cell Death 1 Ligand (PD-L1) Strong Metastatic NSCLC</w:t>
            </w:r>
          </w:p>
        </w:tc>
        <w:tc>
          <w:tcPr>
            <w:tcW w:w="1848" w:type="pct"/>
            <w:tcBorders>
              <w:bottom w:val="nil"/>
            </w:tcBorders>
          </w:tcPr>
          <w:p w:rsidR="00516A59" w:rsidRDefault="007D3F6A">
            <w:pPr>
              <w:pStyle w:val="Tabletext"/>
              <w:keepLines/>
              <w:rPr>
                <w:szCs w:val="18"/>
              </w:rPr>
            </w:pPr>
            <w:r>
              <w:rPr>
                <w:szCs w:val="18"/>
              </w:rPr>
              <w:t>11 July 2016</w:t>
            </w:r>
          </w:p>
          <w:p w:rsidR="00516A59" w:rsidRDefault="00516A59">
            <w:pPr>
              <w:pStyle w:val="Tabletext"/>
              <w:keepLines/>
              <w:rPr>
                <w:szCs w:val="18"/>
              </w:rPr>
            </w:pPr>
          </w:p>
        </w:tc>
      </w:tr>
      <w:tr w:rsidR="00516A59">
        <w:trPr>
          <w:tblHeader/>
        </w:trPr>
        <w:tc>
          <w:tcPr>
            <w:tcW w:w="460" w:type="pct"/>
            <w:vMerge/>
            <w:vAlign w:val="center"/>
          </w:tcPr>
          <w:p w:rsidR="00516A59" w:rsidRDefault="00516A59">
            <w:pPr>
              <w:pStyle w:val="Tabletext"/>
              <w:keepLines/>
              <w:rPr>
                <w:szCs w:val="18"/>
              </w:rPr>
            </w:pPr>
          </w:p>
        </w:tc>
        <w:tc>
          <w:tcPr>
            <w:tcW w:w="2692" w:type="pct"/>
            <w:tcBorders>
              <w:top w:val="nil"/>
              <w:bottom w:val="nil"/>
            </w:tcBorders>
            <w:vAlign w:val="center"/>
          </w:tcPr>
          <w:p w:rsidR="00516A59" w:rsidRDefault="007D3F6A">
            <w:pPr>
              <w:pStyle w:val="NoSpacing"/>
              <w:keepLines/>
              <w:widowControl/>
              <w:jc w:val="left"/>
              <w:rPr>
                <w:rFonts w:ascii="Arial Narrow" w:hAnsi="Arial Narrow" w:cs="Times New Roman"/>
                <w:snapToGrid/>
                <w:sz w:val="20"/>
                <w:szCs w:val="18"/>
              </w:rPr>
            </w:pPr>
            <w:r>
              <w:rPr>
                <w:rFonts w:ascii="Arial Narrow" w:hAnsi="Arial Narrow" w:cs="Times New Roman"/>
                <w:snapToGrid/>
                <w:sz w:val="20"/>
                <w:szCs w:val="18"/>
              </w:rPr>
              <w:t>Reck et al. Pembrolizumab versus Chemotherapy for PD-L1-Positive Non-Small-Cell Lung Cancer.</w:t>
            </w:r>
          </w:p>
        </w:tc>
        <w:tc>
          <w:tcPr>
            <w:tcW w:w="1848" w:type="pct"/>
            <w:tcBorders>
              <w:top w:val="nil"/>
              <w:bottom w:val="nil"/>
            </w:tcBorders>
          </w:tcPr>
          <w:p w:rsidR="00516A59" w:rsidRDefault="007D3F6A">
            <w:pPr>
              <w:pStyle w:val="Tabletext"/>
              <w:keepLines/>
              <w:rPr>
                <w:szCs w:val="18"/>
              </w:rPr>
            </w:pPr>
            <w:r>
              <w:rPr>
                <w:i/>
                <w:szCs w:val="18"/>
              </w:rPr>
              <w:t>N Engl J Med</w:t>
            </w:r>
            <w:r>
              <w:rPr>
                <w:szCs w:val="18"/>
              </w:rPr>
              <w:t xml:space="preserve"> 2016; 375(19):1823-1833Epub 2016 Oct 8</w:t>
            </w:r>
          </w:p>
        </w:tc>
      </w:tr>
      <w:tr w:rsidR="00516A59">
        <w:trPr>
          <w:tblHeader/>
        </w:trPr>
        <w:tc>
          <w:tcPr>
            <w:tcW w:w="460" w:type="pct"/>
            <w:vMerge/>
            <w:vAlign w:val="center"/>
          </w:tcPr>
          <w:p w:rsidR="00516A59" w:rsidRDefault="00516A59">
            <w:pPr>
              <w:pStyle w:val="Tabletext"/>
              <w:keepLines/>
              <w:rPr>
                <w:szCs w:val="18"/>
              </w:rPr>
            </w:pPr>
          </w:p>
        </w:tc>
        <w:tc>
          <w:tcPr>
            <w:tcW w:w="2692" w:type="pct"/>
            <w:tcBorders>
              <w:top w:val="nil"/>
            </w:tcBorders>
            <w:vAlign w:val="center"/>
          </w:tcPr>
          <w:p w:rsidR="00516A59" w:rsidRDefault="007D3F6A">
            <w:pPr>
              <w:pStyle w:val="NoSpacing"/>
              <w:keepLines/>
              <w:widowControl/>
              <w:jc w:val="left"/>
              <w:rPr>
                <w:rFonts w:ascii="Arial Narrow" w:hAnsi="Arial Narrow" w:cs="Times New Roman"/>
                <w:snapToGrid/>
                <w:sz w:val="20"/>
                <w:szCs w:val="18"/>
              </w:rPr>
            </w:pPr>
            <w:r>
              <w:rPr>
                <w:rFonts w:ascii="Arial Narrow" w:hAnsi="Arial Narrow" w:cs="Times New Roman"/>
                <w:snapToGrid/>
                <w:sz w:val="20"/>
                <w:szCs w:val="18"/>
              </w:rPr>
              <w:t>Reck et al. Updated Analysis of KEYNOTE-024 Pembrolizumab versus platinum-based chemotherapy for advanced non-small cell lung cancer with PD-L1 TPS of 50% or greater.</w:t>
            </w:r>
          </w:p>
        </w:tc>
        <w:tc>
          <w:tcPr>
            <w:tcW w:w="1848" w:type="pct"/>
            <w:tcBorders>
              <w:top w:val="nil"/>
            </w:tcBorders>
          </w:tcPr>
          <w:p w:rsidR="00516A59" w:rsidRDefault="007D3F6A">
            <w:pPr>
              <w:pStyle w:val="Tabletext"/>
              <w:keepLines/>
              <w:rPr>
                <w:szCs w:val="18"/>
              </w:rPr>
            </w:pPr>
            <w:r>
              <w:rPr>
                <w:i/>
                <w:szCs w:val="18"/>
              </w:rPr>
              <w:t>J Clin Oncol</w:t>
            </w:r>
            <w:r>
              <w:rPr>
                <w:szCs w:val="18"/>
              </w:rPr>
              <w:t xml:space="preserve"> 2019; 37(7):537-546</w:t>
            </w:r>
          </w:p>
        </w:tc>
      </w:tr>
      <w:tr w:rsidR="00516A59">
        <w:trPr>
          <w:tblHeader/>
        </w:trPr>
        <w:tc>
          <w:tcPr>
            <w:tcW w:w="460" w:type="pct"/>
            <w:vMerge w:val="restart"/>
            <w:vAlign w:val="center"/>
          </w:tcPr>
          <w:p w:rsidR="00516A59" w:rsidRDefault="007D3F6A">
            <w:pPr>
              <w:pStyle w:val="Tabletext"/>
              <w:keepLines/>
              <w:rPr>
                <w:szCs w:val="18"/>
              </w:rPr>
            </w:pPr>
            <w:r>
              <w:rPr>
                <w:szCs w:val="18"/>
              </w:rPr>
              <w:t>KN042</w:t>
            </w:r>
          </w:p>
        </w:tc>
        <w:tc>
          <w:tcPr>
            <w:tcW w:w="2692" w:type="pct"/>
            <w:tcBorders>
              <w:bottom w:val="nil"/>
            </w:tcBorders>
            <w:vAlign w:val="center"/>
          </w:tcPr>
          <w:p w:rsidR="00516A59" w:rsidRDefault="007D3F6A">
            <w:pPr>
              <w:pStyle w:val="NoSpacing"/>
              <w:keepLines/>
              <w:widowControl/>
              <w:jc w:val="left"/>
              <w:rPr>
                <w:rFonts w:ascii="Arial Narrow" w:hAnsi="Arial Narrow" w:cs="Times New Roman"/>
                <w:snapToGrid/>
                <w:sz w:val="20"/>
                <w:szCs w:val="18"/>
              </w:rPr>
            </w:pPr>
            <w:r>
              <w:rPr>
                <w:rFonts w:ascii="Arial Narrow" w:hAnsi="Arial Narrow" w:cs="Times New Roman"/>
                <w:snapToGrid/>
                <w:sz w:val="20"/>
                <w:szCs w:val="18"/>
              </w:rPr>
              <w:t>A Randomized, Open Label, Phase III Study of Overall Survival Comparing Pembrolizumab (MK-3475) Versus Platinum Based Chemotherapy in Treatment Naïve Subjects with PD-L1 Positive Advanced or Metastatic Non-Small Cell Lung Cancer (KEYNOTE-042)</w:t>
            </w:r>
          </w:p>
        </w:tc>
        <w:tc>
          <w:tcPr>
            <w:tcW w:w="1848" w:type="pct"/>
            <w:tcBorders>
              <w:bottom w:val="nil"/>
            </w:tcBorders>
          </w:tcPr>
          <w:p w:rsidR="00516A59" w:rsidRDefault="007D3F6A">
            <w:pPr>
              <w:pStyle w:val="Tabletext"/>
              <w:keepLines/>
              <w:rPr>
                <w:szCs w:val="18"/>
              </w:rPr>
            </w:pPr>
            <w:r>
              <w:rPr>
                <w:szCs w:val="18"/>
              </w:rPr>
              <w:t>December 2018</w:t>
            </w:r>
          </w:p>
        </w:tc>
      </w:tr>
      <w:tr w:rsidR="00516A59">
        <w:trPr>
          <w:trHeight w:val="794"/>
          <w:tblHeader/>
        </w:trPr>
        <w:tc>
          <w:tcPr>
            <w:tcW w:w="460" w:type="pct"/>
            <w:vMerge/>
            <w:vAlign w:val="center"/>
          </w:tcPr>
          <w:p w:rsidR="00516A59" w:rsidRDefault="00516A59">
            <w:pPr>
              <w:pStyle w:val="Tabletext"/>
              <w:keepLines/>
              <w:rPr>
                <w:szCs w:val="18"/>
              </w:rPr>
            </w:pPr>
          </w:p>
        </w:tc>
        <w:tc>
          <w:tcPr>
            <w:tcW w:w="2692" w:type="pct"/>
            <w:tcBorders>
              <w:top w:val="nil"/>
              <w:bottom w:val="nil"/>
            </w:tcBorders>
            <w:vAlign w:val="center"/>
          </w:tcPr>
          <w:p w:rsidR="00516A59" w:rsidRDefault="007D3F6A">
            <w:pPr>
              <w:pStyle w:val="NoSpacing"/>
              <w:keepLines/>
              <w:widowControl/>
              <w:jc w:val="left"/>
              <w:rPr>
                <w:rFonts w:ascii="Arial Narrow" w:hAnsi="Arial Narrow" w:cs="Times New Roman"/>
                <w:snapToGrid/>
                <w:sz w:val="20"/>
                <w:szCs w:val="18"/>
              </w:rPr>
            </w:pPr>
            <w:r>
              <w:rPr>
                <w:rFonts w:ascii="Arial Narrow" w:hAnsi="Arial Narrow" w:cs="Times New Roman"/>
                <w:snapToGrid/>
                <w:sz w:val="20"/>
                <w:szCs w:val="18"/>
              </w:rPr>
              <w:t>Lopes et al, 2018,</w:t>
            </w:r>
            <w:r>
              <w:rPr>
                <w:szCs w:val="18"/>
              </w:rPr>
              <w:t xml:space="preserve"> </w:t>
            </w:r>
            <w:r>
              <w:rPr>
                <w:rFonts w:ascii="Arial Narrow" w:hAnsi="Arial Narrow" w:cs="Times New Roman"/>
                <w:snapToGrid/>
                <w:sz w:val="20"/>
                <w:szCs w:val="18"/>
              </w:rPr>
              <w:t>Pembrolizumab vs Platinum-Based Chemotherapy as a first line therapy for advanced/metastatic NSCLC with a TPS ≥1%.</w:t>
            </w:r>
          </w:p>
        </w:tc>
        <w:tc>
          <w:tcPr>
            <w:tcW w:w="1848" w:type="pct"/>
            <w:tcBorders>
              <w:top w:val="nil"/>
              <w:bottom w:val="nil"/>
            </w:tcBorders>
          </w:tcPr>
          <w:p w:rsidR="00516A59" w:rsidRDefault="007D3F6A">
            <w:pPr>
              <w:pStyle w:val="Tabletext"/>
              <w:keepLines/>
            </w:pPr>
            <w:r>
              <w:rPr>
                <w:i/>
                <w:szCs w:val="18"/>
              </w:rPr>
              <w:t>Presentation at American Society of Clinical Oncology Annual Meeting,</w:t>
            </w:r>
            <w:r>
              <w:rPr>
                <w:szCs w:val="18"/>
              </w:rPr>
              <w:t xml:space="preserve"> </w:t>
            </w:r>
            <w:r>
              <w:t>Jun 2018</w:t>
            </w:r>
          </w:p>
          <w:p w:rsidR="00516A59" w:rsidRDefault="00516A59">
            <w:pPr>
              <w:pStyle w:val="Tabletext"/>
              <w:keepLines/>
              <w:rPr>
                <w:szCs w:val="18"/>
              </w:rPr>
            </w:pPr>
          </w:p>
        </w:tc>
      </w:tr>
      <w:tr w:rsidR="00516A59">
        <w:trPr>
          <w:tblHeader/>
        </w:trPr>
        <w:tc>
          <w:tcPr>
            <w:tcW w:w="460" w:type="pct"/>
            <w:vMerge/>
            <w:tcBorders>
              <w:bottom w:val="single" w:sz="4" w:space="0" w:color="auto"/>
            </w:tcBorders>
            <w:vAlign w:val="center"/>
          </w:tcPr>
          <w:p w:rsidR="00516A59" w:rsidRDefault="00516A59">
            <w:pPr>
              <w:pStyle w:val="Tabletext"/>
              <w:keepLines/>
              <w:rPr>
                <w:szCs w:val="18"/>
              </w:rPr>
            </w:pPr>
          </w:p>
        </w:tc>
        <w:tc>
          <w:tcPr>
            <w:tcW w:w="2692" w:type="pct"/>
            <w:tcBorders>
              <w:top w:val="nil"/>
              <w:bottom w:val="single" w:sz="4" w:space="0" w:color="auto"/>
            </w:tcBorders>
            <w:vAlign w:val="center"/>
          </w:tcPr>
          <w:p w:rsidR="00516A59" w:rsidRDefault="007D3F6A">
            <w:pPr>
              <w:pStyle w:val="NoSpacing"/>
              <w:keepLines/>
              <w:widowControl/>
              <w:jc w:val="left"/>
              <w:rPr>
                <w:rFonts w:ascii="Arial Narrow" w:hAnsi="Arial Narrow" w:cs="Times New Roman"/>
                <w:snapToGrid/>
                <w:sz w:val="20"/>
                <w:szCs w:val="18"/>
              </w:rPr>
            </w:pPr>
            <w:r>
              <w:rPr>
                <w:rFonts w:ascii="Arial Narrow" w:hAnsi="Arial Narrow" w:cs="Times New Roman"/>
                <w:snapToGrid/>
                <w:sz w:val="20"/>
                <w:szCs w:val="18"/>
              </w:rPr>
              <w:t>Mok et al. Pembrolizumab versus chemotherapy for previously untreated, PD-L1-expressing, locally advanced or metastatic non-small-cell lung cancer (KEYNOTE-042): a randomised, open-label, controlled, phase 3 trial.</w:t>
            </w:r>
          </w:p>
        </w:tc>
        <w:tc>
          <w:tcPr>
            <w:tcW w:w="1848" w:type="pct"/>
            <w:tcBorders>
              <w:top w:val="nil"/>
              <w:bottom w:val="single" w:sz="4" w:space="0" w:color="auto"/>
            </w:tcBorders>
          </w:tcPr>
          <w:p w:rsidR="00516A59" w:rsidRDefault="007D3F6A">
            <w:pPr>
              <w:pStyle w:val="Tabletext"/>
              <w:keepLines/>
              <w:rPr>
                <w:szCs w:val="18"/>
                <w:vertAlign w:val="superscript"/>
              </w:rPr>
            </w:pPr>
            <w:r>
              <w:rPr>
                <w:i/>
              </w:rPr>
              <w:t>Lancet</w:t>
            </w:r>
            <w:r>
              <w:t xml:space="preserve"> 2019; 393(10183): 1819-1830</w:t>
            </w:r>
            <w:r>
              <w:rPr>
                <w:vertAlign w:val="superscript"/>
              </w:rPr>
              <w:t>b</w:t>
            </w:r>
          </w:p>
        </w:tc>
      </w:tr>
    </w:tbl>
    <w:p w:rsidR="00516A59" w:rsidRDefault="007D3F6A">
      <w:pPr>
        <w:pStyle w:val="TableFooter"/>
        <w:keepLines/>
        <w:widowControl/>
      </w:pPr>
      <w:r>
        <w:t>Pembro Combo = pembrolizumab+platinum+pemetrexed followed by single agent chemotherapy (e.g. docetaxel); Pembro Mono = pembrolizumab monotherapy followed by platinum doublet; NSCLC = non-small cell lung cancer; PD-L1 = programmed death ligand 1, TPS = tumour proportion score.</w:t>
      </w:r>
    </w:p>
    <w:p w:rsidR="00516A59" w:rsidRDefault="007D3F6A">
      <w:pPr>
        <w:pStyle w:val="TableFooter"/>
        <w:keepLines/>
        <w:widowControl/>
      </w:pPr>
      <w:r>
        <w:rPr>
          <w:vertAlign w:val="superscript"/>
        </w:rPr>
        <w:t>a</w:t>
      </w:r>
      <w:r>
        <w:t xml:space="preserve"> Data from September 2018 cut off provided as tables in Attachments</w:t>
      </w:r>
    </w:p>
    <w:p w:rsidR="00516A59" w:rsidRDefault="007D3F6A">
      <w:pPr>
        <w:pStyle w:val="TableFooter"/>
        <w:keepLines/>
        <w:widowControl/>
      </w:pPr>
      <w:r>
        <w:rPr>
          <w:vertAlign w:val="superscript"/>
        </w:rPr>
        <w:t>b</w:t>
      </w:r>
      <w:r>
        <w:t>Published 4 April 2019 (post submission)</w:t>
      </w:r>
    </w:p>
    <w:p w:rsidR="00516A59" w:rsidRDefault="007D3F6A">
      <w:pPr>
        <w:pStyle w:val="TableFooter"/>
        <w:keepLines/>
        <w:widowControl/>
        <w:rPr>
          <w:sz w:val="20"/>
        </w:rPr>
      </w:pPr>
      <w:r>
        <w:t>Source: Table 2.2-1, pp42-3 of the resubmission</w:t>
      </w:r>
    </w:p>
    <w:p w:rsidR="00516A59" w:rsidRDefault="00516A59">
      <w:pPr>
        <w:keepLines/>
        <w:widowControl/>
      </w:pPr>
    </w:p>
    <w:p w:rsidR="00516A59" w:rsidRDefault="007D3F6A">
      <w:pPr>
        <w:pStyle w:val="ListParagraph"/>
        <w:keepLines/>
        <w:widowControl/>
      </w:pPr>
      <w:r>
        <w:t xml:space="preserve">The key features of the included trials are summarised in Table 6. </w:t>
      </w:r>
    </w:p>
    <w:p w:rsidR="00516A59" w:rsidRDefault="007D3F6A">
      <w:pPr>
        <w:widowControl/>
        <w:jc w:val="left"/>
        <w:rPr>
          <w:rFonts w:ascii="Arial Narrow" w:hAnsi="Arial Narrow"/>
          <w:b/>
          <w:bCs/>
          <w:sz w:val="20"/>
          <w:szCs w:val="18"/>
        </w:rPr>
      </w:pPr>
      <w:r>
        <w:br w:type="page"/>
      </w:r>
    </w:p>
    <w:p w:rsidR="0065766E" w:rsidRDefault="0065766E" w:rsidP="0065766E">
      <w:pPr>
        <w:pStyle w:val="Caption"/>
        <w:keepNext/>
      </w:pPr>
      <w:r>
        <w:lastRenderedPageBreak/>
        <w:t xml:space="preserve">Table </w:t>
      </w:r>
      <w:r w:rsidR="0093515B">
        <w:rPr>
          <w:noProof/>
        </w:rPr>
        <w:t>6</w:t>
      </w:r>
      <w:r w:rsidRPr="001975E2">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Key features of the included evidence"/>
      </w:tblPr>
      <w:tblGrid>
        <w:gridCol w:w="1281"/>
        <w:gridCol w:w="839"/>
        <w:gridCol w:w="1408"/>
        <w:gridCol w:w="1118"/>
        <w:gridCol w:w="1704"/>
        <w:gridCol w:w="968"/>
        <w:gridCol w:w="1699"/>
      </w:tblGrid>
      <w:tr w:rsidR="00516A59" w:rsidTr="0065766E">
        <w:tc>
          <w:tcPr>
            <w:tcW w:w="710" w:type="pct"/>
            <w:shd w:val="clear" w:color="auto" w:fill="auto"/>
            <w:vAlign w:val="center"/>
          </w:tcPr>
          <w:p w:rsidR="00516A59" w:rsidRDefault="007D3F6A">
            <w:pPr>
              <w:pStyle w:val="Tabletext"/>
              <w:keepLines/>
              <w:rPr>
                <w:b/>
                <w:lang w:val="en-US"/>
              </w:rPr>
            </w:pPr>
            <w:r>
              <w:rPr>
                <w:b/>
                <w:lang w:val="en-US"/>
              </w:rPr>
              <w:t>Trial</w:t>
            </w:r>
          </w:p>
        </w:tc>
        <w:tc>
          <w:tcPr>
            <w:tcW w:w="465" w:type="pct"/>
            <w:shd w:val="clear" w:color="auto" w:fill="auto"/>
            <w:vAlign w:val="center"/>
          </w:tcPr>
          <w:p w:rsidR="00516A59" w:rsidRDefault="007D3F6A">
            <w:pPr>
              <w:pStyle w:val="Tabletext"/>
              <w:keepLines/>
              <w:jc w:val="center"/>
              <w:rPr>
                <w:b/>
                <w:lang w:val="en-US"/>
              </w:rPr>
            </w:pPr>
            <w:r>
              <w:rPr>
                <w:b/>
                <w:lang w:val="en-US"/>
              </w:rPr>
              <w:t>N</w:t>
            </w:r>
          </w:p>
        </w:tc>
        <w:tc>
          <w:tcPr>
            <w:tcW w:w="781" w:type="pct"/>
            <w:shd w:val="clear" w:color="auto" w:fill="auto"/>
            <w:vAlign w:val="center"/>
          </w:tcPr>
          <w:p w:rsidR="00516A59" w:rsidRDefault="007D3F6A">
            <w:pPr>
              <w:pStyle w:val="Tabletext"/>
              <w:keepLines/>
              <w:jc w:val="center"/>
              <w:rPr>
                <w:b/>
                <w:lang w:val="en-US"/>
              </w:rPr>
            </w:pPr>
            <w:r>
              <w:rPr>
                <w:b/>
                <w:lang w:val="en-US"/>
              </w:rPr>
              <w:t>Design/ duration</w:t>
            </w:r>
          </w:p>
        </w:tc>
        <w:tc>
          <w:tcPr>
            <w:tcW w:w="620" w:type="pct"/>
            <w:shd w:val="clear" w:color="auto" w:fill="auto"/>
            <w:vAlign w:val="center"/>
          </w:tcPr>
          <w:p w:rsidR="00516A59" w:rsidRDefault="007D3F6A">
            <w:pPr>
              <w:pStyle w:val="Tabletext"/>
              <w:keepLines/>
              <w:jc w:val="center"/>
              <w:rPr>
                <w:b/>
                <w:lang w:val="en-US"/>
              </w:rPr>
            </w:pPr>
            <w:r>
              <w:rPr>
                <w:b/>
                <w:lang w:val="en-US"/>
              </w:rPr>
              <w:t>Risk of bias</w:t>
            </w:r>
          </w:p>
        </w:tc>
        <w:tc>
          <w:tcPr>
            <w:tcW w:w="945" w:type="pct"/>
            <w:shd w:val="clear" w:color="auto" w:fill="auto"/>
            <w:vAlign w:val="center"/>
          </w:tcPr>
          <w:p w:rsidR="00516A59" w:rsidRDefault="007D3F6A">
            <w:pPr>
              <w:pStyle w:val="Tabletext"/>
              <w:keepLines/>
              <w:jc w:val="center"/>
              <w:rPr>
                <w:b/>
                <w:lang w:val="en-US"/>
              </w:rPr>
            </w:pPr>
            <w:r>
              <w:rPr>
                <w:b/>
                <w:lang w:val="en-US"/>
              </w:rPr>
              <w:t>Patient population</w:t>
            </w:r>
          </w:p>
        </w:tc>
        <w:tc>
          <w:tcPr>
            <w:tcW w:w="537" w:type="pct"/>
            <w:shd w:val="clear" w:color="auto" w:fill="auto"/>
            <w:vAlign w:val="center"/>
          </w:tcPr>
          <w:p w:rsidR="00516A59" w:rsidRDefault="007D3F6A">
            <w:pPr>
              <w:pStyle w:val="Tabletext"/>
              <w:keepLines/>
              <w:jc w:val="center"/>
              <w:rPr>
                <w:b/>
                <w:lang w:val="en-US"/>
              </w:rPr>
            </w:pPr>
            <w:r>
              <w:rPr>
                <w:b/>
                <w:lang w:val="en-US"/>
              </w:rPr>
              <w:t>Outcome(s)</w:t>
            </w:r>
          </w:p>
        </w:tc>
        <w:tc>
          <w:tcPr>
            <w:tcW w:w="940" w:type="pct"/>
            <w:shd w:val="clear" w:color="auto" w:fill="auto"/>
            <w:vAlign w:val="center"/>
          </w:tcPr>
          <w:p w:rsidR="00516A59" w:rsidRDefault="007D3F6A">
            <w:pPr>
              <w:pStyle w:val="Tabletext"/>
              <w:keepLines/>
              <w:jc w:val="center"/>
              <w:rPr>
                <w:b/>
                <w:lang w:val="en-US"/>
              </w:rPr>
            </w:pPr>
            <w:r>
              <w:rPr>
                <w:b/>
                <w:lang w:val="en-US"/>
              </w:rPr>
              <w:t>Use in modelled evaluation</w:t>
            </w:r>
          </w:p>
        </w:tc>
      </w:tr>
      <w:tr w:rsidR="00516A59">
        <w:tc>
          <w:tcPr>
            <w:tcW w:w="5000" w:type="pct"/>
            <w:gridSpan w:val="7"/>
            <w:shd w:val="clear" w:color="auto" w:fill="auto"/>
            <w:vAlign w:val="center"/>
          </w:tcPr>
          <w:p w:rsidR="00516A59" w:rsidRDefault="007D3F6A">
            <w:pPr>
              <w:pStyle w:val="Tabletext"/>
              <w:keepLines/>
              <w:rPr>
                <w:b/>
                <w:lang w:val="en-US"/>
              </w:rPr>
            </w:pPr>
            <w:r>
              <w:rPr>
                <w:b/>
                <w:lang w:val="en-US"/>
              </w:rPr>
              <w:t>Pembrolizumab+platinum+pemetrexed versus platinum+pemetrexed (TPS &lt;50% subgroup)</w:t>
            </w:r>
          </w:p>
        </w:tc>
      </w:tr>
      <w:tr w:rsidR="00516A59" w:rsidTr="0065766E">
        <w:tc>
          <w:tcPr>
            <w:tcW w:w="710" w:type="pct"/>
            <w:shd w:val="clear" w:color="auto" w:fill="auto"/>
            <w:vAlign w:val="center"/>
          </w:tcPr>
          <w:p w:rsidR="00516A59" w:rsidRDefault="007D3F6A">
            <w:pPr>
              <w:pStyle w:val="Tabletext"/>
              <w:keepLines/>
              <w:rPr>
                <w:lang w:val="en-US"/>
              </w:rPr>
            </w:pPr>
            <w:r>
              <w:rPr>
                <w:lang w:val="en-US"/>
              </w:rPr>
              <w:t>KN189</w:t>
            </w:r>
          </w:p>
        </w:tc>
        <w:tc>
          <w:tcPr>
            <w:tcW w:w="465" w:type="pct"/>
            <w:shd w:val="clear" w:color="auto" w:fill="auto"/>
            <w:vAlign w:val="center"/>
          </w:tcPr>
          <w:p w:rsidR="00516A59" w:rsidRDefault="007D3F6A">
            <w:pPr>
              <w:pStyle w:val="Tabletext"/>
              <w:keepLines/>
              <w:jc w:val="center"/>
              <w:rPr>
                <w:lang w:val="en-US"/>
              </w:rPr>
            </w:pPr>
            <w:r>
              <w:rPr>
                <w:lang w:val="en-US"/>
              </w:rPr>
              <w:t xml:space="preserve">376 </w:t>
            </w:r>
          </w:p>
          <w:p w:rsidR="00516A59" w:rsidRDefault="007D3F6A">
            <w:pPr>
              <w:pStyle w:val="Tabletext"/>
              <w:keepLines/>
              <w:jc w:val="center"/>
              <w:rPr>
                <w:lang w:val="en-US"/>
              </w:rPr>
            </w:pPr>
            <w:r>
              <w:rPr>
                <w:lang w:val="en-US"/>
              </w:rPr>
              <w:t>(ITT 616)</w:t>
            </w:r>
          </w:p>
        </w:tc>
        <w:tc>
          <w:tcPr>
            <w:tcW w:w="781" w:type="pct"/>
            <w:shd w:val="clear" w:color="auto" w:fill="auto"/>
            <w:vAlign w:val="center"/>
          </w:tcPr>
          <w:p w:rsidR="00516A59" w:rsidRDefault="007D3F6A">
            <w:pPr>
              <w:pStyle w:val="Tabletext"/>
              <w:keepLines/>
              <w:jc w:val="center"/>
              <w:rPr>
                <w:lang w:val="en-US"/>
              </w:rPr>
            </w:pPr>
            <w:r>
              <w:rPr>
                <w:lang w:val="en-US"/>
              </w:rPr>
              <w:t>R, DB</w:t>
            </w:r>
          </w:p>
          <w:p w:rsidR="00516A59" w:rsidRDefault="007D3F6A">
            <w:pPr>
              <w:pStyle w:val="Tabletext"/>
              <w:keepLines/>
              <w:jc w:val="center"/>
              <w:rPr>
                <w:lang w:val="en-US"/>
              </w:rPr>
            </w:pPr>
            <w:r>
              <w:rPr>
                <w:lang w:val="en-US"/>
              </w:rPr>
              <w:t>Median 16.7 mths</w:t>
            </w:r>
            <w:r>
              <w:rPr>
                <w:vertAlign w:val="superscript"/>
                <w:lang w:val="en-US"/>
              </w:rPr>
              <w:t>f</w:t>
            </w:r>
          </w:p>
          <w:p w:rsidR="00516A59" w:rsidRDefault="007D3F6A">
            <w:pPr>
              <w:pStyle w:val="Tabletext"/>
              <w:keepLines/>
              <w:jc w:val="center"/>
              <w:rPr>
                <w:lang w:val="en-US"/>
              </w:rPr>
            </w:pPr>
            <w:r>
              <w:rPr>
                <w:lang w:val="en-US"/>
              </w:rPr>
              <w:t>(Median 10.5 mths in the previous submission)</w:t>
            </w:r>
          </w:p>
        </w:tc>
        <w:tc>
          <w:tcPr>
            <w:tcW w:w="620" w:type="pct"/>
            <w:shd w:val="clear" w:color="auto" w:fill="auto"/>
            <w:vAlign w:val="center"/>
          </w:tcPr>
          <w:p w:rsidR="00516A59" w:rsidRDefault="007D3F6A">
            <w:pPr>
              <w:pStyle w:val="Tabletext"/>
              <w:keepLines/>
              <w:jc w:val="center"/>
              <w:rPr>
                <w:lang w:val="en-US"/>
              </w:rPr>
            </w:pPr>
            <w:r>
              <w:rPr>
                <w:lang w:val="en-US"/>
              </w:rPr>
              <w:t>Low, planned subgroup analysis</w:t>
            </w:r>
          </w:p>
        </w:tc>
        <w:tc>
          <w:tcPr>
            <w:tcW w:w="945" w:type="pct"/>
            <w:shd w:val="clear" w:color="auto" w:fill="auto"/>
            <w:vAlign w:val="center"/>
          </w:tcPr>
          <w:p w:rsidR="00516A59" w:rsidRDefault="007D3F6A">
            <w:pPr>
              <w:pStyle w:val="Tabletext"/>
              <w:keepLines/>
              <w:jc w:val="center"/>
              <w:rPr>
                <w:lang w:val="en-US"/>
              </w:rPr>
            </w:pPr>
            <w:r>
              <w:rPr>
                <w:lang w:val="en-US"/>
              </w:rPr>
              <w:t>Untreated (first-line) NSQ Stage IV NSCLC, EGFR and ALK negative ECOG 0 or 1 and TPS &lt;50%</w:t>
            </w:r>
          </w:p>
        </w:tc>
        <w:tc>
          <w:tcPr>
            <w:tcW w:w="537" w:type="pct"/>
            <w:shd w:val="clear" w:color="auto" w:fill="auto"/>
            <w:vAlign w:val="center"/>
          </w:tcPr>
          <w:p w:rsidR="00516A59" w:rsidRDefault="007D3F6A">
            <w:pPr>
              <w:pStyle w:val="Tabletext"/>
              <w:keepLines/>
              <w:jc w:val="center"/>
              <w:rPr>
                <w:lang w:val="en-US"/>
              </w:rPr>
            </w:pPr>
            <w:r>
              <w:rPr>
                <w:lang w:val="en-US"/>
              </w:rPr>
              <w:t>OS, PFS</w:t>
            </w:r>
          </w:p>
        </w:tc>
        <w:tc>
          <w:tcPr>
            <w:tcW w:w="940" w:type="pct"/>
            <w:shd w:val="clear" w:color="auto" w:fill="auto"/>
            <w:vAlign w:val="center"/>
          </w:tcPr>
          <w:p w:rsidR="00516A59" w:rsidRDefault="007D3F6A">
            <w:pPr>
              <w:pStyle w:val="Tabletext"/>
              <w:keepLines/>
              <w:jc w:val="center"/>
              <w:rPr>
                <w:lang w:val="en-US"/>
              </w:rPr>
            </w:pPr>
            <w:r>
              <w:rPr>
                <w:lang w:val="en-US"/>
              </w:rPr>
              <w:t>Both OS and PFS as well as time on treatment used in model for patients with TPS &lt;50%</w:t>
            </w:r>
          </w:p>
        </w:tc>
      </w:tr>
      <w:tr w:rsidR="00516A59">
        <w:tc>
          <w:tcPr>
            <w:tcW w:w="5000" w:type="pct"/>
            <w:gridSpan w:val="7"/>
            <w:shd w:val="clear" w:color="auto" w:fill="auto"/>
            <w:vAlign w:val="center"/>
          </w:tcPr>
          <w:p w:rsidR="00516A59" w:rsidRDefault="007D3F6A">
            <w:pPr>
              <w:pStyle w:val="Tabletext"/>
              <w:keepLines/>
              <w:rPr>
                <w:b/>
                <w:lang w:val="en-US"/>
              </w:rPr>
            </w:pPr>
            <w:r>
              <w:rPr>
                <w:b/>
                <w:lang w:val="en-US"/>
              </w:rPr>
              <w:t>Pembrolizumab+platinum+pemetrexed versus pembrolizumab monotherapy, platinum doublet common reference (TPS ≥50% indirect comparison)</w:t>
            </w:r>
          </w:p>
        </w:tc>
      </w:tr>
      <w:tr w:rsidR="00516A59">
        <w:tc>
          <w:tcPr>
            <w:tcW w:w="5000" w:type="pct"/>
            <w:gridSpan w:val="7"/>
            <w:shd w:val="clear" w:color="auto" w:fill="auto"/>
            <w:vAlign w:val="center"/>
          </w:tcPr>
          <w:p w:rsidR="00516A59" w:rsidRDefault="007D3F6A">
            <w:pPr>
              <w:pStyle w:val="Tabletext"/>
              <w:keepLines/>
              <w:rPr>
                <w:lang w:val="en-US"/>
              </w:rPr>
            </w:pPr>
            <w:r>
              <w:t>Pembrolizumab+platinum+pemetrexed</w:t>
            </w:r>
            <w:r>
              <w:rPr>
                <w:lang w:val="en-US"/>
              </w:rPr>
              <w:t xml:space="preserve"> versus platinum+pemetrexed</w:t>
            </w:r>
          </w:p>
        </w:tc>
      </w:tr>
      <w:tr w:rsidR="00516A59" w:rsidTr="0065766E">
        <w:tc>
          <w:tcPr>
            <w:tcW w:w="710" w:type="pct"/>
            <w:shd w:val="clear" w:color="auto" w:fill="auto"/>
            <w:vAlign w:val="center"/>
          </w:tcPr>
          <w:p w:rsidR="00516A59" w:rsidRDefault="007D3F6A">
            <w:pPr>
              <w:pStyle w:val="Tabletext"/>
              <w:keepLines/>
              <w:rPr>
                <w:lang w:val="en-US"/>
              </w:rPr>
            </w:pPr>
            <w:r>
              <w:rPr>
                <w:lang w:val="en-US"/>
              </w:rPr>
              <w:t>KN189</w:t>
            </w:r>
          </w:p>
        </w:tc>
        <w:tc>
          <w:tcPr>
            <w:tcW w:w="465" w:type="pct"/>
            <w:shd w:val="clear" w:color="auto" w:fill="auto"/>
            <w:vAlign w:val="center"/>
          </w:tcPr>
          <w:p w:rsidR="00516A59" w:rsidRDefault="007D3F6A">
            <w:pPr>
              <w:pStyle w:val="Tabletext"/>
              <w:keepLines/>
              <w:jc w:val="center"/>
              <w:rPr>
                <w:lang w:val="en-US"/>
              </w:rPr>
            </w:pPr>
            <w:r>
              <w:rPr>
                <w:lang w:val="en-US"/>
              </w:rPr>
              <w:t>202</w:t>
            </w:r>
            <w:r>
              <w:rPr>
                <w:vertAlign w:val="superscript"/>
                <w:lang w:val="en-US"/>
              </w:rPr>
              <w:t>a</w:t>
            </w:r>
            <w:r>
              <w:rPr>
                <w:lang w:val="en-US"/>
              </w:rPr>
              <w:t xml:space="preserve"> </w:t>
            </w:r>
          </w:p>
          <w:p w:rsidR="00516A59" w:rsidRDefault="007D3F6A">
            <w:pPr>
              <w:pStyle w:val="Tabletext"/>
              <w:keepLines/>
              <w:jc w:val="center"/>
              <w:rPr>
                <w:lang w:val="en-US"/>
              </w:rPr>
            </w:pPr>
            <w:r>
              <w:rPr>
                <w:lang w:val="en-US"/>
              </w:rPr>
              <w:t>(ITT 616)</w:t>
            </w:r>
          </w:p>
        </w:tc>
        <w:tc>
          <w:tcPr>
            <w:tcW w:w="781" w:type="pct"/>
            <w:shd w:val="clear" w:color="auto" w:fill="auto"/>
            <w:vAlign w:val="center"/>
          </w:tcPr>
          <w:p w:rsidR="00516A59" w:rsidRDefault="007D3F6A">
            <w:pPr>
              <w:pStyle w:val="Tabletext"/>
              <w:keepLines/>
              <w:jc w:val="center"/>
              <w:rPr>
                <w:lang w:val="en-US"/>
              </w:rPr>
            </w:pPr>
            <w:r>
              <w:rPr>
                <w:lang w:val="en-US"/>
              </w:rPr>
              <w:t>R, DB</w:t>
            </w:r>
          </w:p>
          <w:p w:rsidR="00516A59" w:rsidRDefault="007D3F6A">
            <w:pPr>
              <w:pStyle w:val="Tabletext"/>
              <w:keepLines/>
              <w:jc w:val="center"/>
              <w:rPr>
                <w:lang w:val="en-US"/>
              </w:rPr>
            </w:pPr>
            <w:r>
              <w:rPr>
                <w:lang w:val="en-US"/>
              </w:rPr>
              <w:t>Median 16.7 mths</w:t>
            </w:r>
            <w:r>
              <w:rPr>
                <w:vertAlign w:val="superscript"/>
                <w:lang w:val="en-US"/>
              </w:rPr>
              <w:t>f</w:t>
            </w:r>
          </w:p>
          <w:p w:rsidR="00516A59" w:rsidRDefault="007D3F6A">
            <w:pPr>
              <w:pStyle w:val="Tabletext"/>
              <w:keepLines/>
              <w:jc w:val="center"/>
              <w:rPr>
                <w:lang w:val="en-US"/>
              </w:rPr>
            </w:pPr>
            <w:r>
              <w:rPr>
                <w:lang w:val="en-US"/>
              </w:rPr>
              <w:t>(Median 10.5 mths in the previous submission)</w:t>
            </w:r>
          </w:p>
        </w:tc>
        <w:tc>
          <w:tcPr>
            <w:tcW w:w="620" w:type="pct"/>
            <w:shd w:val="clear" w:color="auto" w:fill="auto"/>
            <w:vAlign w:val="center"/>
          </w:tcPr>
          <w:p w:rsidR="00516A59" w:rsidRDefault="007D3F6A">
            <w:pPr>
              <w:pStyle w:val="Tabletext"/>
              <w:keepLines/>
              <w:jc w:val="center"/>
              <w:rPr>
                <w:lang w:val="en-US"/>
              </w:rPr>
            </w:pPr>
            <w:r>
              <w:rPr>
                <w:lang w:val="en-US"/>
              </w:rPr>
              <w:t>Low</w:t>
            </w:r>
            <w:r>
              <w:rPr>
                <w:vertAlign w:val="superscript"/>
                <w:lang w:val="en-US"/>
              </w:rPr>
              <w:t>,</w:t>
            </w:r>
            <w:r>
              <w:rPr>
                <w:lang w:val="en-US"/>
              </w:rPr>
              <w:t xml:space="preserve"> planned subgroup analysis </w:t>
            </w:r>
            <w:r>
              <w:rPr>
                <w:lang w:val="en-US"/>
              </w:rPr>
              <w:br/>
            </w:r>
          </w:p>
        </w:tc>
        <w:tc>
          <w:tcPr>
            <w:tcW w:w="945" w:type="pct"/>
            <w:shd w:val="clear" w:color="auto" w:fill="auto"/>
            <w:vAlign w:val="center"/>
          </w:tcPr>
          <w:p w:rsidR="00516A59" w:rsidRDefault="007D3F6A">
            <w:pPr>
              <w:pStyle w:val="Tabletext"/>
              <w:keepLines/>
              <w:jc w:val="center"/>
              <w:rPr>
                <w:lang w:val="en-US"/>
              </w:rPr>
            </w:pPr>
            <w:r>
              <w:rPr>
                <w:lang w:val="en-US"/>
              </w:rPr>
              <w:t>Untreated (first-line) NSQ Stage IV NSCLC, EGFR and ALK negative, ECOG 0 or 1 and TPS ≥50%</w:t>
            </w:r>
          </w:p>
        </w:tc>
        <w:tc>
          <w:tcPr>
            <w:tcW w:w="537" w:type="pct"/>
            <w:shd w:val="clear" w:color="auto" w:fill="auto"/>
            <w:vAlign w:val="center"/>
          </w:tcPr>
          <w:p w:rsidR="00516A59" w:rsidRDefault="007D3F6A">
            <w:pPr>
              <w:pStyle w:val="Tabletext"/>
              <w:keepLines/>
              <w:jc w:val="center"/>
              <w:rPr>
                <w:lang w:val="en-US"/>
              </w:rPr>
            </w:pPr>
            <w:r>
              <w:rPr>
                <w:lang w:val="en-US"/>
              </w:rPr>
              <w:t>OS, PFS</w:t>
            </w:r>
          </w:p>
        </w:tc>
        <w:tc>
          <w:tcPr>
            <w:tcW w:w="940" w:type="pct"/>
            <w:shd w:val="clear" w:color="auto" w:fill="auto"/>
            <w:vAlign w:val="center"/>
          </w:tcPr>
          <w:p w:rsidR="00516A59" w:rsidRDefault="007D3F6A">
            <w:pPr>
              <w:pStyle w:val="Tabletext"/>
              <w:keepLines/>
              <w:jc w:val="center"/>
              <w:rPr>
                <w:lang w:val="en-US"/>
              </w:rPr>
            </w:pPr>
            <w:r>
              <w:rPr>
                <w:lang w:val="en-US"/>
              </w:rPr>
              <w:t>Both OS and PFS as well as time on treatment used in model for patients with TPS ≥50%</w:t>
            </w:r>
          </w:p>
        </w:tc>
      </w:tr>
      <w:tr w:rsidR="00516A59">
        <w:tc>
          <w:tcPr>
            <w:tcW w:w="5000" w:type="pct"/>
            <w:gridSpan w:val="7"/>
            <w:shd w:val="clear" w:color="auto" w:fill="auto"/>
            <w:vAlign w:val="center"/>
          </w:tcPr>
          <w:p w:rsidR="00516A59" w:rsidRDefault="007D3F6A">
            <w:pPr>
              <w:pStyle w:val="Tabletext"/>
              <w:keepLines/>
              <w:rPr>
                <w:lang w:val="en-US"/>
              </w:rPr>
            </w:pPr>
            <w:r>
              <w:rPr>
                <w:lang w:val="en-US"/>
              </w:rPr>
              <w:t>Pembrolizumab monotherapy versus platinum+pemetrexed</w:t>
            </w:r>
          </w:p>
        </w:tc>
      </w:tr>
      <w:tr w:rsidR="00516A59" w:rsidTr="0065766E">
        <w:tc>
          <w:tcPr>
            <w:tcW w:w="710" w:type="pct"/>
            <w:shd w:val="clear" w:color="auto" w:fill="auto"/>
            <w:vAlign w:val="center"/>
          </w:tcPr>
          <w:p w:rsidR="00516A59" w:rsidRDefault="007D3F6A">
            <w:pPr>
              <w:pStyle w:val="Tabletext"/>
              <w:keepLines/>
              <w:rPr>
                <w:lang w:val="en-US"/>
              </w:rPr>
            </w:pPr>
            <w:r>
              <w:rPr>
                <w:lang w:val="en-US"/>
              </w:rPr>
              <w:t>KN024</w:t>
            </w:r>
            <w:r>
              <w:rPr>
                <w:vertAlign w:val="superscript"/>
                <w:lang w:val="en-US"/>
              </w:rPr>
              <w:t xml:space="preserve">c </w:t>
            </w:r>
          </w:p>
        </w:tc>
        <w:tc>
          <w:tcPr>
            <w:tcW w:w="465" w:type="pct"/>
            <w:shd w:val="clear" w:color="auto" w:fill="auto"/>
            <w:vAlign w:val="center"/>
          </w:tcPr>
          <w:p w:rsidR="00516A59" w:rsidRDefault="007D3F6A">
            <w:pPr>
              <w:pStyle w:val="Tabletext"/>
              <w:keepLines/>
              <w:jc w:val="center"/>
              <w:rPr>
                <w:lang w:val="en-US"/>
              </w:rPr>
            </w:pPr>
            <w:r>
              <w:rPr>
                <w:lang w:val="en-US"/>
              </w:rPr>
              <w:t>199</w:t>
            </w:r>
          </w:p>
          <w:p w:rsidR="00516A59" w:rsidRDefault="007D3F6A">
            <w:pPr>
              <w:pStyle w:val="Tabletext"/>
              <w:keepLines/>
              <w:jc w:val="center"/>
              <w:rPr>
                <w:lang w:val="en-US"/>
              </w:rPr>
            </w:pPr>
            <w:r>
              <w:rPr>
                <w:lang w:val="en-US"/>
              </w:rPr>
              <w:t>(ITT 305)</w:t>
            </w:r>
          </w:p>
        </w:tc>
        <w:tc>
          <w:tcPr>
            <w:tcW w:w="781" w:type="pct"/>
            <w:shd w:val="clear" w:color="auto" w:fill="auto"/>
            <w:vAlign w:val="center"/>
          </w:tcPr>
          <w:p w:rsidR="00516A59" w:rsidRDefault="007D3F6A">
            <w:pPr>
              <w:pStyle w:val="Tabletext"/>
              <w:keepLines/>
              <w:jc w:val="center"/>
              <w:rPr>
                <w:lang w:val="en-US"/>
              </w:rPr>
            </w:pPr>
            <w:r>
              <w:rPr>
                <w:lang w:val="en-US"/>
              </w:rPr>
              <w:t>R, OL</w:t>
            </w:r>
          </w:p>
          <w:p w:rsidR="00516A59" w:rsidRDefault="007D3F6A">
            <w:pPr>
              <w:pStyle w:val="Tabletext"/>
              <w:keepLines/>
              <w:jc w:val="center"/>
              <w:rPr>
                <w:lang w:val="en-US"/>
              </w:rPr>
            </w:pPr>
            <w:r>
              <w:rPr>
                <w:lang w:val="en-US"/>
              </w:rPr>
              <w:t>Median 11.2 mths</w:t>
            </w:r>
          </w:p>
        </w:tc>
        <w:tc>
          <w:tcPr>
            <w:tcW w:w="620" w:type="pct"/>
            <w:shd w:val="clear" w:color="auto" w:fill="auto"/>
            <w:vAlign w:val="center"/>
          </w:tcPr>
          <w:p w:rsidR="00516A59" w:rsidRDefault="007D3F6A">
            <w:pPr>
              <w:pStyle w:val="Tabletext"/>
              <w:keepLines/>
              <w:jc w:val="center"/>
              <w:rPr>
                <w:lang w:val="en-US"/>
              </w:rPr>
            </w:pPr>
            <w:r>
              <w:rPr>
                <w:lang w:val="en-US"/>
              </w:rPr>
              <w:t>Low</w:t>
            </w:r>
            <w:r>
              <w:rPr>
                <w:vertAlign w:val="superscript"/>
                <w:lang w:val="en-US"/>
              </w:rPr>
              <w:t>b,</w:t>
            </w:r>
            <w:r>
              <w:rPr>
                <w:lang w:val="en-US"/>
              </w:rPr>
              <w:t>; OS is objective outcome</w:t>
            </w:r>
          </w:p>
          <w:p w:rsidR="00516A59" w:rsidRDefault="007D3F6A">
            <w:pPr>
              <w:pStyle w:val="Tabletext"/>
              <w:keepLines/>
              <w:jc w:val="center"/>
              <w:rPr>
                <w:lang w:val="en-US"/>
              </w:rPr>
            </w:pPr>
            <w:r>
              <w:rPr>
                <w:lang w:val="en-US"/>
              </w:rPr>
              <w:t>High risk of bias for indirect comparison</w:t>
            </w:r>
          </w:p>
        </w:tc>
        <w:tc>
          <w:tcPr>
            <w:tcW w:w="945" w:type="pct"/>
            <w:shd w:val="clear" w:color="auto" w:fill="auto"/>
            <w:vAlign w:val="center"/>
          </w:tcPr>
          <w:p w:rsidR="00516A59" w:rsidRDefault="007D3F6A">
            <w:pPr>
              <w:pStyle w:val="Tabletext"/>
              <w:keepLines/>
              <w:jc w:val="center"/>
              <w:rPr>
                <w:lang w:val="en-US"/>
              </w:rPr>
            </w:pPr>
            <w:r>
              <w:rPr>
                <w:lang w:val="en-US"/>
              </w:rPr>
              <w:t>Untreated (first-line) NSQ Stage IV NSCLC, EGFR and ALK negative, ECOG 0 or 1 and TPS ≥50%</w:t>
            </w:r>
          </w:p>
        </w:tc>
        <w:tc>
          <w:tcPr>
            <w:tcW w:w="537" w:type="pct"/>
            <w:shd w:val="clear" w:color="auto" w:fill="auto"/>
            <w:vAlign w:val="center"/>
          </w:tcPr>
          <w:p w:rsidR="00516A59" w:rsidRDefault="007D3F6A">
            <w:pPr>
              <w:pStyle w:val="Tabletext"/>
              <w:keepLines/>
              <w:jc w:val="center"/>
              <w:rPr>
                <w:lang w:val="en-US"/>
              </w:rPr>
            </w:pPr>
            <w:r>
              <w:rPr>
                <w:lang w:val="en-US"/>
              </w:rPr>
              <w:t>OS, PFS</w:t>
            </w:r>
          </w:p>
        </w:tc>
        <w:tc>
          <w:tcPr>
            <w:tcW w:w="940" w:type="pct"/>
            <w:shd w:val="clear" w:color="auto" w:fill="auto"/>
            <w:vAlign w:val="center"/>
          </w:tcPr>
          <w:p w:rsidR="00516A59" w:rsidRDefault="007D3F6A">
            <w:pPr>
              <w:pStyle w:val="Tabletext"/>
              <w:keepLines/>
              <w:jc w:val="center"/>
              <w:rPr>
                <w:lang w:val="en-US"/>
              </w:rPr>
            </w:pPr>
            <w:r>
              <w:rPr>
                <w:lang w:val="en-US"/>
              </w:rPr>
              <w:t>Only NSQ subgroup treated with platinum+ pemetrexed used in TPS ≥50% model</w:t>
            </w:r>
          </w:p>
        </w:tc>
      </w:tr>
      <w:tr w:rsidR="00516A59" w:rsidTr="0065766E">
        <w:tc>
          <w:tcPr>
            <w:tcW w:w="710" w:type="pct"/>
            <w:shd w:val="clear" w:color="auto" w:fill="auto"/>
            <w:vAlign w:val="center"/>
          </w:tcPr>
          <w:p w:rsidR="00516A59" w:rsidRDefault="007D3F6A">
            <w:pPr>
              <w:pStyle w:val="Tabletext"/>
              <w:keepLines/>
              <w:rPr>
                <w:vertAlign w:val="superscript"/>
                <w:lang w:val="en-US"/>
              </w:rPr>
            </w:pPr>
            <w:r>
              <w:rPr>
                <w:lang w:val="en-US"/>
              </w:rPr>
              <w:t>KN042</w:t>
            </w:r>
            <w:r>
              <w:rPr>
                <w:vertAlign w:val="superscript"/>
                <w:lang w:val="en-US"/>
              </w:rPr>
              <w:t>d</w:t>
            </w:r>
          </w:p>
        </w:tc>
        <w:tc>
          <w:tcPr>
            <w:tcW w:w="465" w:type="pct"/>
            <w:shd w:val="clear" w:color="auto" w:fill="auto"/>
            <w:vAlign w:val="center"/>
          </w:tcPr>
          <w:p w:rsidR="00516A59" w:rsidRDefault="007D3F6A">
            <w:pPr>
              <w:pStyle w:val="Tabletext"/>
              <w:keepLines/>
              <w:jc w:val="center"/>
              <w:rPr>
                <w:vertAlign w:val="superscript"/>
                <w:lang w:val="en-US"/>
              </w:rPr>
            </w:pPr>
            <w:r>
              <w:rPr>
                <w:lang w:val="en-US"/>
              </w:rPr>
              <w:t>599</w:t>
            </w:r>
            <w:r>
              <w:rPr>
                <w:vertAlign w:val="superscript"/>
                <w:lang w:val="en-US"/>
              </w:rPr>
              <w:t>e</w:t>
            </w:r>
          </w:p>
          <w:p w:rsidR="00516A59" w:rsidRDefault="007D3F6A">
            <w:pPr>
              <w:pStyle w:val="Tabletext"/>
              <w:keepLines/>
              <w:jc w:val="center"/>
              <w:rPr>
                <w:lang w:val="en-US"/>
              </w:rPr>
            </w:pPr>
            <w:r>
              <w:rPr>
                <w:lang w:val="en-US"/>
              </w:rPr>
              <w:t>(ITT 1,274)</w:t>
            </w:r>
          </w:p>
        </w:tc>
        <w:tc>
          <w:tcPr>
            <w:tcW w:w="781" w:type="pct"/>
            <w:shd w:val="clear" w:color="auto" w:fill="auto"/>
            <w:vAlign w:val="center"/>
          </w:tcPr>
          <w:p w:rsidR="00516A59" w:rsidRDefault="007D3F6A">
            <w:pPr>
              <w:pStyle w:val="Tabletext"/>
              <w:keepLines/>
              <w:jc w:val="center"/>
              <w:rPr>
                <w:lang w:val="en-US"/>
              </w:rPr>
            </w:pPr>
            <w:r>
              <w:rPr>
                <w:lang w:val="en-US"/>
              </w:rPr>
              <w:t>R, OL</w:t>
            </w:r>
          </w:p>
          <w:p w:rsidR="00516A59" w:rsidRDefault="007D3F6A">
            <w:pPr>
              <w:pStyle w:val="Tabletext"/>
              <w:keepLines/>
              <w:jc w:val="center"/>
              <w:rPr>
                <w:lang w:val="en-US"/>
              </w:rPr>
            </w:pPr>
            <w:r>
              <w:rPr>
                <w:lang w:val="en-US"/>
              </w:rPr>
              <w:t>Median 14.0 mths</w:t>
            </w:r>
          </w:p>
        </w:tc>
        <w:tc>
          <w:tcPr>
            <w:tcW w:w="620" w:type="pct"/>
            <w:shd w:val="clear" w:color="auto" w:fill="auto"/>
            <w:vAlign w:val="center"/>
          </w:tcPr>
          <w:p w:rsidR="00516A59" w:rsidRDefault="007D3F6A">
            <w:pPr>
              <w:pStyle w:val="Tabletext"/>
              <w:keepLines/>
              <w:jc w:val="center"/>
              <w:rPr>
                <w:lang w:val="en-US"/>
              </w:rPr>
            </w:pPr>
            <w:r>
              <w:rPr>
                <w:lang w:val="en-US"/>
              </w:rPr>
              <w:t>Low</w:t>
            </w:r>
            <w:r>
              <w:rPr>
                <w:vertAlign w:val="superscript"/>
                <w:lang w:val="en-US"/>
              </w:rPr>
              <w:t>b,</w:t>
            </w:r>
            <w:r>
              <w:rPr>
                <w:lang w:val="en-US"/>
              </w:rPr>
              <w:t>; OS is objective outcome</w:t>
            </w:r>
          </w:p>
          <w:p w:rsidR="00516A59" w:rsidRDefault="007D3F6A">
            <w:pPr>
              <w:pStyle w:val="Tabletext"/>
              <w:keepLines/>
              <w:jc w:val="center"/>
              <w:rPr>
                <w:lang w:val="en-US"/>
              </w:rPr>
            </w:pPr>
            <w:r>
              <w:rPr>
                <w:lang w:val="en-US"/>
              </w:rPr>
              <w:t>High risk of bias for indirect comparison</w:t>
            </w:r>
          </w:p>
        </w:tc>
        <w:tc>
          <w:tcPr>
            <w:tcW w:w="945" w:type="pct"/>
            <w:shd w:val="clear" w:color="auto" w:fill="auto"/>
            <w:vAlign w:val="center"/>
          </w:tcPr>
          <w:p w:rsidR="00516A59" w:rsidRDefault="007D3F6A">
            <w:pPr>
              <w:pStyle w:val="Tabletext"/>
              <w:keepLines/>
              <w:jc w:val="center"/>
              <w:rPr>
                <w:lang w:val="en-US"/>
              </w:rPr>
            </w:pPr>
            <w:r>
              <w:rPr>
                <w:lang w:val="en-US"/>
              </w:rPr>
              <w:t>Untreated (first-line) NSQ Stage IV NSCLC, EGFR and ALK negative, ECOG 0 or 1 and TPS ≥50%</w:t>
            </w:r>
          </w:p>
        </w:tc>
        <w:tc>
          <w:tcPr>
            <w:tcW w:w="537" w:type="pct"/>
            <w:shd w:val="clear" w:color="auto" w:fill="auto"/>
            <w:vAlign w:val="center"/>
          </w:tcPr>
          <w:p w:rsidR="00516A59" w:rsidRDefault="007D3F6A">
            <w:pPr>
              <w:pStyle w:val="Tabletext"/>
              <w:keepLines/>
              <w:jc w:val="center"/>
              <w:rPr>
                <w:lang w:val="en-US"/>
              </w:rPr>
            </w:pPr>
            <w:r>
              <w:rPr>
                <w:lang w:val="en-US"/>
              </w:rPr>
              <w:t>OS, PFS</w:t>
            </w:r>
          </w:p>
        </w:tc>
        <w:tc>
          <w:tcPr>
            <w:tcW w:w="940" w:type="pct"/>
            <w:shd w:val="clear" w:color="auto" w:fill="auto"/>
            <w:vAlign w:val="center"/>
          </w:tcPr>
          <w:p w:rsidR="00516A59" w:rsidRDefault="007D3F6A">
            <w:pPr>
              <w:pStyle w:val="Tabletext"/>
              <w:keepLines/>
              <w:jc w:val="center"/>
              <w:rPr>
                <w:lang w:val="en-US"/>
              </w:rPr>
            </w:pPr>
            <w:r>
              <w:rPr>
                <w:lang w:val="en-US"/>
              </w:rPr>
              <w:t>Only Stage IV NSQ, TPS ≥50% subgroup treated with platinum+pemetrexed used in TPS ≥50% model</w:t>
            </w:r>
          </w:p>
        </w:tc>
      </w:tr>
    </w:tbl>
    <w:p w:rsidR="00516A59" w:rsidRDefault="007D3F6A">
      <w:pPr>
        <w:pStyle w:val="TableFooter"/>
        <w:keepLines/>
        <w:widowControl/>
      </w:pPr>
      <w:r>
        <w:t>DB = double blind; OL = open label; OS = overall survival; PFS = progression-free survival; R = randomised; ITT = intention to treat; NSQ = non squamous; NSCLC = non-small cell lung cancer; EGFR = epidermal growth factor receptor; ALK = anaplastic lymphoma kinase; ECOG = Eastern Cooperative Oncology Group; TPS = Tumour proportion score.</w:t>
      </w:r>
    </w:p>
    <w:p w:rsidR="00516A59" w:rsidRDefault="007D3F6A">
      <w:pPr>
        <w:pStyle w:val="TableFooter"/>
        <w:keepLines/>
        <w:widowControl/>
      </w:pPr>
      <w:r>
        <w:rPr>
          <w:vertAlign w:val="superscript"/>
          <w:lang w:val="en-US"/>
        </w:rPr>
        <w:t xml:space="preserve">a </w:t>
      </w:r>
      <w:r>
        <w:t>Patients with untreated central nervous system (CNS/brain) metastases were excluded from the KN189 study for the indirect comparisons as both the KN042 and KN024 had excluded patients with this disease characteristic.</w:t>
      </w:r>
    </w:p>
    <w:p w:rsidR="00516A59" w:rsidRDefault="007D3F6A">
      <w:pPr>
        <w:pStyle w:val="TableFooter"/>
        <w:keepLines/>
        <w:widowControl/>
        <w:rPr>
          <w:b/>
          <w:lang w:val="en-US"/>
        </w:rPr>
      </w:pPr>
      <w:r>
        <w:rPr>
          <w:vertAlign w:val="superscript"/>
          <w:lang w:val="en-US"/>
        </w:rPr>
        <w:t>b</w:t>
      </w:r>
      <w:r>
        <w:t xml:space="preserve">The “low” risk of bias was only based on the assessment of risk for the </w:t>
      </w:r>
      <w:r>
        <w:rPr>
          <w:u w:val="single"/>
        </w:rPr>
        <w:t>individual</w:t>
      </w:r>
      <w:r>
        <w:t xml:space="preserve"> studies in isolation. For TPS </w:t>
      </w:r>
      <w:r>
        <w:rPr>
          <w:lang w:val="en-US"/>
        </w:rPr>
        <w:t>≥50% patients, the indirect comparisons using the KN189, KN024 and KN042 studies were associated with a high risk of bias</w:t>
      </w:r>
      <w:r>
        <w:rPr>
          <w:b/>
          <w:lang w:val="en-US"/>
        </w:rPr>
        <w:t>.</w:t>
      </w:r>
    </w:p>
    <w:p w:rsidR="00516A59" w:rsidRDefault="007D3F6A">
      <w:pPr>
        <w:pStyle w:val="TableFooter"/>
        <w:keepLines/>
        <w:widowControl/>
      </w:pPr>
      <w:r>
        <w:rPr>
          <w:vertAlign w:val="superscript"/>
        </w:rPr>
        <w:t>c</w:t>
      </w:r>
      <w:r>
        <w:t xml:space="preserve"> KN024 ITT population included both squamous and non-squamous patients. </w:t>
      </w:r>
    </w:p>
    <w:p w:rsidR="00516A59" w:rsidRDefault="007D3F6A">
      <w:pPr>
        <w:pStyle w:val="TableFooter"/>
        <w:keepLines/>
        <w:widowControl/>
      </w:pPr>
      <w:r>
        <w:rPr>
          <w:vertAlign w:val="superscript"/>
        </w:rPr>
        <w:t>d</w:t>
      </w:r>
      <w:r>
        <w:t xml:space="preserve"> KN042 ITT population included Stage IIIb and Stage IV, squamous and non-squamous, TPS≥1% patients.</w:t>
      </w:r>
    </w:p>
    <w:p w:rsidR="00516A59" w:rsidRDefault="007D3F6A">
      <w:pPr>
        <w:pStyle w:val="TableFooter"/>
        <w:keepLines/>
        <w:widowControl/>
      </w:pPr>
      <w:r>
        <w:rPr>
          <w:vertAlign w:val="superscript"/>
          <w:lang w:val="en-US"/>
        </w:rPr>
        <w:t>e</w:t>
      </w:r>
      <w:r>
        <w:t xml:space="preserve"> Sourced from Table 2.4.5, Appendix 25 accompanying the resubmission.</w:t>
      </w:r>
    </w:p>
    <w:p w:rsidR="00516A59" w:rsidRDefault="007D3F6A">
      <w:pPr>
        <w:pStyle w:val="TableFooter"/>
        <w:keepLines/>
        <w:widowControl/>
      </w:pPr>
      <w:r>
        <w:rPr>
          <w:vertAlign w:val="superscript"/>
          <w:lang w:val="en-US"/>
        </w:rPr>
        <w:t xml:space="preserve">f </w:t>
      </w:r>
      <w:r>
        <w:rPr>
          <w:lang w:val="en-US"/>
        </w:rPr>
        <w:t xml:space="preserve">Median duration of follow up was: 18.7 months for the ITT, 16.7 months for TPS &lt;50%, 19.6 months for TPS </w:t>
      </w:r>
      <w:r>
        <w:t>≥50%.</w:t>
      </w:r>
    </w:p>
    <w:p w:rsidR="00516A59" w:rsidRDefault="007D3F6A">
      <w:pPr>
        <w:pStyle w:val="TableFooter"/>
        <w:keepLines/>
        <w:widowControl/>
      </w:pPr>
      <w:r>
        <w:t>Source: Compiled during the evaluation based on Section 2 of, and Appendices 20 and 25 accompanying the resubmission.</w:t>
      </w:r>
    </w:p>
    <w:p w:rsidR="00516A59" w:rsidRDefault="00516A59">
      <w:pPr>
        <w:keepLines/>
        <w:widowControl/>
      </w:pPr>
    </w:p>
    <w:p w:rsidR="00516A59" w:rsidRDefault="007D3F6A">
      <w:pPr>
        <w:pStyle w:val="ListParagraph"/>
        <w:keepLines/>
        <w:widowControl/>
      </w:pPr>
      <w:r>
        <w:t>The indirect comparisons were performed using the hazard ratio (HR) based on the Bucher method, after weighting population characteristics across the treatment arms using Inverse Probability of Treatment Weighting (IPTW). The same approach was used for the previous submission with an additional study (KN042) included in the resubmission.</w:t>
      </w:r>
    </w:p>
    <w:p w:rsidR="00C17D32" w:rsidRDefault="00C17D32">
      <w:pPr>
        <w:widowControl/>
        <w:jc w:val="left"/>
        <w:rPr>
          <w:b/>
          <w:i/>
          <w:sz w:val="28"/>
        </w:rPr>
      </w:pPr>
      <w:bookmarkStart w:id="14" w:name="_Toc371170706"/>
      <w:bookmarkStart w:id="15" w:name="_Toc9436241"/>
      <w:r>
        <w:br w:type="page"/>
      </w:r>
    </w:p>
    <w:p w:rsidR="00516A59" w:rsidRDefault="007D3F6A">
      <w:pPr>
        <w:pStyle w:val="Heading2"/>
      </w:pPr>
      <w:r>
        <w:lastRenderedPageBreak/>
        <w:t>Comparative effectiveness</w:t>
      </w:r>
      <w:bookmarkEnd w:id="14"/>
      <w:bookmarkEnd w:id="15"/>
    </w:p>
    <w:p w:rsidR="00516A59" w:rsidRPr="00216BCE" w:rsidRDefault="007D3F6A" w:rsidP="00216BCE">
      <w:pPr>
        <w:keepLines/>
        <w:widowControl/>
        <w:rPr>
          <w:b/>
          <w:i/>
          <w:u w:val="single"/>
        </w:rPr>
      </w:pPr>
      <w:r w:rsidRPr="00216BCE">
        <w:rPr>
          <w:b/>
          <w:i/>
          <w:u w:val="single"/>
        </w:rPr>
        <w:t>ITT, PD-L1 TPS &lt;50% and ≥50% patient subgroups: pembr</w:t>
      </w:r>
      <w:r w:rsidR="00216BCE">
        <w:rPr>
          <w:b/>
          <w:i/>
          <w:u w:val="single"/>
        </w:rPr>
        <w:t xml:space="preserve">olizumab+platinum+pemetrexed vs </w:t>
      </w:r>
      <w:r w:rsidRPr="00216BCE">
        <w:rPr>
          <w:b/>
          <w:i/>
          <w:u w:val="single"/>
        </w:rPr>
        <w:t>platinum + pemetrexed: direct evidence</w:t>
      </w:r>
    </w:p>
    <w:p w:rsidR="00516A59" w:rsidRDefault="00516A59">
      <w:pPr>
        <w:keepLines/>
        <w:widowControl/>
      </w:pPr>
    </w:p>
    <w:p w:rsidR="00516A59" w:rsidRDefault="007D3F6A">
      <w:pPr>
        <w:pStyle w:val="ListParagraph"/>
        <w:rPr>
          <w:rFonts w:cs="Calibri"/>
          <w:snapToGrid/>
          <w:szCs w:val="24"/>
          <w:lang w:val="en-US" w:eastAsia="en-AU"/>
        </w:rPr>
      </w:pPr>
      <w:r>
        <w:rPr>
          <w:snapToGrid/>
          <w:lang w:val="en-US" w:eastAsia="en-AU"/>
        </w:rPr>
        <w:t>The results for the ITT and PD-L1 TPS &lt;50% and ≥50% populations from the direct</w:t>
      </w:r>
      <w:r>
        <w:rPr>
          <w:snapToGrid/>
          <w:lang w:eastAsia="en-AU"/>
        </w:rPr>
        <w:t xml:space="preserve"> randomised</w:t>
      </w:r>
      <w:r>
        <w:rPr>
          <w:snapToGrid/>
          <w:lang w:val="en-US" w:eastAsia="en-AU"/>
        </w:rPr>
        <w:t xml:space="preserve"> KN189 trial are presented in </w:t>
      </w:r>
      <w:r>
        <w:t xml:space="preserve">Table </w:t>
      </w:r>
      <w:r>
        <w:rPr>
          <w:noProof/>
        </w:rPr>
        <w:t>7</w:t>
      </w:r>
      <w:r>
        <w:rPr>
          <w:snapToGrid/>
          <w:lang w:val="en-US" w:eastAsia="en-AU"/>
        </w:rPr>
        <w:t>. Kaplan-Meier curves for the ITT population (</w:t>
      </w:r>
      <w:r>
        <w:t xml:space="preserve">Figure </w:t>
      </w:r>
      <w:r>
        <w:rPr>
          <w:noProof/>
        </w:rPr>
        <w:t>1</w:t>
      </w:r>
      <w:r>
        <w:rPr>
          <w:snapToGrid/>
          <w:lang w:val="en-US" w:eastAsia="en-AU"/>
        </w:rPr>
        <w:t>) and PD-L1 TPS &lt;50% population (</w:t>
      </w:r>
      <w:r>
        <w:t xml:space="preserve">Figure </w:t>
      </w:r>
      <w:r>
        <w:rPr>
          <w:noProof/>
        </w:rPr>
        <w:t>2</w:t>
      </w:r>
      <w:r>
        <w:rPr>
          <w:snapToGrid/>
          <w:lang w:val="en-US" w:eastAsia="en-AU"/>
        </w:rPr>
        <w:t>) in KN189 are presented below.</w:t>
      </w:r>
    </w:p>
    <w:p w:rsidR="0065766E" w:rsidRDefault="0065766E" w:rsidP="0065766E">
      <w:pPr>
        <w:pStyle w:val="Caption"/>
        <w:keepNext/>
      </w:pPr>
      <w:r>
        <w:t xml:space="preserve">Table </w:t>
      </w:r>
      <w:r w:rsidR="0093515B">
        <w:rPr>
          <w:noProof/>
        </w:rPr>
        <w:t>7</w:t>
      </w:r>
      <w:r w:rsidRPr="00C55464">
        <w:t>: Overall survival and progression free survival results in KN189</w:t>
      </w:r>
    </w:p>
    <w:tbl>
      <w:tblPr>
        <w:tblStyle w:val="ASDTable1"/>
        <w:tblW w:w="9067" w:type="dxa"/>
        <w:shd w:val="clear" w:color="auto" w:fill="FFFFFF" w:themeFill="background1"/>
        <w:tblLook w:val="04A0" w:firstRow="1" w:lastRow="0" w:firstColumn="1" w:lastColumn="0" w:noHBand="0" w:noVBand="1"/>
        <w:tblCaption w:val="Table 7: Overall survival and progression free survival results in KN189"/>
      </w:tblPr>
      <w:tblGrid>
        <w:gridCol w:w="3904"/>
        <w:gridCol w:w="1702"/>
        <w:gridCol w:w="1925"/>
        <w:gridCol w:w="1536"/>
      </w:tblGrid>
      <w:tr w:rsidR="00516A59">
        <w:trPr>
          <w:tblHeader/>
        </w:trPr>
        <w:tc>
          <w:tcPr>
            <w:tcW w:w="3904" w:type="dxa"/>
            <w:shd w:val="clear" w:color="auto" w:fill="FFFFFF" w:themeFill="background1"/>
          </w:tcPr>
          <w:p w:rsidR="00516A59" w:rsidRDefault="00516A59">
            <w:pPr>
              <w:keepLines/>
              <w:widowControl/>
              <w:rPr>
                <w:rFonts w:ascii="Arial Narrow" w:hAnsi="Arial Narrow"/>
                <w:sz w:val="20"/>
                <w:szCs w:val="20"/>
              </w:rPr>
            </w:pPr>
          </w:p>
        </w:tc>
        <w:tc>
          <w:tcPr>
            <w:tcW w:w="1702" w:type="dxa"/>
            <w:shd w:val="clear" w:color="auto" w:fill="FFFFFF" w:themeFill="background1"/>
          </w:tcPr>
          <w:p w:rsidR="00516A59" w:rsidRDefault="007D3F6A">
            <w:pPr>
              <w:keepLines/>
              <w:widowControl/>
              <w:jc w:val="center"/>
              <w:rPr>
                <w:rFonts w:ascii="Arial Narrow" w:hAnsi="Arial Narrow"/>
                <w:b/>
                <w:sz w:val="20"/>
                <w:szCs w:val="20"/>
              </w:rPr>
            </w:pPr>
            <w:r>
              <w:rPr>
                <w:rFonts w:ascii="Arial Narrow" w:hAnsi="Arial Narrow"/>
                <w:b/>
                <w:sz w:val="20"/>
                <w:szCs w:val="20"/>
              </w:rPr>
              <w:t>Pembro Combo</w:t>
            </w:r>
          </w:p>
        </w:tc>
        <w:tc>
          <w:tcPr>
            <w:tcW w:w="1925" w:type="dxa"/>
            <w:shd w:val="clear" w:color="auto" w:fill="FFFFFF" w:themeFill="background1"/>
          </w:tcPr>
          <w:p w:rsidR="00516A59" w:rsidRDefault="007D3F6A">
            <w:pPr>
              <w:keepLines/>
              <w:widowControl/>
              <w:jc w:val="center"/>
              <w:rPr>
                <w:rFonts w:ascii="Arial Narrow" w:hAnsi="Arial Narrow"/>
                <w:b/>
                <w:sz w:val="20"/>
                <w:szCs w:val="20"/>
              </w:rPr>
            </w:pPr>
            <w:r>
              <w:rPr>
                <w:rFonts w:ascii="Arial Narrow" w:hAnsi="Arial Narrow"/>
                <w:b/>
                <w:sz w:val="20"/>
                <w:szCs w:val="20"/>
              </w:rPr>
              <w:t>Platinum+pemetrexed</w:t>
            </w:r>
          </w:p>
        </w:tc>
        <w:tc>
          <w:tcPr>
            <w:tcW w:w="1536" w:type="dxa"/>
            <w:shd w:val="clear" w:color="auto" w:fill="FFFFFF" w:themeFill="background1"/>
          </w:tcPr>
          <w:p w:rsidR="00516A59" w:rsidRDefault="007D3F6A">
            <w:pPr>
              <w:keepLines/>
              <w:widowControl/>
              <w:jc w:val="center"/>
              <w:rPr>
                <w:rFonts w:ascii="Arial Narrow" w:hAnsi="Arial Narrow"/>
                <w:b/>
                <w:sz w:val="20"/>
                <w:szCs w:val="20"/>
              </w:rPr>
            </w:pPr>
            <w:r>
              <w:rPr>
                <w:rFonts w:ascii="Arial Narrow" w:hAnsi="Arial Narrow"/>
                <w:b/>
                <w:sz w:val="20"/>
                <w:szCs w:val="20"/>
              </w:rPr>
              <w:t>Hazard ratio</w:t>
            </w:r>
            <w:r>
              <w:rPr>
                <w:rFonts w:ascii="Arial Narrow" w:hAnsi="Arial Narrow"/>
                <w:b/>
                <w:sz w:val="20"/>
                <w:szCs w:val="20"/>
                <w:vertAlign w:val="superscript"/>
              </w:rPr>
              <w:t>a</w:t>
            </w:r>
          </w:p>
        </w:tc>
      </w:tr>
      <w:tr w:rsidR="00516A59">
        <w:tc>
          <w:tcPr>
            <w:tcW w:w="9067" w:type="dxa"/>
            <w:gridSpan w:val="4"/>
            <w:shd w:val="clear" w:color="auto" w:fill="FFFFFF" w:themeFill="background1"/>
          </w:tcPr>
          <w:p w:rsidR="00516A59" w:rsidRDefault="007D3F6A">
            <w:pPr>
              <w:keepLines/>
              <w:widowControl/>
              <w:rPr>
                <w:rFonts w:ascii="Arial Narrow" w:hAnsi="Arial Narrow"/>
                <w:b/>
                <w:sz w:val="20"/>
                <w:szCs w:val="20"/>
              </w:rPr>
            </w:pPr>
            <w:r>
              <w:rPr>
                <w:rFonts w:ascii="Arial Narrow" w:hAnsi="Arial Narrow"/>
                <w:b/>
                <w:sz w:val="20"/>
                <w:szCs w:val="20"/>
              </w:rPr>
              <w:t xml:space="preserve">Overall survival </w:t>
            </w:r>
          </w:p>
          <w:p w:rsidR="00516A59" w:rsidRDefault="007D3F6A">
            <w:pPr>
              <w:keepLines/>
              <w:widowControl/>
              <w:rPr>
                <w:rFonts w:ascii="Arial Narrow" w:hAnsi="Arial Narrow"/>
                <w:sz w:val="20"/>
                <w:szCs w:val="20"/>
                <w:u w:val="single"/>
              </w:rPr>
            </w:pPr>
            <w:r>
              <w:rPr>
                <w:rFonts w:ascii="Arial Narrow" w:hAnsi="Arial Narrow"/>
                <w:sz w:val="20"/>
                <w:szCs w:val="20"/>
                <w:u w:val="single"/>
              </w:rPr>
              <w:t>Resubmission: Median duration of follow-up 18.7 months (Data cut-off September 2018)</w:t>
            </w:r>
          </w:p>
          <w:p w:rsidR="00516A59" w:rsidRDefault="007D3F6A">
            <w:pPr>
              <w:keepLines/>
              <w:widowControl/>
              <w:shd w:val="clear" w:color="auto" w:fill="FFFFFF" w:themeFill="background1"/>
              <w:rPr>
                <w:rFonts w:ascii="Arial Narrow" w:hAnsi="Arial Narrow"/>
                <w:sz w:val="20"/>
                <w:szCs w:val="20"/>
              </w:rPr>
            </w:pPr>
            <w:r>
              <w:rPr>
                <w:rFonts w:ascii="Arial Narrow" w:hAnsi="Arial Narrow"/>
                <w:sz w:val="20"/>
                <w:szCs w:val="20"/>
                <w:u w:val="single"/>
                <w:shd w:val="clear" w:color="auto" w:fill="D9D9D9" w:themeFill="background1" w:themeFillShade="D9"/>
              </w:rPr>
              <w:t>Previous submission: Median duration of follow-up 10.5 months (Data cut-off November 2017)</w:t>
            </w:r>
          </w:p>
        </w:tc>
      </w:tr>
      <w:tr w:rsidR="00516A59">
        <w:tc>
          <w:tcPr>
            <w:tcW w:w="3904" w:type="dxa"/>
            <w:shd w:val="clear" w:color="auto" w:fill="auto"/>
          </w:tcPr>
          <w:p w:rsidR="00516A59" w:rsidRDefault="007D3F6A">
            <w:pPr>
              <w:keepLines/>
              <w:widowControl/>
              <w:rPr>
                <w:rFonts w:ascii="Arial Narrow" w:hAnsi="Arial Narrow"/>
                <w:sz w:val="20"/>
                <w:szCs w:val="20"/>
              </w:rPr>
            </w:pPr>
            <w:r>
              <w:rPr>
                <w:rFonts w:ascii="Arial Narrow" w:hAnsi="Arial Narrow"/>
                <w:sz w:val="20"/>
                <w:szCs w:val="20"/>
              </w:rPr>
              <w:t>All patients</w:t>
            </w:r>
          </w:p>
          <w:p w:rsidR="00516A59" w:rsidRDefault="007D3F6A">
            <w:pPr>
              <w:keepLines/>
              <w:widowControl/>
              <w:rPr>
                <w:rFonts w:ascii="Arial Narrow" w:hAnsi="Arial Narrow"/>
                <w:sz w:val="20"/>
                <w:szCs w:val="20"/>
              </w:rPr>
            </w:pPr>
            <w:r>
              <w:rPr>
                <w:rFonts w:ascii="Arial Narrow" w:hAnsi="Arial Narrow"/>
                <w:sz w:val="20"/>
                <w:szCs w:val="20"/>
              </w:rPr>
              <w:t>Median duration of follow-up 18.7 months</w:t>
            </w:r>
          </w:p>
          <w:p w:rsidR="00516A59" w:rsidRDefault="007D3F6A">
            <w:pPr>
              <w:keepLines/>
              <w:widowControl/>
              <w:ind w:left="284"/>
              <w:rPr>
                <w:rFonts w:ascii="Arial Narrow" w:hAnsi="Arial Narrow"/>
                <w:sz w:val="20"/>
                <w:szCs w:val="20"/>
              </w:rPr>
            </w:pPr>
            <w:r>
              <w:rPr>
                <w:rFonts w:ascii="Arial Narrow" w:hAnsi="Arial Narrow"/>
                <w:sz w:val="20"/>
                <w:szCs w:val="20"/>
              </w:rPr>
              <w:t>No. of deaths at cutoff (%)</w:t>
            </w:r>
          </w:p>
          <w:p w:rsidR="00516A59" w:rsidRDefault="007D3F6A">
            <w:pPr>
              <w:keepLines/>
              <w:widowControl/>
              <w:ind w:left="284"/>
              <w:rPr>
                <w:rFonts w:ascii="Arial Narrow" w:hAnsi="Arial Narrow"/>
                <w:sz w:val="20"/>
                <w:szCs w:val="20"/>
              </w:rPr>
            </w:pPr>
            <w:r>
              <w:rPr>
                <w:rFonts w:ascii="Arial Narrow" w:hAnsi="Arial Narrow"/>
                <w:sz w:val="20"/>
                <w:szCs w:val="20"/>
              </w:rPr>
              <w:t>Median OS in months (95% CIs)</w:t>
            </w:r>
          </w:p>
          <w:p w:rsidR="00516A59" w:rsidRDefault="007D3F6A">
            <w:pPr>
              <w:keepLines/>
              <w:widowControl/>
              <w:shd w:val="clear" w:color="auto" w:fill="D9D9D9" w:themeFill="background1" w:themeFillShade="D9"/>
              <w:rPr>
                <w:rFonts w:ascii="Arial Narrow" w:hAnsi="Arial Narrow"/>
                <w:sz w:val="20"/>
                <w:szCs w:val="20"/>
              </w:rPr>
            </w:pPr>
            <w:r>
              <w:rPr>
                <w:rFonts w:ascii="Arial Narrow" w:hAnsi="Arial Narrow"/>
                <w:sz w:val="20"/>
                <w:szCs w:val="20"/>
              </w:rPr>
              <w:t>Median duration of follow-up 10.5 months</w:t>
            </w:r>
          </w:p>
          <w:p w:rsidR="00516A59" w:rsidRDefault="007D3F6A">
            <w:pPr>
              <w:keepLines/>
              <w:widowControl/>
              <w:shd w:val="clear" w:color="auto" w:fill="D9D9D9" w:themeFill="background1" w:themeFillShade="D9"/>
              <w:ind w:left="284"/>
              <w:rPr>
                <w:rFonts w:ascii="Arial Narrow" w:hAnsi="Arial Narrow"/>
                <w:sz w:val="20"/>
                <w:szCs w:val="20"/>
              </w:rPr>
            </w:pPr>
            <w:r>
              <w:rPr>
                <w:rFonts w:ascii="Arial Narrow" w:hAnsi="Arial Narrow"/>
                <w:sz w:val="20"/>
                <w:szCs w:val="20"/>
              </w:rPr>
              <w:t>No of deaths at cutoff (%)</w:t>
            </w:r>
          </w:p>
          <w:p w:rsidR="00516A59" w:rsidRDefault="007D3F6A">
            <w:pPr>
              <w:keepLines/>
              <w:widowControl/>
              <w:shd w:val="clear" w:color="auto" w:fill="D9D9D9" w:themeFill="background1" w:themeFillShade="D9"/>
              <w:ind w:left="284"/>
              <w:rPr>
                <w:rFonts w:ascii="Arial Narrow" w:hAnsi="Arial Narrow"/>
                <w:sz w:val="20"/>
                <w:szCs w:val="20"/>
              </w:rPr>
            </w:pPr>
            <w:r>
              <w:rPr>
                <w:rFonts w:ascii="Arial Narrow" w:hAnsi="Arial Narrow"/>
                <w:sz w:val="20"/>
                <w:szCs w:val="20"/>
              </w:rPr>
              <w:t>Median OS in months (95% CIs)</w:t>
            </w:r>
          </w:p>
        </w:tc>
        <w:tc>
          <w:tcPr>
            <w:tcW w:w="1702" w:type="dxa"/>
            <w:shd w:val="clear" w:color="auto" w:fill="auto"/>
          </w:tcPr>
          <w:p w:rsidR="00516A59" w:rsidRDefault="00516A59">
            <w:pPr>
              <w:keepLines/>
              <w:widowControl/>
              <w:jc w:val="center"/>
              <w:rPr>
                <w:rFonts w:ascii="Arial Narrow" w:hAnsi="Arial Narrow"/>
                <w:sz w:val="20"/>
                <w:szCs w:val="20"/>
              </w:rPr>
            </w:pPr>
          </w:p>
          <w:p w:rsidR="00516A59" w:rsidRDefault="00516A59">
            <w:pPr>
              <w:keepLines/>
              <w:widowControl/>
              <w:jc w:val="center"/>
              <w:rPr>
                <w:rFonts w:ascii="Arial Narrow" w:hAnsi="Arial Narrow"/>
                <w:sz w:val="20"/>
                <w:szCs w:val="20"/>
              </w:rPr>
            </w:pPr>
          </w:p>
          <w:p w:rsidR="00516A59" w:rsidRDefault="007D3F6A">
            <w:pPr>
              <w:keepLines/>
              <w:widowControl/>
              <w:jc w:val="center"/>
              <w:rPr>
                <w:rFonts w:ascii="Arial Narrow" w:hAnsi="Arial Narrow"/>
                <w:sz w:val="20"/>
                <w:szCs w:val="20"/>
              </w:rPr>
            </w:pPr>
            <w:r>
              <w:rPr>
                <w:rFonts w:ascii="Arial Narrow" w:hAnsi="Arial Narrow"/>
                <w:sz w:val="20"/>
                <w:szCs w:val="20"/>
              </w:rPr>
              <w:t>213/410 (52.0)</w:t>
            </w:r>
          </w:p>
          <w:p w:rsidR="00516A59" w:rsidRDefault="007D3F6A">
            <w:pPr>
              <w:keepLines/>
              <w:widowControl/>
              <w:jc w:val="center"/>
              <w:rPr>
                <w:rFonts w:ascii="Arial Narrow" w:hAnsi="Arial Narrow"/>
                <w:sz w:val="20"/>
                <w:szCs w:val="20"/>
              </w:rPr>
            </w:pPr>
            <w:r>
              <w:rPr>
                <w:rFonts w:ascii="Arial Narrow" w:hAnsi="Arial Narrow"/>
                <w:sz w:val="20"/>
                <w:szCs w:val="20"/>
              </w:rPr>
              <w:t>22.0 (19.5, 25.2)</w:t>
            </w:r>
          </w:p>
          <w:p w:rsidR="00516A59" w:rsidRDefault="00516A59">
            <w:pPr>
              <w:keepLines/>
              <w:widowControl/>
              <w:shd w:val="clear" w:color="auto" w:fill="D9D9D9" w:themeFill="background1" w:themeFillShade="D9"/>
              <w:jc w:val="center"/>
              <w:rPr>
                <w:rFonts w:ascii="Arial Narrow" w:hAnsi="Arial Narrow"/>
                <w:sz w:val="20"/>
                <w:szCs w:val="20"/>
              </w:rPr>
            </w:pPr>
          </w:p>
          <w:p w:rsidR="00516A59" w:rsidRDefault="007D3F6A">
            <w:pPr>
              <w:keepLines/>
              <w:widowControl/>
              <w:shd w:val="clear" w:color="auto" w:fill="D9D9D9" w:themeFill="background1" w:themeFillShade="D9"/>
              <w:jc w:val="center"/>
              <w:rPr>
                <w:rFonts w:ascii="Arial Narrow" w:hAnsi="Arial Narrow"/>
                <w:sz w:val="20"/>
                <w:szCs w:val="20"/>
              </w:rPr>
            </w:pPr>
            <w:r>
              <w:rPr>
                <w:rFonts w:ascii="Arial Narrow" w:hAnsi="Arial Narrow"/>
                <w:sz w:val="20"/>
                <w:szCs w:val="20"/>
              </w:rPr>
              <w:t>127/410 (31.0)</w:t>
            </w:r>
          </w:p>
          <w:p w:rsidR="00516A59" w:rsidRDefault="007D3F6A">
            <w:pPr>
              <w:keepLines/>
              <w:widowControl/>
              <w:shd w:val="clear" w:color="auto" w:fill="D9D9D9" w:themeFill="background1" w:themeFillShade="D9"/>
              <w:jc w:val="center"/>
              <w:rPr>
                <w:rFonts w:ascii="Arial Narrow" w:hAnsi="Arial Narrow"/>
                <w:sz w:val="20"/>
                <w:szCs w:val="20"/>
              </w:rPr>
            </w:pPr>
            <w:r>
              <w:rPr>
                <w:rFonts w:ascii="Arial Narrow" w:hAnsi="Arial Narrow"/>
                <w:sz w:val="20"/>
                <w:szCs w:val="20"/>
              </w:rPr>
              <w:t>Not reached</w:t>
            </w:r>
          </w:p>
        </w:tc>
        <w:tc>
          <w:tcPr>
            <w:tcW w:w="1925" w:type="dxa"/>
            <w:shd w:val="clear" w:color="auto" w:fill="auto"/>
          </w:tcPr>
          <w:p w:rsidR="00516A59" w:rsidRDefault="00516A59">
            <w:pPr>
              <w:keepLines/>
              <w:widowControl/>
              <w:jc w:val="center"/>
              <w:rPr>
                <w:rFonts w:ascii="Arial Narrow" w:hAnsi="Arial Narrow"/>
                <w:sz w:val="20"/>
                <w:szCs w:val="20"/>
              </w:rPr>
            </w:pPr>
          </w:p>
          <w:p w:rsidR="00516A59" w:rsidRDefault="00516A59">
            <w:pPr>
              <w:keepLines/>
              <w:widowControl/>
              <w:jc w:val="center"/>
              <w:rPr>
                <w:rFonts w:ascii="Arial Narrow" w:hAnsi="Arial Narrow"/>
                <w:sz w:val="20"/>
                <w:szCs w:val="20"/>
              </w:rPr>
            </w:pPr>
          </w:p>
          <w:p w:rsidR="00516A59" w:rsidRDefault="007D3F6A">
            <w:pPr>
              <w:keepLines/>
              <w:widowControl/>
              <w:jc w:val="center"/>
              <w:rPr>
                <w:rFonts w:ascii="Arial Narrow" w:hAnsi="Arial Narrow"/>
                <w:sz w:val="20"/>
                <w:szCs w:val="20"/>
                <w:vertAlign w:val="superscript"/>
              </w:rPr>
            </w:pPr>
            <w:r>
              <w:rPr>
                <w:rFonts w:ascii="Arial Narrow" w:hAnsi="Arial Narrow"/>
                <w:sz w:val="20"/>
                <w:szCs w:val="20"/>
              </w:rPr>
              <w:t>144/206 (69.9)</w:t>
            </w:r>
            <w:r>
              <w:rPr>
                <w:rFonts w:ascii="Arial Narrow" w:hAnsi="Arial Narrow"/>
                <w:sz w:val="20"/>
                <w:szCs w:val="20"/>
                <w:vertAlign w:val="superscript"/>
              </w:rPr>
              <w:t>b</w:t>
            </w:r>
          </w:p>
          <w:p w:rsidR="00516A59" w:rsidRDefault="007D3F6A">
            <w:pPr>
              <w:keepLines/>
              <w:widowControl/>
              <w:jc w:val="center"/>
              <w:rPr>
                <w:rFonts w:ascii="Arial Narrow" w:hAnsi="Arial Narrow"/>
                <w:sz w:val="20"/>
                <w:szCs w:val="20"/>
              </w:rPr>
            </w:pPr>
            <w:r>
              <w:rPr>
                <w:rFonts w:ascii="Arial Narrow" w:hAnsi="Arial Narrow"/>
                <w:sz w:val="20"/>
                <w:szCs w:val="20"/>
              </w:rPr>
              <w:t>11.3 (8.7, 15.1)</w:t>
            </w:r>
          </w:p>
          <w:p w:rsidR="00516A59" w:rsidRDefault="00516A59">
            <w:pPr>
              <w:keepLines/>
              <w:widowControl/>
              <w:shd w:val="clear" w:color="auto" w:fill="D9D9D9" w:themeFill="background1" w:themeFillShade="D9"/>
              <w:jc w:val="center"/>
              <w:rPr>
                <w:rFonts w:ascii="Arial Narrow" w:hAnsi="Arial Narrow"/>
                <w:sz w:val="20"/>
                <w:szCs w:val="20"/>
              </w:rPr>
            </w:pPr>
          </w:p>
          <w:p w:rsidR="00516A59" w:rsidRDefault="007D3F6A">
            <w:pPr>
              <w:keepLines/>
              <w:widowControl/>
              <w:shd w:val="clear" w:color="auto" w:fill="D9D9D9" w:themeFill="background1" w:themeFillShade="D9"/>
              <w:jc w:val="center"/>
              <w:rPr>
                <w:rFonts w:ascii="Arial Narrow" w:hAnsi="Arial Narrow"/>
                <w:sz w:val="20"/>
                <w:szCs w:val="20"/>
              </w:rPr>
            </w:pPr>
            <w:r>
              <w:rPr>
                <w:rFonts w:ascii="Arial Narrow" w:hAnsi="Arial Narrow"/>
                <w:sz w:val="20"/>
                <w:szCs w:val="20"/>
              </w:rPr>
              <w:t>108/206 (52.4)</w:t>
            </w:r>
          </w:p>
          <w:p w:rsidR="00516A59" w:rsidRDefault="007D3F6A">
            <w:pPr>
              <w:keepLines/>
              <w:widowControl/>
              <w:shd w:val="clear" w:color="auto" w:fill="D9D9D9" w:themeFill="background1" w:themeFillShade="D9"/>
              <w:jc w:val="center"/>
              <w:rPr>
                <w:rFonts w:ascii="Arial Narrow" w:hAnsi="Arial Narrow"/>
                <w:sz w:val="20"/>
                <w:szCs w:val="20"/>
              </w:rPr>
            </w:pPr>
            <w:r>
              <w:rPr>
                <w:rFonts w:ascii="Arial Narrow" w:hAnsi="Arial Narrow"/>
                <w:sz w:val="20"/>
                <w:szCs w:val="20"/>
              </w:rPr>
              <w:t>11.3 (8.7, 15.1)</w:t>
            </w:r>
          </w:p>
        </w:tc>
        <w:tc>
          <w:tcPr>
            <w:tcW w:w="1536" w:type="dxa"/>
            <w:shd w:val="clear" w:color="auto" w:fill="auto"/>
          </w:tcPr>
          <w:p w:rsidR="00516A59" w:rsidRDefault="00516A59">
            <w:pPr>
              <w:keepLines/>
              <w:widowControl/>
              <w:jc w:val="center"/>
              <w:rPr>
                <w:rFonts w:ascii="Arial Narrow" w:hAnsi="Arial Narrow"/>
                <w:b/>
                <w:sz w:val="20"/>
                <w:szCs w:val="20"/>
              </w:rPr>
            </w:pPr>
          </w:p>
          <w:p w:rsidR="00516A59" w:rsidRDefault="00516A59">
            <w:pPr>
              <w:keepLines/>
              <w:widowControl/>
              <w:jc w:val="center"/>
              <w:rPr>
                <w:rFonts w:ascii="Arial Narrow" w:hAnsi="Arial Narrow"/>
                <w:b/>
                <w:sz w:val="20"/>
                <w:szCs w:val="20"/>
              </w:rPr>
            </w:pPr>
          </w:p>
          <w:p w:rsidR="00516A59" w:rsidRDefault="007D3F6A">
            <w:pPr>
              <w:keepLines/>
              <w:widowControl/>
              <w:jc w:val="center"/>
              <w:rPr>
                <w:rFonts w:ascii="Arial Narrow" w:hAnsi="Arial Narrow"/>
                <w:b/>
                <w:sz w:val="20"/>
                <w:szCs w:val="20"/>
              </w:rPr>
            </w:pPr>
            <w:r>
              <w:rPr>
                <w:rFonts w:ascii="Arial Narrow" w:hAnsi="Arial Narrow"/>
                <w:b/>
                <w:sz w:val="20"/>
                <w:szCs w:val="20"/>
              </w:rPr>
              <w:t>0.56 (0.45, 0.70)</w:t>
            </w:r>
          </w:p>
          <w:p w:rsidR="00516A59" w:rsidRDefault="00516A59">
            <w:pPr>
              <w:keepLines/>
              <w:widowControl/>
              <w:jc w:val="center"/>
              <w:rPr>
                <w:rFonts w:ascii="Arial Narrow" w:hAnsi="Arial Narrow"/>
                <w:b/>
                <w:sz w:val="20"/>
                <w:szCs w:val="20"/>
              </w:rPr>
            </w:pPr>
          </w:p>
          <w:p w:rsidR="00516A59" w:rsidRDefault="00516A59">
            <w:pPr>
              <w:keepLines/>
              <w:widowControl/>
              <w:shd w:val="clear" w:color="auto" w:fill="D9D9D9" w:themeFill="background1" w:themeFillShade="D9"/>
              <w:jc w:val="center"/>
              <w:rPr>
                <w:rFonts w:ascii="Arial Narrow" w:hAnsi="Arial Narrow"/>
                <w:b/>
                <w:sz w:val="20"/>
                <w:szCs w:val="20"/>
              </w:rPr>
            </w:pPr>
          </w:p>
          <w:p w:rsidR="00516A59" w:rsidRDefault="007D3F6A">
            <w:pPr>
              <w:keepLines/>
              <w:widowControl/>
              <w:shd w:val="clear" w:color="auto" w:fill="D9D9D9" w:themeFill="background1" w:themeFillShade="D9"/>
              <w:jc w:val="center"/>
              <w:rPr>
                <w:rFonts w:ascii="Arial Narrow" w:hAnsi="Arial Narrow"/>
                <w:b/>
                <w:sz w:val="20"/>
                <w:szCs w:val="20"/>
              </w:rPr>
            </w:pPr>
            <w:r>
              <w:rPr>
                <w:rFonts w:ascii="Arial Narrow" w:hAnsi="Arial Narrow"/>
                <w:b/>
                <w:sz w:val="20"/>
                <w:szCs w:val="20"/>
              </w:rPr>
              <w:t>0.49 (0.38, 0.64)</w:t>
            </w:r>
          </w:p>
        </w:tc>
      </w:tr>
      <w:tr w:rsidR="00516A59">
        <w:tc>
          <w:tcPr>
            <w:tcW w:w="3904" w:type="dxa"/>
            <w:shd w:val="clear" w:color="auto" w:fill="auto"/>
          </w:tcPr>
          <w:p w:rsidR="00516A59" w:rsidRDefault="007D3F6A">
            <w:pPr>
              <w:keepLines/>
              <w:widowControl/>
              <w:rPr>
                <w:rFonts w:ascii="Arial Narrow" w:hAnsi="Arial Narrow"/>
                <w:sz w:val="20"/>
                <w:szCs w:val="20"/>
              </w:rPr>
            </w:pPr>
            <w:r>
              <w:rPr>
                <w:rFonts w:ascii="Arial Narrow" w:hAnsi="Arial Narrow"/>
                <w:sz w:val="20"/>
                <w:szCs w:val="20"/>
              </w:rPr>
              <w:t>PD-L1 TPS &lt;</w:t>
            </w:r>
            <w:r w:rsidR="00845E21">
              <w:rPr>
                <w:rFonts w:ascii="Arial Narrow" w:hAnsi="Arial Narrow"/>
                <w:noProof/>
                <w:color w:val="000000"/>
                <w:sz w:val="20"/>
                <w:szCs w:val="20"/>
                <w:highlight w:val="black"/>
              </w:rPr>
              <w:t>'''''''</w:t>
            </w:r>
            <w:r>
              <w:rPr>
                <w:rFonts w:ascii="Arial Narrow" w:hAnsi="Arial Narrow"/>
                <w:sz w:val="20"/>
                <w:szCs w:val="20"/>
              </w:rPr>
              <w:t>%</w:t>
            </w:r>
          </w:p>
          <w:p w:rsidR="00516A59" w:rsidRDefault="007D3F6A">
            <w:pPr>
              <w:keepLines/>
              <w:widowControl/>
              <w:rPr>
                <w:rFonts w:ascii="Arial Narrow" w:hAnsi="Arial Narrow"/>
                <w:sz w:val="20"/>
                <w:szCs w:val="20"/>
              </w:rPr>
            </w:pPr>
            <w:r>
              <w:rPr>
                <w:rFonts w:ascii="Arial Narrow" w:hAnsi="Arial Narrow"/>
                <w:sz w:val="20"/>
                <w:szCs w:val="20"/>
              </w:rPr>
              <w:t xml:space="preserve">Median duration of follow-up </w:t>
            </w:r>
            <w:r w:rsidR="00845E21">
              <w:rPr>
                <w:rFonts w:ascii="Arial Narrow" w:hAnsi="Arial Narrow"/>
                <w:noProof/>
                <w:color w:val="000000"/>
                <w:sz w:val="20"/>
                <w:szCs w:val="20"/>
                <w:highlight w:val="black"/>
              </w:rPr>
              <w:t>'''''''''''</w:t>
            </w:r>
            <w:r>
              <w:rPr>
                <w:rFonts w:ascii="Arial Narrow" w:hAnsi="Arial Narrow"/>
                <w:sz w:val="20"/>
                <w:szCs w:val="20"/>
              </w:rPr>
              <w:t xml:space="preserve"> months</w:t>
            </w:r>
          </w:p>
          <w:p w:rsidR="00516A59" w:rsidRDefault="007D3F6A">
            <w:pPr>
              <w:keepLines/>
              <w:widowControl/>
              <w:ind w:left="284"/>
              <w:rPr>
                <w:rFonts w:ascii="Arial Narrow" w:hAnsi="Arial Narrow"/>
                <w:sz w:val="20"/>
                <w:szCs w:val="20"/>
              </w:rPr>
            </w:pPr>
            <w:r>
              <w:rPr>
                <w:rFonts w:ascii="Arial Narrow" w:hAnsi="Arial Narrow"/>
                <w:sz w:val="20"/>
                <w:szCs w:val="20"/>
              </w:rPr>
              <w:t>No. of deaths at cutoff (%)</w:t>
            </w:r>
          </w:p>
          <w:p w:rsidR="00516A59" w:rsidRDefault="007D3F6A">
            <w:pPr>
              <w:keepLines/>
              <w:widowControl/>
              <w:ind w:left="284"/>
              <w:rPr>
                <w:rFonts w:ascii="Arial Narrow" w:hAnsi="Arial Narrow"/>
                <w:sz w:val="20"/>
                <w:szCs w:val="20"/>
              </w:rPr>
            </w:pPr>
            <w:r>
              <w:rPr>
                <w:rFonts w:ascii="Arial Narrow" w:hAnsi="Arial Narrow"/>
                <w:sz w:val="20"/>
                <w:szCs w:val="20"/>
              </w:rPr>
              <w:t>Median OS in months (95% CIs)</w:t>
            </w:r>
          </w:p>
          <w:p w:rsidR="00516A59" w:rsidRDefault="007D3F6A">
            <w:pPr>
              <w:keepLines/>
              <w:widowControl/>
              <w:shd w:val="clear" w:color="auto" w:fill="D9D9D9" w:themeFill="background1" w:themeFillShade="D9"/>
              <w:rPr>
                <w:rFonts w:ascii="Arial Narrow" w:hAnsi="Arial Narrow"/>
                <w:sz w:val="20"/>
                <w:szCs w:val="20"/>
              </w:rPr>
            </w:pPr>
            <w:r>
              <w:rPr>
                <w:rFonts w:ascii="Arial Narrow" w:hAnsi="Arial Narrow"/>
                <w:sz w:val="20"/>
                <w:szCs w:val="20"/>
              </w:rPr>
              <w:t xml:space="preserve">Median duration of follow-up </w:t>
            </w:r>
            <w:r w:rsidR="00845E21">
              <w:rPr>
                <w:rFonts w:ascii="Arial Narrow" w:hAnsi="Arial Narrow"/>
                <w:noProof/>
                <w:color w:val="000000"/>
                <w:sz w:val="20"/>
                <w:szCs w:val="20"/>
                <w:highlight w:val="black"/>
              </w:rPr>
              <w:t>'''''''''''</w:t>
            </w:r>
            <w:r>
              <w:rPr>
                <w:rFonts w:ascii="Arial Narrow" w:hAnsi="Arial Narrow"/>
                <w:sz w:val="20"/>
                <w:szCs w:val="20"/>
              </w:rPr>
              <w:t xml:space="preserve"> months</w:t>
            </w:r>
          </w:p>
          <w:p w:rsidR="00516A59" w:rsidRDefault="007D3F6A">
            <w:pPr>
              <w:keepLines/>
              <w:widowControl/>
              <w:shd w:val="clear" w:color="auto" w:fill="D9D9D9" w:themeFill="background1" w:themeFillShade="D9"/>
              <w:ind w:left="284"/>
              <w:rPr>
                <w:rFonts w:ascii="Arial Narrow" w:hAnsi="Arial Narrow"/>
                <w:sz w:val="20"/>
                <w:szCs w:val="20"/>
              </w:rPr>
            </w:pPr>
            <w:r>
              <w:rPr>
                <w:rFonts w:ascii="Arial Narrow" w:hAnsi="Arial Narrow"/>
                <w:sz w:val="20"/>
                <w:szCs w:val="20"/>
              </w:rPr>
              <w:t>No. of deaths at cutoff (%)</w:t>
            </w:r>
          </w:p>
          <w:p w:rsidR="00516A59" w:rsidRDefault="007D3F6A">
            <w:pPr>
              <w:keepLines/>
              <w:widowControl/>
              <w:shd w:val="clear" w:color="auto" w:fill="D9D9D9" w:themeFill="background1" w:themeFillShade="D9"/>
              <w:ind w:left="284"/>
              <w:rPr>
                <w:rFonts w:ascii="Arial Narrow" w:hAnsi="Arial Narrow"/>
                <w:sz w:val="20"/>
                <w:szCs w:val="20"/>
              </w:rPr>
            </w:pPr>
            <w:r>
              <w:rPr>
                <w:rFonts w:ascii="Arial Narrow" w:hAnsi="Arial Narrow"/>
                <w:sz w:val="20"/>
                <w:szCs w:val="20"/>
              </w:rPr>
              <w:t>Median OS in months (95% CIs)</w:t>
            </w:r>
          </w:p>
        </w:tc>
        <w:tc>
          <w:tcPr>
            <w:tcW w:w="1702" w:type="dxa"/>
            <w:shd w:val="clear" w:color="auto" w:fill="auto"/>
          </w:tcPr>
          <w:p w:rsidR="00516A59" w:rsidRDefault="00516A59">
            <w:pPr>
              <w:keepLines/>
              <w:widowControl/>
              <w:jc w:val="center"/>
              <w:rPr>
                <w:rFonts w:ascii="Arial Narrow" w:hAnsi="Arial Narrow"/>
                <w:sz w:val="20"/>
                <w:szCs w:val="20"/>
              </w:rPr>
            </w:pPr>
          </w:p>
          <w:p w:rsidR="00516A59" w:rsidRDefault="00516A59">
            <w:pPr>
              <w:keepLines/>
              <w:widowControl/>
              <w:jc w:val="center"/>
              <w:rPr>
                <w:rFonts w:ascii="Arial Narrow" w:hAnsi="Arial Narrow"/>
                <w:sz w:val="20"/>
                <w:szCs w:val="20"/>
              </w:rPr>
            </w:pPr>
          </w:p>
          <w:p w:rsidR="00516A59" w:rsidRPr="00845E21" w:rsidRDefault="00845E21">
            <w:pPr>
              <w:keepLines/>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p w:rsidR="00516A59" w:rsidRPr="00845E21" w:rsidRDefault="00845E21">
            <w:pPr>
              <w:keepLines/>
              <w:widowControl/>
              <w:jc w:val="center"/>
              <w:rPr>
                <w:rFonts w:ascii="Arial Narrow" w:hAnsi="Arial Narrow"/>
                <w:sz w:val="20"/>
                <w:szCs w:val="20"/>
                <w:highlight w:val="black"/>
              </w:rPr>
            </w:pPr>
            <w:r>
              <w:rPr>
                <w:rFonts w:ascii="Arial Narrow" w:hAnsi="Arial Narrow"/>
                <w:noProof/>
                <w:color w:val="000000"/>
                <w:sz w:val="20"/>
                <w:szCs w:val="20"/>
                <w:highlight w:val="black"/>
              </w:rPr>
              <w:t>'''''''''' '''''''''''''' ''''''''''''</w:t>
            </w:r>
          </w:p>
          <w:p w:rsidR="00516A59" w:rsidRDefault="00516A59">
            <w:pPr>
              <w:keepLines/>
              <w:widowControl/>
              <w:shd w:val="clear" w:color="auto" w:fill="D9D9D9" w:themeFill="background1" w:themeFillShade="D9"/>
              <w:jc w:val="center"/>
              <w:rPr>
                <w:rFonts w:ascii="Arial Narrow" w:hAnsi="Arial Narrow"/>
                <w:sz w:val="20"/>
                <w:szCs w:val="20"/>
              </w:rPr>
            </w:pPr>
          </w:p>
          <w:p w:rsidR="00516A59" w:rsidRPr="00845E21" w:rsidRDefault="00845E21">
            <w:pPr>
              <w:keepLines/>
              <w:widowControl/>
              <w:shd w:val="clear" w:color="auto" w:fill="D9D9D9" w:themeFill="background1" w:themeFillShade="D9"/>
              <w:jc w:val="center"/>
              <w:rPr>
                <w:rFonts w:ascii="Arial Narrow" w:hAnsi="Arial Narrow"/>
                <w:sz w:val="20"/>
                <w:szCs w:val="20"/>
                <w:highlight w:val="black"/>
              </w:rPr>
            </w:pPr>
            <w:r>
              <w:rPr>
                <w:rFonts w:ascii="Arial Narrow" w:hAnsi="Arial Narrow"/>
                <w:noProof/>
                <w:color w:val="000000"/>
                <w:sz w:val="20"/>
                <w:szCs w:val="20"/>
                <w:highlight w:val="black"/>
              </w:rPr>
              <w:t>'''''''''''''''' ''''''''''''''</w:t>
            </w:r>
          </w:p>
          <w:p w:rsidR="00516A59" w:rsidRPr="00845E21" w:rsidRDefault="00845E21">
            <w:pPr>
              <w:keepLines/>
              <w:widowControl/>
              <w:shd w:val="clear" w:color="auto" w:fill="D9D9D9" w:themeFill="background1" w:themeFillShade="D9"/>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925" w:type="dxa"/>
            <w:shd w:val="clear" w:color="auto" w:fill="auto"/>
          </w:tcPr>
          <w:p w:rsidR="00516A59" w:rsidRDefault="00516A59">
            <w:pPr>
              <w:keepLines/>
              <w:widowControl/>
              <w:jc w:val="center"/>
              <w:rPr>
                <w:rFonts w:ascii="Arial Narrow" w:hAnsi="Arial Narrow"/>
                <w:sz w:val="20"/>
                <w:szCs w:val="20"/>
              </w:rPr>
            </w:pPr>
          </w:p>
          <w:p w:rsidR="00516A59" w:rsidRDefault="00516A59">
            <w:pPr>
              <w:keepLines/>
              <w:widowControl/>
              <w:jc w:val="center"/>
              <w:rPr>
                <w:rFonts w:ascii="Arial Narrow" w:hAnsi="Arial Narrow"/>
                <w:sz w:val="20"/>
                <w:szCs w:val="20"/>
              </w:rPr>
            </w:pPr>
          </w:p>
          <w:p w:rsidR="00516A59" w:rsidRPr="00845E21" w:rsidRDefault="00845E21">
            <w:pPr>
              <w:keepLines/>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p w:rsidR="00516A59" w:rsidRPr="00845E21" w:rsidRDefault="00845E21">
            <w:pPr>
              <w:keepLines/>
              <w:widowControl/>
              <w:jc w:val="center"/>
              <w:rPr>
                <w:rFonts w:ascii="Arial Narrow" w:hAnsi="Arial Narrow"/>
                <w:sz w:val="20"/>
                <w:szCs w:val="20"/>
                <w:highlight w:val="black"/>
              </w:rPr>
            </w:pPr>
            <w:r>
              <w:rPr>
                <w:rFonts w:ascii="Arial Narrow" w:hAnsi="Arial Narrow"/>
                <w:noProof/>
                <w:color w:val="000000"/>
                <w:sz w:val="20"/>
                <w:szCs w:val="20"/>
                <w:highlight w:val="black"/>
              </w:rPr>
              <w:t>''''''''''' ''''''''''' '''''''''''''</w:t>
            </w:r>
          </w:p>
          <w:p w:rsidR="00516A59" w:rsidRDefault="00516A59">
            <w:pPr>
              <w:keepLines/>
              <w:widowControl/>
              <w:shd w:val="clear" w:color="auto" w:fill="D9D9D9" w:themeFill="background1" w:themeFillShade="D9"/>
              <w:jc w:val="center"/>
              <w:rPr>
                <w:rFonts w:ascii="Arial Narrow" w:hAnsi="Arial Narrow"/>
                <w:sz w:val="20"/>
                <w:szCs w:val="20"/>
              </w:rPr>
            </w:pPr>
          </w:p>
          <w:p w:rsidR="00516A59" w:rsidRPr="00845E21" w:rsidRDefault="00845E21">
            <w:pPr>
              <w:keepLines/>
              <w:widowControl/>
              <w:shd w:val="clear" w:color="auto" w:fill="D9D9D9" w:themeFill="background1" w:themeFillShade="D9"/>
              <w:jc w:val="center"/>
              <w:rPr>
                <w:rFonts w:ascii="Arial Narrow" w:hAnsi="Arial Narrow"/>
                <w:sz w:val="20"/>
                <w:szCs w:val="20"/>
                <w:highlight w:val="black"/>
              </w:rPr>
            </w:pPr>
            <w:r>
              <w:rPr>
                <w:rFonts w:ascii="Arial Narrow" w:hAnsi="Arial Narrow"/>
                <w:noProof/>
                <w:color w:val="000000"/>
                <w:sz w:val="20"/>
                <w:szCs w:val="20"/>
                <w:highlight w:val="black"/>
              </w:rPr>
              <w:t>'''''''''''''''''' '''''''''''''''</w:t>
            </w:r>
          </w:p>
          <w:p w:rsidR="00516A59" w:rsidRPr="00845E21" w:rsidRDefault="00845E21">
            <w:pPr>
              <w:keepLines/>
              <w:widowControl/>
              <w:shd w:val="clear" w:color="auto" w:fill="D9D9D9" w:themeFill="background1" w:themeFillShade="D9"/>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1536" w:type="dxa"/>
            <w:shd w:val="clear" w:color="auto" w:fill="auto"/>
          </w:tcPr>
          <w:p w:rsidR="00516A59" w:rsidRDefault="00516A59">
            <w:pPr>
              <w:keepLines/>
              <w:widowControl/>
              <w:jc w:val="center"/>
              <w:rPr>
                <w:rFonts w:ascii="Arial Narrow" w:hAnsi="Arial Narrow"/>
                <w:b/>
                <w:sz w:val="20"/>
                <w:szCs w:val="20"/>
              </w:rPr>
            </w:pPr>
          </w:p>
          <w:p w:rsidR="00516A59" w:rsidRDefault="00516A59">
            <w:pPr>
              <w:keepLines/>
              <w:widowControl/>
              <w:jc w:val="center"/>
              <w:rPr>
                <w:rFonts w:ascii="Arial Narrow" w:hAnsi="Arial Narrow"/>
                <w:b/>
                <w:sz w:val="20"/>
                <w:szCs w:val="20"/>
              </w:rPr>
            </w:pPr>
          </w:p>
          <w:p w:rsidR="00516A59" w:rsidRDefault="00845E21">
            <w:pPr>
              <w:keepLines/>
              <w:widowControl/>
              <w:jc w:val="center"/>
              <w:rPr>
                <w:rFonts w:ascii="Arial Narrow" w:hAnsi="Arial Narrow"/>
                <w:b/>
                <w:sz w:val="20"/>
                <w:szCs w:val="20"/>
              </w:rPr>
            </w:pPr>
            <w:r>
              <w:rPr>
                <w:rFonts w:ascii="Arial Narrow" w:hAnsi="Arial Narrow"/>
                <w:b/>
                <w:noProof/>
                <w:color w:val="000000"/>
                <w:sz w:val="20"/>
                <w:szCs w:val="20"/>
                <w:highlight w:val="black"/>
              </w:rPr>
              <w:t>'''''''' '''''''''''' ''''''''</w:t>
            </w:r>
            <w:r w:rsidR="007D3F6A">
              <w:rPr>
                <w:rFonts w:ascii="Arial Narrow" w:hAnsi="Arial Narrow"/>
                <w:b/>
                <w:sz w:val="20"/>
                <w:szCs w:val="20"/>
              </w:rPr>
              <w:t>)</w:t>
            </w:r>
          </w:p>
          <w:p w:rsidR="00516A59" w:rsidRDefault="00516A59">
            <w:pPr>
              <w:keepLines/>
              <w:widowControl/>
              <w:jc w:val="center"/>
              <w:rPr>
                <w:rFonts w:ascii="Arial Narrow" w:hAnsi="Arial Narrow"/>
                <w:b/>
                <w:sz w:val="20"/>
                <w:szCs w:val="20"/>
              </w:rPr>
            </w:pPr>
          </w:p>
          <w:p w:rsidR="00516A59" w:rsidRDefault="00516A59">
            <w:pPr>
              <w:keepLines/>
              <w:widowControl/>
              <w:shd w:val="clear" w:color="auto" w:fill="D9D9D9" w:themeFill="background1" w:themeFillShade="D9"/>
              <w:jc w:val="center"/>
              <w:rPr>
                <w:rFonts w:ascii="Arial Narrow" w:hAnsi="Arial Narrow"/>
                <w:b/>
                <w:sz w:val="20"/>
                <w:szCs w:val="20"/>
              </w:rPr>
            </w:pPr>
          </w:p>
          <w:p w:rsidR="00516A59" w:rsidRPr="00845E21" w:rsidRDefault="00845E21">
            <w:pPr>
              <w:keepLines/>
              <w:widowControl/>
              <w:shd w:val="clear" w:color="auto" w:fill="D9D9D9" w:themeFill="background1" w:themeFillShade="D9"/>
              <w:jc w:val="center"/>
              <w:rPr>
                <w:rFonts w:ascii="Arial Narrow" w:hAnsi="Arial Narrow"/>
                <w:b/>
                <w:sz w:val="20"/>
                <w:szCs w:val="20"/>
                <w:highlight w:val="black"/>
              </w:rPr>
            </w:pPr>
            <w:r>
              <w:rPr>
                <w:rFonts w:ascii="Arial Narrow" w:hAnsi="Arial Narrow"/>
                <w:b/>
                <w:noProof/>
                <w:color w:val="000000"/>
                <w:sz w:val="20"/>
                <w:szCs w:val="20"/>
                <w:highlight w:val="black"/>
              </w:rPr>
              <w:t>'''''''''' '''''''''''' ''''''''''</w:t>
            </w:r>
          </w:p>
        </w:tc>
      </w:tr>
      <w:tr w:rsidR="00516A59">
        <w:tc>
          <w:tcPr>
            <w:tcW w:w="3904" w:type="dxa"/>
            <w:shd w:val="clear" w:color="auto" w:fill="auto"/>
          </w:tcPr>
          <w:p w:rsidR="00516A59" w:rsidRDefault="007D3F6A">
            <w:pPr>
              <w:keepLines/>
              <w:widowControl/>
              <w:rPr>
                <w:rFonts w:ascii="Arial Narrow" w:hAnsi="Arial Narrow"/>
                <w:sz w:val="20"/>
                <w:szCs w:val="20"/>
              </w:rPr>
            </w:pPr>
            <w:r>
              <w:rPr>
                <w:rFonts w:ascii="Arial Narrow" w:hAnsi="Arial Narrow"/>
                <w:sz w:val="20"/>
                <w:szCs w:val="20"/>
              </w:rPr>
              <w:t>PD-L1 TPS ≥50%</w:t>
            </w:r>
          </w:p>
          <w:p w:rsidR="00516A59" w:rsidRDefault="007D3F6A">
            <w:pPr>
              <w:keepLines/>
              <w:widowControl/>
              <w:rPr>
                <w:rFonts w:ascii="Arial Narrow" w:hAnsi="Arial Narrow"/>
                <w:sz w:val="20"/>
                <w:szCs w:val="20"/>
              </w:rPr>
            </w:pPr>
            <w:r>
              <w:rPr>
                <w:rFonts w:ascii="Arial Narrow" w:hAnsi="Arial Narrow"/>
                <w:sz w:val="20"/>
                <w:szCs w:val="20"/>
              </w:rPr>
              <w:t>Median duration of follow-up 19.6 months</w:t>
            </w:r>
          </w:p>
          <w:p w:rsidR="00516A59" w:rsidRDefault="007D3F6A">
            <w:pPr>
              <w:keepLines/>
              <w:widowControl/>
              <w:ind w:left="284"/>
              <w:rPr>
                <w:rFonts w:ascii="Arial Narrow" w:hAnsi="Arial Narrow"/>
                <w:sz w:val="20"/>
                <w:szCs w:val="20"/>
              </w:rPr>
            </w:pPr>
            <w:r>
              <w:rPr>
                <w:rFonts w:ascii="Arial Narrow" w:hAnsi="Arial Narrow"/>
                <w:sz w:val="20"/>
                <w:szCs w:val="20"/>
              </w:rPr>
              <w:t>No. of deaths at cutoff (%)</w:t>
            </w:r>
          </w:p>
          <w:p w:rsidR="00516A59" w:rsidRDefault="007D3F6A">
            <w:pPr>
              <w:keepLines/>
              <w:widowControl/>
              <w:ind w:left="284"/>
              <w:rPr>
                <w:rFonts w:ascii="Arial Narrow" w:hAnsi="Arial Narrow"/>
                <w:sz w:val="20"/>
                <w:szCs w:val="20"/>
              </w:rPr>
            </w:pPr>
            <w:r>
              <w:rPr>
                <w:rFonts w:ascii="Arial Narrow" w:hAnsi="Arial Narrow"/>
                <w:sz w:val="20"/>
                <w:szCs w:val="20"/>
              </w:rPr>
              <w:t>Median OS in months (95% CIs)</w:t>
            </w:r>
          </w:p>
          <w:p w:rsidR="00516A59" w:rsidRDefault="00516A59">
            <w:pPr>
              <w:keepLines/>
              <w:widowControl/>
              <w:rPr>
                <w:rFonts w:ascii="Arial Narrow" w:hAnsi="Arial Narrow"/>
                <w:sz w:val="20"/>
                <w:szCs w:val="20"/>
              </w:rPr>
            </w:pPr>
          </w:p>
          <w:p w:rsidR="00516A59" w:rsidRDefault="007D3F6A">
            <w:pPr>
              <w:keepLines/>
              <w:widowControl/>
              <w:shd w:val="clear" w:color="auto" w:fill="D9D9D9" w:themeFill="background1" w:themeFillShade="D9"/>
              <w:rPr>
                <w:rFonts w:ascii="Arial Narrow" w:hAnsi="Arial Narrow"/>
                <w:sz w:val="20"/>
                <w:szCs w:val="20"/>
              </w:rPr>
            </w:pPr>
            <w:r>
              <w:rPr>
                <w:rFonts w:ascii="Arial Narrow" w:hAnsi="Arial Narrow"/>
                <w:sz w:val="20"/>
                <w:szCs w:val="20"/>
              </w:rPr>
              <w:t>Median duration of follow-up 10.5 months</w:t>
            </w:r>
          </w:p>
          <w:p w:rsidR="00516A59" w:rsidRDefault="007D3F6A">
            <w:pPr>
              <w:keepLines/>
              <w:widowControl/>
              <w:shd w:val="clear" w:color="auto" w:fill="D9D9D9" w:themeFill="background1" w:themeFillShade="D9"/>
              <w:ind w:left="284"/>
              <w:rPr>
                <w:rFonts w:ascii="Arial Narrow" w:hAnsi="Arial Narrow"/>
                <w:sz w:val="20"/>
                <w:szCs w:val="20"/>
              </w:rPr>
            </w:pPr>
            <w:r>
              <w:rPr>
                <w:rFonts w:ascii="Arial Narrow" w:hAnsi="Arial Narrow"/>
                <w:sz w:val="20"/>
                <w:szCs w:val="20"/>
              </w:rPr>
              <w:t>No. of deaths at cutoff (%)</w:t>
            </w:r>
          </w:p>
          <w:p w:rsidR="00516A59" w:rsidRDefault="007D3F6A">
            <w:pPr>
              <w:keepLines/>
              <w:widowControl/>
              <w:shd w:val="clear" w:color="auto" w:fill="D9D9D9" w:themeFill="background1" w:themeFillShade="D9"/>
              <w:ind w:left="284"/>
              <w:rPr>
                <w:rFonts w:ascii="Arial Narrow" w:hAnsi="Arial Narrow"/>
                <w:sz w:val="20"/>
                <w:szCs w:val="20"/>
              </w:rPr>
            </w:pPr>
            <w:r>
              <w:rPr>
                <w:rFonts w:ascii="Arial Narrow" w:hAnsi="Arial Narrow"/>
                <w:sz w:val="20"/>
                <w:szCs w:val="20"/>
              </w:rPr>
              <w:t>Median OS in months (95% CIs)</w:t>
            </w:r>
          </w:p>
        </w:tc>
        <w:tc>
          <w:tcPr>
            <w:tcW w:w="1702" w:type="dxa"/>
            <w:shd w:val="clear" w:color="auto" w:fill="auto"/>
          </w:tcPr>
          <w:p w:rsidR="00516A59" w:rsidRDefault="00516A59">
            <w:pPr>
              <w:keepLines/>
              <w:widowControl/>
              <w:jc w:val="center"/>
              <w:rPr>
                <w:rFonts w:ascii="Arial Narrow" w:hAnsi="Arial Narrow"/>
                <w:sz w:val="20"/>
                <w:szCs w:val="20"/>
              </w:rPr>
            </w:pPr>
          </w:p>
          <w:p w:rsidR="00516A59" w:rsidRDefault="00516A59">
            <w:pPr>
              <w:keepLines/>
              <w:widowControl/>
              <w:jc w:val="center"/>
              <w:rPr>
                <w:rFonts w:ascii="Arial Narrow" w:hAnsi="Arial Narrow"/>
                <w:sz w:val="20"/>
                <w:szCs w:val="20"/>
              </w:rPr>
            </w:pPr>
          </w:p>
          <w:p w:rsidR="00516A59" w:rsidRDefault="007D3F6A">
            <w:pPr>
              <w:keepLines/>
              <w:widowControl/>
              <w:jc w:val="center"/>
              <w:rPr>
                <w:rFonts w:ascii="Arial Narrow" w:hAnsi="Arial Narrow"/>
                <w:sz w:val="20"/>
                <w:szCs w:val="20"/>
              </w:rPr>
            </w:pPr>
            <w:r>
              <w:rPr>
                <w:rFonts w:ascii="Arial Narrow" w:hAnsi="Arial Narrow"/>
                <w:sz w:val="20"/>
                <w:szCs w:val="20"/>
              </w:rPr>
              <w:t>58/132 (43.9)</w:t>
            </w:r>
          </w:p>
          <w:p w:rsidR="00516A59" w:rsidRDefault="007D3F6A">
            <w:pPr>
              <w:keepLines/>
              <w:widowControl/>
              <w:jc w:val="center"/>
              <w:rPr>
                <w:rFonts w:ascii="Arial Narrow" w:hAnsi="Arial Narrow"/>
                <w:sz w:val="20"/>
                <w:szCs w:val="20"/>
              </w:rPr>
            </w:pPr>
            <w:r>
              <w:rPr>
                <w:rFonts w:ascii="Arial Narrow" w:hAnsi="Arial Narrow"/>
                <w:sz w:val="20"/>
                <w:szCs w:val="20"/>
              </w:rPr>
              <w:t>Not reached (20.4, NR)</w:t>
            </w:r>
          </w:p>
          <w:p w:rsidR="00516A59" w:rsidRDefault="00516A59">
            <w:pPr>
              <w:keepLines/>
              <w:widowControl/>
              <w:shd w:val="clear" w:color="auto" w:fill="D9D9D9" w:themeFill="background1" w:themeFillShade="D9"/>
              <w:jc w:val="center"/>
              <w:rPr>
                <w:rFonts w:ascii="Arial Narrow" w:hAnsi="Arial Narrow"/>
                <w:sz w:val="20"/>
                <w:szCs w:val="20"/>
              </w:rPr>
            </w:pPr>
          </w:p>
          <w:p w:rsidR="00516A59" w:rsidRDefault="007D3F6A">
            <w:pPr>
              <w:keepLines/>
              <w:widowControl/>
              <w:shd w:val="clear" w:color="auto" w:fill="D9D9D9" w:themeFill="background1" w:themeFillShade="D9"/>
              <w:jc w:val="center"/>
              <w:rPr>
                <w:rFonts w:ascii="Arial Narrow" w:hAnsi="Arial Narrow"/>
                <w:sz w:val="20"/>
                <w:szCs w:val="20"/>
              </w:rPr>
            </w:pPr>
            <w:r>
              <w:rPr>
                <w:rFonts w:ascii="Arial Narrow" w:hAnsi="Arial Narrow"/>
                <w:sz w:val="20"/>
                <w:szCs w:val="20"/>
              </w:rPr>
              <w:t>34/132 (25.8)</w:t>
            </w:r>
          </w:p>
          <w:p w:rsidR="00516A59" w:rsidRDefault="007D3F6A">
            <w:pPr>
              <w:keepLines/>
              <w:widowControl/>
              <w:shd w:val="clear" w:color="auto" w:fill="D9D9D9" w:themeFill="background1" w:themeFillShade="D9"/>
              <w:jc w:val="center"/>
              <w:rPr>
                <w:rFonts w:ascii="Arial Narrow" w:hAnsi="Arial Narrow"/>
                <w:sz w:val="20"/>
                <w:szCs w:val="20"/>
              </w:rPr>
            </w:pPr>
            <w:r>
              <w:rPr>
                <w:rFonts w:ascii="Arial Narrow" w:hAnsi="Arial Narrow"/>
                <w:sz w:val="20"/>
                <w:szCs w:val="20"/>
              </w:rPr>
              <w:t>Not reached</w:t>
            </w:r>
          </w:p>
        </w:tc>
        <w:tc>
          <w:tcPr>
            <w:tcW w:w="1925" w:type="dxa"/>
            <w:shd w:val="clear" w:color="auto" w:fill="auto"/>
          </w:tcPr>
          <w:p w:rsidR="00516A59" w:rsidRDefault="00516A59">
            <w:pPr>
              <w:keepLines/>
              <w:widowControl/>
              <w:jc w:val="center"/>
              <w:rPr>
                <w:rFonts w:ascii="Arial Narrow" w:hAnsi="Arial Narrow"/>
                <w:sz w:val="20"/>
                <w:szCs w:val="20"/>
              </w:rPr>
            </w:pPr>
          </w:p>
          <w:p w:rsidR="00516A59" w:rsidRDefault="00516A59">
            <w:pPr>
              <w:keepLines/>
              <w:widowControl/>
              <w:jc w:val="center"/>
              <w:rPr>
                <w:rFonts w:ascii="Arial Narrow" w:hAnsi="Arial Narrow"/>
                <w:sz w:val="20"/>
                <w:szCs w:val="20"/>
              </w:rPr>
            </w:pPr>
          </w:p>
          <w:p w:rsidR="00516A59" w:rsidRDefault="007D3F6A">
            <w:pPr>
              <w:keepLines/>
              <w:widowControl/>
              <w:jc w:val="center"/>
              <w:rPr>
                <w:rFonts w:ascii="Arial Narrow" w:hAnsi="Arial Narrow"/>
                <w:sz w:val="20"/>
                <w:szCs w:val="20"/>
              </w:rPr>
            </w:pPr>
            <w:r>
              <w:rPr>
                <w:rFonts w:ascii="Arial Narrow" w:hAnsi="Arial Narrow"/>
                <w:sz w:val="20"/>
                <w:szCs w:val="20"/>
              </w:rPr>
              <w:t>42/70 (60.0)</w:t>
            </w:r>
          </w:p>
          <w:p w:rsidR="00516A59" w:rsidRDefault="007D3F6A">
            <w:pPr>
              <w:keepLines/>
              <w:widowControl/>
              <w:jc w:val="center"/>
              <w:rPr>
                <w:rFonts w:ascii="Arial Narrow" w:hAnsi="Arial Narrow"/>
                <w:sz w:val="20"/>
                <w:szCs w:val="20"/>
              </w:rPr>
            </w:pPr>
            <w:r>
              <w:rPr>
                <w:rFonts w:ascii="Arial Narrow" w:hAnsi="Arial Narrow"/>
                <w:sz w:val="20"/>
                <w:szCs w:val="20"/>
              </w:rPr>
              <w:t>10.1 (7.5, NR)</w:t>
            </w:r>
          </w:p>
          <w:p w:rsidR="00516A59" w:rsidRDefault="00516A59">
            <w:pPr>
              <w:keepLines/>
              <w:widowControl/>
              <w:jc w:val="center"/>
              <w:rPr>
                <w:rFonts w:ascii="Arial Narrow" w:hAnsi="Arial Narrow"/>
                <w:sz w:val="20"/>
                <w:szCs w:val="20"/>
              </w:rPr>
            </w:pPr>
          </w:p>
          <w:p w:rsidR="00516A59" w:rsidRDefault="00516A59">
            <w:pPr>
              <w:keepLines/>
              <w:widowControl/>
              <w:shd w:val="clear" w:color="auto" w:fill="D9D9D9" w:themeFill="background1" w:themeFillShade="D9"/>
              <w:jc w:val="center"/>
              <w:rPr>
                <w:rFonts w:ascii="Arial Narrow" w:hAnsi="Arial Narrow"/>
                <w:sz w:val="20"/>
                <w:szCs w:val="20"/>
              </w:rPr>
            </w:pPr>
          </w:p>
          <w:p w:rsidR="00516A59" w:rsidRDefault="007D3F6A">
            <w:pPr>
              <w:keepLines/>
              <w:widowControl/>
              <w:shd w:val="clear" w:color="auto" w:fill="D9D9D9" w:themeFill="background1" w:themeFillShade="D9"/>
              <w:jc w:val="center"/>
              <w:rPr>
                <w:rFonts w:ascii="Arial Narrow" w:hAnsi="Arial Narrow"/>
                <w:sz w:val="20"/>
                <w:szCs w:val="20"/>
              </w:rPr>
            </w:pPr>
            <w:r>
              <w:rPr>
                <w:rFonts w:ascii="Arial Narrow" w:hAnsi="Arial Narrow"/>
                <w:sz w:val="20"/>
                <w:szCs w:val="20"/>
              </w:rPr>
              <w:t>36/70 (51.4)</w:t>
            </w:r>
          </w:p>
          <w:p w:rsidR="00516A59" w:rsidRDefault="007D3F6A">
            <w:pPr>
              <w:keepLines/>
              <w:widowControl/>
              <w:shd w:val="clear" w:color="auto" w:fill="D9D9D9" w:themeFill="background1" w:themeFillShade="D9"/>
              <w:jc w:val="center"/>
              <w:rPr>
                <w:rFonts w:ascii="Arial Narrow" w:hAnsi="Arial Narrow"/>
                <w:sz w:val="20"/>
                <w:szCs w:val="20"/>
              </w:rPr>
            </w:pPr>
            <w:r>
              <w:rPr>
                <w:rFonts w:ascii="Arial Narrow" w:hAnsi="Arial Narrow"/>
                <w:sz w:val="20"/>
                <w:szCs w:val="20"/>
              </w:rPr>
              <w:t>10.0 (7.5, NR)</w:t>
            </w:r>
          </w:p>
        </w:tc>
        <w:tc>
          <w:tcPr>
            <w:tcW w:w="1536" w:type="dxa"/>
            <w:shd w:val="clear" w:color="auto" w:fill="auto"/>
          </w:tcPr>
          <w:p w:rsidR="00516A59" w:rsidRDefault="00516A59">
            <w:pPr>
              <w:keepLines/>
              <w:widowControl/>
              <w:jc w:val="center"/>
              <w:rPr>
                <w:rFonts w:ascii="Arial Narrow" w:hAnsi="Arial Narrow"/>
                <w:b/>
                <w:sz w:val="20"/>
                <w:szCs w:val="20"/>
              </w:rPr>
            </w:pPr>
          </w:p>
          <w:p w:rsidR="00516A59" w:rsidRDefault="00516A59">
            <w:pPr>
              <w:keepLines/>
              <w:widowControl/>
              <w:jc w:val="center"/>
              <w:rPr>
                <w:rFonts w:ascii="Arial Narrow" w:hAnsi="Arial Narrow"/>
                <w:b/>
                <w:sz w:val="20"/>
                <w:szCs w:val="20"/>
              </w:rPr>
            </w:pPr>
          </w:p>
          <w:p w:rsidR="00516A59" w:rsidRDefault="007D3F6A">
            <w:pPr>
              <w:keepLines/>
              <w:widowControl/>
              <w:jc w:val="center"/>
              <w:rPr>
                <w:rFonts w:ascii="Arial Narrow" w:hAnsi="Arial Narrow"/>
                <w:b/>
                <w:sz w:val="20"/>
                <w:szCs w:val="20"/>
              </w:rPr>
            </w:pPr>
            <w:r>
              <w:rPr>
                <w:rFonts w:ascii="Arial Narrow" w:hAnsi="Arial Narrow"/>
                <w:b/>
                <w:sz w:val="20"/>
                <w:szCs w:val="20"/>
              </w:rPr>
              <w:t>0.59 (0.39, 0.88)</w:t>
            </w:r>
          </w:p>
          <w:p w:rsidR="00516A59" w:rsidRDefault="00516A59">
            <w:pPr>
              <w:keepLines/>
              <w:widowControl/>
              <w:jc w:val="center"/>
              <w:rPr>
                <w:rFonts w:ascii="Arial Narrow" w:hAnsi="Arial Narrow"/>
                <w:b/>
                <w:sz w:val="20"/>
                <w:szCs w:val="20"/>
              </w:rPr>
            </w:pPr>
          </w:p>
          <w:p w:rsidR="00516A59" w:rsidRDefault="00516A59">
            <w:pPr>
              <w:keepLines/>
              <w:widowControl/>
              <w:jc w:val="center"/>
              <w:rPr>
                <w:rFonts w:ascii="Arial Narrow" w:hAnsi="Arial Narrow"/>
                <w:b/>
                <w:sz w:val="20"/>
                <w:szCs w:val="20"/>
              </w:rPr>
            </w:pPr>
          </w:p>
          <w:p w:rsidR="00516A59" w:rsidRDefault="00516A59">
            <w:pPr>
              <w:keepLines/>
              <w:widowControl/>
              <w:shd w:val="clear" w:color="auto" w:fill="D9D9D9" w:themeFill="background1" w:themeFillShade="D9"/>
              <w:jc w:val="center"/>
              <w:rPr>
                <w:rFonts w:ascii="Arial Narrow" w:hAnsi="Arial Narrow"/>
                <w:b/>
                <w:sz w:val="20"/>
                <w:szCs w:val="20"/>
              </w:rPr>
            </w:pPr>
          </w:p>
          <w:p w:rsidR="00516A59" w:rsidRDefault="007D3F6A">
            <w:pPr>
              <w:keepLines/>
              <w:widowControl/>
              <w:shd w:val="clear" w:color="auto" w:fill="D9D9D9" w:themeFill="background1" w:themeFillShade="D9"/>
              <w:jc w:val="center"/>
              <w:rPr>
                <w:rFonts w:ascii="Arial Narrow" w:hAnsi="Arial Narrow"/>
                <w:b/>
                <w:sz w:val="20"/>
                <w:szCs w:val="20"/>
              </w:rPr>
            </w:pPr>
            <w:r>
              <w:rPr>
                <w:rFonts w:ascii="Arial Narrow" w:hAnsi="Arial Narrow"/>
                <w:b/>
                <w:sz w:val="20"/>
                <w:szCs w:val="20"/>
              </w:rPr>
              <w:t>0.42 (0.26, 0.68)</w:t>
            </w:r>
          </w:p>
        </w:tc>
      </w:tr>
      <w:tr w:rsidR="00516A59">
        <w:tc>
          <w:tcPr>
            <w:tcW w:w="9067" w:type="dxa"/>
            <w:gridSpan w:val="4"/>
            <w:shd w:val="clear" w:color="auto" w:fill="auto"/>
          </w:tcPr>
          <w:p w:rsidR="00516A59" w:rsidRDefault="007D3F6A">
            <w:pPr>
              <w:keepLines/>
              <w:widowControl/>
              <w:rPr>
                <w:rFonts w:ascii="Arial Narrow" w:hAnsi="Arial Narrow"/>
                <w:b/>
                <w:sz w:val="20"/>
                <w:szCs w:val="20"/>
              </w:rPr>
            </w:pPr>
            <w:r>
              <w:rPr>
                <w:rFonts w:ascii="Arial Narrow" w:hAnsi="Arial Narrow"/>
                <w:b/>
                <w:sz w:val="20"/>
                <w:szCs w:val="20"/>
              </w:rPr>
              <w:t>Progression free survival</w:t>
            </w:r>
          </w:p>
        </w:tc>
      </w:tr>
      <w:tr w:rsidR="00516A59">
        <w:tc>
          <w:tcPr>
            <w:tcW w:w="3904" w:type="dxa"/>
            <w:shd w:val="clear" w:color="auto" w:fill="auto"/>
          </w:tcPr>
          <w:p w:rsidR="00516A59" w:rsidRDefault="007D3F6A">
            <w:pPr>
              <w:keepLines/>
              <w:widowControl/>
              <w:rPr>
                <w:rFonts w:ascii="Arial Narrow" w:hAnsi="Arial Narrow"/>
                <w:sz w:val="20"/>
                <w:szCs w:val="20"/>
              </w:rPr>
            </w:pPr>
            <w:r>
              <w:rPr>
                <w:rFonts w:ascii="Arial Narrow" w:hAnsi="Arial Narrow"/>
                <w:sz w:val="20"/>
                <w:szCs w:val="20"/>
              </w:rPr>
              <w:t>All patients</w:t>
            </w:r>
          </w:p>
          <w:p w:rsidR="00516A59" w:rsidRDefault="007D3F6A">
            <w:pPr>
              <w:keepLines/>
              <w:widowControl/>
              <w:rPr>
                <w:rFonts w:ascii="Arial Narrow" w:hAnsi="Arial Narrow"/>
                <w:sz w:val="20"/>
                <w:szCs w:val="20"/>
              </w:rPr>
            </w:pPr>
            <w:r>
              <w:rPr>
                <w:rFonts w:ascii="Arial Narrow" w:hAnsi="Arial Narrow"/>
                <w:sz w:val="20"/>
                <w:szCs w:val="20"/>
              </w:rPr>
              <w:t>Median duration of follow-up 18.7 months</w:t>
            </w:r>
          </w:p>
          <w:p w:rsidR="00516A59" w:rsidRDefault="007D3F6A">
            <w:pPr>
              <w:keepLines/>
              <w:widowControl/>
              <w:ind w:left="284"/>
              <w:rPr>
                <w:rFonts w:ascii="Arial Narrow" w:hAnsi="Arial Narrow"/>
                <w:sz w:val="20"/>
                <w:szCs w:val="20"/>
              </w:rPr>
            </w:pPr>
            <w:r>
              <w:rPr>
                <w:rFonts w:ascii="Arial Narrow" w:hAnsi="Arial Narrow"/>
                <w:sz w:val="20"/>
                <w:szCs w:val="20"/>
              </w:rPr>
              <w:t>No. of deaths/progressed at cutoff (%)</w:t>
            </w:r>
          </w:p>
          <w:p w:rsidR="00516A59" w:rsidRDefault="007D3F6A">
            <w:pPr>
              <w:keepLines/>
              <w:widowControl/>
              <w:ind w:left="284"/>
              <w:rPr>
                <w:rFonts w:ascii="Arial Narrow" w:hAnsi="Arial Narrow"/>
                <w:sz w:val="20"/>
                <w:szCs w:val="20"/>
              </w:rPr>
            </w:pPr>
            <w:r>
              <w:rPr>
                <w:rFonts w:ascii="Arial Narrow" w:hAnsi="Arial Narrow"/>
                <w:sz w:val="20"/>
                <w:szCs w:val="20"/>
              </w:rPr>
              <w:t>Median PFS in months (95% CIs)</w:t>
            </w:r>
          </w:p>
          <w:p w:rsidR="00516A59" w:rsidRDefault="007D3F6A">
            <w:pPr>
              <w:keepLines/>
              <w:widowControl/>
              <w:shd w:val="clear" w:color="auto" w:fill="D9D9D9" w:themeFill="background1" w:themeFillShade="D9"/>
              <w:rPr>
                <w:rFonts w:ascii="Arial Narrow" w:hAnsi="Arial Narrow"/>
                <w:sz w:val="20"/>
                <w:szCs w:val="20"/>
              </w:rPr>
            </w:pPr>
            <w:r>
              <w:rPr>
                <w:rFonts w:ascii="Arial Narrow" w:hAnsi="Arial Narrow"/>
                <w:sz w:val="20"/>
                <w:szCs w:val="20"/>
              </w:rPr>
              <w:t>Median duration of follow-up 10.5 months</w:t>
            </w:r>
          </w:p>
          <w:p w:rsidR="00516A59" w:rsidRDefault="007D3F6A">
            <w:pPr>
              <w:keepLines/>
              <w:widowControl/>
              <w:shd w:val="clear" w:color="auto" w:fill="D9D9D9" w:themeFill="background1" w:themeFillShade="D9"/>
              <w:ind w:left="284"/>
              <w:rPr>
                <w:rFonts w:ascii="Arial Narrow" w:hAnsi="Arial Narrow"/>
                <w:sz w:val="20"/>
                <w:szCs w:val="20"/>
              </w:rPr>
            </w:pPr>
            <w:r>
              <w:rPr>
                <w:rFonts w:ascii="Arial Narrow" w:hAnsi="Arial Narrow"/>
                <w:sz w:val="20"/>
                <w:szCs w:val="20"/>
              </w:rPr>
              <w:t>No. of deaths/progressed at cutoff (%)</w:t>
            </w:r>
          </w:p>
          <w:p w:rsidR="00516A59" w:rsidRDefault="007D3F6A">
            <w:pPr>
              <w:keepLines/>
              <w:widowControl/>
              <w:shd w:val="clear" w:color="auto" w:fill="D9D9D9" w:themeFill="background1" w:themeFillShade="D9"/>
              <w:ind w:left="284"/>
              <w:rPr>
                <w:rFonts w:ascii="Arial Narrow" w:hAnsi="Arial Narrow"/>
                <w:sz w:val="20"/>
                <w:szCs w:val="20"/>
              </w:rPr>
            </w:pPr>
            <w:r>
              <w:rPr>
                <w:rFonts w:ascii="Arial Narrow" w:hAnsi="Arial Narrow"/>
                <w:sz w:val="20"/>
                <w:szCs w:val="20"/>
              </w:rPr>
              <w:t>Median PFS in months (95% CIs)</w:t>
            </w:r>
          </w:p>
        </w:tc>
        <w:tc>
          <w:tcPr>
            <w:tcW w:w="1702" w:type="dxa"/>
            <w:shd w:val="clear" w:color="auto" w:fill="auto"/>
          </w:tcPr>
          <w:p w:rsidR="00516A59" w:rsidRDefault="00516A59">
            <w:pPr>
              <w:keepLines/>
              <w:widowControl/>
              <w:jc w:val="center"/>
              <w:rPr>
                <w:rFonts w:ascii="Arial Narrow" w:hAnsi="Arial Narrow"/>
                <w:sz w:val="20"/>
                <w:szCs w:val="20"/>
              </w:rPr>
            </w:pPr>
          </w:p>
          <w:p w:rsidR="00516A59" w:rsidRDefault="00516A59">
            <w:pPr>
              <w:keepLines/>
              <w:widowControl/>
              <w:jc w:val="center"/>
              <w:rPr>
                <w:rFonts w:ascii="Arial Narrow" w:hAnsi="Arial Narrow"/>
                <w:sz w:val="20"/>
                <w:szCs w:val="20"/>
              </w:rPr>
            </w:pPr>
          </w:p>
          <w:p w:rsidR="00516A59" w:rsidRDefault="007D3F6A">
            <w:pPr>
              <w:keepLines/>
              <w:widowControl/>
              <w:jc w:val="center"/>
              <w:rPr>
                <w:rFonts w:ascii="Arial Narrow" w:hAnsi="Arial Narrow"/>
                <w:sz w:val="20"/>
                <w:szCs w:val="20"/>
              </w:rPr>
            </w:pPr>
            <w:r>
              <w:rPr>
                <w:rFonts w:ascii="Arial Narrow" w:hAnsi="Arial Narrow"/>
                <w:sz w:val="20"/>
                <w:szCs w:val="20"/>
              </w:rPr>
              <w:t>304/410 (74.1)</w:t>
            </w:r>
          </w:p>
          <w:p w:rsidR="00516A59" w:rsidRDefault="007D3F6A">
            <w:pPr>
              <w:keepLines/>
              <w:widowControl/>
              <w:jc w:val="center"/>
              <w:rPr>
                <w:rFonts w:ascii="Arial Narrow" w:hAnsi="Arial Narrow"/>
                <w:sz w:val="20"/>
                <w:szCs w:val="20"/>
              </w:rPr>
            </w:pPr>
            <w:r>
              <w:rPr>
                <w:rFonts w:ascii="Arial Narrow" w:hAnsi="Arial Narrow"/>
                <w:sz w:val="20"/>
                <w:szCs w:val="20"/>
              </w:rPr>
              <w:t>9.0 (8.1, 9.9)</w:t>
            </w:r>
          </w:p>
          <w:p w:rsidR="00516A59" w:rsidRDefault="00516A59">
            <w:pPr>
              <w:keepLines/>
              <w:widowControl/>
              <w:shd w:val="clear" w:color="auto" w:fill="D9D9D9" w:themeFill="background1" w:themeFillShade="D9"/>
              <w:jc w:val="center"/>
              <w:rPr>
                <w:rFonts w:ascii="Arial Narrow" w:hAnsi="Arial Narrow"/>
                <w:sz w:val="20"/>
                <w:szCs w:val="20"/>
              </w:rPr>
            </w:pPr>
          </w:p>
          <w:p w:rsidR="00516A59" w:rsidRDefault="007D3F6A">
            <w:pPr>
              <w:keepLines/>
              <w:widowControl/>
              <w:shd w:val="clear" w:color="auto" w:fill="D9D9D9" w:themeFill="background1" w:themeFillShade="D9"/>
              <w:jc w:val="center"/>
              <w:rPr>
                <w:rFonts w:ascii="Arial Narrow" w:hAnsi="Arial Narrow"/>
                <w:sz w:val="20"/>
                <w:szCs w:val="20"/>
              </w:rPr>
            </w:pPr>
            <w:r>
              <w:rPr>
                <w:rFonts w:ascii="Arial Narrow" w:hAnsi="Arial Narrow"/>
                <w:sz w:val="20"/>
                <w:szCs w:val="20"/>
              </w:rPr>
              <w:t>244/410 (59.5)</w:t>
            </w:r>
          </w:p>
          <w:p w:rsidR="00516A59" w:rsidRDefault="007D3F6A">
            <w:pPr>
              <w:keepLines/>
              <w:widowControl/>
              <w:shd w:val="clear" w:color="auto" w:fill="D9D9D9" w:themeFill="background1" w:themeFillShade="D9"/>
              <w:jc w:val="center"/>
              <w:rPr>
                <w:rFonts w:ascii="Arial Narrow" w:hAnsi="Arial Narrow"/>
                <w:sz w:val="20"/>
                <w:szCs w:val="20"/>
              </w:rPr>
            </w:pPr>
            <w:r>
              <w:rPr>
                <w:rFonts w:ascii="Arial Narrow" w:hAnsi="Arial Narrow"/>
                <w:sz w:val="20"/>
                <w:szCs w:val="20"/>
              </w:rPr>
              <w:t>8.8 (7.6, 9.2)</w:t>
            </w:r>
          </w:p>
        </w:tc>
        <w:tc>
          <w:tcPr>
            <w:tcW w:w="1925" w:type="dxa"/>
            <w:shd w:val="clear" w:color="auto" w:fill="auto"/>
          </w:tcPr>
          <w:p w:rsidR="00516A59" w:rsidRDefault="00516A59">
            <w:pPr>
              <w:keepLines/>
              <w:widowControl/>
              <w:jc w:val="center"/>
              <w:rPr>
                <w:rFonts w:ascii="Arial Narrow" w:hAnsi="Arial Narrow"/>
                <w:sz w:val="20"/>
                <w:szCs w:val="20"/>
              </w:rPr>
            </w:pPr>
          </w:p>
          <w:p w:rsidR="00516A59" w:rsidRDefault="00516A59">
            <w:pPr>
              <w:keepLines/>
              <w:widowControl/>
              <w:jc w:val="center"/>
              <w:rPr>
                <w:rFonts w:ascii="Arial Narrow" w:hAnsi="Arial Narrow"/>
                <w:sz w:val="20"/>
                <w:szCs w:val="20"/>
              </w:rPr>
            </w:pPr>
          </w:p>
          <w:p w:rsidR="00516A59" w:rsidRDefault="007D3F6A">
            <w:pPr>
              <w:keepLines/>
              <w:widowControl/>
              <w:jc w:val="center"/>
              <w:rPr>
                <w:rFonts w:ascii="Arial Narrow" w:hAnsi="Arial Narrow"/>
                <w:sz w:val="20"/>
                <w:szCs w:val="20"/>
              </w:rPr>
            </w:pPr>
            <w:r>
              <w:rPr>
                <w:rFonts w:ascii="Arial Narrow" w:hAnsi="Arial Narrow"/>
                <w:sz w:val="20"/>
                <w:szCs w:val="20"/>
              </w:rPr>
              <w:t>196/206 (92.2)</w:t>
            </w:r>
          </w:p>
          <w:p w:rsidR="00516A59" w:rsidRDefault="007D3F6A">
            <w:pPr>
              <w:keepLines/>
              <w:widowControl/>
              <w:jc w:val="center"/>
              <w:rPr>
                <w:rFonts w:ascii="Arial Narrow" w:hAnsi="Arial Narrow"/>
                <w:sz w:val="20"/>
                <w:szCs w:val="20"/>
              </w:rPr>
            </w:pPr>
            <w:r>
              <w:rPr>
                <w:rFonts w:ascii="Arial Narrow" w:hAnsi="Arial Narrow"/>
                <w:sz w:val="20"/>
                <w:szCs w:val="20"/>
              </w:rPr>
              <w:t>4.9 (4.7, 5.5)</w:t>
            </w:r>
          </w:p>
          <w:p w:rsidR="00516A59" w:rsidRDefault="00516A59">
            <w:pPr>
              <w:keepLines/>
              <w:widowControl/>
              <w:shd w:val="clear" w:color="auto" w:fill="D9D9D9" w:themeFill="background1" w:themeFillShade="D9"/>
              <w:jc w:val="center"/>
              <w:rPr>
                <w:rFonts w:ascii="Arial Narrow" w:hAnsi="Arial Narrow"/>
                <w:sz w:val="20"/>
                <w:szCs w:val="20"/>
              </w:rPr>
            </w:pPr>
          </w:p>
          <w:p w:rsidR="00516A59" w:rsidRDefault="007D3F6A">
            <w:pPr>
              <w:keepLines/>
              <w:widowControl/>
              <w:shd w:val="clear" w:color="auto" w:fill="D9D9D9" w:themeFill="background1" w:themeFillShade="D9"/>
              <w:jc w:val="center"/>
              <w:rPr>
                <w:rFonts w:ascii="Arial Narrow" w:hAnsi="Arial Narrow"/>
                <w:sz w:val="20"/>
                <w:szCs w:val="20"/>
              </w:rPr>
            </w:pPr>
            <w:r>
              <w:rPr>
                <w:rFonts w:ascii="Arial Narrow" w:hAnsi="Arial Narrow"/>
                <w:sz w:val="20"/>
                <w:szCs w:val="20"/>
              </w:rPr>
              <w:t>166/206 (80.6)</w:t>
            </w:r>
          </w:p>
          <w:p w:rsidR="00516A59" w:rsidRDefault="007D3F6A">
            <w:pPr>
              <w:keepLines/>
              <w:widowControl/>
              <w:shd w:val="clear" w:color="auto" w:fill="D9D9D9" w:themeFill="background1" w:themeFillShade="D9"/>
              <w:jc w:val="center"/>
              <w:rPr>
                <w:rFonts w:ascii="Arial Narrow" w:hAnsi="Arial Narrow"/>
                <w:sz w:val="20"/>
                <w:szCs w:val="20"/>
              </w:rPr>
            </w:pPr>
            <w:r>
              <w:rPr>
                <w:rFonts w:ascii="Arial Narrow" w:hAnsi="Arial Narrow"/>
                <w:sz w:val="20"/>
                <w:szCs w:val="20"/>
              </w:rPr>
              <w:t>4.9 (4.7, 5.5)</w:t>
            </w:r>
          </w:p>
        </w:tc>
        <w:tc>
          <w:tcPr>
            <w:tcW w:w="1536" w:type="dxa"/>
            <w:shd w:val="clear" w:color="auto" w:fill="auto"/>
          </w:tcPr>
          <w:p w:rsidR="00516A59" w:rsidRDefault="00516A59">
            <w:pPr>
              <w:keepLines/>
              <w:widowControl/>
              <w:jc w:val="center"/>
              <w:rPr>
                <w:rFonts w:ascii="Arial Narrow" w:hAnsi="Arial Narrow"/>
                <w:b/>
                <w:sz w:val="20"/>
                <w:szCs w:val="20"/>
              </w:rPr>
            </w:pPr>
          </w:p>
          <w:p w:rsidR="00516A59" w:rsidRDefault="00516A59">
            <w:pPr>
              <w:keepLines/>
              <w:widowControl/>
              <w:jc w:val="center"/>
              <w:rPr>
                <w:rFonts w:ascii="Arial Narrow" w:hAnsi="Arial Narrow"/>
                <w:b/>
                <w:sz w:val="20"/>
                <w:szCs w:val="20"/>
              </w:rPr>
            </w:pPr>
          </w:p>
          <w:p w:rsidR="00516A59" w:rsidRDefault="007D3F6A">
            <w:pPr>
              <w:keepLines/>
              <w:widowControl/>
              <w:jc w:val="center"/>
              <w:rPr>
                <w:rFonts w:ascii="Arial Narrow" w:hAnsi="Arial Narrow"/>
                <w:b/>
                <w:sz w:val="20"/>
                <w:szCs w:val="20"/>
              </w:rPr>
            </w:pPr>
            <w:r>
              <w:rPr>
                <w:rFonts w:ascii="Arial Narrow" w:hAnsi="Arial Narrow"/>
                <w:b/>
                <w:sz w:val="20"/>
                <w:szCs w:val="20"/>
              </w:rPr>
              <w:t>0.48 (0.40, 0.58)</w:t>
            </w:r>
          </w:p>
          <w:p w:rsidR="00516A59" w:rsidRDefault="00516A59">
            <w:pPr>
              <w:keepLines/>
              <w:widowControl/>
              <w:jc w:val="center"/>
              <w:rPr>
                <w:rFonts w:ascii="Arial Narrow" w:hAnsi="Arial Narrow"/>
                <w:b/>
                <w:sz w:val="20"/>
                <w:szCs w:val="20"/>
              </w:rPr>
            </w:pPr>
          </w:p>
          <w:p w:rsidR="00516A59" w:rsidRDefault="00516A59">
            <w:pPr>
              <w:keepLines/>
              <w:widowControl/>
              <w:shd w:val="clear" w:color="auto" w:fill="D9D9D9" w:themeFill="background1" w:themeFillShade="D9"/>
              <w:jc w:val="center"/>
              <w:rPr>
                <w:rFonts w:ascii="Arial Narrow" w:hAnsi="Arial Narrow"/>
                <w:b/>
                <w:sz w:val="20"/>
                <w:szCs w:val="20"/>
              </w:rPr>
            </w:pPr>
          </w:p>
          <w:p w:rsidR="00516A59" w:rsidRDefault="007D3F6A">
            <w:pPr>
              <w:keepLines/>
              <w:widowControl/>
              <w:shd w:val="clear" w:color="auto" w:fill="D9D9D9" w:themeFill="background1" w:themeFillShade="D9"/>
              <w:jc w:val="center"/>
              <w:rPr>
                <w:rFonts w:ascii="Arial Narrow" w:hAnsi="Arial Narrow"/>
                <w:b/>
                <w:sz w:val="20"/>
                <w:szCs w:val="20"/>
              </w:rPr>
            </w:pPr>
            <w:r>
              <w:rPr>
                <w:rFonts w:ascii="Arial Narrow" w:hAnsi="Arial Narrow"/>
                <w:b/>
                <w:sz w:val="20"/>
                <w:szCs w:val="20"/>
              </w:rPr>
              <w:t>0.52 (0.43, 0.64)</w:t>
            </w:r>
          </w:p>
        </w:tc>
      </w:tr>
      <w:tr w:rsidR="00516A59">
        <w:tc>
          <w:tcPr>
            <w:tcW w:w="3904" w:type="dxa"/>
            <w:shd w:val="clear" w:color="auto" w:fill="FFFFFF" w:themeFill="background1"/>
          </w:tcPr>
          <w:p w:rsidR="00516A59" w:rsidRDefault="007D3F6A">
            <w:pPr>
              <w:keepLines/>
              <w:widowControl/>
              <w:rPr>
                <w:rFonts w:ascii="Arial Narrow" w:hAnsi="Arial Narrow"/>
                <w:sz w:val="20"/>
                <w:szCs w:val="20"/>
              </w:rPr>
            </w:pPr>
            <w:r>
              <w:rPr>
                <w:rFonts w:ascii="Arial Narrow" w:hAnsi="Arial Narrow"/>
                <w:sz w:val="20"/>
                <w:szCs w:val="20"/>
              </w:rPr>
              <w:t>PD-L1 TPS &lt;</w:t>
            </w:r>
            <w:r w:rsidR="00845E21">
              <w:rPr>
                <w:rFonts w:ascii="Arial Narrow" w:hAnsi="Arial Narrow"/>
                <w:noProof/>
                <w:color w:val="000000"/>
                <w:sz w:val="20"/>
                <w:szCs w:val="20"/>
                <w:highlight w:val="black"/>
              </w:rPr>
              <w:t>''''''</w:t>
            </w:r>
            <w:r>
              <w:rPr>
                <w:rFonts w:ascii="Arial Narrow" w:hAnsi="Arial Narrow"/>
                <w:sz w:val="20"/>
                <w:szCs w:val="20"/>
              </w:rPr>
              <w:t>%</w:t>
            </w:r>
          </w:p>
          <w:p w:rsidR="00516A59" w:rsidRDefault="007D3F6A">
            <w:pPr>
              <w:keepLines/>
              <w:widowControl/>
              <w:rPr>
                <w:rFonts w:ascii="Arial Narrow" w:hAnsi="Arial Narrow"/>
                <w:sz w:val="20"/>
                <w:szCs w:val="20"/>
              </w:rPr>
            </w:pPr>
            <w:r>
              <w:rPr>
                <w:rFonts w:ascii="Arial Narrow" w:hAnsi="Arial Narrow"/>
                <w:sz w:val="20"/>
                <w:szCs w:val="20"/>
              </w:rPr>
              <w:t xml:space="preserve">Median duration of follow-up </w:t>
            </w:r>
            <w:r w:rsidR="00845E21">
              <w:rPr>
                <w:rFonts w:ascii="Arial Narrow" w:hAnsi="Arial Narrow"/>
                <w:noProof/>
                <w:color w:val="000000"/>
                <w:sz w:val="20"/>
                <w:szCs w:val="20"/>
                <w:highlight w:val="black"/>
              </w:rPr>
              <w:t>''''''''''</w:t>
            </w:r>
            <w:r>
              <w:rPr>
                <w:rFonts w:ascii="Arial Narrow" w:hAnsi="Arial Narrow"/>
                <w:sz w:val="20"/>
                <w:szCs w:val="20"/>
              </w:rPr>
              <w:t xml:space="preserve"> months</w:t>
            </w:r>
          </w:p>
          <w:p w:rsidR="00516A59" w:rsidRDefault="007D3F6A">
            <w:pPr>
              <w:keepLines/>
              <w:widowControl/>
              <w:ind w:left="284"/>
              <w:rPr>
                <w:rFonts w:ascii="Arial Narrow" w:hAnsi="Arial Narrow"/>
                <w:sz w:val="20"/>
                <w:szCs w:val="20"/>
              </w:rPr>
            </w:pPr>
            <w:r>
              <w:rPr>
                <w:rFonts w:ascii="Arial Narrow" w:hAnsi="Arial Narrow"/>
                <w:sz w:val="20"/>
                <w:szCs w:val="20"/>
              </w:rPr>
              <w:t>No. of deaths/progressed at cutoff</w:t>
            </w:r>
          </w:p>
          <w:p w:rsidR="00516A59" w:rsidRDefault="007D3F6A">
            <w:pPr>
              <w:keepLines/>
              <w:widowControl/>
              <w:ind w:left="284"/>
              <w:rPr>
                <w:rFonts w:ascii="Arial Narrow" w:hAnsi="Arial Narrow"/>
                <w:sz w:val="20"/>
                <w:szCs w:val="20"/>
              </w:rPr>
            </w:pPr>
            <w:r>
              <w:rPr>
                <w:rFonts w:ascii="Arial Narrow" w:hAnsi="Arial Narrow"/>
                <w:sz w:val="20"/>
                <w:szCs w:val="20"/>
              </w:rPr>
              <w:t>Median PFS in months (95% CIs)</w:t>
            </w:r>
          </w:p>
          <w:p w:rsidR="00516A59" w:rsidRDefault="007D3F6A">
            <w:pPr>
              <w:keepLines/>
              <w:widowControl/>
              <w:shd w:val="clear" w:color="auto" w:fill="D9D9D9" w:themeFill="background1" w:themeFillShade="D9"/>
              <w:rPr>
                <w:rFonts w:ascii="Arial Narrow" w:hAnsi="Arial Narrow"/>
                <w:sz w:val="20"/>
                <w:szCs w:val="20"/>
              </w:rPr>
            </w:pPr>
            <w:r>
              <w:rPr>
                <w:rFonts w:ascii="Arial Narrow" w:hAnsi="Arial Narrow"/>
                <w:sz w:val="20"/>
                <w:szCs w:val="20"/>
              </w:rPr>
              <w:t xml:space="preserve">Median duration of follow-up </w:t>
            </w:r>
            <w:r w:rsidR="00845E21">
              <w:rPr>
                <w:rFonts w:ascii="Arial Narrow" w:hAnsi="Arial Narrow"/>
                <w:noProof/>
                <w:color w:val="000000"/>
                <w:sz w:val="20"/>
                <w:szCs w:val="20"/>
                <w:highlight w:val="black"/>
              </w:rPr>
              <w:t>''''''''''</w:t>
            </w:r>
            <w:r>
              <w:rPr>
                <w:rFonts w:ascii="Arial Narrow" w:hAnsi="Arial Narrow"/>
                <w:sz w:val="20"/>
                <w:szCs w:val="20"/>
              </w:rPr>
              <w:t xml:space="preserve"> months</w:t>
            </w:r>
          </w:p>
          <w:p w:rsidR="00516A59" w:rsidRDefault="007D3F6A">
            <w:pPr>
              <w:keepLines/>
              <w:widowControl/>
              <w:shd w:val="clear" w:color="auto" w:fill="D9D9D9" w:themeFill="background1" w:themeFillShade="D9"/>
              <w:ind w:left="284"/>
              <w:rPr>
                <w:rFonts w:ascii="Arial Narrow" w:hAnsi="Arial Narrow"/>
                <w:sz w:val="20"/>
                <w:szCs w:val="20"/>
              </w:rPr>
            </w:pPr>
            <w:r>
              <w:rPr>
                <w:rFonts w:ascii="Arial Narrow" w:hAnsi="Arial Narrow"/>
                <w:sz w:val="20"/>
                <w:szCs w:val="20"/>
              </w:rPr>
              <w:t>No. of deaths/progressed at cutoff</w:t>
            </w:r>
          </w:p>
          <w:p w:rsidR="00516A59" w:rsidRDefault="007D3F6A">
            <w:pPr>
              <w:keepLines/>
              <w:widowControl/>
              <w:shd w:val="clear" w:color="auto" w:fill="D9D9D9" w:themeFill="background1" w:themeFillShade="D9"/>
              <w:rPr>
                <w:rFonts w:ascii="Arial Narrow" w:hAnsi="Arial Narrow"/>
                <w:sz w:val="20"/>
                <w:szCs w:val="20"/>
              </w:rPr>
            </w:pPr>
            <w:r>
              <w:rPr>
                <w:rFonts w:ascii="Arial Narrow" w:hAnsi="Arial Narrow"/>
                <w:sz w:val="20"/>
                <w:szCs w:val="20"/>
              </w:rPr>
              <w:t>Median PFS in months (95% CIs)</w:t>
            </w:r>
          </w:p>
        </w:tc>
        <w:tc>
          <w:tcPr>
            <w:tcW w:w="1702" w:type="dxa"/>
            <w:shd w:val="clear" w:color="auto" w:fill="FFFFFF" w:themeFill="background1"/>
          </w:tcPr>
          <w:p w:rsidR="00516A59" w:rsidRDefault="00516A59">
            <w:pPr>
              <w:keepLines/>
              <w:widowControl/>
              <w:jc w:val="center"/>
              <w:rPr>
                <w:rFonts w:ascii="Arial Narrow" w:hAnsi="Arial Narrow"/>
                <w:sz w:val="20"/>
                <w:szCs w:val="20"/>
              </w:rPr>
            </w:pPr>
          </w:p>
          <w:p w:rsidR="00516A59" w:rsidRDefault="00516A59">
            <w:pPr>
              <w:keepLines/>
              <w:widowControl/>
              <w:jc w:val="center"/>
              <w:rPr>
                <w:rFonts w:ascii="Arial Narrow" w:hAnsi="Arial Narrow"/>
                <w:sz w:val="20"/>
                <w:szCs w:val="20"/>
              </w:rPr>
            </w:pPr>
          </w:p>
          <w:p w:rsidR="00516A59" w:rsidRPr="00845E21" w:rsidRDefault="00845E21">
            <w:pPr>
              <w:keepLines/>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p w:rsidR="00516A59" w:rsidRPr="00845E21" w:rsidRDefault="00845E21">
            <w:pPr>
              <w:keepLines/>
              <w:widowControl/>
              <w:jc w:val="center"/>
              <w:rPr>
                <w:rFonts w:ascii="Arial Narrow" w:hAnsi="Arial Narrow"/>
                <w:sz w:val="20"/>
                <w:szCs w:val="20"/>
                <w:highlight w:val="black"/>
              </w:rPr>
            </w:pPr>
            <w:r>
              <w:rPr>
                <w:rFonts w:ascii="Arial Narrow" w:hAnsi="Arial Narrow"/>
                <w:noProof/>
                <w:color w:val="000000"/>
                <w:sz w:val="20"/>
                <w:szCs w:val="20"/>
                <w:highlight w:val="black"/>
              </w:rPr>
              <w:t>'''''''' '''''''''' ''''''''</w:t>
            </w:r>
          </w:p>
          <w:p w:rsidR="00516A59" w:rsidRDefault="00516A59">
            <w:pPr>
              <w:keepLines/>
              <w:widowControl/>
              <w:shd w:val="clear" w:color="auto" w:fill="D9D9D9" w:themeFill="background1" w:themeFillShade="D9"/>
              <w:jc w:val="center"/>
              <w:rPr>
                <w:rFonts w:ascii="Arial Narrow" w:hAnsi="Arial Narrow"/>
                <w:sz w:val="20"/>
                <w:szCs w:val="20"/>
              </w:rPr>
            </w:pPr>
          </w:p>
          <w:p w:rsidR="00516A59" w:rsidRPr="00845E21" w:rsidRDefault="00845E21">
            <w:pPr>
              <w:keepLines/>
              <w:widowControl/>
              <w:shd w:val="clear" w:color="auto" w:fill="D9D9D9" w:themeFill="background1" w:themeFillShade="D9"/>
              <w:jc w:val="center"/>
              <w:rPr>
                <w:rFonts w:ascii="Arial Narrow" w:hAnsi="Arial Narrow"/>
                <w:sz w:val="20"/>
                <w:szCs w:val="20"/>
                <w:highlight w:val="black"/>
              </w:rPr>
            </w:pPr>
            <w:r>
              <w:rPr>
                <w:rFonts w:ascii="Arial Narrow" w:hAnsi="Arial Narrow"/>
                <w:noProof/>
                <w:color w:val="000000"/>
                <w:sz w:val="20"/>
                <w:szCs w:val="20"/>
                <w:highlight w:val="black"/>
              </w:rPr>
              <w:t>''''''''''''''''''' '''''''''''''''</w:t>
            </w:r>
          </w:p>
          <w:p w:rsidR="00516A59" w:rsidRPr="00845E21" w:rsidRDefault="00845E21">
            <w:pPr>
              <w:keepLines/>
              <w:widowControl/>
              <w:shd w:val="clear" w:color="auto" w:fill="D9D9D9" w:themeFill="background1" w:themeFillShade="D9"/>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1925" w:type="dxa"/>
            <w:shd w:val="clear" w:color="auto" w:fill="FFFFFF" w:themeFill="background1"/>
          </w:tcPr>
          <w:p w:rsidR="00516A59" w:rsidRDefault="00516A59">
            <w:pPr>
              <w:keepLines/>
              <w:widowControl/>
              <w:jc w:val="center"/>
              <w:rPr>
                <w:rFonts w:ascii="Arial Narrow" w:hAnsi="Arial Narrow"/>
                <w:sz w:val="20"/>
                <w:szCs w:val="20"/>
              </w:rPr>
            </w:pPr>
          </w:p>
          <w:p w:rsidR="00516A59" w:rsidRDefault="00516A59">
            <w:pPr>
              <w:keepLines/>
              <w:widowControl/>
              <w:jc w:val="center"/>
              <w:rPr>
                <w:rFonts w:ascii="Arial Narrow" w:hAnsi="Arial Narrow"/>
                <w:sz w:val="20"/>
                <w:szCs w:val="20"/>
              </w:rPr>
            </w:pPr>
          </w:p>
          <w:p w:rsidR="00516A59" w:rsidRPr="00845E21" w:rsidRDefault="00845E21">
            <w:pPr>
              <w:keepLines/>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p w:rsidR="00516A59" w:rsidRPr="00845E21" w:rsidRDefault="00845E21">
            <w:pPr>
              <w:keepLines/>
              <w:widowControl/>
              <w:jc w:val="center"/>
              <w:rPr>
                <w:rFonts w:ascii="Arial Narrow" w:hAnsi="Arial Narrow"/>
                <w:sz w:val="20"/>
                <w:szCs w:val="20"/>
                <w:highlight w:val="black"/>
              </w:rPr>
            </w:pPr>
            <w:r>
              <w:rPr>
                <w:rFonts w:ascii="Arial Narrow" w:hAnsi="Arial Narrow"/>
                <w:noProof/>
                <w:color w:val="000000"/>
                <w:sz w:val="20"/>
                <w:szCs w:val="20"/>
                <w:highlight w:val="black"/>
              </w:rPr>
              <w:t>'''''''' '''''''''' ''''''''''</w:t>
            </w:r>
          </w:p>
          <w:p w:rsidR="00516A59" w:rsidRDefault="00516A59">
            <w:pPr>
              <w:keepLines/>
              <w:widowControl/>
              <w:shd w:val="clear" w:color="auto" w:fill="D9D9D9" w:themeFill="background1" w:themeFillShade="D9"/>
              <w:jc w:val="center"/>
              <w:rPr>
                <w:rFonts w:ascii="Arial Narrow" w:hAnsi="Arial Narrow"/>
                <w:sz w:val="20"/>
                <w:szCs w:val="20"/>
              </w:rPr>
            </w:pPr>
          </w:p>
          <w:p w:rsidR="00516A59" w:rsidRPr="00845E21" w:rsidRDefault="00845E21">
            <w:pPr>
              <w:keepLines/>
              <w:widowControl/>
              <w:shd w:val="clear" w:color="auto" w:fill="D9D9D9" w:themeFill="background1" w:themeFillShade="D9"/>
              <w:jc w:val="center"/>
              <w:rPr>
                <w:rFonts w:ascii="Arial Narrow" w:hAnsi="Arial Narrow"/>
                <w:sz w:val="20"/>
                <w:szCs w:val="20"/>
                <w:highlight w:val="black"/>
              </w:rPr>
            </w:pPr>
            <w:r>
              <w:rPr>
                <w:rFonts w:ascii="Arial Narrow" w:hAnsi="Arial Narrow"/>
                <w:noProof/>
                <w:color w:val="000000"/>
                <w:sz w:val="20"/>
                <w:szCs w:val="20"/>
                <w:highlight w:val="black"/>
              </w:rPr>
              <w:t>''''''''''''''' ''''''''''''''</w:t>
            </w:r>
          </w:p>
          <w:p w:rsidR="00516A59" w:rsidRPr="00845E21" w:rsidRDefault="00845E21">
            <w:pPr>
              <w:keepLines/>
              <w:widowControl/>
              <w:shd w:val="clear" w:color="auto" w:fill="D9D9D9" w:themeFill="background1" w:themeFillShade="D9"/>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1536" w:type="dxa"/>
            <w:shd w:val="clear" w:color="auto" w:fill="FFFFFF" w:themeFill="background1"/>
          </w:tcPr>
          <w:p w:rsidR="00516A59" w:rsidRDefault="00516A59">
            <w:pPr>
              <w:keepLines/>
              <w:widowControl/>
              <w:jc w:val="center"/>
              <w:rPr>
                <w:rFonts w:ascii="Arial Narrow" w:hAnsi="Arial Narrow"/>
                <w:b/>
                <w:sz w:val="20"/>
                <w:szCs w:val="20"/>
              </w:rPr>
            </w:pPr>
          </w:p>
          <w:p w:rsidR="00516A59" w:rsidRDefault="00516A59">
            <w:pPr>
              <w:keepLines/>
              <w:widowControl/>
              <w:jc w:val="center"/>
              <w:rPr>
                <w:rFonts w:ascii="Arial Narrow" w:hAnsi="Arial Narrow"/>
                <w:b/>
                <w:sz w:val="20"/>
                <w:szCs w:val="20"/>
              </w:rPr>
            </w:pPr>
          </w:p>
          <w:p w:rsidR="00516A59" w:rsidRPr="00845E21" w:rsidRDefault="00845E21">
            <w:pPr>
              <w:keepLines/>
              <w:widowControl/>
              <w:jc w:val="center"/>
              <w:rPr>
                <w:rFonts w:ascii="Arial Narrow" w:hAnsi="Arial Narrow"/>
                <w:b/>
                <w:sz w:val="20"/>
                <w:szCs w:val="20"/>
                <w:highlight w:val="black"/>
              </w:rPr>
            </w:pPr>
            <w:r>
              <w:rPr>
                <w:rFonts w:ascii="Arial Narrow" w:hAnsi="Arial Narrow"/>
                <w:b/>
                <w:noProof/>
                <w:color w:val="000000"/>
                <w:sz w:val="20"/>
                <w:szCs w:val="20"/>
                <w:highlight w:val="black"/>
              </w:rPr>
              <w:t>'''''''' ''''''''''' '''''''''''</w:t>
            </w:r>
          </w:p>
          <w:p w:rsidR="00516A59" w:rsidRDefault="00516A59">
            <w:pPr>
              <w:keepLines/>
              <w:widowControl/>
              <w:jc w:val="center"/>
              <w:rPr>
                <w:rFonts w:ascii="Arial Narrow" w:hAnsi="Arial Narrow"/>
                <w:b/>
                <w:sz w:val="20"/>
                <w:szCs w:val="20"/>
              </w:rPr>
            </w:pPr>
          </w:p>
          <w:p w:rsidR="00516A59" w:rsidRDefault="00516A59">
            <w:pPr>
              <w:keepLines/>
              <w:widowControl/>
              <w:shd w:val="clear" w:color="auto" w:fill="D9D9D9" w:themeFill="background1" w:themeFillShade="D9"/>
              <w:jc w:val="center"/>
              <w:rPr>
                <w:rFonts w:ascii="Arial Narrow" w:hAnsi="Arial Narrow"/>
                <w:b/>
                <w:sz w:val="20"/>
                <w:szCs w:val="20"/>
              </w:rPr>
            </w:pPr>
          </w:p>
          <w:p w:rsidR="00516A59" w:rsidRPr="00845E21" w:rsidRDefault="00845E21">
            <w:pPr>
              <w:keepLines/>
              <w:widowControl/>
              <w:shd w:val="clear" w:color="auto" w:fill="D9D9D9" w:themeFill="background1" w:themeFillShade="D9"/>
              <w:jc w:val="center"/>
              <w:rPr>
                <w:rFonts w:ascii="Arial Narrow" w:hAnsi="Arial Narrow"/>
                <w:b/>
                <w:sz w:val="20"/>
                <w:szCs w:val="20"/>
                <w:highlight w:val="black"/>
              </w:rPr>
            </w:pPr>
            <w:r>
              <w:rPr>
                <w:rFonts w:ascii="Arial Narrow" w:hAnsi="Arial Narrow"/>
                <w:b/>
                <w:noProof/>
                <w:color w:val="000000"/>
                <w:sz w:val="20"/>
                <w:szCs w:val="20"/>
                <w:highlight w:val="black"/>
              </w:rPr>
              <w:t>'''''''' ''''''''''' '''''''''</w:t>
            </w:r>
          </w:p>
        </w:tc>
      </w:tr>
      <w:tr w:rsidR="00516A59">
        <w:tc>
          <w:tcPr>
            <w:tcW w:w="3904" w:type="dxa"/>
            <w:shd w:val="clear" w:color="auto" w:fill="FFFFFF" w:themeFill="background1"/>
          </w:tcPr>
          <w:p w:rsidR="00516A59" w:rsidRDefault="007D3F6A">
            <w:pPr>
              <w:keepLines/>
              <w:widowControl/>
              <w:rPr>
                <w:rFonts w:ascii="Arial Narrow" w:hAnsi="Arial Narrow"/>
                <w:sz w:val="20"/>
                <w:szCs w:val="20"/>
              </w:rPr>
            </w:pPr>
            <w:r>
              <w:rPr>
                <w:rFonts w:ascii="Arial Narrow" w:hAnsi="Arial Narrow"/>
                <w:sz w:val="20"/>
                <w:szCs w:val="20"/>
              </w:rPr>
              <w:lastRenderedPageBreak/>
              <w:t>PD-L1 TPS ≥50%</w:t>
            </w:r>
          </w:p>
          <w:p w:rsidR="00516A59" w:rsidRDefault="007D3F6A">
            <w:pPr>
              <w:keepLines/>
              <w:widowControl/>
              <w:rPr>
                <w:rFonts w:ascii="Arial Narrow" w:hAnsi="Arial Narrow"/>
                <w:sz w:val="20"/>
                <w:szCs w:val="20"/>
              </w:rPr>
            </w:pPr>
            <w:r>
              <w:rPr>
                <w:rFonts w:ascii="Arial Narrow" w:hAnsi="Arial Narrow"/>
                <w:sz w:val="20"/>
                <w:szCs w:val="20"/>
              </w:rPr>
              <w:t>Median duration of follow-up 19.6 months</w:t>
            </w:r>
          </w:p>
          <w:p w:rsidR="00516A59" w:rsidRDefault="007D3F6A">
            <w:pPr>
              <w:keepLines/>
              <w:widowControl/>
              <w:ind w:left="284"/>
              <w:rPr>
                <w:rFonts w:ascii="Arial Narrow" w:hAnsi="Arial Narrow"/>
                <w:sz w:val="20"/>
                <w:szCs w:val="20"/>
              </w:rPr>
            </w:pPr>
            <w:r>
              <w:rPr>
                <w:rFonts w:ascii="Arial Narrow" w:hAnsi="Arial Narrow"/>
                <w:sz w:val="20"/>
                <w:szCs w:val="20"/>
              </w:rPr>
              <w:t>No. of deaths/progressed at cutoff</w:t>
            </w:r>
          </w:p>
          <w:p w:rsidR="00516A59" w:rsidRDefault="007D3F6A">
            <w:pPr>
              <w:keepLines/>
              <w:widowControl/>
              <w:ind w:left="284"/>
              <w:rPr>
                <w:rFonts w:ascii="Arial Narrow" w:hAnsi="Arial Narrow"/>
                <w:sz w:val="20"/>
                <w:szCs w:val="20"/>
              </w:rPr>
            </w:pPr>
            <w:r>
              <w:rPr>
                <w:rFonts w:ascii="Arial Narrow" w:hAnsi="Arial Narrow"/>
                <w:sz w:val="20"/>
                <w:szCs w:val="20"/>
              </w:rPr>
              <w:t>Median PFS in months (95% CIs)</w:t>
            </w:r>
          </w:p>
          <w:p w:rsidR="00516A59" w:rsidRDefault="007D3F6A">
            <w:pPr>
              <w:keepLines/>
              <w:widowControl/>
              <w:shd w:val="clear" w:color="auto" w:fill="D9D9D9" w:themeFill="background1" w:themeFillShade="D9"/>
              <w:rPr>
                <w:rFonts w:ascii="Arial Narrow" w:hAnsi="Arial Narrow"/>
                <w:sz w:val="20"/>
                <w:szCs w:val="20"/>
              </w:rPr>
            </w:pPr>
            <w:r>
              <w:rPr>
                <w:rFonts w:ascii="Arial Narrow" w:hAnsi="Arial Narrow"/>
                <w:sz w:val="20"/>
                <w:szCs w:val="20"/>
              </w:rPr>
              <w:t>Median duration of follow-up 10.5 months</w:t>
            </w:r>
          </w:p>
          <w:p w:rsidR="00516A59" w:rsidRDefault="007D3F6A">
            <w:pPr>
              <w:keepLines/>
              <w:widowControl/>
              <w:shd w:val="clear" w:color="auto" w:fill="D9D9D9" w:themeFill="background1" w:themeFillShade="D9"/>
              <w:ind w:left="284"/>
              <w:rPr>
                <w:rFonts w:ascii="Arial Narrow" w:hAnsi="Arial Narrow"/>
                <w:sz w:val="20"/>
                <w:szCs w:val="20"/>
              </w:rPr>
            </w:pPr>
            <w:r>
              <w:rPr>
                <w:rFonts w:ascii="Arial Narrow" w:hAnsi="Arial Narrow"/>
                <w:sz w:val="20"/>
                <w:szCs w:val="20"/>
              </w:rPr>
              <w:t>No. of deaths/progressed at cutoff</w:t>
            </w:r>
          </w:p>
          <w:p w:rsidR="00516A59" w:rsidRDefault="007D3F6A">
            <w:pPr>
              <w:keepLines/>
              <w:widowControl/>
              <w:shd w:val="clear" w:color="auto" w:fill="D9D9D9" w:themeFill="background1" w:themeFillShade="D9"/>
              <w:rPr>
                <w:rFonts w:ascii="Arial Narrow" w:hAnsi="Arial Narrow"/>
                <w:sz w:val="20"/>
                <w:szCs w:val="20"/>
              </w:rPr>
            </w:pPr>
            <w:r>
              <w:rPr>
                <w:rFonts w:ascii="Arial Narrow" w:hAnsi="Arial Narrow"/>
                <w:sz w:val="20"/>
                <w:szCs w:val="20"/>
              </w:rPr>
              <w:t>Median PFS in months (95% CIs)</w:t>
            </w:r>
          </w:p>
        </w:tc>
        <w:tc>
          <w:tcPr>
            <w:tcW w:w="1702" w:type="dxa"/>
            <w:shd w:val="clear" w:color="auto" w:fill="FFFFFF" w:themeFill="background1"/>
          </w:tcPr>
          <w:p w:rsidR="00516A59" w:rsidRDefault="00516A59">
            <w:pPr>
              <w:keepLines/>
              <w:widowControl/>
              <w:jc w:val="center"/>
              <w:rPr>
                <w:rFonts w:ascii="Arial Narrow" w:hAnsi="Arial Narrow"/>
                <w:sz w:val="20"/>
                <w:szCs w:val="20"/>
              </w:rPr>
            </w:pPr>
          </w:p>
          <w:p w:rsidR="00516A59" w:rsidRDefault="00516A59">
            <w:pPr>
              <w:keepLines/>
              <w:widowControl/>
              <w:jc w:val="center"/>
              <w:rPr>
                <w:rFonts w:ascii="Arial Narrow" w:hAnsi="Arial Narrow"/>
                <w:sz w:val="20"/>
                <w:szCs w:val="20"/>
              </w:rPr>
            </w:pPr>
          </w:p>
          <w:p w:rsidR="00516A59" w:rsidRDefault="007D3F6A">
            <w:pPr>
              <w:keepLines/>
              <w:widowControl/>
              <w:jc w:val="center"/>
              <w:rPr>
                <w:rFonts w:ascii="Arial Narrow" w:hAnsi="Arial Narrow"/>
                <w:sz w:val="20"/>
                <w:szCs w:val="20"/>
              </w:rPr>
            </w:pPr>
            <w:r>
              <w:rPr>
                <w:rFonts w:ascii="Arial Narrow" w:hAnsi="Arial Narrow"/>
                <w:sz w:val="20"/>
                <w:szCs w:val="20"/>
              </w:rPr>
              <w:t>84/132 (63.6)</w:t>
            </w:r>
          </w:p>
          <w:p w:rsidR="00516A59" w:rsidRDefault="007D3F6A">
            <w:pPr>
              <w:keepLines/>
              <w:widowControl/>
              <w:jc w:val="center"/>
              <w:rPr>
                <w:rFonts w:ascii="Arial Narrow" w:hAnsi="Arial Narrow"/>
                <w:sz w:val="20"/>
                <w:szCs w:val="20"/>
              </w:rPr>
            </w:pPr>
            <w:r>
              <w:rPr>
                <w:rFonts w:ascii="Arial Narrow" w:hAnsi="Arial Narrow"/>
                <w:sz w:val="20"/>
                <w:szCs w:val="20"/>
              </w:rPr>
              <w:t>11.1 (9.1, 14.4)</w:t>
            </w:r>
          </w:p>
          <w:p w:rsidR="00516A59" w:rsidRDefault="00516A59">
            <w:pPr>
              <w:keepLines/>
              <w:widowControl/>
              <w:shd w:val="clear" w:color="auto" w:fill="D9D9D9" w:themeFill="background1" w:themeFillShade="D9"/>
              <w:jc w:val="center"/>
              <w:rPr>
                <w:rFonts w:ascii="Arial Narrow" w:hAnsi="Arial Narrow"/>
                <w:sz w:val="20"/>
                <w:szCs w:val="20"/>
              </w:rPr>
            </w:pPr>
          </w:p>
          <w:p w:rsidR="00516A59" w:rsidRDefault="007D3F6A">
            <w:pPr>
              <w:keepLines/>
              <w:widowControl/>
              <w:shd w:val="clear" w:color="auto" w:fill="D9D9D9" w:themeFill="background1" w:themeFillShade="D9"/>
              <w:jc w:val="center"/>
              <w:rPr>
                <w:rFonts w:ascii="Arial Narrow" w:hAnsi="Arial Narrow"/>
                <w:sz w:val="20"/>
                <w:szCs w:val="20"/>
              </w:rPr>
            </w:pPr>
            <w:r>
              <w:rPr>
                <w:rFonts w:ascii="Arial Narrow" w:hAnsi="Arial Narrow"/>
                <w:sz w:val="20"/>
                <w:szCs w:val="20"/>
              </w:rPr>
              <w:t>68/132 (51.5)</w:t>
            </w:r>
          </w:p>
          <w:p w:rsidR="00516A59" w:rsidRDefault="007D3F6A">
            <w:pPr>
              <w:keepLines/>
              <w:widowControl/>
              <w:shd w:val="clear" w:color="auto" w:fill="D9D9D9" w:themeFill="background1" w:themeFillShade="D9"/>
              <w:jc w:val="center"/>
              <w:rPr>
                <w:rFonts w:ascii="Arial Narrow" w:hAnsi="Arial Narrow"/>
                <w:sz w:val="20"/>
                <w:szCs w:val="20"/>
              </w:rPr>
            </w:pPr>
            <w:r>
              <w:rPr>
                <w:rFonts w:ascii="Arial Narrow" w:hAnsi="Arial Narrow"/>
                <w:sz w:val="20"/>
                <w:szCs w:val="20"/>
              </w:rPr>
              <w:t>9.4 (9.0, 13.8)</w:t>
            </w:r>
          </w:p>
        </w:tc>
        <w:tc>
          <w:tcPr>
            <w:tcW w:w="1925" w:type="dxa"/>
            <w:shd w:val="clear" w:color="auto" w:fill="FFFFFF" w:themeFill="background1"/>
          </w:tcPr>
          <w:p w:rsidR="00516A59" w:rsidRDefault="00516A59">
            <w:pPr>
              <w:keepLines/>
              <w:widowControl/>
              <w:jc w:val="center"/>
              <w:rPr>
                <w:rFonts w:ascii="Arial Narrow" w:hAnsi="Arial Narrow"/>
                <w:sz w:val="20"/>
                <w:szCs w:val="20"/>
              </w:rPr>
            </w:pPr>
          </w:p>
          <w:p w:rsidR="00516A59" w:rsidRDefault="00516A59">
            <w:pPr>
              <w:keepLines/>
              <w:widowControl/>
              <w:jc w:val="center"/>
              <w:rPr>
                <w:rFonts w:ascii="Arial Narrow" w:hAnsi="Arial Narrow"/>
                <w:sz w:val="20"/>
                <w:szCs w:val="20"/>
              </w:rPr>
            </w:pPr>
          </w:p>
          <w:p w:rsidR="00516A59" w:rsidRDefault="007D3F6A">
            <w:pPr>
              <w:keepLines/>
              <w:widowControl/>
              <w:jc w:val="center"/>
              <w:rPr>
                <w:rFonts w:ascii="Arial Narrow" w:hAnsi="Arial Narrow"/>
                <w:sz w:val="20"/>
                <w:szCs w:val="20"/>
              </w:rPr>
            </w:pPr>
            <w:r>
              <w:rPr>
                <w:rFonts w:ascii="Arial Narrow" w:hAnsi="Arial Narrow"/>
                <w:sz w:val="20"/>
                <w:szCs w:val="20"/>
              </w:rPr>
              <w:t>63/70 (90.0)</w:t>
            </w:r>
          </w:p>
          <w:p w:rsidR="00516A59" w:rsidRDefault="007D3F6A">
            <w:pPr>
              <w:keepLines/>
              <w:widowControl/>
              <w:jc w:val="center"/>
              <w:rPr>
                <w:rFonts w:ascii="Arial Narrow" w:hAnsi="Arial Narrow"/>
                <w:sz w:val="20"/>
                <w:szCs w:val="20"/>
              </w:rPr>
            </w:pPr>
            <w:r>
              <w:rPr>
                <w:rFonts w:ascii="Arial Narrow" w:hAnsi="Arial Narrow"/>
                <w:sz w:val="20"/>
                <w:szCs w:val="20"/>
              </w:rPr>
              <w:t>4.8 (3.1, 6.2)</w:t>
            </w:r>
          </w:p>
          <w:p w:rsidR="00516A59" w:rsidRDefault="00516A59">
            <w:pPr>
              <w:keepLines/>
              <w:widowControl/>
              <w:shd w:val="clear" w:color="auto" w:fill="D9D9D9" w:themeFill="background1" w:themeFillShade="D9"/>
              <w:jc w:val="center"/>
              <w:rPr>
                <w:rFonts w:ascii="Arial Narrow" w:hAnsi="Arial Narrow"/>
                <w:sz w:val="20"/>
                <w:szCs w:val="20"/>
              </w:rPr>
            </w:pPr>
          </w:p>
          <w:p w:rsidR="00516A59" w:rsidRDefault="007D3F6A">
            <w:pPr>
              <w:keepLines/>
              <w:widowControl/>
              <w:shd w:val="clear" w:color="auto" w:fill="D9D9D9" w:themeFill="background1" w:themeFillShade="D9"/>
              <w:jc w:val="center"/>
              <w:rPr>
                <w:rFonts w:ascii="Arial Narrow" w:hAnsi="Arial Narrow"/>
                <w:sz w:val="20"/>
                <w:szCs w:val="20"/>
              </w:rPr>
            </w:pPr>
            <w:r>
              <w:rPr>
                <w:rFonts w:ascii="Arial Narrow" w:hAnsi="Arial Narrow"/>
                <w:sz w:val="20"/>
                <w:szCs w:val="20"/>
              </w:rPr>
              <w:t>56/70 (80.0)</w:t>
            </w:r>
          </w:p>
          <w:p w:rsidR="00516A59" w:rsidRDefault="007D3F6A">
            <w:pPr>
              <w:keepLines/>
              <w:widowControl/>
              <w:shd w:val="clear" w:color="auto" w:fill="D9D9D9" w:themeFill="background1" w:themeFillShade="D9"/>
              <w:jc w:val="center"/>
              <w:rPr>
                <w:rFonts w:ascii="Arial Narrow" w:hAnsi="Arial Narrow"/>
                <w:sz w:val="20"/>
                <w:szCs w:val="20"/>
              </w:rPr>
            </w:pPr>
            <w:r>
              <w:rPr>
                <w:rFonts w:ascii="Arial Narrow" w:hAnsi="Arial Narrow"/>
                <w:sz w:val="20"/>
                <w:szCs w:val="20"/>
              </w:rPr>
              <w:t>4.7 (3.1, 6.0)</w:t>
            </w:r>
          </w:p>
        </w:tc>
        <w:tc>
          <w:tcPr>
            <w:tcW w:w="1536" w:type="dxa"/>
            <w:shd w:val="clear" w:color="auto" w:fill="auto"/>
          </w:tcPr>
          <w:p w:rsidR="00516A59" w:rsidRDefault="00516A59">
            <w:pPr>
              <w:keepLines/>
              <w:widowControl/>
              <w:jc w:val="center"/>
              <w:rPr>
                <w:rFonts w:ascii="Arial Narrow" w:hAnsi="Arial Narrow"/>
                <w:b/>
                <w:sz w:val="20"/>
                <w:szCs w:val="20"/>
              </w:rPr>
            </w:pPr>
          </w:p>
          <w:p w:rsidR="00516A59" w:rsidRDefault="00516A59">
            <w:pPr>
              <w:keepLines/>
              <w:widowControl/>
              <w:jc w:val="center"/>
              <w:rPr>
                <w:rFonts w:ascii="Arial Narrow" w:hAnsi="Arial Narrow"/>
                <w:b/>
                <w:sz w:val="20"/>
                <w:szCs w:val="20"/>
              </w:rPr>
            </w:pPr>
          </w:p>
          <w:p w:rsidR="00516A59" w:rsidRDefault="007D3F6A">
            <w:pPr>
              <w:keepLines/>
              <w:widowControl/>
              <w:jc w:val="center"/>
              <w:rPr>
                <w:rFonts w:ascii="Arial Narrow" w:hAnsi="Arial Narrow"/>
                <w:b/>
                <w:sz w:val="20"/>
                <w:szCs w:val="20"/>
              </w:rPr>
            </w:pPr>
            <w:r>
              <w:rPr>
                <w:rFonts w:ascii="Arial Narrow" w:hAnsi="Arial Narrow"/>
                <w:b/>
                <w:sz w:val="20"/>
                <w:szCs w:val="20"/>
              </w:rPr>
              <w:t>0.36 (0.26, 0.51)</w:t>
            </w:r>
          </w:p>
          <w:p w:rsidR="00516A59" w:rsidRDefault="00516A59">
            <w:pPr>
              <w:keepLines/>
              <w:widowControl/>
              <w:jc w:val="center"/>
              <w:rPr>
                <w:rFonts w:ascii="Arial Narrow" w:hAnsi="Arial Narrow"/>
                <w:b/>
                <w:sz w:val="20"/>
                <w:szCs w:val="20"/>
              </w:rPr>
            </w:pPr>
          </w:p>
          <w:p w:rsidR="00516A59" w:rsidRDefault="00516A59">
            <w:pPr>
              <w:keepLines/>
              <w:widowControl/>
              <w:shd w:val="clear" w:color="auto" w:fill="D9D9D9" w:themeFill="background1" w:themeFillShade="D9"/>
              <w:jc w:val="center"/>
              <w:rPr>
                <w:rFonts w:ascii="Arial Narrow" w:hAnsi="Arial Narrow"/>
                <w:b/>
                <w:sz w:val="20"/>
                <w:szCs w:val="20"/>
              </w:rPr>
            </w:pPr>
          </w:p>
          <w:p w:rsidR="00516A59" w:rsidRDefault="007D3F6A">
            <w:pPr>
              <w:keepLines/>
              <w:widowControl/>
              <w:shd w:val="clear" w:color="auto" w:fill="D9D9D9" w:themeFill="background1" w:themeFillShade="D9"/>
              <w:jc w:val="center"/>
              <w:rPr>
                <w:rFonts w:ascii="Arial Narrow" w:hAnsi="Arial Narrow"/>
                <w:b/>
                <w:sz w:val="20"/>
                <w:szCs w:val="20"/>
              </w:rPr>
            </w:pPr>
            <w:r>
              <w:rPr>
                <w:rFonts w:ascii="Arial Narrow" w:hAnsi="Arial Narrow"/>
                <w:b/>
                <w:sz w:val="20"/>
                <w:szCs w:val="20"/>
              </w:rPr>
              <w:t>0.36 (0.25, 0.52)</w:t>
            </w:r>
          </w:p>
        </w:tc>
      </w:tr>
    </w:tbl>
    <w:p w:rsidR="00516A59" w:rsidRDefault="007D3F6A">
      <w:pPr>
        <w:pStyle w:val="TableFooter"/>
        <w:keepNext/>
        <w:keepLines/>
        <w:widowControl/>
      </w:pPr>
      <w:r>
        <w:rPr>
          <w:highlight w:val="lightGray"/>
        </w:rPr>
        <w:t>Shaded data previously considered by PBAC</w:t>
      </w:r>
    </w:p>
    <w:p w:rsidR="00516A59" w:rsidRDefault="007D3F6A">
      <w:pPr>
        <w:keepLines/>
        <w:widowControl/>
        <w:tabs>
          <w:tab w:val="left" w:pos="0"/>
        </w:tabs>
        <w:rPr>
          <w:rFonts w:ascii="Arial Narrow" w:hAnsi="Arial Narrow"/>
          <w:sz w:val="18"/>
          <w:szCs w:val="20"/>
        </w:rPr>
      </w:pPr>
      <w:r>
        <w:rPr>
          <w:rFonts w:ascii="Arial Narrow" w:hAnsi="Arial Narrow"/>
          <w:sz w:val="18"/>
          <w:szCs w:val="20"/>
          <w:vertAlign w:val="superscript"/>
        </w:rPr>
        <w:t xml:space="preserve">a </w:t>
      </w:r>
      <w:r>
        <w:rPr>
          <w:rFonts w:ascii="Arial Narrow" w:hAnsi="Arial Narrow"/>
          <w:sz w:val="18"/>
          <w:szCs w:val="20"/>
        </w:rPr>
        <w:t>Based on Cox regression model with treatment as a covariate stratified by PD-L1 status (≥1% vs. &lt;1%), platinum chemotherapy (cisplatin vs. carboplatin) and smoking status (never vs. former/current).</w:t>
      </w:r>
    </w:p>
    <w:p w:rsidR="00516A59" w:rsidRDefault="007D3F6A">
      <w:pPr>
        <w:keepLines/>
        <w:widowControl/>
        <w:tabs>
          <w:tab w:val="left" w:pos="0"/>
        </w:tabs>
        <w:rPr>
          <w:rFonts w:ascii="Arial Narrow" w:hAnsi="Arial Narrow"/>
          <w:sz w:val="18"/>
          <w:szCs w:val="20"/>
        </w:rPr>
      </w:pPr>
      <w:r>
        <w:rPr>
          <w:rFonts w:ascii="Arial Narrow" w:hAnsi="Arial Narrow"/>
          <w:sz w:val="18"/>
          <w:szCs w:val="20"/>
          <w:vertAlign w:val="superscript"/>
        </w:rPr>
        <w:t>b</w:t>
      </w:r>
      <w:r>
        <w:rPr>
          <w:rFonts w:ascii="Arial Narrow" w:hAnsi="Arial Narrow"/>
          <w:sz w:val="18"/>
          <w:szCs w:val="20"/>
        </w:rPr>
        <w:t xml:space="preserve">The number of events per number at risk (n/N) presented in Table 2.6.2, p72 of the resubmission (108/206 (52.4%)) appeared to be a “copy and paste” error from the earlier duration of </w:t>
      </w:r>
      <w:r>
        <w:rPr>
          <w:rFonts w:ascii="Arial Narrow" w:hAnsi="Arial Narrow"/>
          <w:sz w:val="18"/>
          <w:szCs w:val="18"/>
        </w:rPr>
        <w:t>follow-up (10.5 months) and has been replaced by updated data for the September 2018 data cutoff (18.7 months duration of follow-up: 144/206 (69.9%)) from Appendix 7 accompanying the resubmission, and corrected in the PSCR and Pre-PBAC responses.</w:t>
      </w:r>
    </w:p>
    <w:p w:rsidR="00516A59" w:rsidRDefault="007D3F6A">
      <w:pPr>
        <w:keepLines/>
        <w:widowControl/>
        <w:rPr>
          <w:rFonts w:ascii="Arial Narrow" w:hAnsi="Arial Narrow"/>
          <w:sz w:val="18"/>
          <w:szCs w:val="20"/>
        </w:rPr>
      </w:pPr>
      <w:r>
        <w:rPr>
          <w:rFonts w:ascii="Arial Narrow" w:hAnsi="Arial Narrow"/>
          <w:sz w:val="18"/>
          <w:szCs w:val="18"/>
        </w:rPr>
        <w:t>Pembro Combo = pembrolizumab+platinum+pemetrexed;</w:t>
      </w:r>
      <w:r>
        <w:rPr>
          <w:rFonts w:ascii="Arial Narrow" w:hAnsi="Arial Narrow"/>
          <w:sz w:val="18"/>
          <w:szCs w:val="20"/>
        </w:rPr>
        <w:t xml:space="preserve"> OS = overall survival; PFS = progression-free survival; </w:t>
      </w:r>
      <w:r>
        <w:rPr>
          <w:rFonts w:ascii="Arial Narrow" w:hAnsi="Arial Narrow"/>
          <w:b/>
          <w:sz w:val="18"/>
          <w:szCs w:val="20"/>
        </w:rPr>
        <w:t>bold</w:t>
      </w:r>
      <w:r>
        <w:rPr>
          <w:rFonts w:ascii="Arial Narrow" w:hAnsi="Arial Narrow"/>
          <w:sz w:val="18"/>
          <w:szCs w:val="20"/>
        </w:rPr>
        <w:t xml:space="preserve"> = statistically significant</w:t>
      </w:r>
    </w:p>
    <w:p w:rsidR="00516A59" w:rsidRDefault="007D3F6A">
      <w:pPr>
        <w:keepLines/>
        <w:widowControl/>
      </w:pPr>
      <w:r>
        <w:rPr>
          <w:rFonts w:ascii="Arial Narrow" w:hAnsi="Arial Narrow"/>
          <w:sz w:val="18"/>
          <w:szCs w:val="20"/>
        </w:rPr>
        <w:t>Source: Tables 2.6.2-3, pp72-74 of the resubmission and Table 6, p11 of Ratified 6.06 CiC pembrolizumab MINS 11-2018 for the data presented in the previous submission.</w:t>
      </w:r>
    </w:p>
    <w:p w:rsidR="00516A59" w:rsidRDefault="00516A59">
      <w:pPr>
        <w:keepLines/>
        <w:widowControl/>
      </w:pPr>
    </w:p>
    <w:p w:rsidR="00516A59" w:rsidRDefault="00516A59">
      <w:pPr>
        <w:keepLines/>
        <w:widowControl/>
      </w:pPr>
    </w:p>
    <w:p w:rsidR="00C30287" w:rsidRDefault="00C30287" w:rsidP="00C30287">
      <w:pPr>
        <w:pStyle w:val="Caption"/>
      </w:pPr>
      <w:r>
        <w:t xml:space="preserve">Figure </w:t>
      </w:r>
      <w:r w:rsidR="007F5824">
        <w:rPr>
          <w:noProof/>
        </w:rPr>
        <w:t>1</w:t>
      </w:r>
      <w:r w:rsidRPr="00CB2718">
        <w:t>: Kaplan-Meier curve for overall survival (left) and progression-free survival (right) in KN189 ITT population (updated, median duration of follow-up 18.7 months)</w:t>
      </w:r>
    </w:p>
    <w:p w:rsidR="00C30287" w:rsidRDefault="007D3F6A" w:rsidP="00C30287">
      <w:pPr>
        <w:keepNext/>
        <w:keepLines/>
        <w:widowControl/>
      </w:pPr>
      <w:r>
        <w:rPr>
          <w:noProof/>
          <w:snapToGrid/>
          <w:lang w:eastAsia="en-AU"/>
        </w:rPr>
        <w:drawing>
          <wp:inline distT="0" distB="0" distL="0" distR="0" wp14:anchorId="0CB7F9BD" wp14:editId="08F489C0">
            <wp:extent cx="2836984" cy="1974215"/>
            <wp:effectExtent l="0" t="0" r="1905" b="6985"/>
            <wp:docPr id="7176" name="Picture 7176" title="Figure 1: Kaplan-Meier curve for overall survival (left) and progression-free survival (right) in KN189 ITT population (updated, median duration of follow-up 18.7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6066" cy="1980535"/>
                    </a:xfrm>
                    <a:prstGeom prst="rect">
                      <a:avLst/>
                    </a:prstGeom>
                    <a:noFill/>
                  </pic:spPr>
                </pic:pic>
              </a:graphicData>
            </a:graphic>
          </wp:inline>
        </w:drawing>
      </w:r>
      <w:r w:rsidR="00C30287">
        <w:rPr>
          <w:noProof/>
          <w:snapToGrid/>
          <w:lang w:eastAsia="en-AU"/>
        </w:rPr>
        <w:drawing>
          <wp:inline distT="0" distB="0" distL="0" distR="0" wp14:anchorId="1784B811" wp14:editId="599619C0">
            <wp:extent cx="2778369" cy="1919971"/>
            <wp:effectExtent l="0" t="0" r="3175" b="4445"/>
            <wp:docPr id="3" name="Picture 3" title="Figure 1: Kaplan-Meier curve for overall survival (left) and progression-free survival (right) in KN189 ITT population (updated, median duration of follow-up 18.7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4542" cy="1944968"/>
                    </a:xfrm>
                    <a:prstGeom prst="rect">
                      <a:avLst/>
                    </a:prstGeom>
                    <a:noFill/>
                  </pic:spPr>
                </pic:pic>
              </a:graphicData>
            </a:graphic>
          </wp:inline>
        </w:drawing>
      </w:r>
    </w:p>
    <w:p w:rsidR="00C30287" w:rsidRDefault="00C30287" w:rsidP="00C30287">
      <w:pPr>
        <w:keepNext/>
        <w:keepLines/>
        <w:widowControl/>
      </w:pPr>
    </w:p>
    <w:p w:rsidR="00516A59" w:rsidRDefault="00516A59">
      <w:pPr>
        <w:keepLines/>
        <w:widowControl/>
        <w:rPr>
          <w:snapToGrid/>
          <w:lang w:eastAsia="en-AU"/>
        </w:rPr>
      </w:pPr>
    </w:p>
    <w:p w:rsidR="00516A59" w:rsidRDefault="007D3F6A">
      <w:pPr>
        <w:pStyle w:val="TableFooter"/>
        <w:keepLines/>
        <w:widowControl/>
        <w:rPr>
          <w:snapToGrid/>
          <w:lang w:eastAsia="en-AU"/>
        </w:rPr>
      </w:pPr>
      <w:r>
        <w:rPr>
          <w:snapToGrid/>
          <w:lang w:eastAsia="en-AU"/>
        </w:rPr>
        <w:t xml:space="preserve">Source: Figures 2.5.2-3, pp57-8 of the resubmission. </w:t>
      </w:r>
    </w:p>
    <w:p w:rsidR="00516A59" w:rsidRDefault="00516A59">
      <w:pPr>
        <w:keepLines/>
        <w:widowControl/>
        <w:rPr>
          <w:snapToGrid/>
          <w:lang w:eastAsia="en-AU"/>
        </w:rPr>
      </w:pPr>
    </w:p>
    <w:p w:rsidR="00516A59" w:rsidRDefault="00516A59">
      <w:pPr>
        <w:keepLines/>
        <w:widowControl/>
        <w:jc w:val="left"/>
        <w:rPr>
          <w:rFonts w:ascii="Arial Narrow" w:hAnsi="Arial Narrow"/>
          <w:b/>
          <w:bCs/>
          <w:sz w:val="20"/>
          <w:szCs w:val="18"/>
        </w:rPr>
      </w:pPr>
      <w:bookmarkStart w:id="16" w:name="_Ref5797528"/>
    </w:p>
    <w:p w:rsidR="00516A59" w:rsidRDefault="007D3F6A">
      <w:pPr>
        <w:widowControl/>
        <w:jc w:val="left"/>
        <w:rPr>
          <w:rFonts w:ascii="Arial Narrow" w:hAnsi="Arial Narrow"/>
          <w:b/>
          <w:bCs/>
          <w:sz w:val="20"/>
          <w:szCs w:val="18"/>
        </w:rPr>
      </w:pPr>
      <w:bookmarkStart w:id="17" w:name="_Ref14939996"/>
      <w:r>
        <w:br w:type="page"/>
      </w:r>
    </w:p>
    <w:p w:rsidR="007F5824" w:rsidRDefault="007F5824" w:rsidP="007F5824">
      <w:pPr>
        <w:pStyle w:val="Caption"/>
        <w:rPr>
          <w:snapToGrid/>
          <w:lang w:eastAsia="en-AU"/>
        </w:rPr>
      </w:pPr>
      <w:r>
        <w:lastRenderedPageBreak/>
        <w:t xml:space="preserve">Figure </w:t>
      </w:r>
      <w:r>
        <w:rPr>
          <w:noProof/>
        </w:rPr>
        <w:t>2</w:t>
      </w:r>
      <w:r w:rsidRPr="002C4199">
        <w:t xml:space="preserve">: </w:t>
      </w:r>
      <w:r w:rsidR="00216BCE">
        <w:rPr>
          <w:noProof/>
          <w:color w:val="000000"/>
          <w:highlight w:val="black"/>
        </w:rPr>
        <w:t>'''''''''''''''''''''''''''''' ''''''''''' '''''' '''''''''''''' '''''''''''''''''''' ''''''''''''' ''''''''''' ''''''''' '''''''''''' ''''''''''''''''''''''''' ''''''''''''''''''''''' '''''''''''''' '''''''''''''''''''' '''''' ''''''''''''''''''' '''''''''</w:t>
      </w:r>
    </w:p>
    <w:bookmarkEnd w:id="16"/>
    <w:bookmarkEnd w:id="17"/>
    <w:p w:rsidR="009E0EFA" w:rsidRDefault="00845E21" w:rsidP="009E0EFA">
      <w:pPr>
        <w:keepNext/>
        <w:keepLines/>
        <w:widowControl/>
      </w:pPr>
      <w:r>
        <w:rPr>
          <w:noProof/>
          <w:snapToGrid/>
          <w:lang w:eastAsia="en-AU"/>
        </w:rPr>
        <w:drawing>
          <wp:inline distT="0" distB="0" distL="0" distR="0">
            <wp:extent cx="3510280" cy="2525395"/>
            <wp:effectExtent l="0" t="0" r="0" b="8255"/>
            <wp:docPr id="4" name="Picture 4" title="Figure 2: ''''''''''''''''''''''''''' '''''''''' '''''' '''''''''''''' '''''''''''''''''' '''''''''''''' ''''''''''' '''''''' ''''''''''''' '''''''''''''''''''''' ''''''''''''''''''''' ''''''''''''''' '''''''''''''''''' ''''' '''''''''''''''''''' ''''''''' ''''''''''''''''''"/>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a:extLst>
                        <a:ext uri="{28A0092B-C50C-407E-A947-70E740481C1C}">
                          <a14:useLocalDpi xmlns:a14="http://schemas.microsoft.com/office/drawing/2010/main" val="0"/>
                        </a:ext>
                      </a:extLst>
                    </a:blip>
                    <a:stretch>
                      <a:fillRect/>
                    </a:stretch>
                  </pic:blipFill>
                  <pic:spPr>
                    <a:xfrm>
                      <a:off x="0" y="0"/>
                      <a:ext cx="3510280" cy="2525395"/>
                    </a:xfrm>
                    <a:prstGeom prst="rect">
                      <a:avLst/>
                    </a:prstGeom>
                  </pic:spPr>
                </pic:pic>
              </a:graphicData>
            </a:graphic>
          </wp:inline>
        </w:drawing>
      </w:r>
    </w:p>
    <w:p w:rsidR="00516A59" w:rsidRDefault="007D3F6A">
      <w:pPr>
        <w:keepLines/>
        <w:widowControl/>
        <w:rPr>
          <w:rFonts w:ascii="Arial Narrow" w:hAnsi="Arial Narrow"/>
          <w:sz w:val="18"/>
        </w:rPr>
      </w:pPr>
      <w:r>
        <w:rPr>
          <w:rFonts w:ascii="Arial Narrow" w:hAnsi="Arial Narrow"/>
          <w:snapToGrid/>
          <w:sz w:val="18"/>
          <w:lang w:eastAsia="en-AU"/>
        </w:rPr>
        <w:t xml:space="preserve">Source: </w:t>
      </w:r>
      <w:r>
        <w:rPr>
          <w:rFonts w:ascii="Arial Narrow" w:hAnsi="Arial Narrow"/>
          <w:sz w:val="18"/>
        </w:rPr>
        <w:t>Appendix 17 to the resubmission. The corresponding PFS curves for this subgroup were not presented in the resubmission.</w:t>
      </w:r>
    </w:p>
    <w:p w:rsidR="00516A59" w:rsidRDefault="00516A59">
      <w:pPr>
        <w:keepLines/>
        <w:widowControl/>
        <w:rPr>
          <w:snapToGrid/>
          <w:lang w:eastAsia="en-AU"/>
        </w:rPr>
      </w:pPr>
    </w:p>
    <w:p w:rsidR="00516A59" w:rsidRDefault="007D3F6A">
      <w:pPr>
        <w:pStyle w:val="ListParagraph"/>
        <w:keepLines/>
        <w:widowControl/>
        <w:spacing w:after="120"/>
      </w:pPr>
      <w:r>
        <w:rPr>
          <w:snapToGrid/>
          <w:lang w:val="en-US" w:eastAsia="en-AU"/>
        </w:rPr>
        <w:t xml:space="preserve">A statistically significant improvement in OS and PFS was reported for the ITT, and PD-L1 TPS &lt;50% and ≥50% populations treated with pembrolizumab+platinum+pemetrexed compared with platinum+pemetrexed </w:t>
      </w:r>
      <w:r>
        <w:t>followed by anti PD-(1)L therapy</w:t>
      </w:r>
      <w:r>
        <w:rPr>
          <w:snapToGrid/>
          <w:lang w:val="en-US" w:eastAsia="en-AU"/>
        </w:rPr>
        <w:t>. This was consistent with the results presented in the previous submission.</w:t>
      </w:r>
    </w:p>
    <w:p w:rsidR="00516A59" w:rsidRDefault="007D3F6A">
      <w:pPr>
        <w:pStyle w:val="ListParagraph"/>
        <w:keepLines/>
        <w:widowControl/>
        <w:spacing w:after="120"/>
      </w:pPr>
      <w:r>
        <w:t>The PD-L1 TPS &lt;50% subgroup analysis in KN189 formed the key evidence to support the clinical claim regarding pembrolizumab+platinum+pemetrexed vs. platinum+pemetrexed followed by anti PD-(1)L therapy. Pembrolizumab+platinum+pemetrexed was associated with a longer median OS duration (</w:t>
      </w:r>
      <w:r w:rsidR="00845E21">
        <w:rPr>
          <w:noProof/>
          <w:color w:val="000000"/>
          <w:highlight w:val="black"/>
        </w:rPr>
        <w:t>'''''''''</w:t>
      </w:r>
      <w:r>
        <w:t xml:space="preserve"> months vs. </w:t>
      </w:r>
      <w:r w:rsidR="00845E21">
        <w:rPr>
          <w:noProof/>
          <w:color w:val="000000"/>
          <w:highlight w:val="black"/>
        </w:rPr>
        <w:t>''''''''</w:t>
      </w:r>
      <w:r>
        <w:t xml:space="preserve"> months; difference </w:t>
      </w:r>
      <w:r w:rsidR="00845E21">
        <w:rPr>
          <w:noProof/>
          <w:color w:val="000000"/>
          <w:highlight w:val="black"/>
        </w:rPr>
        <w:t>''''''</w:t>
      </w:r>
      <w:r>
        <w:t xml:space="preserve"> months). The difference in median PFS also favoured pembrolizumab+platinum+pemetrexed.</w:t>
      </w:r>
    </w:p>
    <w:p w:rsidR="00516A59" w:rsidRDefault="007D3F6A">
      <w:pPr>
        <w:pStyle w:val="ListParagraph"/>
        <w:keepLines/>
        <w:widowControl/>
        <w:spacing w:after="120"/>
      </w:pPr>
      <w:r>
        <w:t>No updated quality of life (QoL) data from KN189 were presented in the resubmission. Overall, patients treated with pembrolizumab+platinum+pemetrexed reported statistically significantly improved quality of life at Week 21, measured as a least square mean for EORTC QLQ-C30 and EQ-5D VAS, but whether the magnitude of the differences is meaningful is unknown.</w:t>
      </w:r>
    </w:p>
    <w:p w:rsidR="00216BCE" w:rsidRPr="00216BCE" w:rsidRDefault="007D3F6A" w:rsidP="00216BCE">
      <w:pPr>
        <w:keepLines/>
        <w:widowControl/>
        <w:ind w:left="720" w:hanging="720"/>
        <w:rPr>
          <w:b/>
          <w:i/>
          <w:u w:val="single"/>
        </w:rPr>
      </w:pPr>
      <w:r w:rsidRPr="00216BCE">
        <w:rPr>
          <w:b/>
          <w:i/>
          <w:u w:val="single"/>
        </w:rPr>
        <w:t>PD-L1 TPS ≥50% patient subgroup: pembroliz</w:t>
      </w:r>
      <w:r w:rsidR="00216BCE" w:rsidRPr="00216BCE">
        <w:rPr>
          <w:b/>
          <w:i/>
          <w:u w:val="single"/>
        </w:rPr>
        <w:t>umab+platinum+pemetrexed versus</w:t>
      </w:r>
    </w:p>
    <w:p w:rsidR="00516A59" w:rsidRPr="00216BCE" w:rsidRDefault="007D3F6A" w:rsidP="00216BCE">
      <w:pPr>
        <w:keepLines/>
        <w:widowControl/>
        <w:ind w:left="720" w:hanging="720"/>
        <w:rPr>
          <w:b/>
          <w:i/>
          <w:u w:val="single"/>
        </w:rPr>
      </w:pPr>
      <w:r w:rsidRPr="00216BCE">
        <w:rPr>
          <w:b/>
          <w:i/>
          <w:u w:val="single"/>
        </w:rPr>
        <w:t>pembrolizumab monotherapy: indirect evidence</w:t>
      </w:r>
    </w:p>
    <w:p w:rsidR="00516A59" w:rsidRDefault="00516A59">
      <w:pPr>
        <w:keepLines/>
        <w:widowControl/>
      </w:pPr>
    </w:p>
    <w:p w:rsidR="00516A59" w:rsidRDefault="007D3F6A">
      <w:pPr>
        <w:pStyle w:val="ListParagraph"/>
        <w:keepLines/>
        <w:widowControl/>
      </w:pPr>
      <w:r>
        <w:t xml:space="preserve">The results of the indirect comparison, in terms of OS and PFS, for pembrolizumab+platinum+pemetrexed versus pembrolizumab monotherapy are summarised in Table 8 and Table 9, respectively. </w:t>
      </w:r>
    </w:p>
    <w:p w:rsidR="0093515B" w:rsidRDefault="0093515B" w:rsidP="0093515B">
      <w:pPr>
        <w:pStyle w:val="Caption"/>
        <w:keepNext/>
      </w:pPr>
      <w:r>
        <w:lastRenderedPageBreak/>
        <w:t xml:space="preserve">Table </w:t>
      </w:r>
      <w:r>
        <w:rPr>
          <w:noProof/>
        </w:rPr>
        <w:t>8</w:t>
      </w:r>
      <w:r w:rsidRPr="00E3290E">
        <w:t>: Indirect treatment comparison overall survival (KN189 vs. KN042+KN024: TPS ≥ 50%, weighted)</w:t>
      </w:r>
    </w:p>
    <w:tbl>
      <w:tblPr>
        <w:tblStyle w:val="ASDTable1"/>
        <w:tblW w:w="5000" w:type="pct"/>
        <w:tblLayout w:type="fixed"/>
        <w:tblLook w:val="0000" w:firstRow="0" w:lastRow="0" w:firstColumn="0" w:lastColumn="0" w:noHBand="0" w:noVBand="0"/>
        <w:tblCaption w:val="Table 8: Indirect treatment comparison overall survival (KN189 vs. KN042+KN024: TPS ≥ 50%, weighted)"/>
      </w:tblPr>
      <w:tblGrid>
        <w:gridCol w:w="836"/>
        <w:gridCol w:w="1002"/>
        <w:gridCol w:w="1238"/>
        <w:gridCol w:w="1120"/>
        <w:gridCol w:w="1260"/>
        <w:gridCol w:w="980"/>
        <w:gridCol w:w="1398"/>
        <w:gridCol w:w="1183"/>
      </w:tblGrid>
      <w:tr w:rsidR="00516A59">
        <w:tc>
          <w:tcPr>
            <w:tcW w:w="836" w:type="dxa"/>
          </w:tcPr>
          <w:p w:rsidR="00516A59" w:rsidRDefault="007D3F6A">
            <w:pPr>
              <w:pStyle w:val="Tabletext"/>
              <w:keepNext/>
              <w:keepLines/>
              <w:rPr>
                <w:szCs w:val="20"/>
              </w:rPr>
            </w:pPr>
            <w:r>
              <w:rPr>
                <w:b/>
                <w:szCs w:val="20"/>
              </w:rPr>
              <w:t>Study ID</w:t>
            </w:r>
          </w:p>
        </w:tc>
        <w:tc>
          <w:tcPr>
            <w:tcW w:w="2240" w:type="dxa"/>
            <w:gridSpan w:val="2"/>
            <w:vAlign w:val="center"/>
          </w:tcPr>
          <w:p w:rsidR="00516A59" w:rsidRDefault="007D3F6A">
            <w:pPr>
              <w:pStyle w:val="Tabletext"/>
              <w:keepNext/>
              <w:keepLines/>
              <w:jc w:val="center"/>
              <w:rPr>
                <w:szCs w:val="20"/>
              </w:rPr>
            </w:pPr>
            <w:r>
              <w:rPr>
                <w:b/>
                <w:szCs w:val="20"/>
              </w:rPr>
              <w:t>Pembro Combo</w:t>
            </w:r>
            <w:r>
              <w:rPr>
                <w:b/>
                <w:szCs w:val="20"/>
                <w:vertAlign w:val="superscript"/>
              </w:rPr>
              <w:t>a</w:t>
            </w:r>
          </w:p>
        </w:tc>
        <w:tc>
          <w:tcPr>
            <w:tcW w:w="2380" w:type="dxa"/>
            <w:gridSpan w:val="2"/>
            <w:vAlign w:val="center"/>
          </w:tcPr>
          <w:p w:rsidR="00516A59" w:rsidRDefault="007D3F6A">
            <w:pPr>
              <w:pStyle w:val="Tabletext"/>
              <w:keepNext/>
              <w:keepLines/>
              <w:jc w:val="center"/>
              <w:rPr>
                <w:szCs w:val="20"/>
              </w:rPr>
            </w:pPr>
            <w:r>
              <w:rPr>
                <w:b/>
                <w:snapToGrid w:val="0"/>
                <w:szCs w:val="20"/>
              </w:rPr>
              <w:t>Chemotherapy</w:t>
            </w:r>
            <w:r>
              <w:rPr>
                <w:b/>
                <w:snapToGrid w:val="0"/>
                <w:szCs w:val="20"/>
                <w:vertAlign w:val="superscript"/>
              </w:rPr>
              <w:t>a</w:t>
            </w:r>
          </w:p>
        </w:tc>
        <w:tc>
          <w:tcPr>
            <w:tcW w:w="2378" w:type="dxa"/>
            <w:gridSpan w:val="2"/>
            <w:vAlign w:val="center"/>
          </w:tcPr>
          <w:p w:rsidR="00516A59" w:rsidRDefault="007D3F6A">
            <w:pPr>
              <w:pStyle w:val="Tabletext"/>
              <w:keepNext/>
              <w:keepLines/>
              <w:jc w:val="center"/>
              <w:rPr>
                <w:szCs w:val="20"/>
              </w:rPr>
            </w:pPr>
            <w:r>
              <w:rPr>
                <w:b/>
                <w:snapToGrid w:val="0"/>
                <w:szCs w:val="20"/>
              </w:rPr>
              <w:t>Pembro Mono</w:t>
            </w:r>
            <w:r>
              <w:rPr>
                <w:snapToGrid w:val="0"/>
                <w:vertAlign w:val="superscript"/>
              </w:rPr>
              <w:t>a</w:t>
            </w:r>
          </w:p>
        </w:tc>
        <w:tc>
          <w:tcPr>
            <w:tcW w:w="1183" w:type="dxa"/>
            <w:vAlign w:val="center"/>
          </w:tcPr>
          <w:p w:rsidR="00516A59" w:rsidRDefault="007D3F6A">
            <w:pPr>
              <w:pStyle w:val="Tabletext"/>
              <w:keepNext/>
              <w:keepLines/>
              <w:jc w:val="center"/>
              <w:rPr>
                <w:szCs w:val="20"/>
              </w:rPr>
            </w:pPr>
            <w:r>
              <w:rPr>
                <w:b/>
                <w:szCs w:val="20"/>
              </w:rPr>
              <w:t>Weighted</w:t>
            </w:r>
            <w:r>
              <w:rPr>
                <w:b/>
                <w:szCs w:val="20"/>
                <w:vertAlign w:val="superscript"/>
              </w:rPr>
              <w:t>e</w:t>
            </w:r>
          </w:p>
        </w:tc>
      </w:tr>
      <w:tr w:rsidR="00516A59">
        <w:tc>
          <w:tcPr>
            <w:tcW w:w="836" w:type="dxa"/>
          </w:tcPr>
          <w:p w:rsidR="00516A59" w:rsidRDefault="00516A59">
            <w:pPr>
              <w:pStyle w:val="Tabletext"/>
              <w:keepNext/>
              <w:keepLines/>
              <w:rPr>
                <w:szCs w:val="20"/>
              </w:rPr>
            </w:pPr>
          </w:p>
        </w:tc>
        <w:tc>
          <w:tcPr>
            <w:tcW w:w="1002" w:type="dxa"/>
            <w:vAlign w:val="center"/>
          </w:tcPr>
          <w:p w:rsidR="00516A59" w:rsidRDefault="007D3F6A">
            <w:pPr>
              <w:pStyle w:val="Tabletext"/>
              <w:keepNext/>
              <w:keepLines/>
              <w:jc w:val="center"/>
              <w:rPr>
                <w:szCs w:val="20"/>
              </w:rPr>
            </w:pPr>
            <w:r>
              <w:rPr>
                <w:szCs w:val="20"/>
              </w:rPr>
              <w:t>Patients with Event n/N</w:t>
            </w:r>
            <w:r>
              <w:rPr>
                <w:szCs w:val="20"/>
                <w:vertAlign w:val="superscript"/>
              </w:rPr>
              <w:t>b</w:t>
            </w:r>
            <w:r>
              <w:rPr>
                <w:szCs w:val="20"/>
              </w:rPr>
              <w:t xml:space="preserve"> (%)</w:t>
            </w:r>
          </w:p>
        </w:tc>
        <w:tc>
          <w:tcPr>
            <w:tcW w:w="1238" w:type="dxa"/>
            <w:vAlign w:val="center"/>
          </w:tcPr>
          <w:p w:rsidR="00516A59" w:rsidRDefault="007D3F6A">
            <w:pPr>
              <w:pStyle w:val="Tabletext"/>
              <w:keepNext/>
              <w:keepLines/>
              <w:jc w:val="center"/>
              <w:rPr>
                <w:szCs w:val="20"/>
              </w:rPr>
            </w:pPr>
            <w:r>
              <w:rPr>
                <w:szCs w:val="20"/>
              </w:rPr>
              <w:t>Median OS</w:t>
            </w:r>
            <w:r>
              <w:rPr>
                <w:szCs w:val="20"/>
                <w:vertAlign w:val="superscript"/>
              </w:rPr>
              <w:t>c</w:t>
            </w:r>
          </w:p>
          <w:p w:rsidR="00516A59" w:rsidRDefault="007D3F6A">
            <w:pPr>
              <w:pStyle w:val="Tabletext"/>
              <w:keepNext/>
              <w:keepLines/>
              <w:jc w:val="center"/>
              <w:rPr>
                <w:szCs w:val="20"/>
              </w:rPr>
            </w:pPr>
            <w:r>
              <w:rPr>
                <w:szCs w:val="20"/>
              </w:rPr>
              <w:t xml:space="preserve">Months </w:t>
            </w:r>
            <w:r>
              <w:rPr>
                <w:szCs w:val="20"/>
              </w:rPr>
              <w:br/>
              <w:t>[95 % CI]</w:t>
            </w:r>
          </w:p>
        </w:tc>
        <w:tc>
          <w:tcPr>
            <w:tcW w:w="1120" w:type="dxa"/>
            <w:vAlign w:val="center"/>
          </w:tcPr>
          <w:p w:rsidR="00516A59" w:rsidRDefault="007D3F6A">
            <w:pPr>
              <w:pStyle w:val="Tabletext"/>
              <w:keepNext/>
              <w:keepLines/>
              <w:jc w:val="center"/>
              <w:rPr>
                <w:szCs w:val="20"/>
              </w:rPr>
            </w:pPr>
            <w:r>
              <w:rPr>
                <w:szCs w:val="20"/>
              </w:rPr>
              <w:t>Patients with Event n/N</w:t>
            </w:r>
            <w:r>
              <w:rPr>
                <w:szCs w:val="20"/>
                <w:vertAlign w:val="superscript"/>
              </w:rPr>
              <w:t>b</w:t>
            </w:r>
            <w:r>
              <w:rPr>
                <w:szCs w:val="20"/>
              </w:rPr>
              <w:t xml:space="preserve"> (%)</w:t>
            </w:r>
          </w:p>
        </w:tc>
        <w:tc>
          <w:tcPr>
            <w:tcW w:w="1260" w:type="dxa"/>
            <w:vAlign w:val="center"/>
          </w:tcPr>
          <w:p w:rsidR="00516A59" w:rsidRDefault="007D3F6A">
            <w:pPr>
              <w:pStyle w:val="Tabletext"/>
              <w:keepNext/>
              <w:keepLines/>
              <w:jc w:val="center"/>
              <w:rPr>
                <w:szCs w:val="20"/>
              </w:rPr>
            </w:pPr>
            <w:r>
              <w:rPr>
                <w:szCs w:val="20"/>
              </w:rPr>
              <w:t>Median OS</w:t>
            </w:r>
            <w:r>
              <w:rPr>
                <w:szCs w:val="20"/>
                <w:vertAlign w:val="superscript"/>
              </w:rPr>
              <w:t>c</w:t>
            </w:r>
            <w:r>
              <w:rPr>
                <w:szCs w:val="20"/>
              </w:rPr>
              <w:t xml:space="preserve"> Months </w:t>
            </w:r>
            <w:r>
              <w:rPr>
                <w:szCs w:val="20"/>
              </w:rPr>
              <w:br/>
              <w:t>[95 % CI]</w:t>
            </w:r>
          </w:p>
        </w:tc>
        <w:tc>
          <w:tcPr>
            <w:tcW w:w="980" w:type="dxa"/>
            <w:vAlign w:val="center"/>
          </w:tcPr>
          <w:p w:rsidR="00516A59" w:rsidRDefault="007D3F6A">
            <w:pPr>
              <w:pStyle w:val="Tabletext"/>
              <w:keepNext/>
              <w:keepLines/>
              <w:jc w:val="center"/>
              <w:rPr>
                <w:szCs w:val="20"/>
              </w:rPr>
            </w:pPr>
            <w:r>
              <w:rPr>
                <w:szCs w:val="20"/>
              </w:rPr>
              <w:t>Patients with Event n/N</w:t>
            </w:r>
            <w:r>
              <w:rPr>
                <w:szCs w:val="20"/>
                <w:vertAlign w:val="superscript"/>
              </w:rPr>
              <w:t>b</w:t>
            </w:r>
            <w:r>
              <w:rPr>
                <w:szCs w:val="20"/>
              </w:rPr>
              <w:t xml:space="preserve"> (%)</w:t>
            </w:r>
          </w:p>
        </w:tc>
        <w:tc>
          <w:tcPr>
            <w:tcW w:w="1398" w:type="dxa"/>
            <w:vAlign w:val="center"/>
          </w:tcPr>
          <w:p w:rsidR="00516A59" w:rsidRDefault="007D3F6A">
            <w:pPr>
              <w:pStyle w:val="Tabletext"/>
              <w:keepNext/>
              <w:keepLines/>
              <w:jc w:val="center"/>
              <w:rPr>
                <w:szCs w:val="20"/>
              </w:rPr>
            </w:pPr>
            <w:r>
              <w:rPr>
                <w:szCs w:val="20"/>
              </w:rPr>
              <w:t>Median OS</w:t>
            </w:r>
            <w:r>
              <w:rPr>
                <w:szCs w:val="20"/>
                <w:vertAlign w:val="superscript"/>
              </w:rPr>
              <w:t>c</w:t>
            </w:r>
            <w:r>
              <w:rPr>
                <w:szCs w:val="20"/>
              </w:rPr>
              <w:t xml:space="preserve"> Months </w:t>
            </w:r>
            <w:r>
              <w:rPr>
                <w:szCs w:val="20"/>
              </w:rPr>
              <w:br/>
              <w:t>[95 % CI]</w:t>
            </w:r>
          </w:p>
        </w:tc>
        <w:tc>
          <w:tcPr>
            <w:tcW w:w="1183" w:type="dxa"/>
            <w:vAlign w:val="center"/>
          </w:tcPr>
          <w:p w:rsidR="00516A59" w:rsidRDefault="007D3F6A">
            <w:pPr>
              <w:pStyle w:val="Tabletext"/>
              <w:keepNext/>
              <w:keepLines/>
              <w:jc w:val="center"/>
              <w:rPr>
                <w:szCs w:val="20"/>
              </w:rPr>
            </w:pPr>
            <w:r>
              <w:rPr>
                <w:szCs w:val="20"/>
              </w:rPr>
              <w:t>HR</w:t>
            </w:r>
            <w:r>
              <w:rPr>
                <w:szCs w:val="20"/>
                <w:vertAlign w:val="superscript"/>
              </w:rPr>
              <w:t>d, e</w:t>
            </w:r>
            <w:r>
              <w:rPr>
                <w:szCs w:val="20"/>
              </w:rPr>
              <w:t xml:space="preserve">  </w:t>
            </w:r>
            <w:r>
              <w:rPr>
                <w:szCs w:val="20"/>
              </w:rPr>
              <w:br/>
              <w:t>[95 % CI]</w:t>
            </w:r>
          </w:p>
        </w:tc>
      </w:tr>
      <w:tr w:rsidR="00516A59">
        <w:tc>
          <w:tcPr>
            <w:tcW w:w="836" w:type="dxa"/>
            <w:vAlign w:val="center"/>
          </w:tcPr>
          <w:p w:rsidR="00516A59" w:rsidRDefault="007D3F6A">
            <w:pPr>
              <w:pStyle w:val="Tabletext"/>
              <w:keepNext/>
              <w:keepLines/>
              <w:jc w:val="center"/>
              <w:rPr>
                <w:szCs w:val="20"/>
              </w:rPr>
            </w:pPr>
            <w:r>
              <w:rPr>
                <w:szCs w:val="20"/>
              </w:rPr>
              <w:t>KN189</w:t>
            </w:r>
            <w:r>
              <w:rPr>
                <w:szCs w:val="20"/>
                <w:vertAlign w:val="superscript"/>
              </w:rPr>
              <w:t>g</w:t>
            </w:r>
          </w:p>
        </w:tc>
        <w:tc>
          <w:tcPr>
            <w:tcW w:w="1002" w:type="dxa"/>
            <w:vAlign w:val="center"/>
          </w:tcPr>
          <w:p w:rsidR="00516A59" w:rsidRPr="00845E21" w:rsidRDefault="00845E21">
            <w:pPr>
              <w:pStyle w:val="Tabletext"/>
              <w:keepNext/>
              <w:keepLines/>
              <w:jc w:val="center"/>
              <w:rPr>
                <w:szCs w:val="20"/>
                <w:highlight w:val="black"/>
              </w:rPr>
            </w:pPr>
            <w:r>
              <w:rPr>
                <w:noProof/>
                <w:color w:val="000000"/>
                <w:szCs w:val="20"/>
                <w:highlight w:val="black"/>
              </w:rPr>
              <w:t xml:space="preserve">''''''''''''''' </w:t>
            </w:r>
            <w:r>
              <w:rPr>
                <w:noProof/>
                <w:color w:val="000000"/>
                <w:szCs w:val="20"/>
                <w:highlight w:val="black"/>
              </w:rPr>
              <w:br/>
              <w:t>'''''''''''''</w:t>
            </w:r>
          </w:p>
        </w:tc>
        <w:tc>
          <w:tcPr>
            <w:tcW w:w="1238" w:type="dxa"/>
            <w:vAlign w:val="center"/>
          </w:tcPr>
          <w:p w:rsidR="00516A59" w:rsidRPr="00845E21" w:rsidRDefault="00845E21">
            <w:pPr>
              <w:pStyle w:val="Tabletext"/>
              <w:keepNext/>
              <w:keepLines/>
              <w:jc w:val="center"/>
              <w:rPr>
                <w:szCs w:val="20"/>
                <w:highlight w:val="black"/>
              </w:rPr>
            </w:pPr>
            <w:r>
              <w:rPr>
                <w:noProof/>
                <w:color w:val="000000"/>
                <w:szCs w:val="20"/>
                <w:highlight w:val="black"/>
              </w:rPr>
              <w:t xml:space="preserve">''''''''' </w:t>
            </w:r>
            <w:r>
              <w:rPr>
                <w:noProof/>
                <w:color w:val="000000"/>
                <w:szCs w:val="20"/>
                <w:highlight w:val="black"/>
              </w:rPr>
              <w:br/>
              <w:t>''''''''''''' '''''''''</w:t>
            </w:r>
          </w:p>
        </w:tc>
        <w:tc>
          <w:tcPr>
            <w:tcW w:w="1120" w:type="dxa"/>
            <w:vAlign w:val="center"/>
          </w:tcPr>
          <w:p w:rsidR="00516A59" w:rsidRPr="00845E21" w:rsidRDefault="00845E21">
            <w:pPr>
              <w:pStyle w:val="Tabletext"/>
              <w:keepNext/>
              <w:keepLines/>
              <w:jc w:val="center"/>
              <w:rPr>
                <w:szCs w:val="20"/>
                <w:highlight w:val="black"/>
              </w:rPr>
            </w:pPr>
            <w:r>
              <w:rPr>
                <w:noProof/>
                <w:color w:val="000000"/>
                <w:szCs w:val="20"/>
                <w:highlight w:val="black"/>
              </w:rPr>
              <w:t xml:space="preserve">''''''''''''' </w:t>
            </w:r>
            <w:r>
              <w:rPr>
                <w:noProof/>
                <w:color w:val="000000"/>
                <w:szCs w:val="20"/>
                <w:highlight w:val="black"/>
              </w:rPr>
              <w:br/>
              <w:t>'''''''''''''''</w:t>
            </w:r>
          </w:p>
        </w:tc>
        <w:tc>
          <w:tcPr>
            <w:tcW w:w="1260" w:type="dxa"/>
            <w:vAlign w:val="center"/>
          </w:tcPr>
          <w:p w:rsidR="00516A59" w:rsidRPr="00845E21" w:rsidRDefault="00845E21">
            <w:pPr>
              <w:pStyle w:val="Tabletext"/>
              <w:keepNext/>
              <w:keepLines/>
              <w:jc w:val="center"/>
              <w:rPr>
                <w:szCs w:val="20"/>
                <w:highlight w:val="black"/>
              </w:rPr>
            </w:pPr>
            <w:r>
              <w:rPr>
                <w:noProof/>
                <w:color w:val="000000"/>
                <w:szCs w:val="20"/>
                <w:highlight w:val="black"/>
              </w:rPr>
              <w:t>''''''''''</w:t>
            </w:r>
            <w:r>
              <w:rPr>
                <w:noProof/>
                <w:color w:val="000000"/>
                <w:szCs w:val="20"/>
                <w:highlight w:val="black"/>
              </w:rPr>
              <w:br/>
              <w:t xml:space="preserve"> ''''''''''' ''''</w:t>
            </w:r>
          </w:p>
        </w:tc>
        <w:tc>
          <w:tcPr>
            <w:tcW w:w="980" w:type="dxa"/>
            <w:vAlign w:val="center"/>
          </w:tcPr>
          <w:p w:rsidR="00516A59" w:rsidRDefault="007D3F6A">
            <w:pPr>
              <w:pStyle w:val="Tabletext"/>
              <w:keepNext/>
              <w:keepLines/>
              <w:jc w:val="center"/>
              <w:rPr>
                <w:szCs w:val="20"/>
              </w:rPr>
            </w:pPr>
            <w:r>
              <w:rPr>
                <w:szCs w:val="20"/>
              </w:rPr>
              <w:t>-</w:t>
            </w:r>
          </w:p>
        </w:tc>
        <w:tc>
          <w:tcPr>
            <w:tcW w:w="1398" w:type="dxa"/>
            <w:vAlign w:val="center"/>
          </w:tcPr>
          <w:p w:rsidR="00516A59" w:rsidRDefault="007D3F6A">
            <w:pPr>
              <w:pStyle w:val="Tabletext"/>
              <w:keepNext/>
              <w:keepLines/>
              <w:jc w:val="center"/>
              <w:rPr>
                <w:szCs w:val="20"/>
              </w:rPr>
            </w:pPr>
            <w:r>
              <w:rPr>
                <w:szCs w:val="20"/>
              </w:rPr>
              <w:t>-</w:t>
            </w:r>
          </w:p>
        </w:tc>
        <w:tc>
          <w:tcPr>
            <w:tcW w:w="1183" w:type="dxa"/>
            <w:vAlign w:val="center"/>
          </w:tcPr>
          <w:p w:rsidR="00516A59" w:rsidRPr="00845E21" w:rsidRDefault="00845E21">
            <w:pPr>
              <w:pStyle w:val="Tabletext"/>
              <w:keepNext/>
              <w:keepLines/>
              <w:jc w:val="center"/>
              <w:rPr>
                <w:szCs w:val="20"/>
                <w:highlight w:val="black"/>
              </w:rPr>
            </w:pPr>
            <w:r>
              <w:rPr>
                <w:noProof/>
                <w:color w:val="000000"/>
                <w:szCs w:val="20"/>
                <w:highlight w:val="black"/>
              </w:rPr>
              <w:t xml:space="preserve">'''''''''' </w:t>
            </w:r>
            <w:r>
              <w:rPr>
                <w:noProof/>
                <w:color w:val="000000"/>
                <w:szCs w:val="20"/>
                <w:highlight w:val="black"/>
              </w:rPr>
              <w:br/>
              <w:t>'''''''''''' ''''''''''''</w:t>
            </w:r>
          </w:p>
        </w:tc>
      </w:tr>
      <w:tr w:rsidR="00516A59">
        <w:tc>
          <w:tcPr>
            <w:tcW w:w="836" w:type="dxa"/>
            <w:vAlign w:val="center"/>
          </w:tcPr>
          <w:p w:rsidR="00516A59" w:rsidRDefault="007D3F6A">
            <w:pPr>
              <w:pStyle w:val="Tabletext"/>
              <w:keepNext/>
              <w:keepLines/>
              <w:jc w:val="center"/>
              <w:rPr>
                <w:szCs w:val="20"/>
              </w:rPr>
            </w:pPr>
            <w:r>
              <w:rPr>
                <w:szCs w:val="20"/>
              </w:rPr>
              <w:t>KN042+ KN024</w:t>
            </w:r>
            <w:r>
              <w:rPr>
                <w:sz w:val="18"/>
                <w:szCs w:val="18"/>
                <w:vertAlign w:val="superscript"/>
              </w:rPr>
              <w:t xml:space="preserve"> h</w:t>
            </w:r>
          </w:p>
        </w:tc>
        <w:tc>
          <w:tcPr>
            <w:tcW w:w="1002" w:type="dxa"/>
            <w:vAlign w:val="center"/>
          </w:tcPr>
          <w:p w:rsidR="00516A59" w:rsidRDefault="007D3F6A">
            <w:pPr>
              <w:pStyle w:val="Tabletext"/>
              <w:keepNext/>
              <w:keepLines/>
              <w:jc w:val="center"/>
              <w:rPr>
                <w:szCs w:val="20"/>
              </w:rPr>
            </w:pPr>
            <w:r>
              <w:rPr>
                <w:szCs w:val="20"/>
              </w:rPr>
              <w:t>-</w:t>
            </w:r>
          </w:p>
        </w:tc>
        <w:tc>
          <w:tcPr>
            <w:tcW w:w="1238" w:type="dxa"/>
            <w:vAlign w:val="center"/>
          </w:tcPr>
          <w:p w:rsidR="00516A59" w:rsidRDefault="007D3F6A">
            <w:pPr>
              <w:pStyle w:val="Tabletext"/>
              <w:keepNext/>
              <w:keepLines/>
              <w:jc w:val="center"/>
              <w:rPr>
                <w:szCs w:val="20"/>
              </w:rPr>
            </w:pPr>
            <w:r>
              <w:rPr>
                <w:szCs w:val="20"/>
              </w:rPr>
              <w:t>-</w:t>
            </w:r>
          </w:p>
        </w:tc>
        <w:tc>
          <w:tcPr>
            <w:tcW w:w="1120" w:type="dxa"/>
            <w:vAlign w:val="center"/>
          </w:tcPr>
          <w:p w:rsidR="00516A59" w:rsidRPr="00845E21" w:rsidRDefault="00845E21">
            <w:pPr>
              <w:pStyle w:val="Tabletext"/>
              <w:keepNext/>
              <w:keepLines/>
              <w:jc w:val="center"/>
              <w:rPr>
                <w:szCs w:val="20"/>
                <w:highlight w:val="black"/>
              </w:rPr>
            </w:pPr>
            <w:r>
              <w:rPr>
                <w:noProof/>
                <w:color w:val="000000"/>
                <w:szCs w:val="20"/>
                <w:highlight w:val="black"/>
              </w:rPr>
              <w:t>'''''''''''''''''''' '''''''''''''</w:t>
            </w:r>
          </w:p>
        </w:tc>
        <w:tc>
          <w:tcPr>
            <w:tcW w:w="1260" w:type="dxa"/>
            <w:vAlign w:val="center"/>
          </w:tcPr>
          <w:p w:rsidR="00516A59" w:rsidRPr="00845E21" w:rsidRDefault="00845E21">
            <w:pPr>
              <w:pStyle w:val="Tabletext"/>
              <w:keepNext/>
              <w:keepLines/>
              <w:jc w:val="center"/>
              <w:rPr>
                <w:szCs w:val="20"/>
                <w:highlight w:val="black"/>
              </w:rPr>
            </w:pPr>
            <w:r>
              <w:rPr>
                <w:noProof/>
                <w:color w:val="000000"/>
                <w:szCs w:val="20"/>
                <w:highlight w:val="black"/>
              </w:rPr>
              <w:t>''''''''''</w:t>
            </w:r>
            <w:r>
              <w:rPr>
                <w:noProof/>
                <w:color w:val="000000"/>
                <w:szCs w:val="20"/>
                <w:highlight w:val="black"/>
              </w:rPr>
              <w:br/>
              <w:t xml:space="preserve"> '''''''''''' ''''''''''''</w:t>
            </w:r>
          </w:p>
        </w:tc>
        <w:tc>
          <w:tcPr>
            <w:tcW w:w="980" w:type="dxa"/>
            <w:vAlign w:val="center"/>
          </w:tcPr>
          <w:p w:rsidR="00516A59" w:rsidRPr="00845E21" w:rsidRDefault="00845E21">
            <w:pPr>
              <w:pStyle w:val="Tabletext"/>
              <w:keepNext/>
              <w:keepLines/>
              <w:jc w:val="center"/>
              <w:rPr>
                <w:szCs w:val="20"/>
                <w:highlight w:val="black"/>
              </w:rPr>
            </w:pPr>
            <w:r>
              <w:rPr>
                <w:noProof/>
                <w:color w:val="000000"/>
                <w:szCs w:val="20"/>
                <w:highlight w:val="black"/>
              </w:rPr>
              <w:t>'''''''''''''''''''''' ''''''''''''''</w:t>
            </w:r>
          </w:p>
        </w:tc>
        <w:tc>
          <w:tcPr>
            <w:tcW w:w="1398" w:type="dxa"/>
            <w:vAlign w:val="center"/>
          </w:tcPr>
          <w:p w:rsidR="00516A59" w:rsidRPr="00845E21" w:rsidRDefault="00845E21">
            <w:pPr>
              <w:pStyle w:val="Tabletext"/>
              <w:keepNext/>
              <w:keepLines/>
              <w:jc w:val="center"/>
              <w:rPr>
                <w:szCs w:val="20"/>
                <w:highlight w:val="black"/>
              </w:rPr>
            </w:pPr>
            <w:r>
              <w:rPr>
                <w:noProof/>
                <w:color w:val="000000"/>
                <w:szCs w:val="20"/>
                <w:highlight w:val="black"/>
              </w:rPr>
              <w:t xml:space="preserve">'''''''''' </w:t>
            </w:r>
            <w:r>
              <w:rPr>
                <w:noProof/>
                <w:color w:val="000000"/>
                <w:szCs w:val="20"/>
                <w:highlight w:val="black"/>
              </w:rPr>
              <w:br/>
              <w:t>''''''''''''' '''''''''''''</w:t>
            </w:r>
          </w:p>
        </w:tc>
        <w:tc>
          <w:tcPr>
            <w:tcW w:w="1183" w:type="dxa"/>
            <w:vAlign w:val="center"/>
          </w:tcPr>
          <w:p w:rsidR="00516A59" w:rsidRPr="00845E21" w:rsidRDefault="00845E21">
            <w:pPr>
              <w:pStyle w:val="Tabletext"/>
              <w:keepNext/>
              <w:keepLines/>
              <w:jc w:val="center"/>
              <w:rPr>
                <w:szCs w:val="20"/>
                <w:highlight w:val="black"/>
              </w:rPr>
            </w:pPr>
            <w:r>
              <w:rPr>
                <w:noProof/>
                <w:color w:val="000000"/>
                <w:szCs w:val="20"/>
                <w:highlight w:val="black"/>
              </w:rPr>
              <w:t xml:space="preserve">''''''''''' </w:t>
            </w:r>
            <w:r>
              <w:rPr>
                <w:noProof/>
                <w:color w:val="000000"/>
                <w:szCs w:val="20"/>
                <w:highlight w:val="black"/>
              </w:rPr>
              <w:br/>
              <w:t>'''''''''''''' ''''''''''''</w:t>
            </w:r>
          </w:p>
        </w:tc>
      </w:tr>
      <w:tr w:rsidR="00516A59">
        <w:tc>
          <w:tcPr>
            <w:tcW w:w="7834" w:type="dxa"/>
            <w:gridSpan w:val="7"/>
            <w:vAlign w:val="center"/>
          </w:tcPr>
          <w:p w:rsidR="00516A59" w:rsidRDefault="00845E21">
            <w:pPr>
              <w:pStyle w:val="Tabletext"/>
              <w:keepNext/>
              <w:keepLines/>
              <w:jc w:val="right"/>
              <w:rPr>
                <w:szCs w:val="20"/>
              </w:rPr>
            </w:pPr>
            <w:r>
              <w:rPr>
                <w:b/>
                <w:noProof/>
                <w:color w:val="000000"/>
                <w:szCs w:val="20"/>
                <w:highlight w:val="black"/>
              </w:rPr>
              <w:t>'''''''''''''''' '''''''''''''''''''''' ''''''''''''''' ''''''''''''''' '''''' ''''''''''''''' '''''''''''''</w:t>
            </w:r>
            <w:r>
              <w:rPr>
                <w:noProof/>
                <w:color w:val="000000"/>
                <w:szCs w:val="20"/>
                <w:highlight w:val="black"/>
              </w:rPr>
              <w:t xml:space="preserve"> '''''''' ''''''''' ''''' ''''''</w:t>
            </w:r>
          </w:p>
        </w:tc>
        <w:tc>
          <w:tcPr>
            <w:tcW w:w="1183" w:type="dxa"/>
            <w:vAlign w:val="center"/>
          </w:tcPr>
          <w:p w:rsidR="00516A59" w:rsidRPr="00845E21" w:rsidRDefault="00845E21">
            <w:pPr>
              <w:pStyle w:val="Tabletext"/>
              <w:keepNext/>
              <w:keepLines/>
              <w:jc w:val="center"/>
              <w:rPr>
                <w:szCs w:val="20"/>
                <w:highlight w:val="black"/>
              </w:rPr>
            </w:pPr>
            <w:r>
              <w:rPr>
                <w:noProof/>
                <w:color w:val="000000"/>
                <w:szCs w:val="20"/>
                <w:highlight w:val="black"/>
              </w:rPr>
              <w:t>''''''''''</w:t>
            </w:r>
          </w:p>
          <w:p w:rsidR="00516A59" w:rsidRPr="00845E21" w:rsidRDefault="00845E21">
            <w:pPr>
              <w:pStyle w:val="Tabletext"/>
              <w:keepNext/>
              <w:keepLines/>
              <w:jc w:val="center"/>
              <w:rPr>
                <w:szCs w:val="20"/>
                <w:highlight w:val="black"/>
              </w:rPr>
            </w:pPr>
            <w:r>
              <w:rPr>
                <w:noProof/>
                <w:color w:val="000000"/>
                <w:szCs w:val="20"/>
                <w:highlight w:val="black"/>
              </w:rPr>
              <w:t>''''''''''''' ''''''''''''</w:t>
            </w:r>
          </w:p>
        </w:tc>
      </w:tr>
    </w:tbl>
    <w:p w:rsidR="00516A59" w:rsidRDefault="007D3F6A">
      <w:pPr>
        <w:pStyle w:val="TableFooter"/>
        <w:keepNext/>
        <w:keepLines/>
        <w:widowControl/>
      </w:pPr>
      <w:r>
        <w:t>TPS = tumour proportion score; Pembro Combo = pembrolizumab+platinum+pemetrexed; Pembro Mono = pembrolizumab monotherapy; OS = overall survival; HR = hazard ratio; CI = confidence interval; NR = not reached; ITC = indirect treatment comparison.</w:t>
      </w:r>
    </w:p>
    <w:p w:rsidR="00516A59" w:rsidRDefault="007D3F6A">
      <w:pPr>
        <w:pStyle w:val="TableFooter"/>
        <w:keepNext/>
        <w:keepLines/>
        <w:widowControl/>
      </w:pPr>
      <w:r>
        <w:rPr>
          <w:b/>
          <w:szCs w:val="20"/>
          <w:vertAlign w:val="superscript"/>
        </w:rPr>
        <w:t>a</w:t>
      </w:r>
      <w:r>
        <w:rPr>
          <w:vertAlign w:val="superscript"/>
        </w:rPr>
        <w:t xml:space="preserve"> </w:t>
      </w:r>
      <w:r>
        <w:t>Pemetrexed and Carboplatin or Pemetrexed and Cisplatin for KN189 and KN024 and Pemetrexed and Carboplatin for KN042</w:t>
      </w:r>
    </w:p>
    <w:p w:rsidR="00516A59" w:rsidRDefault="007D3F6A">
      <w:pPr>
        <w:pStyle w:val="TableFooter"/>
        <w:keepNext/>
        <w:keepLines/>
        <w:widowControl/>
      </w:pPr>
      <w:r>
        <w:rPr>
          <w:vertAlign w:val="superscript"/>
        </w:rPr>
        <w:t>b</w:t>
      </w:r>
      <w:r>
        <w:t>Number of patients: intention-to-treat, non-squamous subjects pre-assigned to carboplatin+pemetrexed or pemetrexed+cisplatin with TPS ≥ 50%, Patients in each arm in KN189 included in the indirect comparison were those who matched the population in the Pembro Mono studies, by excluding patients with untreated brain metastasis. This exclusion resulted in 121 patients in the Pembro Combo arm and 65 in the platinum+pemetrexed arm in KN189.</w:t>
      </w:r>
    </w:p>
    <w:p w:rsidR="00516A59" w:rsidRDefault="007D3F6A">
      <w:pPr>
        <w:pStyle w:val="TableFooter"/>
        <w:keepNext/>
        <w:keepLines/>
        <w:widowControl/>
      </w:pPr>
      <w:r>
        <w:rPr>
          <w:vertAlign w:val="superscript"/>
        </w:rPr>
        <w:t>c</w:t>
      </w:r>
      <w:r>
        <w:t xml:space="preserve">From product-limit (Kaplan-Meier) method  </w:t>
      </w:r>
    </w:p>
    <w:p w:rsidR="00516A59" w:rsidRDefault="007D3F6A">
      <w:pPr>
        <w:pStyle w:val="TableFooter"/>
        <w:keepNext/>
        <w:keepLines/>
        <w:widowControl/>
      </w:pPr>
      <w:r>
        <w:rPr>
          <w:vertAlign w:val="superscript"/>
        </w:rPr>
        <w:t>d</w:t>
      </w:r>
      <w:r>
        <w:t>Based on Cox regression model with treatment as a covariate stratified by platinum chemotherapy (Cisplatin vs. Carboplatin) and smoking status (never vs. former/current) for KN189, and stratified by study (KN042 vs. KN024) for KN042+KN024. Individual study's stratification factors ECOG PS (0 vs. 1) and geographic region (East Asia vs. non-East Asia) are also covariates for KN042+KN024</w:t>
      </w:r>
    </w:p>
    <w:p w:rsidR="00516A59" w:rsidRDefault="007D3F6A">
      <w:pPr>
        <w:pStyle w:val="TableFooter"/>
        <w:keepNext/>
        <w:keepLines/>
        <w:widowControl/>
      </w:pPr>
      <w:r>
        <w:rPr>
          <w:szCs w:val="18"/>
          <w:vertAlign w:val="superscript"/>
        </w:rPr>
        <w:t>e</w:t>
      </w:r>
      <w:r>
        <w:rPr>
          <w:szCs w:val="18"/>
        </w:rPr>
        <w:t>The inverse probability of treatment weighting (IPTW) method using a multinomial logistic regression was performed with covariates: smoking status (never vs. former/current), ECOG PS (0 vs. 1), age, gender and metastatic stage M1B (yes vs. no). The derived weights were used in the Cox model to adjust for population imbalance across studies and treatment arms</w:t>
      </w:r>
    </w:p>
    <w:p w:rsidR="00516A59" w:rsidRDefault="007D3F6A">
      <w:pPr>
        <w:pStyle w:val="TableFooter"/>
        <w:keepNext/>
        <w:keepLines/>
        <w:widowControl/>
      </w:pPr>
      <w:r>
        <w:rPr>
          <w:vertAlign w:val="superscript"/>
        </w:rPr>
        <w:t>f</w:t>
      </w:r>
      <w:r>
        <w:t xml:space="preserve">Bucher methodology using separate study results (estimate and its standard error) with a common control arm to perform indirect comparison of effect of pembrolizumab combination (KN189) vs monotherapy (KN042+KN024)  </w:t>
      </w:r>
    </w:p>
    <w:p w:rsidR="00516A59" w:rsidRDefault="007D3F6A">
      <w:pPr>
        <w:pStyle w:val="TableFooter"/>
        <w:keepNext/>
        <w:keepLines/>
        <w:widowControl/>
      </w:pPr>
      <w:r>
        <w:rPr>
          <w:vertAlign w:val="superscript"/>
        </w:rPr>
        <w:t>g</w:t>
      </w:r>
      <w:r>
        <w:t xml:space="preserve">Database Cutoff Date: 21SEP2018  </w:t>
      </w:r>
    </w:p>
    <w:p w:rsidR="00516A59" w:rsidRDefault="007D3F6A">
      <w:pPr>
        <w:pStyle w:val="TableFooter"/>
        <w:keepNext/>
        <w:keepLines/>
        <w:widowControl/>
      </w:pPr>
      <w:r>
        <w:rPr>
          <w:vertAlign w:val="superscript"/>
        </w:rPr>
        <w:t>h</w:t>
      </w:r>
      <w:r>
        <w:t xml:space="preserve">Database Cutoff Date: 04SEP2018 (KN042), 10JUL2017 (KN024) </w:t>
      </w:r>
    </w:p>
    <w:p w:rsidR="00516A59" w:rsidRDefault="007D3F6A">
      <w:pPr>
        <w:pStyle w:val="TableFooter"/>
        <w:keepNext/>
        <w:keepLines/>
        <w:widowControl/>
      </w:pPr>
      <w:r>
        <w:t>Source: Tables 3 and 12, pages 27 and 40 of Appendix 20 accompanying the resubmission.</w:t>
      </w:r>
    </w:p>
    <w:p w:rsidR="00516A59" w:rsidRDefault="00516A59">
      <w:pPr>
        <w:keepLines/>
        <w:widowControl/>
        <w:jc w:val="left"/>
      </w:pPr>
    </w:p>
    <w:p w:rsidR="0093515B" w:rsidRDefault="0093515B" w:rsidP="0093515B">
      <w:pPr>
        <w:pStyle w:val="Caption"/>
        <w:keepNext/>
      </w:pPr>
      <w:r>
        <w:lastRenderedPageBreak/>
        <w:t xml:space="preserve">Table </w:t>
      </w:r>
      <w:r>
        <w:rPr>
          <w:noProof/>
        </w:rPr>
        <w:t>9</w:t>
      </w:r>
      <w:r w:rsidRPr="00CD0D84">
        <w:t>: Indirect treatment comparison progression-free survival (KN189 vs. KN042+KN024: TPS ≥ 50%, weighted)</w:t>
      </w:r>
    </w:p>
    <w:tbl>
      <w:tblPr>
        <w:tblStyle w:val="ASDTable1"/>
        <w:tblW w:w="0" w:type="auto"/>
        <w:tblLook w:val="0000" w:firstRow="0" w:lastRow="0" w:firstColumn="0" w:lastColumn="0" w:noHBand="0" w:noVBand="0"/>
        <w:tblCaption w:val="Table 9: Indirect treatment comparison progression-free survival (KN189 vs. KN042+KN024: TPS ≥ 50%, weighted)"/>
      </w:tblPr>
      <w:tblGrid>
        <w:gridCol w:w="1102"/>
        <w:gridCol w:w="1108"/>
        <w:gridCol w:w="1108"/>
        <w:gridCol w:w="1111"/>
        <w:gridCol w:w="1111"/>
        <w:gridCol w:w="1111"/>
        <w:gridCol w:w="1257"/>
        <w:gridCol w:w="1087"/>
        <w:gridCol w:w="15"/>
      </w:tblGrid>
      <w:tr w:rsidR="00516A59">
        <w:tc>
          <w:tcPr>
            <w:tcW w:w="1102" w:type="dxa"/>
          </w:tcPr>
          <w:p w:rsidR="00516A59" w:rsidRDefault="007D3F6A">
            <w:pPr>
              <w:pStyle w:val="Tabletext"/>
              <w:keepNext/>
              <w:keepLines/>
              <w:rPr>
                <w:szCs w:val="20"/>
              </w:rPr>
            </w:pPr>
            <w:r>
              <w:rPr>
                <w:b/>
                <w:szCs w:val="20"/>
              </w:rPr>
              <w:t>Study ID</w:t>
            </w:r>
          </w:p>
        </w:tc>
        <w:tc>
          <w:tcPr>
            <w:tcW w:w="2216" w:type="dxa"/>
            <w:gridSpan w:val="2"/>
            <w:vAlign w:val="center"/>
          </w:tcPr>
          <w:p w:rsidR="00516A59" w:rsidRDefault="007D3F6A">
            <w:pPr>
              <w:pStyle w:val="Tabletext"/>
              <w:keepNext/>
              <w:keepLines/>
              <w:jc w:val="center"/>
              <w:rPr>
                <w:szCs w:val="20"/>
              </w:rPr>
            </w:pPr>
            <w:r>
              <w:rPr>
                <w:b/>
                <w:szCs w:val="20"/>
              </w:rPr>
              <w:t>Pembro Combo</w:t>
            </w:r>
            <w:r>
              <w:rPr>
                <w:b/>
                <w:szCs w:val="20"/>
                <w:vertAlign w:val="superscript"/>
              </w:rPr>
              <w:t>a</w:t>
            </w:r>
          </w:p>
        </w:tc>
        <w:tc>
          <w:tcPr>
            <w:tcW w:w="2222" w:type="dxa"/>
            <w:gridSpan w:val="2"/>
            <w:vAlign w:val="center"/>
          </w:tcPr>
          <w:p w:rsidR="00516A59" w:rsidRDefault="007D3F6A">
            <w:pPr>
              <w:pStyle w:val="Tabletext"/>
              <w:keepNext/>
              <w:keepLines/>
              <w:jc w:val="center"/>
              <w:rPr>
                <w:szCs w:val="20"/>
              </w:rPr>
            </w:pPr>
            <w:r>
              <w:rPr>
                <w:b/>
                <w:szCs w:val="20"/>
              </w:rPr>
              <w:t>Chemotherapy</w:t>
            </w:r>
            <w:r>
              <w:rPr>
                <w:b/>
                <w:szCs w:val="20"/>
                <w:vertAlign w:val="superscript"/>
              </w:rPr>
              <w:t>a</w:t>
            </w:r>
          </w:p>
        </w:tc>
        <w:tc>
          <w:tcPr>
            <w:tcW w:w="2368" w:type="dxa"/>
            <w:gridSpan w:val="2"/>
            <w:vAlign w:val="center"/>
          </w:tcPr>
          <w:p w:rsidR="00516A59" w:rsidRDefault="007D3F6A">
            <w:pPr>
              <w:pStyle w:val="Tabletext"/>
              <w:keepNext/>
              <w:keepLines/>
              <w:jc w:val="center"/>
              <w:rPr>
                <w:szCs w:val="20"/>
              </w:rPr>
            </w:pPr>
            <w:r>
              <w:rPr>
                <w:b/>
                <w:szCs w:val="20"/>
              </w:rPr>
              <w:t>Pembro Mono</w:t>
            </w:r>
            <w:r>
              <w:rPr>
                <w:vertAlign w:val="superscript"/>
              </w:rPr>
              <w:t>a</w:t>
            </w:r>
          </w:p>
        </w:tc>
        <w:tc>
          <w:tcPr>
            <w:tcW w:w="1102" w:type="dxa"/>
            <w:gridSpan w:val="2"/>
          </w:tcPr>
          <w:p w:rsidR="00516A59" w:rsidRDefault="007D3F6A">
            <w:pPr>
              <w:pStyle w:val="Tabletext"/>
              <w:keepNext/>
              <w:keepLines/>
              <w:jc w:val="center"/>
              <w:rPr>
                <w:szCs w:val="20"/>
              </w:rPr>
            </w:pPr>
            <w:r>
              <w:rPr>
                <w:b/>
                <w:szCs w:val="20"/>
              </w:rPr>
              <w:t>Weighted</w:t>
            </w:r>
            <w:r>
              <w:rPr>
                <w:b/>
                <w:szCs w:val="20"/>
                <w:vertAlign w:val="superscript"/>
              </w:rPr>
              <w:t>e</w:t>
            </w:r>
          </w:p>
        </w:tc>
      </w:tr>
      <w:tr w:rsidR="00516A59">
        <w:tc>
          <w:tcPr>
            <w:tcW w:w="1102" w:type="dxa"/>
          </w:tcPr>
          <w:p w:rsidR="00516A59" w:rsidRDefault="00516A59">
            <w:pPr>
              <w:pStyle w:val="Tabletext"/>
              <w:keepNext/>
              <w:keepLines/>
              <w:rPr>
                <w:szCs w:val="20"/>
              </w:rPr>
            </w:pPr>
          </w:p>
        </w:tc>
        <w:tc>
          <w:tcPr>
            <w:tcW w:w="1108" w:type="dxa"/>
            <w:vAlign w:val="center"/>
          </w:tcPr>
          <w:p w:rsidR="00516A59" w:rsidRDefault="007D3F6A">
            <w:pPr>
              <w:pStyle w:val="Tabletext"/>
              <w:keepNext/>
              <w:keepLines/>
              <w:jc w:val="center"/>
              <w:rPr>
                <w:szCs w:val="20"/>
              </w:rPr>
            </w:pPr>
            <w:r>
              <w:rPr>
                <w:szCs w:val="20"/>
              </w:rPr>
              <w:t>Patients with Event n/N</w:t>
            </w:r>
            <w:r>
              <w:rPr>
                <w:szCs w:val="20"/>
                <w:vertAlign w:val="superscript"/>
              </w:rPr>
              <w:t>b</w:t>
            </w:r>
            <w:r>
              <w:rPr>
                <w:szCs w:val="20"/>
              </w:rPr>
              <w:t xml:space="preserve"> (%)</w:t>
            </w:r>
          </w:p>
        </w:tc>
        <w:tc>
          <w:tcPr>
            <w:tcW w:w="1108" w:type="dxa"/>
            <w:vAlign w:val="center"/>
          </w:tcPr>
          <w:p w:rsidR="00516A59" w:rsidRDefault="007D3F6A">
            <w:pPr>
              <w:pStyle w:val="Tabletext"/>
              <w:keepNext/>
              <w:keepLines/>
              <w:jc w:val="center"/>
              <w:rPr>
                <w:szCs w:val="20"/>
              </w:rPr>
            </w:pPr>
            <w:r>
              <w:rPr>
                <w:szCs w:val="20"/>
              </w:rPr>
              <w:t>Median PFS</w:t>
            </w:r>
            <w:r>
              <w:rPr>
                <w:szCs w:val="20"/>
                <w:vertAlign w:val="superscript"/>
              </w:rPr>
              <w:t>c</w:t>
            </w:r>
          </w:p>
          <w:p w:rsidR="00516A59" w:rsidRDefault="007D3F6A">
            <w:pPr>
              <w:pStyle w:val="Tabletext"/>
              <w:keepNext/>
              <w:keepLines/>
              <w:jc w:val="center"/>
              <w:rPr>
                <w:szCs w:val="20"/>
              </w:rPr>
            </w:pPr>
            <w:r>
              <w:rPr>
                <w:szCs w:val="20"/>
              </w:rPr>
              <w:t xml:space="preserve">Months </w:t>
            </w:r>
            <w:r>
              <w:rPr>
                <w:szCs w:val="20"/>
              </w:rPr>
              <w:br/>
              <w:t>[95 % CI]</w:t>
            </w:r>
          </w:p>
        </w:tc>
        <w:tc>
          <w:tcPr>
            <w:tcW w:w="1111" w:type="dxa"/>
            <w:vAlign w:val="center"/>
          </w:tcPr>
          <w:p w:rsidR="00516A59" w:rsidRDefault="007D3F6A">
            <w:pPr>
              <w:pStyle w:val="Tabletext"/>
              <w:keepNext/>
              <w:keepLines/>
              <w:jc w:val="center"/>
              <w:rPr>
                <w:szCs w:val="20"/>
              </w:rPr>
            </w:pPr>
            <w:r>
              <w:rPr>
                <w:szCs w:val="20"/>
              </w:rPr>
              <w:t>Patients with Event n/N</w:t>
            </w:r>
            <w:r>
              <w:rPr>
                <w:szCs w:val="20"/>
                <w:vertAlign w:val="superscript"/>
              </w:rPr>
              <w:t>b</w:t>
            </w:r>
            <w:r>
              <w:rPr>
                <w:szCs w:val="20"/>
              </w:rPr>
              <w:t xml:space="preserve"> (%)</w:t>
            </w:r>
          </w:p>
        </w:tc>
        <w:tc>
          <w:tcPr>
            <w:tcW w:w="1111" w:type="dxa"/>
            <w:vAlign w:val="center"/>
          </w:tcPr>
          <w:p w:rsidR="00516A59" w:rsidRDefault="007D3F6A">
            <w:pPr>
              <w:pStyle w:val="Tabletext"/>
              <w:keepNext/>
              <w:keepLines/>
              <w:jc w:val="center"/>
              <w:rPr>
                <w:szCs w:val="20"/>
              </w:rPr>
            </w:pPr>
            <w:r>
              <w:rPr>
                <w:szCs w:val="20"/>
              </w:rPr>
              <w:t>Median PFS</w:t>
            </w:r>
            <w:r>
              <w:rPr>
                <w:szCs w:val="20"/>
                <w:vertAlign w:val="superscript"/>
              </w:rPr>
              <w:t>c</w:t>
            </w:r>
          </w:p>
          <w:p w:rsidR="00516A59" w:rsidRDefault="007D3F6A">
            <w:pPr>
              <w:pStyle w:val="Tabletext"/>
              <w:keepNext/>
              <w:keepLines/>
              <w:jc w:val="center"/>
              <w:rPr>
                <w:szCs w:val="20"/>
              </w:rPr>
            </w:pPr>
            <w:r>
              <w:rPr>
                <w:szCs w:val="20"/>
              </w:rPr>
              <w:t xml:space="preserve">Months </w:t>
            </w:r>
            <w:r>
              <w:rPr>
                <w:szCs w:val="20"/>
              </w:rPr>
              <w:br/>
              <w:t>[95 % CI]</w:t>
            </w:r>
          </w:p>
        </w:tc>
        <w:tc>
          <w:tcPr>
            <w:tcW w:w="1111" w:type="dxa"/>
            <w:vAlign w:val="center"/>
          </w:tcPr>
          <w:p w:rsidR="00516A59" w:rsidRDefault="007D3F6A">
            <w:pPr>
              <w:pStyle w:val="Tabletext"/>
              <w:keepNext/>
              <w:keepLines/>
              <w:jc w:val="center"/>
              <w:rPr>
                <w:szCs w:val="20"/>
              </w:rPr>
            </w:pPr>
            <w:r>
              <w:rPr>
                <w:szCs w:val="20"/>
              </w:rPr>
              <w:t>Patients with Event n/N</w:t>
            </w:r>
            <w:r>
              <w:rPr>
                <w:szCs w:val="20"/>
                <w:vertAlign w:val="superscript"/>
              </w:rPr>
              <w:t>b</w:t>
            </w:r>
            <w:r>
              <w:rPr>
                <w:szCs w:val="20"/>
              </w:rPr>
              <w:t xml:space="preserve"> (%)</w:t>
            </w:r>
          </w:p>
        </w:tc>
        <w:tc>
          <w:tcPr>
            <w:tcW w:w="1257" w:type="dxa"/>
            <w:vAlign w:val="center"/>
          </w:tcPr>
          <w:p w:rsidR="00516A59" w:rsidRDefault="007D3F6A">
            <w:pPr>
              <w:pStyle w:val="Tabletext"/>
              <w:keepNext/>
              <w:keepLines/>
              <w:jc w:val="center"/>
              <w:rPr>
                <w:szCs w:val="20"/>
              </w:rPr>
            </w:pPr>
            <w:r>
              <w:rPr>
                <w:szCs w:val="20"/>
              </w:rPr>
              <w:t>Median PFS</w:t>
            </w:r>
            <w:r>
              <w:rPr>
                <w:szCs w:val="20"/>
                <w:vertAlign w:val="superscript"/>
              </w:rPr>
              <w:t>c</w:t>
            </w:r>
          </w:p>
          <w:p w:rsidR="00516A59" w:rsidRDefault="007D3F6A">
            <w:pPr>
              <w:pStyle w:val="Tabletext"/>
              <w:keepNext/>
              <w:keepLines/>
              <w:jc w:val="center"/>
              <w:rPr>
                <w:szCs w:val="20"/>
              </w:rPr>
            </w:pPr>
            <w:r>
              <w:rPr>
                <w:szCs w:val="20"/>
              </w:rPr>
              <w:t xml:space="preserve">Months </w:t>
            </w:r>
            <w:r>
              <w:rPr>
                <w:szCs w:val="20"/>
              </w:rPr>
              <w:br/>
              <w:t>[95 % CI]</w:t>
            </w:r>
          </w:p>
        </w:tc>
        <w:tc>
          <w:tcPr>
            <w:tcW w:w="1102" w:type="dxa"/>
            <w:gridSpan w:val="2"/>
            <w:vAlign w:val="center"/>
          </w:tcPr>
          <w:p w:rsidR="00516A59" w:rsidRDefault="007D3F6A">
            <w:pPr>
              <w:pStyle w:val="Tabletext"/>
              <w:keepNext/>
              <w:keepLines/>
              <w:jc w:val="center"/>
              <w:rPr>
                <w:szCs w:val="20"/>
              </w:rPr>
            </w:pPr>
            <w:r>
              <w:rPr>
                <w:szCs w:val="20"/>
              </w:rPr>
              <w:t>HR</w:t>
            </w:r>
            <w:r>
              <w:rPr>
                <w:szCs w:val="20"/>
                <w:vertAlign w:val="superscript"/>
              </w:rPr>
              <w:t>d, e</w:t>
            </w:r>
            <w:r>
              <w:rPr>
                <w:szCs w:val="20"/>
              </w:rPr>
              <w:t xml:space="preserve"> </w:t>
            </w:r>
            <w:r>
              <w:rPr>
                <w:szCs w:val="20"/>
              </w:rPr>
              <w:br/>
              <w:t>[95 % CI]</w:t>
            </w:r>
          </w:p>
        </w:tc>
      </w:tr>
      <w:tr w:rsidR="00516A59">
        <w:tc>
          <w:tcPr>
            <w:tcW w:w="1102" w:type="dxa"/>
            <w:vAlign w:val="center"/>
          </w:tcPr>
          <w:p w:rsidR="00516A59" w:rsidRDefault="007D3F6A">
            <w:pPr>
              <w:pStyle w:val="Tabletext"/>
              <w:keepNext/>
              <w:keepLines/>
              <w:rPr>
                <w:szCs w:val="20"/>
              </w:rPr>
            </w:pPr>
            <w:r>
              <w:rPr>
                <w:szCs w:val="20"/>
              </w:rPr>
              <w:t>KN189</w:t>
            </w:r>
            <w:r>
              <w:rPr>
                <w:szCs w:val="20"/>
                <w:vertAlign w:val="superscript"/>
              </w:rPr>
              <w:t>g</w:t>
            </w:r>
          </w:p>
        </w:tc>
        <w:tc>
          <w:tcPr>
            <w:tcW w:w="1108" w:type="dxa"/>
            <w:vAlign w:val="center"/>
          </w:tcPr>
          <w:p w:rsidR="00516A59" w:rsidRPr="00845E21" w:rsidRDefault="00845E21">
            <w:pPr>
              <w:pStyle w:val="Tabletext"/>
              <w:keepNext/>
              <w:keepLines/>
              <w:jc w:val="center"/>
              <w:rPr>
                <w:szCs w:val="20"/>
                <w:highlight w:val="black"/>
              </w:rPr>
            </w:pPr>
            <w:r>
              <w:rPr>
                <w:noProof/>
                <w:color w:val="000000"/>
                <w:szCs w:val="20"/>
                <w:highlight w:val="black"/>
              </w:rPr>
              <w:t>''''''''''''''''</w:t>
            </w:r>
            <w:r>
              <w:rPr>
                <w:noProof/>
                <w:color w:val="000000"/>
                <w:szCs w:val="20"/>
                <w:highlight w:val="black"/>
              </w:rPr>
              <w:br/>
              <w:t>''''''''''''''</w:t>
            </w:r>
          </w:p>
        </w:tc>
        <w:tc>
          <w:tcPr>
            <w:tcW w:w="1108" w:type="dxa"/>
            <w:vAlign w:val="center"/>
          </w:tcPr>
          <w:p w:rsidR="00516A59" w:rsidRPr="00845E21" w:rsidRDefault="00845E21">
            <w:pPr>
              <w:pStyle w:val="Tabletext"/>
              <w:keepNext/>
              <w:keepLines/>
              <w:jc w:val="center"/>
              <w:rPr>
                <w:szCs w:val="20"/>
                <w:highlight w:val="black"/>
              </w:rPr>
            </w:pPr>
            <w:r>
              <w:rPr>
                <w:noProof/>
                <w:color w:val="000000"/>
                <w:szCs w:val="20"/>
                <w:highlight w:val="black"/>
              </w:rPr>
              <w:t>''''''''''</w:t>
            </w:r>
            <w:r>
              <w:rPr>
                <w:noProof/>
                <w:color w:val="000000"/>
                <w:szCs w:val="20"/>
                <w:highlight w:val="black"/>
              </w:rPr>
              <w:br/>
              <w:t>'''''''''' '''''''''''</w:t>
            </w:r>
          </w:p>
        </w:tc>
        <w:tc>
          <w:tcPr>
            <w:tcW w:w="1111" w:type="dxa"/>
            <w:vAlign w:val="center"/>
          </w:tcPr>
          <w:p w:rsidR="00516A59" w:rsidRPr="00845E21" w:rsidRDefault="00845E21">
            <w:pPr>
              <w:pStyle w:val="Tabletext"/>
              <w:keepNext/>
              <w:keepLines/>
              <w:jc w:val="center"/>
              <w:rPr>
                <w:szCs w:val="20"/>
                <w:highlight w:val="black"/>
              </w:rPr>
            </w:pPr>
            <w:r>
              <w:rPr>
                <w:noProof/>
                <w:color w:val="000000"/>
                <w:szCs w:val="20"/>
                <w:highlight w:val="black"/>
              </w:rPr>
              <w:t xml:space="preserve">''''''''''''' </w:t>
            </w:r>
            <w:r>
              <w:rPr>
                <w:noProof/>
                <w:color w:val="000000"/>
                <w:szCs w:val="20"/>
                <w:highlight w:val="black"/>
              </w:rPr>
              <w:br/>
              <w:t>'''''''''''''''</w:t>
            </w:r>
          </w:p>
        </w:tc>
        <w:tc>
          <w:tcPr>
            <w:tcW w:w="1111" w:type="dxa"/>
            <w:vAlign w:val="center"/>
          </w:tcPr>
          <w:p w:rsidR="00516A59" w:rsidRPr="00845E21" w:rsidRDefault="00845E21">
            <w:pPr>
              <w:pStyle w:val="Tabletext"/>
              <w:keepNext/>
              <w:keepLines/>
              <w:jc w:val="center"/>
              <w:rPr>
                <w:szCs w:val="20"/>
                <w:highlight w:val="black"/>
              </w:rPr>
            </w:pPr>
            <w:r>
              <w:rPr>
                <w:noProof/>
                <w:color w:val="000000"/>
                <w:szCs w:val="20"/>
                <w:highlight w:val="black"/>
              </w:rPr>
              <w:t>''''''''</w:t>
            </w:r>
          </w:p>
          <w:p w:rsidR="00516A59" w:rsidRPr="00845E21" w:rsidRDefault="00845E21">
            <w:pPr>
              <w:pStyle w:val="Tabletext"/>
              <w:keepNext/>
              <w:keepLines/>
              <w:jc w:val="center"/>
              <w:rPr>
                <w:szCs w:val="20"/>
                <w:highlight w:val="black"/>
              </w:rPr>
            </w:pPr>
            <w:r>
              <w:rPr>
                <w:noProof/>
                <w:color w:val="000000"/>
                <w:szCs w:val="20"/>
                <w:highlight w:val="black"/>
              </w:rPr>
              <w:t>'''''''''''''''''''''</w:t>
            </w:r>
          </w:p>
        </w:tc>
        <w:tc>
          <w:tcPr>
            <w:tcW w:w="1111" w:type="dxa"/>
            <w:vAlign w:val="center"/>
          </w:tcPr>
          <w:p w:rsidR="00516A59" w:rsidRPr="00845E21" w:rsidRDefault="00845E21">
            <w:pPr>
              <w:pStyle w:val="Tabletext"/>
              <w:keepNext/>
              <w:keepLines/>
              <w:jc w:val="center"/>
              <w:rPr>
                <w:szCs w:val="20"/>
                <w:highlight w:val="black"/>
              </w:rPr>
            </w:pPr>
            <w:r>
              <w:rPr>
                <w:noProof/>
                <w:color w:val="000000"/>
                <w:szCs w:val="20"/>
                <w:highlight w:val="black"/>
              </w:rPr>
              <w:t>'''</w:t>
            </w:r>
          </w:p>
        </w:tc>
        <w:tc>
          <w:tcPr>
            <w:tcW w:w="1257" w:type="dxa"/>
            <w:vAlign w:val="center"/>
          </w:tcPr>
          <w:p w:rsidR="00516A59" w:rsidRPr="00845E21" w:rsidRDefault="00845E21">
            <w:pPr>
              <w:pStyle w:val="Tabletext"/>
              <w:keepNext/>
              <w:keepLines/>
              <w:jc w:val="center"/>
              <w:rPr>
                <w:szCs w:val="20"/>
                <w:highlight w:val="black"/>
              </w:rPr>
            </w:pPr>
            <w:r>
              <w:rPr>
                <w:noProof/>
                <w:color w:val="000000"/>
                <w:szCs w:val="20"/>
                <w:highlight w:val="black"/>
              </w:rPr>
              <w:t>''</w:t>
            </w:r>
          </w:p>
        </w:tc>
        <w:tc>
          <w:tcPr>
            <w:tcW w:w="1102" w:type="dxa"/>
            <w:gridSpan w:val="2"/>
            <w:vAlign w:val="center"/>
          </w:tcPr>
          <w:p w:rsidR="00516A59" w:rsidRPr="00845E21" w:rsidRDefault="00845E21">
            <w:pPr>
              <w:pStyle w:val="Tabletext"/>
              <w:keepNext/>
              <w:keepLines/>
              <w:jc w:val="center"/>
              <w:rPr>
                <w:szCs w:val="20"/>
                <w:highlight w:val="black"/>
              </w:rPr>
            </w:pPr>
            <w:r>
              <w:rPr>
                <w:noProof/>
                <w:color w:val="000000"/>
                <w:szCs w:val="20"/>
                <w:highlight w:val="black"/>
              </w:rPr>
              <w:t>'''''''''''</w:t>
            </w:r>
          </w:p>
          <w:p w:rsidR="00516A59" w:rsidRPr="00845E21" w:rsidRDefault="00845E21">
            <w:pPr>
              <w:pStyle w:val="Tabletext"/>
              <w:keepNext/>
              <w:keepLines/>
              <w:jc w:val="center"/>
              <w:rPr>
                <w:szCs w:val="20"/>
                <w:highlight w:val="black"/>
              </w:rPr>
            </w:pPr>
            <w:r>
              <w:rPr>
                <w:noProof/>
                <w:color w:val="000000"/>
                <w:szCs w:val="20"/>
                <w:highlight w:val="black"/>
              </w:rPr>
              <w:t>''''''''''''''''''''''''''''</w:t>
            </w:r>
          </w:p>
        </w:tc>
      </w:tr>
      <w:tr w:rsidR="00516A59">
        <w:tc>
          <w:tcPr>
            <w:tcW w:w="1102" w:type="dxa"/>
            <w:vAlign w:val="center"/>
          </w:tcPr>
          <w:p w:rsidR="00516A59" w:rsidRDefault="007D3F6A">
            <w:pPr>
              <w:pStyle w:val="Tabletext"/>
              <w:keepNext/>
              <w:keepLines/>
              <w:rPr>
                <w:szCs w:val="20"/>
              </w:rPr>
            </w:pPr>
            <w:r>
              <w:rPr>
                <w:szCs w:val="20"/>
              </w:rPr>
              <w:t>KN042 + KN024</w:t>
            </w:r>
            <w:r>
              <w:rPr>
                <w:sz w:val="18"/>
                <w:szCs w:val="18"/>
                <w:vertAlign w:val="superscript"/>
              </w:rPr>
              <w:t xml:space="preserve"> h</w:t>
            </w:r>
          </w:p>
        </w:tc>
        <w:tc>
          <w:tcPr>
            <w:tcW w:w="1108" w:type="dxa"/>
            <w:vAlign w:val="center"/>
          </w:tcPr>
          <w:p w:rsidR="00516A59" w:rsidRPr="00845E21" w:rsidRDefault="00845E21">
            <w:pPr>
              <w:pStyle w:val="Tabletext"/>
              <w:keepNext/>
              <w:keepLines/>
              <w:jc w:val="center"/>
              <w:rPr>
                <w:b/>
                <w:szCs w:val="20"/>
                <w:highlight w:val="black"/>
              </w:rPr>
            </w:pPr>
            <w:r>
              <w:rPr>
                <w:b/>
                <w:noProof/>
                <w:color w:val="000000"/>
                <w:szCs w:val="20"/>
                <w:highlight w:val="black"/>
              </w:rPr>
              <w:t>''</w:t>
            </w:r>
          </w:p>
        </w:tc>
        <w:tc>
          <w:tcPr>
            <w:tcW w:w="1108" w:type="dxa"/>
            <w:vAlign w:val="center"/>
          </w:tcPr>
          <w:p w:rsidR="00516A59" w:rsidRPr="00845E21" w:rsidRDefault="00845E21">
            <w:pPr>
              <w:pStyle w:val="Tabletext"/>
              <w:keepNext/>
              <w:keepLines/>
              <w:jc w:val="center"/>
              <w:rPr>
                <w:b/>
                <w:szCs w:val="20"/>
                <w:highlight w:val="black"/>
              </w:rPr>
            </w:pPr>
            <w:r>
              <w:rPr>
                <w:b/>
                <w:noProof/>
                <w:color w:val="000000"/>
                <w:szCs w:val="20"/>
                <w:highlight w:val="black"/>
              </w:rPr>
              <w:t>''</w:t>
            </w:r>
          </w:p>
        </w:tc>
        <w:tc>
          <w:tcPr>
            <w:tcW w:w="1111" w:type="dxa"/>
            <w:vAlign w:val="center"/>
          </w:tcPr>
          <w:p w:rsidR="00516A59" w:rsidRPr="00845E21" w:rsidRDefault="00845E21">
            <w:pPr>
              <w:pStyle w:val="Tabletext"/>
              <w:keepNext/>
              <w:keepLines/>
              <w:jc w:val="center"/>
              <w:rPr>
                <w:szCs w:val="20"/>
                <w:highlight w:val="black"/>
              </w:rPr>
            </w:pPr>
            <w:r>
              <w:rPr>
                <w:noProof/>
                <w:color w:val="000000"/>
                <w:szCs w:val="20"/>
                <w:highlight w:val="black"/>
              </w:rPr>
              <w:t>''''''''''''''''''</w:t>
            </w:r>
            <w:r>
              <w:rPr>
                <w:noProof/>
                <w:color w:val="000000"/>
                <w:szCs w:val="20"/>
                <w:highlight w:val="black"/>
              </w:rPr>
              <w:br/>
              <w:t>'''''''''''''</w:t>
            </w:r>
          </w:p>
        </w:tc>
        <w:tc>
          <w:tcPr>
            <w:tcW w:w="1111" w:type="dxa"/>
            <w:vAlign w:val="center"/>
          </w:tcPr>
          <w:p w:rsidR="00516A59" w:rsidRPr="00845E21" w:rsidRDefault="00845E21">
            <w:pPr>
              <w:pStyle w:val="Tabletext"/>
              <w:keepNext/>
              <w:keepLines/>
              <w:jc w:val="center"/>
              <w:rPr>
                <w:szCs w:val="20"/>
                <w:highlight w:val="black"/>
              </w:rPr>
            </w:pPr>
            <w:r>
              <w:rPr>
                <w:noProof/>
                <w:color w:val="000000"/>
                <w:szCs w:val="20"/>
                <w:highlight w:val="black"/>
              </w:rPr>
              <w:t>'''''''''</w:t>
            </w:r>
            <w:r>
              <w:rPr>
                <w:noProof/>
                <w:color w:val="000000"/>
                <w:szCs w:val="20"/>
                <w:highlight w:val="black"/>
              </w:rPr>
              <w:br/>
              <w:t>'''''''''''''''''''''</w:t>
            </w:r>
          </w:p>
        </w:tc>
        <w:tc>
          <w:tcPr>
            <w:tcW w:w="1111" w:type="dxa"/>
            <w:vAlign w:val="center"/>
          </w:tcPr>
          <w:p w:rsidR="00516A59" w:rsidRPr="00845E21" w:rsidRDefault="00845E21">
            <w:pPr>
              <w:pStyle w:val="Tabletext"/>
              <w:keepNext/>
              <w:keepLines/>
              <w:jc w:val="center"/>
              <w:rPr>
                <w:szCs w:val="20"/>
                <w:highlight w:val="black"/>
              </w:rPr>
            </w:pPr>
            <w:r>
              <w:rPr>
                <w:noProof/>
                <w:color w:val="000000"/>
                <w:szCs w:val="20"/>
                <w:highlight w:val="black"/>
              </w:rPr>
              <w:t>'''''''''''''''''''</w:t>
            </w:r>
            <w:r>
              <w:rPr>
                <w:noProof/>
                <w:color w:val="000000"/>
                <w:szCs w:val="20"/>
                <w:highlight w:val="black"/>
              </w:rPr>
              <w:br/>
              <w:t>'''''''''''''</w:t>
            </w:r>
          </w:p>
        </w:tc>
        <w:tc>
          <w:tcPr>
            <w:tcW w:w="1257" w:type="dxa"/>
            <w:vAlign w:val="center"/>
          </w:tcPr>
          <w:p w:rsidR="00516A59" w:rsidRPr="00845E21" w:rsidRDefault="00845E21">
            <w:pPr>
              <w:pStyle w:val="Tabletext"/>
              <w:keepNext/>
              <w:keepLines/>
              <w:jc w:val="center"/>
              <w:rPr>
                <w:szCs w:val="20"/>
                <w:highlight w:val="black"/>
              </w:rPr>
            </w:pPr>
            <w:r>
              <w:rPr>
                <w:noProof/>
                <w:color w:val="000000"/>
                <w:szCs w:val="20"/>
                <w:highlight w:val="black"/>
              </w:rPr>
              <w:t>''''''''</w:t>
            </w:r>
            <w:r>
              <w:rPr>
                <w:noProof/>
                <w:color w:val="000000"/>
                <w:szCs w:val="20"/>
                <w:highlight w:val="black"/>
              </w:rPr>
              <w:br/>
              <w:t>'''''''''''''''''''''</w:t>
            </w:r>
          </w:p>
        </w:tc>
        <w:tc>
          <w:tcPr>
            <w:tcW w:w="1102" w:type="dxa"/>
            <w:gridSpan w:val="2"/>
            <w:vAlign w:val="center"/>
          </w:tcPr>
          <w:p w:rsidR="00516A59" w:rsidRPr="00845E21" w:rsidRDefault="00845E21">
            <w:pPr>
              <w:pStyle w:val="Tabletext"/>
              <w:keepNext/>
              <w:keepLines/>
              <w:jc w:val="center"/>
              <w:rPr>
                <w:szCs w:val="20"/>
                <w:highlight w:val="black"/>
              </w:rPr>
            </w:pPr>
            <w:r>
              <w:rPr>
                <w:noProof/>
                <w:color w:val="000000"/>
                <w:szCs w:val="20"/>
                <w:highlight w:val="black"/>
              </w:rPr>
              <w:t>''''''''''</w:t>
            </w:r>
          </w:p>
          <w:p w:rsidR="00516A59" w:rsidRPr="00845E21" w:rsidRDefault="00845E21">
            <w:pPr>
              <w:pStyle w:val="Tabletext"/>
              <w:keepNext/>
              <w:keepLines/>
              <w:jc w:val="center"/>
              <w:rPr>
                <w:szCs w:val="20"/>
                <w:highlight w:val="black"/>
              </w:rPr>
            </w:pPr>
            <w:r>
              <w:rPr>
                <w:noProof/>
                <w:color w:val="000000"/>
                <w:szCs w:val="20"/>
                <w:highlight w:val="black"/>
              </w:rPr>
              <w:t>''''''''''''''''''''''''</w:t>
            </w:r>
          </w:p>
        </w:tc>
      </w:tr>
      <w:tr w:rsidR="00516A59">
        <w:trPr>
          <w:gridAfter w:val="1"/>
          <w:wAfter w:w="15" w:type="dxa"/>
        </w:trPr>
        <w:tc>
          <w:tcPr>
            <w:tcW w:w="7908" w:type="dxa"/>
            <w:gridSpan w:val="7"/>
            <w:vAlign w:val="center"/>
          </w:tcPr>
          <w:p w:rsidR="00516A59" w:rsidRDefault="00845E21">
            <w:pPr>
              <w:pStyle w:val="Tabletext"/>
              <w:keepNext/>
              <w:keepLines/>
              <w:jc w:val="right"/>
              <w:rPr>
                <w:szCs w:val="20"/>
              </w:rPr>
            </w:pPr>
            <w:r>
              <w:rPr>
                <w:b/>
                <w:noProof/>
                <w:color w:val="000000"/>
                <w:szCs w:val="20"/>
                <w:highlight w:val="black"/>
              </w:rPr>
              <w:t>'''''''''''''''' ''''''''''''''''''''''' ''''''''''''''' ''''''''''''''' ''''''' '''''''''''''''' ''''''''''''</w:t>
            </w:r>
            <w:r>
              <w:rPr>
                <w:noProof/>
                <w:color w:val="000000"/>
                <w:szCs w:val="20"/>
                <w:highlight w:val="black"/>
              </w:rPr>
              <w:t xml:space="preserve"> ''''''''' ''''''' ''''' ''''''</w:t>
            </w:r>
          </w:p>
        </w:tc>
        <w:tc>
          <w:tcPr>
            <w:tcW w:w="1087" w:type="dxa"/>
            <w:vAlign w:val="center"/>
          </w:tcPr>
          <w:p w:rsidR="00516A59" w:rsidRPr="00845E21" w:rsidRDefault="00845E21">
            <w:pPr>
              <w:pStyle w:val="Tabletext"/>
              <w:keepNext/>
              <w:keepLines/>
              <w:jc w:val="center"/>
              <w:rPr>
                <w:szCs w:val="20"/>
                <w:highlight w:val="black"/>
              </w:rPr>
            </w:pPr>
            <w:r>
              <w:rPr>
                <w:noProof/>
                <w:color w:val="000000"/>
                <w:szCs w:val="20"/>
                <w:highlight w:val="black"/>
              </w:rPr>
              <w:t>'''''''''''</w:t>
            </w:r>
          </w:p>
          <w:p w:rsidR="00516A59" w:rsidRPr="00845E21" w:rsidRDefault="00845E21">
            <w:pPr>
              <w:pStyle w:val="Tabletext"/>
              <w:keepNext/>
              <w:keepLines/>
              <w:jc w:val="center"/>
              <w:rPr>
                <w:szCs w:val="20"/>
                <w:highlight w:val="black"/>
              </w:rPr>
            </w:pPr>
            <w:r>
              <w:rPr>
                <w:noProof/>
                <w:color w:val="000000"/>
                <w:szCs w:val="20"/>
                <w:highlight w:val="black"/>
              </w:rPr>
              <w:t>''''''''''''''''''''''''''</w:t>
            </w:r>
          </w:p>
        </w:tc>
      </w:tr>
    </w:tbl>
    <w:p w:rsidR="00516A59" w:rsidRDefault="007D3F6A">
      <w:pPr>
        <w:pStyle w:val="TableFooter"/>
        <w:keepNext/>
        <w:keepLines/>
        <w:widowControl/>
      </w:pPr>
      <w:r>
        <w:t>TPS = tumour proportion score; Pembro Combo = pembrolizumab+platinum+pemetrexed; Pembro Mono = pembrolizumab monotherapy; PFS = progression-free survival; HR = hazard ratio; CI = confidence interval; ITC = indirect treatment comparison; ECOG PS = Eastern Cooperative Oncology Group Performance Status.</w:t>
      </w:r>
    </w:p>
    <w:p w:rsidR="00516A59" w:rsidRDefault="007D3F6A">
      <w:pPr>
        <w:pStyle w:val="TableFooter"/>
        <w:keepNext/>
        <w:keepLines/>
        <w:widowControl/>
      </w:pPr>
      <w:r>
        <w:rPr>
          <w:b/>
          <w:szCs w:val="20"/>
          <w:vertAlign w:val="superscript"/>
        </w:rPr>
        <w:t>a</w:t>
      </w:r>
      <w:r>
        <w:rPr>
          <w:vertAlign w:val="superscript"/>
        </w:rPr>
        <w:t xml:space="preserve"> </w:t>
      </w:r>
      <w:r>
        <w:t>Pemetrexed and Carboplatin or Pemetrexed and Cisplatin for KN189 and KN024 and Pemetrexed and Carboplatin for KN042</w:t>
      </w:r>
    </w:p>
    <w:p w:rsidR="00516A59" w:rsidRDefault="007D3F6A">
      <w:pPr>
        <w:pStyle w:val="TableFooter"/>
        <w:keepNext/>
        <w:keepLines/>
        <w:widowControl/>
      </w:pPr>
      <w:r>
        <w:rPr>
          <w:vertAlign w:val="superscript"/>
        </w:rPr>
        <w:t>b</w:t>
      </w:r>
      <w:r>
        <w:t>Number of patients: intention-to-treat, non-squamous subjects pre-assigned to carboplatin+pemetrexed or pemetrexed+cisplatin with TPS ≥ 50%, Patients in each arm in KN189 included in the indirect comparison were those who matched the population in the Pembro Mono studies, by excluding patients with untreated brain metastasis. This exclusion resulted in 121 patients in the Pembro Combo arm and 65 in the platinum+pemetrexed arm in KN189.</w:t>
      </w:r>
    </w:p>
    <w:p w:rsidR="00516A59" w:rsidRDefault="007D3F6A">
      <w:pPr>
        <w:pStyle w:val="TableFooter"/>
        <w:keepNext/>
        <w:keepLines/>
        <w:widowControl/>
      </w:pPr>
      <w:r>
        <w:rPr>
          <w:vertAlign w:val="superscript"/>
        </w:rPr>
        <w:t>c</w:t>
      </w:r>
      <w:r>
        <w:t xml:space="preserve">From product-limit (Kaplan-Meier) method  </w:t>
      </w:r>
    </w:p>
    <w:p w:rsidR="00516A59" w:rsidRDefault="007D3F6A">
      <w:pPr>
        <w:pStyle w:val="TableFooter"/>
        <w:keepNext/>
        <w:keepLines/>
        <w:widowControl/>
      </w:pPr>
      <w:r>
        <w:rPr>
          <w:vertAlign w:val="superscript"/>
        </w:rPr>
        <w:t>d</w:t>
      </w:r>
      <w:r>
        <w:t>Based on Cox regression model with treatment as a covariate stratified by platinum chemotherapy (Cisplatin vs. Carboplatin) and smoking status (never vs. former/current) for KN189, and stratified by study (KN042 vs. KN024) for KN042+KN024. Individual study's stratification factors ECOG PS (0 vs. 1) and geographic region (East Asia vs. non-East Asia) are also covariates for KN042+KN024</w:t>
      </w:r>
    </w:p>
    <w:p w:rsidR="00516A59" w:rsidRDefault="007D3F6A">
      <w:pPr>
        <w:pStyle w:val="TableFooter"/>
        <w:keepNext/>
        <w:keepLines/>
        <w:widowControl/>
      </w:pPr>
      <w:r>
        <w:rPr>
          <w:szCs w:val="18"/>
          <w:vertAlign w:val="superscript"/>
        </w:rPr>
        <w:t>e</w:t>
      </w:r>
      <w:r>
        <w:rPr>
          <w:szCs w:val="18"/>
        </w:rPr>
        <w:t>The inverse probability of treatment weighting (IPTW) method using a multinomial logistic regression was performed with covariates: smoking status (never vs. former/current), ECOG PS (0 vs. 1), age, gender and metastatic stage M1B (yes vs. no). The derived weights were used in the Cox model to adjust for population imbalance across studies and treatment arms</w:t>
      </w:r>
    </w:p>
    <w:p w:rsidR="00516A59" w:rsidRDefault="007D3F6A">
      <w:pPr>
        <w:pStyle w:val="TableFooter"/>
        <w:keepNext/>
        <w:keepLines/>
        <w:widowControl/>
      </w:pPr>
      <w:r>
        <w:rPr>
          <w:vertAlign w:val="superscript"/>
        </w:rPr>
        <w:t>f</w:t>
      </w:r>
      <w:r>
        <w:t xml:space="preserve">Bucher methodology using separate study results (estimate and its standard error) with a common control arm to perform indirect comparison of effect of pembrolizumab combination (KN189) vs. monotherapy (KN042+KN024)  </w:t>
      </w:r>
    </w:p>
    <w:p w:rsidR="00516A59" w:rsidRDefault="007D3F6A">
      <w:pPr>
        <w:pStyle w:val="TableFooter"/>
        <w:keepNext/>
        <w:keepLines/>
        <w:widowControl/>
      </w:pPr>
      <w:r>
        <w:rPr>
          <w:vertAlign w:val="superscript"/>
        </w:rPr>
        <w:t>g</w:t>
      </w:r>
      <w:r>
        <w:t xml:space="preserve">Database Cutoff Date: 21SEP2018  </w:t>
      </w:r>
    </w:p>
    <w:p w:rsidR="00516A59" w:rsidRDefault="007D3F6A">
      <w:pPr>
        <w:pStyle w:val="TableFooter"/>
        <w:keepNext/>
        <w:keepLines/>
        <w:widowControl/>
      </w:pPr>
      <w:r>
        <w:rPr>
          <w:vertAlign w:val="superscript"/>
        </w:rPr>
        <w:t>h</w:t>
      </w:r>
      <w:r>
        <w:t xml:space="preserve">Database Cutoff Date: 04SEP2018 (KN042), 10JUL2017 (KN024) </w:t>
      </w:r>
    </w:p>
    <w:p w:rsidR="00516A59" w:rsidRDefault="007D3F6A">
      <w:pPr>
        <w:pStyle w:val="TableFooter"/>
        <w:keepNext/>
        <w:keepLines/>
        <w:widowControl/>
      </w:pPr>
      <w:r>
        <w:t>Source: Tables 7 and 16, pages 40 and 45 of Appendix 20 accompanying the resubmission</w:t>
      </w:r>
    </w:p>
    <w:p w:rsidR="00516A59" w:rsidRDefault="00516A59">
      <w:pPr>
        <w:keepLines/>
        <w:widowControl/>
        <w:jc w:val="left"/>
      </w:pPr>
    </w:p>
    <w:p w:rsidR="00516A59" w:rsidRDefault="007D3F6A">
      <w:pPr>
        <w:pStyle w:val="ListParagraph"/>
        <w:keepLines/>
        <w:widowControl/>
        <w:rPr>
          <w:snapToGrid/>
          <w:lang w:val="en-US" w:eastAsia="en-AU"/>
        </w:rPr>
      </w:pPr>
      <w:r>
        <w:t xml:space="preserve">The Kaplan-Meier survival curves for patients with PD-L1 TPS ≥50% are presented In Figure 3. </w:t>
      </w:r>
    </w:p>
    <w:p w:rsidR="00516A59" w:rsidRDefault="007D3F6A">
      <w:pPr>
        <w:keepLines/>
        <w:widowControl/>
        <w:jc w:val="left"/>
        <w:rPr>
          <w:rFonts w:cs="Calibri"/>
          <w:snapToGrid/>
          <w:szCs w:val="24"/>
          <w:lang w:val="en-US" w:eastAsia="en-AU"/>
        </w:rPr>
      </w:pPr>
      <w:r>
        <w:rPr>
          <w:rFonts w:cs="Calibri"/>
          <w:snapToGrid/>
          <w:szCs w:val="24"/>
          <w:lang w:val="en-US" w:eastAsia="en-AU"/>
        </w:rPr>
        <w:br w:type="page"/>
      </w:r>
    </w:p>
    <w:p w:rsidR="007F5824" w:rsidRDefault="007F5824" w:rsidP="007F5824">
      <w:pPr>
        <w:pStyle w:val="Caption"/>
      </w:pPr>
      <w:r>
        <w:lastRenderedPageBreak/>
        <w:t xml:space="preserve">Figure </w:t>
      </w:r>
      <w:r>
        <w:rPr>
          <w:noProof/>
        </w:rPr>
        <w:t>3</w:t>
      </w:r>
      <w:r w:rsidRPr="0078586F">
        <w:t xml:space="preserve">: </w:t>
      </w:r>
      <w:r w:rsidR="00216BCE">
        <w:rPr>
          <w:noProof/>
          <w:color w:val="000000"/>
          <w:highlight w:val="black"/>
        </w:rPr>
        <w:t>'''''''''''''''''''''''''' '''''''''''' '''''' '''''''''''''' ''''''''''''''' ''''''''''' '''''''' ''''''''''''''''''''''''''''''' '''''''''''''''''' '''''''''''''' '''' '''''''''''''''' ''''''''' ''''''''''''''''''''''''' '''''''''' '''''''''''' ''''</w:t>
      </w:r>
    </w:p>
    <w:p w:rsidR="007F5824" w:rsidRDefault="00845E21" w:rsidP="007F5824">
      <w:pPr>
        <w:keepNext/>
        <w:keepLines/>
        <w:widowControl/>
      </w:pPr>
      <w:r>
        <w:rPr>
          <w:noProof/>
          <w:snapToGrid/>
          <w:lang w:eastAsia="en-AU"/>
        </w:rPr>
        <w:drawing>
          <wp:inline distT="0" distB="0" distL="0" distR="0">
            <wp:extent cx="2772410" cy="1979930"/>
            <wp:effectExtent l="0" t="0" r="8890" b="1270"/>
            <wp:docPr id="2" name="Picture 2" title="Figure 3: '''''''''''''''''''''''''''' '''''''''''' '''''' ''''''''''''' ''''''''''''''' '''''''''' '''''''' ''''''''''''''''''''''''''''''' '''''''''''''''' '''''''''''''' '''' '''''''''''''' '''''''' '''''''''''''''''''''''''' ''''''''' ''''''''''' ''''''''''''''''''''' "/>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a:extLst>
                        <a:ext uri="{28A0092B-C50C-407E-A947-70E740481C1C}">
                          <a14:useLocalDpi xmlns:a14="http://schemas.microsoft.com/office/drawing/2010/main" val="0"/>
                        </a:ext>
                      </a:extLst>
                    </a:blip>
                    <a:stretch>
                      <a:fillRect/>
                    </a:stretch>
                  </pic:blipFill>
                  <pic:spPr>
                    <a:xfrm>
                      <a:off x="0" y="0"/>
                      <a:ext cx="2772410" cy="1979930"/>
                    </a:xfrm>
                    <a:prstGeom prst="rect">
                      <a:avLst/>
                    </a:prstGeom>
                  </pic:spPr>
                </pic:pic>
              </a:graphicData>
            </a:graphic>
          </wp:inline>
        </w:drawing>
      </w:r>
      <w:r w:rsidR="007F5824">
        <w:rPr>
          <w:noProof/>
          <w:snapToGrid/>
          <w:lang w:eastAsia="en-AU"/>
        </w:rPr>
        <w:drawing>
          <wp:inline distT="0" distB="0" distL="0" distR="0" wp14:anchorId="29F9A0A9" wp14:editId="689544D7">
            <wp:extent cx="2771775" cy="229362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71775" cy="2293620"/>
                    </a:xfrm>
                    <a:prstGeom prst="rect">
                      <a:avLst/>
                    </a:prstGeom>
                  </pic:spPr>
                </pic:pic>
              </a:graphicData>
            </a:graphic>
          </wp:inline>
        </w:drawing>
      </w:r>
    </w:p>
    <w:p w:rsidR="00516A59" w:rsidRPr="00845E21" w:rsidRDefault="00516A59">
      <w:pPr>
        <w:keepLines/>
        <w:widowControl/>
        <w:rPr>
          <w:highlight w:val="black"/>
        </w:rPr>
      </w:pPr>
    </w:p>
    <w:p w:rsidR="00516A59" w:rsidRDefault="007D3F6A">
      <w:pPr>
        <w:pStyle w:val="TableFooter"/>
        <w:keepLines/>
        <w:widowControl/>
      </w:pPr>
      <w:r>
        <w:t>Source: Figure 3, p26, Figure 6, p34 and Appendix 20 accompanying the resubmission</w:t>
      </w:r>
    </w:p>
    <w:p w:rsidR="00516A59" w:rsidRDefault="00516A59">
      <w:pPr>
        <w:keepLines/>
        <w:widowControl/>
      </w:pPr>
    </w:p>
    <w:p w:rsidR="00516A59" w:rsidRDefault="007D3F6A">
      <w:pPr>
        <w:pStyle w:val="ListParagraph"/>
        <w:keepLines/>
        <w:widowControl/>
        <w:spacing w:after="120"/>
      </w:pPr>
      <w:r>
        <w:t xml:space="preserve">Based on the indirect comparison presented, the resubmission concluded that pembrolizumab+platinum+pemetrexed was associated with a statistically significant increase in PFS compared with pembrolizumab monotherapy (PFS HR = </w:t>
      </w:r>
      <w:r w:rsidR="00845E21">
        <w:rPr>
          <w:noProof/>
          <w:color w:val="000000"/>
          <w:highlight w:val="black"/>
        </w:rPr>
        <w:t>''''''''</w:t>
      </w:r>
      <w:r>
        <w:t>, 95% CI: </w:t>
      </w:r>
      <w:r w:rsidR="00845E21">
        <w:rPr>
          <w:noProof/>
          <w:color w:val="000000"/>
          <w:highlight w:val="black"/>
        </w:rPr>
        <w:t>'''''''''' ''''''''</w:t>
      </w:r>
      <w:r>
        <w:t xml:space="preserve">). </w:t>
      </w:r>
    </w:p>
    <w:p w:rsidR="00516A59" w:rsidRDefault="007D3F6A">
      <w:pPr>
        <w:pStyle w:val="ListParagraph"/>
        <w:keepLines/>
        <w:widowControl/>
        <w:spacing w:after="120"/>
      </w:pPr>
      <w:r>
        <w:t xml:space="preserve">The resubmission noted that: a) the OS HR from the indirect comparison was not statistically significant, but numerically favoured pembrolizumab+platinum+pemetrexed, and b) the median OS in the pembrolizumab+platinum+pemetrexed arm of KN189 was not reached, whereas it was </w:t>
      </w:r>
      <w:r w:rsidR="00845E21">
        <w:rPr>
          <w:noProof/>
          <w:color w:val="000000"/>
          <w:highlight w:val="black"/>
        </w:rPr>
        <w:t>''''''''</w:t>
      </w:r>
      <w:r>
        <w:t xml:space="preserve"> months in the KN024/42 combined group. There are limitations associated with the HR estimates (see below). Notwithstanding these limitations, the only indirect estimate of efficacy that statistically significantly favoured pembrolizumab+platinum+pemetrexed was the PFS HR derived from the comparison between KN189 and KN024+KN042 (Table </w:t>
      </w:r>
      <w:r>
        <w:rPr>
          <w:noProof/>
        </w:rPr>
        <w:t>9</w:t>
      </w:r>
      <w:r>
        <w:t xml:space="preserve">). There were no statistically significant differences in OS, between pembrolizumab+platinum+pemetrexed and pembrolizumab monotherapy, from the indirect comparisons (Table </w:t>
      </w:r>
      <w:r>
        <w:rPr>
          <w:noProof/>
        </w:rPr>
        <w:t>8</w:t>
      </w:r>
      <w:r>
        <w:t>).</w:t>
      </w:r>
    </w:p>
    <w:p w:rsidR="00516A59" w:rsidRDefault="007D3F6A">
      <w:pPr>
        <w:pStyle w:val="ListParagraph"/>
        <w:keepLines/>
        <w:widowControl/>
        <w:spacing w:after="120"/>
      </w:pPr>
      <w:r>
        <w:t>The evaluation considered, similar to the previous submission, the indirect comparison between pembrolizumab+platinum+pemetrexed and pembrolizumab monotherapy (KN189 vs. KN024+KN042) presented in the resubmission remained highly uncertain, as a result of both methodological and transitivity issues.</w:t>
      </w:r>
    </w:p>
    <w:p w:rsidR="00516A59" w:rsidRDefault="007D3F6A">
      <w:pPr>
        <w:pStyle w:val="ListParagraph"/>
        <w:keepLines/>
        <w:widowControl/>
        <w:numPr>
          <w:ilvl w:val="0"/>
          <w:numId w:val="5"/>
        </w:numPr>
        <w:spacing w:after="120"/>
        <w:ind w:left="1077" w:hanging="357"/>
      </w:pPr>
      <w:r>
        <w:t xml:space="preserve">The use of HRs was inappropriate in quantifying the magnitude of clinical benefit gained where there was departure from the proportional hazards (PH) assumption in the included studies. Figure </w:t>
      </w:r>
      <w:r>
        <w:rPr>
          <w:noProof/>
        </w:rPr>
        <w:t>3</w:t>
      </w:r>
      <w:r>
        <w:t xml:space="preserve"> above indicated there was such a departure as the OS and PFS curves crossed for KN024+KN042. </w:t>
      </w:r>
    </w:p>
    <w:p w:rsidR="00516A59" w:rsidRDefault="007D3F6A">
      <w:pPr>
        <w:pStyle w:val="ListParagraph"/>
        <w:keepLines/>
        <w:widowControl/>
        <w:numPr>
          <w:ilvl w:val="0"/>
          <w:numId w:val="5"/>
        </w:numPr>
        <w:spacing w:after="120"/>
      </w:pPr>
      <w:r>
        <w:lastRenderedPageBreak/>
        <w:t xml:space="preserve">The inclusion of KN042 in the indirect comparison favoured pembrolizumab+platinum+pemetrexed. The relative benefit of pembrolizumab differed across the KN042 and KN024 studies. </w:t>
      </w:r>
    </w:p>
    <w:p w:rsidR="00516A59" w:rsidRDefault="007D3F6A">
      <w:pPr>
        <w:pStyle w:val="ListParagraph"/>
        <w:keepLines/>
        <w:widowControl/>
        <w:numPr>
          <w:ilvl w:val="0"/>
          <w:numId w:val="5"/>
        </w:numPr>
        <w:spacing w:after="120"/>
      </w:pPr>
      <w:r>
        <w:t xml:space="preserve">From the Kaplan Meier curves for OS and PFS (Figure </w:t>
      </w:r>
      <w:r>
        <w:rPr>
          <w:noProof/>
        </w:rPr>
        <w:t>3</w:t>
      </w:r>
      <w:r>
        <w:t xml:space="preserve">), the absolute PFS and OS durations differed, between the common reference arms, across the KN189 and the pembrolizumab monotherapy studies. The median OS of the common reference arms (platinum+pemetrexed) was </w:t>
      </w:r>
      <w:r w:rsidR="00845E21">
        <w:rPr>
          <w:noProof/>
          <w:color w:val="000000"/>
          <w:highlight w:val="black"/>
        </w:rPr>
        <w:t>'''''''''</w:t>
      </w:r>
      <w:r>
        <w:t xml:space="preserve"> months for the pembrolizumab monotherapy studies compared to </w:t>
      </w:r>
      <w:r w:rsidR="00845E21">
        <w:rPr>
          <w:noProof/>
          <w:color w:val="000000"/>
          <w:highlight w:val="black"/>
        </w:rPr>
        <w:t>''''''''</w:t>
      </w:r>
      <w:r>
        <w:t xml:space="preserve"> months for KN189 (Table </w:t>
      </w:r>
      <w:r>
        <w:rPr>
          <w:noProof/>
        </w:rPr>
        <w:t>8</w:t>
      </w:r>
      <w:r>
        <w:t xml:space="preserve">). </w:t>
      </w:r>
    </w:p>
    <w:p w:rsidR="00516A59" w:rsidRDefault="007D3F6A">
      <w:pPr>
        <w:pStyle w:val="ListParagraph"/>
        <w:keepLines/>
        <w:widowControl/>
        <w:numPr>
          <w:ilvl w:val="0"/>
          <w:numId w:val="5"/>
        </w:numPr>
        <w:spacing w:after="120"/>
      </w:pPr>
      <w:r>
        <w:t>As in the previous submission, the resubmission used the IPTW approach to “balance” unequal distributions in specific baseline characteristics, within and across studies, for the indirect comparisons. Matched or weighted indirect comparisons may not mitigate the issue of confounding in indirect comparisons as weighting for numerous covariates (at the expense of precision) and for unknown confounders is not feasible.</w:t>
      </w:r>
    </w:p>
    <w:p w:rsidR="00516A59" w:rsidRPr="00216BCE" w:rsidRDefault="007D3F6A" w:rsidP="00216BCE">
      <w:pPr>
        <w:keepLines/>
        <w:widowControl/>
        <w:rPr>
          <w:b/>
          <w:i/>
          <w:u w:val="single"/>
        </w:rPr>
      </w:pPr>
      <w:bookmarkStart w:id="18" w:name="_Toc371170707"/>
      <w:r w:rsidRPr="00216BCE">
        <w:rPr>
          <w:b/>
          <w:i/>
          <w:u w:val="single"/>
        </w:rPr>
        <w:t>Pembrolizumab+platinum+pemetrexed versus ABCP: Naïve indirect evidence</w:t>
      </w:r>
    </w:p>
    <w:p w:rsidR="00516A59" w:rsidRDefault="00516A59">
      <w:pPr>
        <w:keepLines/>
        <w:widowControl/>
      </w:pPr>
    </w:p>
    <w:p w:rsidR="00516A59" w:rsidRDefault="007D3F6A">
      <w:pPr>
        <w:pStyle w:val="ListParagraph"/>
        <w:keepLines/>
        <w:widowControl/>
        <w:spacing w:after="120"/>
      </w:pPr>
      <w:r>
        <w:t>The resubmission presented a naïve indirect comparison between pembrolizumab+platinum+pemetrexed (KN189) and ABCP from the IMpower 150 trial. IMpower 150 compared ABCP to bevacizumab+carboplatin+paclitaxel (BCP) in previously untreated stage IV NSQ NSCLC. The resubmission noted that a common reference arm to enable an adjusted indirect comparison between pembrolizumab+platinum+pemetrexed and ABCP was lacking. This was because the comparator arm for ABCP in IMpower 150 was bevacizumab + a platinum doublet and the comparator arm for pembrolizumab+platinum+pemetrexed in KN189 was a platinum doublet only.</w:t>
      </w:r>
    </w:p>
    <w:p w:rsidR="00516A59" w:rsidRDefault="007D3F6A">
      <w:pPr>
        <w:pStyle w:val="ListParagraph"/>
        <w:keepLines/>
        <w:widowControl/>
        <w:spacing w:after="120"/>
      </w:pPr>
      <w:r>
        <w:t xml:space="preserve">The resubmission concluded that there was a greater reduction (44%) in the “risk” of death associated with pembrolizumab+platinum+pemetrexed (KN189: HR = 0.56), compared to that associated with ABCP from the IMpower 150 trial (HR = 0.78; 22% reduction). The evaluation considered this claim was inadequately supported given the naïve nature of the analysis, different comparator arms and other potential differences in study design and patient populations not assessed in the resubmission. </w:t>
      </w:r>
    </w:p>
    <w:p w:rsidR="00516A59" w:rsidRDefault="007D3F6A">
      <w:pPr>
        <w:pStyle w:val="ListParagraph"/>
        <w:keepLines/>
        <w:widowControl/>
        <w:spacing w:after="120"/>
        <w:rPr>
          <w:i/>
        </w:rPr>
      </w:pPr>
      <w:r>
        <w:t xml:space="preserve">The resubmission also stated that the above conclusions were supported by a published Bayesian network meta-analysis (NMA) which examined the comparative efficacy of pembrolizumab+platinum+pemetrexed specifically, relative to other regimens used in metastatic NSQ NSCLC trials, in patients without targetable mutations. Insufficient detail was provided in the submission regarding the conduct of the NMA to evaluate its validity. The PSCR provided substantial additional detail regarding the conduct of the NMA but the ESC noted the additional information was not evaluated. </w:t>
      </w:r>
    </w:p>
    <w:p w:rsidR="007F5824" w:rsidRDefault="007F5824">
      <w:pPr>
        <w:widowControl/>
        <w:jc w:val="left"/>
        <w:rPr>
          <w:b/>
          <w:i/>
          <w:sz w:val="28"/>
        </w:rPr>
      </w:pPr>
      <w:bookmarkStart w:id="19" w:name="_Toc9436242"/>
      <w:r>
        <w:br w:type="page"/>
      </w:r>
    </w:p>
    <w:p w:rsidR="00516A59" w:rsidRDefault="007D3F6A">
      <w:pPr>
        <w:pStyle w:val="Heading2"/>
      </w:pPr>
      <w:r>
        <w:lastRenderedPageBreak/>
        <w:t>Comparative harms</w:t>
      </w:r>
      <w:bookmarkEnd w:id="18"/>
      <w:bookmarkEnd w:id="19"/>
    </w:p>
    <w:p w:rsidR="00516A59" w:rsidRDefault="007D3F6A">
      <w:pPr>
        <w:pStyle w:val="ListParagraph"/>
        <w:keepLines/>
        <w:widowControl/>
        <w:spacing w:after="120"/>
      </w:pPr>
      <w:r>
        <w:t>Compared to the previous submission, the resubmission stated that:</w:t>
      </w:r>
    </w:p>
    <w:p w:rsidR="00516A59" w:rsidRDefault="007D3F6A">
      <w:pPr>
        <w:pStyle w:val="ListParagraph"/>
        <w:keepLines/>
        <w:widowControl/>
        <w:numPr>
          <w:ilvl w:val="0"/>
          <w:numId w:val="5"/>
        </w:numPr>
        <w:spacing w:after="120"/>
      </w:pPr>
      <w:r>
        <w:t>Updated data with 18.7 months follow up for KN189 have not changed safety conclusions; and</w:t>
      </w:r>
    </w:p>
    <w:p w:rsidR="00516A59" w:rsidRDefault="007D3F6A">
      <w:pPr>
        <w:pStyle w:val="ListParagraph"/>
        <w:keepLines/>
        <w:widowControl/>
        <w:numPr>
          <w:ilvl w:val="0"/>
          <w:numId w:val="5"/>
        </w:numPr>
        <w:spacing w:after="120"/>
      </w:pPr>
      <w:r>
        <w:t>There were no updates made since the previous submission to overall safety data, data on drug-related AEs and serious drug-related AEs.</w:t>
      </w:r>
    </w:p>
    <w:p w:rsidR="00516A59" w:rsidRDefault="007D3F6A">
      <w:pPr>
        <w:pStyle w:val="ListParagraph"/>
        <w:keepLines/>
        <w:widowControl/>
        <w:spacing w:after="120"/>
      </w:pPr>
      <w:r>
        <w:t>The summary of key adverse events (AEs) in KN189 considered by the PBAC previously is re-produced in Table 10. Overall, the frequency of AEs was higher in patients treated with pembrolizumab+platinum+pemetrexed compared to patients treated with platinum doublet. The incidence of AEs of special interest was also higher in patients treated with pembrolizumab+platinum+pemetrexed compared to platinum doublet, with three patients dying due to pneumonitis in the pembrolizumab+platinum+pemetrexed group.</w:t>
      </w:r>
    </w:p>
    <w:p w:rsidR="0093515B" w:rsidRDefault="0093515B" w:rsidP="0093515B">
      <w:pPr>
        <w:pStyle w:val="Caption"/>
        <w:keepNext/>
      </w:pPr>
      <w:r>
        <w:t xml:space="preserve">Table </w:t>
      </w:r>
      <w:r>
        <w:rPr>
          <w:noProof/>
        </w:rPr>
        <w:t>10</w:t>
      </w:r>
      <w:r w:rsidRPr="00E4390C">
        <w:t>: Summary of statistically significant adverse events in KN189</w:t>
      </w:r>
    </w:p>
    <w:tbl>
      <w:tblPr>
        <w:tblStyle w:val="TableGrid"/>
        <w:tblW w:w="0" w:type="auto"/>
        <w:tblCellMar>
          <w:left w:w="28" w:type="dxa"/>
          <w:right w:w="28" w:type="dxa"/>
        </w:tblCellMar>
        <w:tblLook w:val="04A0" w:firstRow="1" w:lastRow="0" w:firstColumn="1" w:lastColumn="0" w:noHBand="0" w:noVBand="1"/>
        <w:tblCaption w:val="Table 10: Summary of statistically significant adverse events in KN189"/>
      </w:tblPr>
      <w:tblGrid>
        <w:gridCol w:w="1502"/>
        <w:gridCol w:w="1503"/>
        <w:gridCol w:w="1503"/>
        <w:gridCol w:w="1503"/>
        <w:gridCol w:w="1503"/>
        <w:gridCol w:w="1503"/>
      </w:tblGrid>
      <w:tr w:rsidR="00516A59">
        <w:trPr>
          <w:tblHeader/>
        </w:trPr>
        <w:tc>
          <w:tcPr>
            <w:tcW w:w="1502" w:type="dxa"/>
            <w:shd w:val="clear" w:color="auto" w:fill="D9D9D9" w:themeFill="background1" w:themeFillShade="D9"/>
            <w:vAlign w:val="center"/>
          </w:tcPr>
          <w:p w:rsidR="00516A59" w:rsidRDefault="007D3F6A">
            <w:pPr>
              <w:keepNext/>
              <w:keepLines/>
              <w:widowControl/>
              <w:jc w:val="center"/>
              <w:rPr>
                <w:b/>
              </w:rPr>
            </w:pPr>
            <w:r>
              <w:rPr>
                <w:rFonts w:ascii="Arial Narrow" w:hAnsi="Arial Narrow"/>
                <w:b/>
                <w:sz w:val="20"/>
                <w:szCs w:val="20"/>
              </w:rPr>
              <w:t>Event</w:t>
            </w:r>
          </w:p>
        </w:tc>
        <w:tc>
          <w:tcPr>
            <w:tcW w:w="1503" w:type="dxa"/>
            <w:shd w:val="clear" w:color="auto" w:fill="D9D9D9" w:themeFill="background1" w:themeFillShade="D9"/>
            <w:vAlign w:val="center"/>
          </w:tcPr>
          <w:p w:rsidR="00516A59" w:rsidRDefault="007D3F6A">
            <w:pPr>
              <w:keepNext/>
              <w:keepLines/>
              <w:widowControl/>
              <w:jc w:val="center"/>
              <w:rPr>
                <w:b/>
              </w:rPr>
            </w:pPr>
            <w:r>
              <w:rPr>
                <w:rFonts w:ascii="Arial Narrow" w:hAnsi="Arial Narrow"/>
                <w:b/>
                <w:sz w:val="20"/>
                <w:szCs w:val="20"/>
              </w:rPr>
              <w:t xml:space="preserve">Pembro Combo, </w:t>
            </w:r>
            <w:r>
              <w:rPr>
                <w:rFonts w:ascii="Arial Narrow" w:hAnsi="Arial Narrow"/>
                <w:b/>
                <w:sz w:val="20"/>
                <w:szCs w:val="20"/>
              </w:rPr>
              <w:br/>
              <w:t xml:space="preserve">n (%) </w:t>
            </w:r>
            <w:r>
              <w:rPr>
                <w:rFonts w:ascii="Arial Narrow" w:hAnsi="Arial Narrow"/>
                <w:b/>
                <w:sz w:val="20"/>
                <w:szCs w:val="20"/>
              </w:rPr>
              <w:br/>
              <w:t>N=405</w:t>
            </w:r>
          </w:p>
        </w:tc>
        <w:tc>
          <w:tcPr>
            <w:tcW w:w="1503" w:type="dxa"/>
            <w:shd w:val="clear" w:color="auto" w:fill="D9D9D9" w:themeFill="background1" w:themeFillShade="D9"/>
            <w:vAlign w:val="center"/>
          </w:tcPr>
          <w:p w:rsidR="00516A59" w:rsidRDefault="007D3F6A">
            <w:pPr>
              <w:keepNext/>
              <w:keepLines/>
              <w:widowControl/>
              <w:jc w:val="center"/>
              <w:rPr>
                <w:b/>
              </w:rPr>
            </w:pPr>
            <w:r>
              <w:rPr>
                <w:rFonts w:ascii="Arial Narrow" w:hAnsi="Arial Narrow"/>
                <w:b/>
                <w:sz w:val="20"/>
                <w:szCs w:val="20"/>
              </w:rPr>
              <w:t xml:space="preserve">Platinum doublet, n (%) </w:t>
            </w:r>
            <w:r>
              <w:rPr>
                <w:rFonts w:ascii="Arial Narrow" w:hAnsi="Arial Narrow"/>
                <w:b/>
                <w:sz w:val="20"/>
                <w:szCs w:val="20"/>
              </w:rPr>
              <w:br/>
              <w:t>N=202</w:t>
            </w:r>
          </w:p>
        </w:tc>
        <w:tc>
          <w:tcPr>
            <w:tcW w:w="1503" w:type="dxa"/>
            <w:shd w:val="clear" w:color="auto" w:fill="D9D9D9" w:themeFill="background1" w:themeFillShade="D9"/>
            <w:vAlign w:val="center"/>
          </w:tcPr>
          <w:p w:rsidR="00516A59" w:rsidRDefault="007D3F6A">
            <w:pPr>
              <w:keepNext/>
              <w:keepLines/>
              <w:widowControl/>
              <w:jc w:val="center"/>
              <w:rPr>
                <w:b/>
              </w:rPr>
            </w:pPr>
            <w:r>
              <w:rPr>
                <w:rFonts w:ascii="Arial Narrow" w:hAnsi="Arial Narrow"/>
                <w:b/>
                <w:sz w:val="20"/>
                <w:szCs w:val="20"/>
              </w:rPr>
              <w:t>OR (95%CI)</w:t>
            </w:r>
          </w:p>
        </w:tc>
        <w:tc>
          <w:tcPr>
            <w:tcW w:w="1503" w:type="dxa"/>
            <w:shd w:val="clear" w:color="auto" w:fill="D9D9D9" w:themeFill="background1" w:themeFillShade="D9"/>
            <w:vAlign w:val="center"/>
          </w:tcPr>
          <w:p w:rsidR="00516A59" w:rsidRDefault="007D3F6A">
            <w:pPr>
              <w:keepNext/>
              <w:keepLines/>
              <w:widowControl/>
              <w:jc w:val="center"/>
              <w:rPr>
                <w:b/>
              </w:rPr>
            </w:pPr>
            <w:r>
              <w:rPr>
                <w:rFonts w:ascii="Arial Narrow" w:hAnsi="Arial Narrow"/>
                <w:b/>
                <w:sz w:val="20"/>
                <w:szCs w:val="20"/>
              </w:rPr>
              <w:t>RR (95%CI)</w:t>
            </w:r>
          </w:p>
        </w:tc>
        <w:tc>
          <w:tcPr>
            <w:tcW w:w="1503" w:type="dxa"/>
            <w:shd w:val="clear" w:color="auto" w:fill="D9D9D9" w:themeFill="background1" w:themeFillShade="D9"/>
            <w:vAlign w:val="center"/>
          </w:tcPr>
          <w:p w:rsidR="00516A59" w:rsidRDefault="007D3F6A">
            <w:pPr>
              <w:keepNext/>
              <w:keepLines/>
              <w:widowControl/>
              <w:jc w:val="center"/>
              <w:rPr>
                <w:b/>
              </w:rPr>
            </w:pPr>
            <w:r>
              <w:rPr>
                <w:rFonts w:ascii="Arial Narrow" w:hAnsi="Arial Narrow"/>
                <w:b/>
                <w:sz w:val="20"/>
                <w:szCs w:val="20"/>
              </w:rPr>
              <w:t>RD (95%CI)</w:t>
            </w:r>
          </w:p>
        </w:tc>
      </w:tr>
      <w:tr w:rsidR="00516A59">
        <w:tc>
          <w:tcPr>
            <w:tcW w:w="1502" w:type="dxa"/>
            <w:shd w:val="clear" w:color="auto" w:fill="D9D9D9" w:themeFill="background1" w:themeFillShade="D9"/>
          </w:tcPr>
          <w:p w:rsidR="00516A59" w:rsidRDefault="007D3F6A">
            <w:pPr>
              <w:keepNext/>
              <w:keepLines/>
              <w:widowControl/>
              <w:rPr>
                <w:rFonts w:ascii="Arial Narrow" w:hAnsi="Arial Narrow"/>
                <w:sz w:val="20"/>
                <w:szCs w:val="20"/>
              </w:rPr>
            </w:pPr>
            <w:r>
              <w:rPr>
                <w:rFonts w:ascii="Arial Narrow" w:hAnsi="Arial Narrow"/>
                <w:sz w:val="20"/>
                <w:szCs w:val="20"/>
              </w:rPr>
              <w:t>≥1 AE</w:t>
            </w:r>
          </w:p>
        </w:tc>
        <w:tc>
          <w:tcPr>
            <w:tcW w:w="1503" w:type="dxa"/>
            <w:shd w:val="clear" w:color="auto" w:fill="D9D9D9" w:themeFill="background1" w:themeFillShade="D9"/>
            <w:vAlign w:val="center"/>
          </w:tcPr>
          <w:p w:rsidR="00516A59" w:rsidRDefault="007D3F6A">
            <w:pPr>
              <w:keepNext/>
              <w:keepLines/>
              <w:widowControl/>
              <w:jc w:val="center"/>
              <w:rPr>
                <w:rFonts w:ascii="Arial Narrow" w:hAnsi="Arial Narrow"/>
                <w:sz w:val="20"/>
                <w:szCs w:val="20"/>
              </w:rPr>
            </w:pPr>
            <w:r>
              <w:rPr>
                <w:rFonts w:ascii="Arial Narrow" w:hAnsi="Arial Narrow"/>
                <w:sz w:val="20"/>
                <w:szCs w:val="20"/>
              </w:rPr>
              <w:t>404 (99.8)</w:t>
            </w:r>
          </w:p>
        </w:tc>
        <w:tc>
          <w:tcPr>
            <w:tcW w:w="1503" w:type="dxa"/>
            <w:shd w:val="clear" w:color="auto" w:fill="D9D9D9" w:themeFill="background1" w:themeFillShade="D9"/>
            <w:vAlign w:val="center"/>
          </w:tcPr>
          <w:p w:rsidR="00516A59" w:rsidRDefault="007D3F6A">
            <w:pPr>
              <w:keepNext/>
              <w:keepLines/>
              <w:widowControl/>
              <w:jc w:val="center"/>
              <w:rPr>
                <w:rFonts w:ascii="Arial Narrow" w:hAnsi="Arial Narrow"/>
                <w:sz w:val="20"/>
                <w:szCs w:val="20"/>
              </w:rPr>
            </w:pPr>
            <w:r>
              <w:rPr>
                <w:rFonts w:ascii="Arial Narrow" w:hAnsi="Arial Narrow"/>
                <w:sz w:val="20"/>
                <w:szCs w:val="20"/>
              </w:rPr>
              <w:t>200 (99.0)</w:t>
            </w:r>
          </w:p>
        </w:tc>
        <w:tc>
          <w:tcPr>
            <w:tcW w:w="1503" w:type="dxa"/>
            <w:shd w:val="clear" w:color="auto" w:fill="D9D9D9" w:themeFill="background1" w:themeFillShade="D9"/>
            <w:vAlign w:val="center"/>
          </w:tcPr>
          <w:p w:rsidR="00516A59" w:rsidRDefault="00516A59">
            <w:pPr>
              <w:keepNext/>
              <w:keepLines/>
              <w:widowControl/>
              <w:jc w:val="center"/>
              <w:rPr>
                <w:rFonts w:ascii="Arial Narrow" w:hAnsi="Arial Narrow"/>
                <w:sz w:val="20"/>
                <w:szCs w:val="20"/>
              </w:rPr>
            </w:pPr>
          </w:p>
        </w:tc>
        <w:tc>
          <w:tcPr>
            <w:tcW w:w="1503" w:type="dxa"/>
            <w:shd w:val="clear" w:color="auto" w:fill="D9D9D9" w:themeFill="background1" w:themeFillShade="D9"/>
            <w:vAlign w:val="center"/>
          </w:tcPr>
          <w:p w:rsidR="00516A59" w:rsidRDefault="00516A59">
            <w:pPr>
              <w:keepNext/>
              <w:keepLines/>
              <w:widowControl/>
              <w:jc w:val="center"/>
              <w:rPr>
                <w:rFonts w:ascii="Arial Narrow" w:hAnsi="Arial Narrow"/>
                <w:sz w:val="20"/>
                <w:szCs w:val="20"/>
              </w:rPr>
            </w:pPr>
          </w:p>
        </w:tc>
        <w:tc>
          <w:tcPr>
            <w:tcW w:w="1503" w:type="dxa"/>
            <w:shd w:val="clear" w:color="auto" w:fill="D9D9D9" w:themeFill="background1" w:themeFillShade="D9"/>
            <w:vAlign w:val="center"/>
          </w:tcPr>
          <w:p w:rsidR="00516A59" w:rsidRDefault="00516A59">
            <w:pPr>
              <w:keepNext/>
              <w:keepLines/>
              <w:widowControl/>
              <w:jc w:val="center"/>
              <w:rPr>
                <w:rFonts w:ascii="Arial Narrow" w:hAnsi="Arial Narrow"/>
                <w:sz w:val="20"/>
                <w:szCs w:val="20"/>
              </w:rPr>
            </w:pPr>
          </w:p>
        </w:tc>
      </w:tr>
      <w:tr w:rsidR="00516A59">
        <w:tc>
          <w:tcPr>
            <w:tcW w:w="1502" w:type="dxa"/>
            <w:shd w:val="clear" w:color="auto" w:fill="D9D9D9" w:themeFill="background1" w:themeFillShade="D9"/>
          </w:tcPr>
          <w:p w:rsidR="00516A59" w:rsidRDefault="007D3F6A">
            <w:pPr>
              <w:keepNext/>
              <w:keepLines/>
              <w:widowControl/>
              <w:ind w:left="284"/>
              <w:rPr>
                <w:rFonts w:ascii="Arial Narrow" w:hAnsi="Arial Narrow"/>
                <w:sz w:val="20"/>
                <w:szCs w:val="20"/>
              </w:rPr>
            </w:pPr>
            <w:r>
              <w:rPr>
                <w:rFonts w:ascii="Arial Narrow" w:hAnsi="Arial Narrow"/>
                <w:sz w:val="20"/>
                <w:szCs w:val="20"/>
              </w:rPr>
              <w:t>Diarrhoea</w:t>
            </w:r>
          </w:p>
        </w:tc>
        <w:tc>
          <w:tcPr>
            <w:tcW w:w="1503" w:type="dxa"/>
            <w:shd w:val="clear" w:color="auto" w:fill="D9D9D9" w:themeFill="background1" w:themeFillShade="D9"/>
            <w:vAlign w:val="center"/>
          </w:tcPr>
          <w:p w:rsidR="00516A59" w:rsidRDefault="007D3F6A">
            <w:pPr>
              <w:keepNext/>
              <w:keepLines/>
              <w:widowControl/>
              <w:jc w:val="center"/>
              <w:rPr>
                <w:rFonts w:ascii="Arial Narrow" w:hAnsi="Arial Narrow"/>
                <w:sz w:val="20"/>
                <w:szCs w:val="20"/>
              </w:rPr>
            </w:pPr>
            <w:r>
              <w:rPr>
                <w:rFonts w:ascii="Arial Narrow" w:hAnsi="Arial Narrow"/>
                <w:sz w:val="20"/>
                <w:szCs w:val="20"/>
              </w:rPr>
              <w:t>125 (30.9)</w:t>
            </w:r>
          </w:p>
        </w:tc>
        <w:tc>
          <w:tcPr>
            <w:tcW w:w="1503" w:type="dxa"/>
            <w:shd w:val="clear" w:color="auto" w:fill="D9D9D9" w:themeFill="background1" w:themeFillShade="D9"/>
            <w:vAlign w:val="center"/>
          </w:tcPr>
          <w:p w:rsidR="00516A59" w:rsidRDefault="007D3F6A">
            <w:pPr>
              <w:keepNext/>
              <w:keepLines/>
              <w:widowControl/>
              <w:jc w:val="center"/>
              <w:rPr>
                <w:rFonts w:ascii="Arial Narrow" w:hAnsi="Arial Narrow"/>
                <w:sz w:val="20"/>
                <w:szCs w:val="20"/>
              </w:rPr>
            </w:pPr>
            <w:r>
              <w:rPr>
                <w:rFonts w:ascii="Arial Narrow" w:hAnsi="Arial Narrow"/>
                <w:sz w:val="20"/>
                <w:szCs w:val="20"/>
              </w:rPr>
              <w:t>43 (21.3)</w:t>
            </w:r>
          </w:p>
        </w:tc>
        <w:tc>
          <w:tcPr>
            <w:tcW w:w="1503" w:type="dxa"/>
            <w:shd w:val="clear" w:color="auto" w:fill="D9D9D9" w:themeFill="background1" w:themeFillShade="D9"/>
            <w:vAlign w:val="center"/>
          </w:tcPr>
          <w:p w:rsidR="00516A59" w:rsidRDefault="007D3F6A">
            <w:pPr>
              <w:keepNext/>
              <w:keepLines/>
              <w:widowControl/>
              <w:jc w:val="center"/>
              <w:rPr>
                <w:rFonts w:ascii="Arial Narrow" w:hAnsi="Arial Narrow"/>
                <w:b/>
                <w:iCs/>
                <w:sz w:val="20"/>
                <w:szCs w:val="20"/>
              </w:rPr>
            </w:pPr>
            <w:r>
              <w:rPr>
                <w:rFonts w:ascii="Arial Narrow" w:hAnsi="Arial Narrow"/>
                <w:b/>
                <w:iCs/>
                <w:sz w:val="20"/>
                <w:szCs w:val="20"/>
              </w:rPr>
              <w:t>1.65 (1.09, 2.52)</w:t>
            </w:r>
          </w:p>
        </w:tc>
        <w:tc>
          <w:tcPr>
            <w:tcW w:w="1503" w:type="dxa"/>
            <w:shd w:val="clear" w:color="auto" w:fill="D9D9D9" w:themeFill="background1" w:themeFillShade="D9"/>
            <w:vAlign w:val="center"/>
          </w:tcPr>
          <w:p w:rsidR="00516A59" w:rsidRDefault="007D3F6A">
            <w:pPr>
              <w:keepNext/>
              <w:keepLines/>
              <w:widowControl/>
              <w:jc w:val="center"/>
              <w:rPr>
                <w:rFonts w:ascii="Arial Narrow" w:hAnsi="Arial Narrow"/>
                <w:b/>
                <w:iCs/>
                <w:sz w:val="20"/>
                <w:szCs w:val="20"/>
              </w:rPr>
            </w:pPr>
            <w:r>
              <w:rPr>
                <w:rFonts w:ascii="Arial Narrow" w:hAnsi="Arial Narrow"/>
                <w:b/>
                <w:iCs/>
                <w:sz w:val="20"/>
                <w:szCs w:val="20"/>
              </w:rPr>
              <w:t>1.45 (1.08, 1.97)</w:t>
            </w:r>
          </w:p>
        </w:tc>
        <w:tc>
          <w:tcPr>
            <w:tcW w:w="1503" w:type="dxa"/>
            <w:shd w:val="clear" w:color="auto" w:fill="D9D9D9" w:themeFill="background1" w:themeFillShade="D9"/>
            <w:vAlign w:val="center"/>
          </w:tcPr>
          <w:p w:rsidR="00516A59" w:rsidRDefault="007D3F6A">
            <w:pPr>
              <w:keepNext/>
              <w:keepLines/>
              <w:widowControl/>
              <w:jc w:val="center"/>
              <w:rPr>
                <w:rFonts w:ascii="Arial Narrow" w:hAnsi="Arial Narrow"/>
                <w:b/>
                <w:iCs/>
                <w:sz w:val="20"/>
                <w:szCs w:val="20"/>
              </w:rPr>
            </w:pPr>
            <w:r>
              <w:rPr>
                <w:rFonts w:ascii="Arial Narrow" w:hAnsi="Arial Narrow"/>
                <w:b/>
                <w:iCs/>
                <w:sz w:val="20"/>
                <w:szCs w:val="20"/>
              </w:rPr>
              <w:t>0.10 (0.02, 0.17)</w:t>
            </w:r>
          </w:p>
        </w:tc>
      </w:tr>
      <w:tr w:rsidR="00516A59">
        <w:tc>
          <w:tcPr>
            <w:tcW w:w="1502" w:type="dxa"/>
            <w:shd w:val="clear" w:color="auto" w:fill="D9D9D9" w:themeFill="background1" w:themeFillShade="D9"/>
          </w:tcPr>
          <w:p w:rsidR="00516A59" w:rsidRDefault="007D3F6A">
            <w:pPr>
              <w:keepNext/>
              <w:keepLines/>
              <w:widowControl/>
              <w:ind w:left="284"/>
              <w:rPr>
                <w:rFonts w:ascii="Arial Narrow" w:hAnsi="Arial Narrow"/>
                <w:sz w:val="20"/>
                <w:szCs w:val="20"/>
              </w:rPr>
            </w:pPr>
            <w:r>
              <w:rPr>
                <w:rFonts w:ascii="Arial Narrow" w:hAnsi="Arial Narrow"/>
                <w:sz w:val="20"/>
                <w:szCs w:val="20"/>
              </w:rPr>
              <w:t>Rash</w:t>
            </w:r>
          </w:p>
        </w:tc>
        <w:tc>
          <w:tcPr>
            <w:tcW w:w="1503" w:type="dxa"/>
            <w:shd w:val="clear" w:color="auto" w:fill="D9D9D9" w:themeFill="background1" w:themeFillShade="D9"/>
            <w:vAlign w:val="center"/>
          </w:tcPr>
          <w:p w:rsidR="00516A59" w:rsidRDefault="007D3F6A">
            <w:pPr>
              <w:keepNext/>
              <w:keepLines/>
              <w:widowControl/>
              <w:jc w:val="center"/>
              <w:rPr>
                <w:rFonts w:ascii="Arial Narrow" w:hAnsi="Arial Narrow"/>
                <w:sz w:val="20"/>
                <w:szCs w:val="20"/>
              </w:rPr>
            </w:pPr>
            <w:r>
              <w:rPr>
                <w:rFonts w:ascii="Arial Narrow" w:hAnsi="Arial Narrow"/>
                <w:sz w:val="20"/>
                <w:szCs w:val="20"/>
              </w:rPr>
              <w:t>82 (20.2)</w:t>
            </w:r>
          </w:p>
        </w:tc>
        <w:tc>
          <w:tcPr>
            <w:tcW w:w="1503" w:type="dxa"/>
            <w:shd w:val="clear" w:color="auto" w:fill="D9D9D9" w:themeFill="background1" w:themeFillShade="D9"/>
            <w:vAlign w:val="center"/>
          </w:tcPr>
          <w:p w:rsidR="00516A59" w:rsidRDefault="007D3F6A">
            <w:pPr>
              <w:keepNext/>
              <w:keepLines/>
              <w:widowControl/>
              <w:jc w:val="center"/>
              <w:rPr>
                <w:rFonts w:ascii="Arial Narrow" w:hAnsi="Arial Narrow"/>
                <w:sz w:val="20"/>
                <w:szCs w:val="20"/>
              </w:rPr>
            </w:pPr>
            <w:r>
              <w:rPr>
                <w:rFonts w:ascii="Arial Narrow" w:hAnsi="Arial Narrow"/>
                <w:sz w:val="20"/>
                <w:szCs w:val="20"/>
              </w:rPr>
              <w:t>23 (11.4)</w:t>
            </w:r>
          </w:p>
        </w:tc>
        <w:tc>
          <w:tcPr>
            <w:tcW w:w="1503" w:type="dxa"/>
            <w:shd w:val="clear" w:color="auto" w:fill="D9D9D9" w:themeFill="background1" w:themeFillShade="D9"/>
            <w:vAlign w:val="center"/>
          </w:tcPr>
          <w:p w:rsidR="00516A59" w:rsidRDefault="007D3F6A">
            <w:pPr>
              <w:keepNext/>
              <w:keepLines/>
              <w:widowControl/>
              <w:jc w:val="center"/>
              <w:rPr>
                <w:rFonts w:ascii="Arial Narrow" w:hAnsi="Arial Narrow"/>
                <w:b/>
                <w:iCs/>
                <w:sz w:val="20"/>
                <w:szCs w:val="20"/>
              </w:rPr>
            </w:pPr>
            <w:r>
              <w:rPr>
                <w:rFonts w:ascii="Arial Narrow" w:hAnsi="Arial Narrow"/>
                <w:b/>
                <w:iCs/>
                <w:sz w:val="20"/>
                <w:szCs w:val="20"/>
              </w:rPr>
              <w:t>1.98 (1.18, 3.41)</w:t>
            </w:r>
          </w:p>
        </w:tc>
        <w:tc>
          <w:tcPr>
            <w:tcW w:w="1503" w:type="dxa"/>
            <w:shd w:val="clear" w:color="auto" w:fill="D9D9D9" w:themeFill="background1" w:themeFillShade="D9"/>
            <w:vAlign w:val="center"/>
          </w:tcPr>
          <w:p w:rsidR="00516A59" w:rsidRDefault="007D3F6A">
            <w:pPr>
              <w:keepNext/>
              <w:keepLines/>
              <w:widowControl/>
              <w:jc w:val="center"/>
              <w:rPr>
                <w:rFonts w:ascii="Arial Narrow" w:hAnsi="Arial Narrow"/>
                <w:b/>
                <w:iCs/>
                <w:sz w:val="20"/>
                <w:szCs w:val="20"/>
              </w:rPr>
            </w:pPr>
            <w:r>
              <w:rPr>
                <w:rFonts w:ascii="Arial Narrow" w:hAnsi="Arial Narrow"/>
                <w:b/>
                <w:iCs/>
                <w:sz w:val="20"/>
                <w:szCs w:val="20"/>
              </w:rPr>
              <w:t>1.78 (1.17, 2.74)</w:t>
            </w:r>
          </w:p>
        </w:tc>
        <w:tc>
          <w:tcPr>
            <w:tcW w:w="1503" w:type="dxa"/>
            <w:shd w:val="clear" w:color="auto" w:fill="D9D9D9" w:themeFill="background1" w:themeFillShade="D9"/>
            <w:vAlign w:val="center"/>
          </w:tcPr>
          <w:p w:rsidR="00516A59" w:rsidRDefault="007D3F6A">
            <w:pPr>
              <w:keepNext/>
              <w:keepLines/>
              <w:widowControl/>
              <w:jc w:val="center"/>
              <w:rPr>
                <w:rFonts w:ascii="Arial Narrow" w:hAnsi="Arial Narrow"/>
                <w:b/>
                <w:iCs/>
                <w:sz w:val="20"/>
                <w:szCs w:val="20"/>
              </w:rPr>
            </w:pPr>
            <w:r>
              <w:rPr>
                <w:rFonts w:ascii="Arial Narrow" w:hAnsi="Arial Narrow"/>
                <w:b/>
                <w:iCs/>
                <w:sz w:val="20"/>
                <w:szCs w:val="20"/>
              </w:rPr>
              <w:t>0.09 (0.03, 0.15)</w:t>
            </w:r>
          </w:p>
        </w:tc>
      </w:tr>
      <w:tr w:rsidR="00516A59">
        <w:tc>
          <w:tcPr>
            <w:tcW w:w="1502" w:type="dxa"/>
            <w:shd w:val="clear" w:color="auto" w:fill="D9D9D9" w:themeFill="background1" w:themeFillShade="D9"/>
          </w:tcPr>
          <w:p w:rsidR="00516A59" w:rsidRDefault="007D3F6A">
            <w:pPr>
              <w:keepNext/>
              <w:keepLines/>
              <w:widowControl/>
            </w:pPr>
            <w:r>
              <w:rPr>
                <w:rFonts w:ascii="Arial Narrow" w:hAnsi="Arial Narrow"/>
                <w:sz w:val="20"/>
                <w:szCs w:val="20"/>
              </w:rPr>
              <w:t>Drug related AE</w:t>
            </w:r>
          </w:p>
        </w:tc>
        <w:tc>
          <w:tcPr>
            <w:tcW w:w="1503" w:type="dxa"/>
            <w:shd w:val="clear" w:color="auto" w:fill="D9D9D9" w:themeFill="background1" w:themeFillShade="D9"/>
            <w:vAlign w:val="center"/>
          </w:tcPr>
          <w:p w:rsidR="00516A59" w:rsidRDefault="007D3F6A">
            <w:pPr>
              <w:keepNext/>
              <w:keepLines/>
              <w:widowControl/>
              <w:jc w:val="center"/>
            </w:pPr>
            <w:r>
              <w:rPr>
                <w:rFonts w:ascii="Arial Narrow" w:hAnsi="Arial Narrow"/>
                <w:sz w:val="20"/>
                <w:szCs w:val="20"/>
              </w:rPr>
              <w:t>372 (91.9)</w:t>
            </w:r>
          </w:p>
        </w:tc>
        <w:tc>
          <w:tcPr>
            <w:tcW w:w="1503" w:type="dxa"/>
            <w:shd w:val="clear" w:color="auto" w:fill="D9D9D9" w:themeFill="background1" w:themeFillShade="D9"/>
            <w:vAlign w:val="center"/>
          </w:tcPr>
          <w:p w:rsidR="00516A59" w:rsidRDefault="007D3F6A">
            <w:pPr>
              <w:keepNext/>
              <w:keepLines/>
              <w:widowControl/>
              <w:jc w:val="center"/>
            </w:pPr>
            <w:r>
              <w:rPr>
                <w:rFonts w:ascii="Arial Narrow" w:hAnsi="Arial Narrow"/>
                <w:sz w:val="20"/>
                <w:szCs w:val="20"/>
              </w:rPr>
              <w:t>183 (90.6)</w:t>
            </w:r>
          </w:p>
        </w:tc>
        <w:tc>
          <w:tcPr>
            <w:tcW w:w="1503" w:type="dxa"/>
            <w:shd w:val="clear" w:color="auto" w:fill="D9D9D9" w:themeFill="background1" w:themeFillShade="D9"/>
            <w:vAlign w:val="center"/>
          </w:tcPr>
          <w:p w:rsidR="00516A59" w:rsidRDefault="007D3F6A">
            <w:pPr>
              <w:keepNext/>
              <w:keepLines/>
              <w:widowControl/>
              <w:jc w:val="center"/>
              <w:rPr>
                <w:bCs/>
                <w:iCs/>
              </w:rPr>
            </w:pPr>
            <w:r>
              <w:rPr>
                <w:rFonts w:ascii="Arial Narrow" w:hAnsi="Arial Narrow"/>
                <w:bCs/>
                <w:iCs/>
                <w:sz w:val="20"/>
                <w:szCs w:val="20"/>
              </w:rPr>
              <w:t>1.17 (0.61, 2.19)</w:t>
            </w:r>
          </w:p>
        </w:tc>
        <w:tc>
          <w:tcPr>
            <w:tcW w:w="1503" w:type="dxa"/>
            <w:shd w:val="clear" w:color="auto" w:fill="D9D9D9" w:themeFill="background1" w:themeFillShade="D9"/>
            <w:vAlign w:val="center"/>
          </w:tcPr>
          <w:p w:rsidR="00516A59" w:rsidRDefault="007D3F6A">
            <w:pPr>
              <w:keepNext/>
              <w:keepLines/>
              <w:widowControl/>
              <w:jc w:val="center"/>
              <w:rPr>
                <w:bCs/>
                <w:iCs/>
              </w:rPr>
            </w:pPr>
            <w:r>
              <w:rPr>
                <w:rFonts w:ascii="Arial Narrow" w:hAnsi="Arial Narrow"/>
                <w:bCs/>
                <w:iCs/>
                <w:sz w:val="20"/>
                <w:szCs w:val="20"/>
              </w:rPr>
              <w:t>1.01 (0.96, 1.07)</w:t>
            </w:r>
          </w:p>
        </w:tc>
        <w:tc>
          <w:tcPr>
            <w:tcW w:w="1503" w:type="dxa"/>
            <w:shd w:val="clear" w:color="auto" w:fill="D9D9D9" w:themeFill="background1" w:themeFillShade="D9"/>
            <w:vAlign w:val="center"/>
          </w:tcPr>
          <w:p w:rsidR="00516A59" w:rsidRDefault="007D3F6A">
            <w:pPr>
              <w:keepNext/>
              <w:keepLines/>
              <w:widowControl/>
              <w:jc w:val="center"/>
              <w:rPr>
                <w:bCs/>
                <w:iCs/>
              </w:rPr>
            </w:pPr>
            <w:r>
              <w:rPr>
                <w:rFonts w:ascii="Arial Narrow" w:hAnsi="Arial Narrow"/>
                <w:bCs/>
                <w:iCs/>
                <w:sz w:val="20"/>
                <w:szCs w:val="20"/>
              </w:rPr>
              <w:t>0.01 (-0.03, 0.07)</w:t>
            </w:r>
          </w:p>
        </w:tc>
      </w:tr>
      <w:tr w:rsidR="00516A59">
        <w:tc>
          <w:tcPr>
            <w:tcW w:w="1502" w:type="dxa"/>
            <w:shd w:val="clear" w:color="auto" w:fill="D9D9D9" w:themeFill="background1" w:themeFillShade="D9"/>
          </w:tcPr>
          <w:p w:rsidR="00516A59" w:rsidRDefault="007D3F6A">
            <w:pPr>
              <w:keepNext/>
              <w:keepLines/>
              <w:widowControl/>
              <w:ind w:left="284"/>
            </w:pPr>
            <w:r>
              <w:rPr>
                <w:rFonts w:ascii="Arial Narrow" w:hAnsi="Arial Narrow"/>
                <w:sz w:val="20"/>
                <w:szCs w:val="20"/>
              </w:rPr>
              <w:t>Diarrhoea</w:t>
            </w:r>
          </w:p>
        </w:tc>
        <w:tc>
          <w:tcPr>
            <w:tcW w:w="1503" w:type="dxa"/>
            <w:shd w:val="clear" w:color="auto" w:fill="D9D9D9" w:themeFill="background1" w:themeFillShade="D9"/>
            <w:vAlign w:val="center"/>
          </w:tcPr>
          <w:p w:rsidR="00516A59" w:rsidRDefault="007D3F6A">
            <w:pPr>
              <w:keepNext/>
              <w:keepLines/>
              <w:widowControl/>
              <w:jc w:val="center"/>
            </w:pPr>
            <w:r>
              <w:rPr>
                <w:rFonts w:ascii="Arial Narrow" w:hAnsi="Arial Narrow"/>
                <w:sz w:val="20"/>
                <w:szCs w:val="20"/>
              </w:rPr>
              <w:t>78 (19.3)</w:t>
            </w:r>
          </w:p>
        </w:tc>
        <w:tc>
          <w:tcPr>
            <w:tcW w:w="1503" w:type="dxa"/>
            <w:shd w:val="clear" w:color="auto" w:fill="D9D9D9" w:themeFill="background1" w:themeFillShade="D9"/>
            <w:vAlign w:val="center"/>
          </w:tcPr>
          <w:p w:rsidR="00516A59" w:rsidRDefault="007D3F6A">
            <w:pPr>
              <w:keepNext/>
              <w:keepLines/>
              <w:widowControl/>
              <w:jc w:val="center"/>
            </w:pPr>
            <w:r>
              <w:rPr>
                <w:rFonts w:ascii="Arial Narrow" w:hAnsi="Arial Narrow"/>
                <w:sz w:val="20"/>
                <w:szCs w:val="20"/>
              </w:rPr>
              <w:t>22 (10.9)</w:t>
            </w:r>
          </w:p>
        </w:tc>
        <w:tc>
          <w:tcPr>
            <w:tcW w:w="1503" w:type="dxa"/>
            <w:shd w:val="clear" w:color="auto" w:fill="D9D9D9" w:themeFill="background1" w:themeFillShade="D9"/>
            <w:vAlign w:val="center"/>
          </w:tcPr>
          <w:p w:rsidR="00516A59" w:rsidRDefault="007D3F6A">
            <w:pPr>
              <w:keepNext/>
              <w:keepLines/>
              <w:widowControl/>
              <w:jc w:val="center"/>
              <w:rPr>
                <w:iCs/>
              </w:rPr>
            </w:pPr>
            <w:r>
              <w:rPr>
                <w:rFonts w:ascii="Arial Narrow" w:hAnsi="Arial Narrow"/>
                <w:b/>
                <w:iCs/>
                <w:sz w:val="20"/>
                <w:szCs w:val="20"/>
              </w:rPr>
              <w:t>1.95 (1.16, 3.40)</w:t>
            </w:r>
          </w:p>
        </w:tc>
        <w:tc>
          <w:tcPr>
            <w:tcW w:w="1503" w:type="dxa"/>
            <w:shd w:val="clear" w:color="auto" w:fill="D9D9D9" w:themeFill="background1" w:themeFillShade="D9"/>
            <w:vAlign w:val="center"/>
          </w:tcPr>
          <w:p w:rsidR="00516A59" w:rsidRDefault="007D3F6A">
            <w:pPr>
              <w:keepNext/>
              <w:keepLines/>
              <w:widowControl/>
              <w:jc w:val="center"/>
              <w:rPr>
                <w:iCs/>
              </w:rPr>
            </w:pPr>
            <w:r>
              <w:rPr>
                <w:rFonts w:ascii="Arial Narrow" w:hAnsi="Arial Narrow"/>
                <w:b/>
                <w:iCs/>
                <w:sz w:val="20"/>
                <w:szCs w:val="20"/>
              </w:rPr>
              <w:t>1.77 (1.14, 2.75)</w:t>
            </w:r>
          </w:p>
        </w:tc>
        <w:tc>
          <w:tcPr>
            <w:tcW w:w="1503" w:type="dxa"/>
            <w:shd w:val="clear" w:color="auto" w:fill="D9D9D9" w:themeFill="background1" w:themeFillShade="D9"/>
            <w:vAlign w:val="center"/>
          </w:tcPr>
          <w:p w:rsidR="00516A59" w:rsidRDefault="007D3F6A">
            <w:pPr>
              <w:keepNext/>
              <w:keepLines/>
              <w:widowControl/>
              <w:jc w:val="center"/>
              <w:rPr>
                <w:iCs/>
              </w:rPr>
            </w:pPr>
            <w:r>
              <w:rPr>
                <w:rFonts w:ascii="Arial Narrow" w:hAnsi="Arial Narrow"/>
                <w:b/>
                <w:iCs/>
                <w:sz w:val="20"/>
                <w:szCs w:val="20"/>
              </w:rPr>
              <w:t>0.08 (0.02, 0.14)</w:t>
            </w:r>
          </w:p>
        </w:tc>
      </w:tr>
      <w:tr w:rsidR="00516A59">
        <w:tc>
          <w:tcPr>
            <w:tcW w:w="1502" w:type="dxa"/>
            <w:shd w:val="clear" w:color="auto" w:fill="D9D9D9" w:themeFill="background1" w:themeFillShade="D9"/>
          </w:tcPr>
          <w:p w:rsidR="00516A59" w:rsidRDefault="007D3F6A">
            <w:pPr>
              <w:keepNext/>
              <w:keepLines/>
              <w:widowControl/>
              <w:ind w:left="284"/>
            </w:pPr>
            <w:r>
              <w:rPr>
                <w:rFonts w:ascii="Arial Narrow" w:hAnsi="Arial Narrow"/>
                <w:sz w:val="20"/>
                <w:szCs w:val="20"/>
              </w:rPr>
              <w:t>Febrile neutropenia</w:t>
            </w:r>
          </w:p>
        </w:tc>
        <w:tc>
          <w:tcPr>
            <w:tcW w:w="1503" w:type="dxa"/>
            <w:shd w:val="clear" w:color="auto" w:fill="D9D9D9" w:themeFill="background1" w:themeFillShade="D9"/>
            <w:vAlign w:val="center"/>
          </w:tcPr>
          <w:p w:rsidR="00516A59" w:rsidRDefault="007D3F6A">
            <w:pPr>
              <w:keepNext/>
              <w:keepLines/>
              <w:widowControl/>
              <w:jc w:val="center"/>
            </w:pPr>
            <w:r>
              <w:rPr>
                <w:rFonts w:ascii="Arial Narrow" w:hAnsi="Arial Narrow"/>
                <w:sz w:val="20"/>
                <w:szCs w:val="20"/>
              </w:rPr>
              <w:t>24 (5.9)</w:t>
            </w:r>
          </w:p>
        </w:tc>
        <w:tc>
          <w:tcPr>
            <w:tcW w:w="1503" w:type="dxa"/>
            <w:shd w:val="clear" w:color="auto" w:fill="D9D9D9" w:themeFill="background1" w:themeFillShade="D9"/>
            <w:vAlign w:val="center"/>
          </w:tcPr>
          <w:p w:rsidR="00516A59" w:rsidRDefault="007D3F6A">
            <w:pPr>
              <w:keepNext/>
              <w:keepLines/>
              <w:widowControl/>
              <w:jc w:val="center"/>
            </w:pPr>
            <w:r>
              <w:rPr>
                <w:rFonts w:ascii="Arial Narrow" w:hAnsi="Arial Narrow"/>
                <w:sz w:val="20"/>
                <w:szCs w:val="20"/>
              </w:rPr>
              <w:t>4 (2.0)</w:t>
            </w:r>
          </w:p>
        </w:tc>
        <w:tc>
          <w:tcPr>
            <w:tcW w:w="1503" w:type="dxa"/>
            <w:shd w:val="clear" w:color="auto" w:fill="D9D9D9" w:themeFill="background1" w:themeFillShade="D9"/>
            <w:vAlign w:val="center"/>
          </w:tcPr>
          <w:p w:rsidR="00516A59" w:rsidRDefault="007D3F6A">
            <w:pPr>
              <w:keepNext/>
              <w:keepLines/>
              <w:widowControl/>
              <w:jc w:val="center"/>
              <w:rPr>
                <w:iCs/>
              </w:rPr>
            </w:pPr>
            <w:r>
              <w:rPr>
                <w:rFonts w:ascii="Arial Narrow" w:hAnsi="Arial Narrow"/>
                <w:b/>
                <w:iCs/>
                <w:sz w:val="20"/>
                <w:szCs w:val="20"/>
              </w:rPr>
              <w:t>3.12 (1.05, 12.52)</w:t>
            </w:r>
          </w:p>
        </w:tc>
        <w:tc>
          <w:tcPr>
            <w:tcW w:w="1503" w:type="dxa"/>
            <w:shd w:val="clear" w:color="auto" w:fill="D9D9D9" w:themeFill="background1" w:themeFillShade="D9"/>
            <w:vAlign w:val="center"/>
          </w:tcPr>
          <w:p w:rsidR="00516A59" w:rsidRDefault="007D3F6A">
            <w:pPr>
              <w:keepNext/>
              <w:keepLines/>
              <w:widowControl/>
              <w:jc w:val="center"/>
              <w:rPr>
                <w:iCs/>
              </w:rPr>
            </w:pPr>
            <w:r>
              <w:rPr>
                <w:rFonts w:ascii="Arial Narrow" w:hAnsi="Arial Narrow"/>
                <w:b/>
                <w:iCs/>
                <w:sz w:val="20"/>
                <w:szCs w:val="20"/>
              </w:rPr>
              <w:t>2.99 (1.05, 8.51)</w:t>
            </w:r>
          </w:p>
        </w:tc>
        <w:tc>
          <w:tcPr>
            <w:tcW w:w="1503" w:type="dxa"/>
            <w:shd w:val="clear" w:color="auto" w:fill="D9D9D9" w:themeFill="background1" w:themeFillShade="D9"/>
            <w:vAlign w:val="center"/>
          </w:tcPr>
          <w:p w:rsidR="00516A59" w:rsidRDefault="007D3F6A">
            <w:pPr>
              <w:keepNext/>
              <w:keepLines/>
              <w:widowControl/>
              <w:jc w:val="center"/>
              <w:rPr>
                <w:b/>
                <w:iCs/>
              </w:rPr>
            </w:pPr>
            <w:r>
              <w:rPr>
                <w:rFonts w:ascii="Arial Narrow" w:hAnsi="Arial Narrow"/>
                <w:b/>
                <w:iCs/>
                <w:sz w:val="20"/>
                <w:szCs w:val="20"/>
              </w:rPr>
              <w:t>0.04 (0.00, 0.07)</w:t>
            </w:r>
          </w:p>
        </w:tc>
      </w:tr>
      <w:tr w:rsidR="00516A59">
        <w:tc>
          <w:tcPr>
            <w:tcW w:w="1502" w:type="dxa"/>
            <w:shd w:val="clear" w:color="auto" w:fill="D9D9D9" w:themeFill="background1" w:themeFillShade="D9"/>
          </w:tcPr>
          <w:p w:rsidR="00516A59" w:rsidRDefault="007D3F6A">
            <w:pPr>
              <w:keepNext/>
              <w:keepLines/>
              <w:widowControl/>
            </w:pPr>
            <w:r>
              <w:rPr>
                <w:rFonts w:ascii="Arial Narrow" w:hAnsi="Arial Narrow"/>
                <w:sz w:val="20"/>
                <w:szCs w:val="20"/>
              </w:rPr>
              <w:t>Discontinue due to drug related AE</w:t>
            </w:r>
          </w:p>
        </w:tc>
        <w:tc>
          <w:tcPr>
            <w:tcW w:w="1503" w:type="dxa"/>
            <w:shd w:val="clear" w:color="auto" w:fill="D9D9D9" w:themeFill="background1" w:themeFillShade="D9"/>
            <w:vAlign w:val="center"/>
          </w:tcPr>
          <w:p w:rsidR="00516A59" w:rsidRDefault="007D3F6A">
            <w:pPr>
              <w:keepNext/>
              <w:keepLines/>
              <w:widowControl/>
              <w:jc w:val="center"/>
            </w:pPr>
            <w:r>
              <w:rPr>
                <w:rFonts w:ascii="Arial Narrow" w:hAnsi="Arial Narrow"/>
                <w:sz w:val="20"/>
                <w:szCs w:val="20"/>
              </w:rPr>
              <w:t>85 (21.0)</w:t>
            </w:r>
          </w:p>
        </w:tc>
        <w:tc>
          <w:tcPr>
            <w:tcW w:w="1503" w:type="dxa"/>
            <w:shd w:val="clear" w:color="auto" w:fill="D9D9D9" w:themeFill="background1" w:themeFillShade="D9"/>
            <w:vAlign w:val="center"/>
          </w:tcPr>
          <w:p w:rsidR="00516A59" w:rsidRDefault="007D3F6A">
            <w:pPr>
              <w:keepNext/>
              <w:keepLines/>
              <w:widowControl/>
              <w:jc w:val="center"/>
            </w:pPr>
            <w:r>
              <w:rPr>
                <w:rFonts w:ascii="Arial Narrow" w:hAnsi="Arial Narrow"/>
                <w:sz w:val="20"/>
                <w:szCs w:val="20"/>
              </w:rPr>
              <w:t>17 (8.4)</w:t>
            </w:r>
          </w:p>
        </w:tc>
        <w:tc>
          <w:tcPr>
            <w:tcW w:w="1503" w:type="dxa"/>
            <w:shd w:val="clear" w:color="auto" w:fill="D9D9D9" w:themeFill="background1" w:themeFillShade="D9"/>
            <w:vAlign w:val="center"/>
          </w:tcPr>
          <w:p w:rsidR="00516A59" w:rsidRDefault="007D3F6A">
            <w:pPr>
              <w:keepNext/>
              <w:keepLines/>
              <w:widowControl/>
              <w:jc w:val="center"/>
              <w:rPr>
                <w:iCs/>
              </w:rPr>
            </w:pPr>
            <w:r>
              <w:rPr>
                <w:rFonts w:ascii="Arial Narrow" w:hAnsi="Arial Narrow"/>
                <w:b/>
                <w:iCs/>
                <w:sz w:val="20"/>
                <w:szCs w:val="20"/>
              </w:rPr>
              <w:t>2.89 (1.64, 5.35)</w:t>
            </w:r>
          </w:p>
        </w:tc>
        <w:tc>
          <w:tcPr>
            <w:tcW w:w="1503" w:type="dxa"/>
            <w:shd w:val="clear" w:color="auto" w:fill="D9D9D9" w:themeFill="background1" w:themeFillShade="D9"/>
            <w:vAlign w:val="center"/>
          </w:tcPr>
          <w:p w:rsidR="00516A59" w:rsidRDefault="007D3F6A">
            <w:pPr>
              <w:keepNext/>
              <w:keepLines/>
              <w:widowControl/>
              <w:jc w:val="center"/>
              <w:rPr>
                <w:iCs/>
              </w:rPr>
            </w:pPr>
            <w:r>
              <w:rPr>
                <w:rFonts w:ascii="Arial Narrow" w:hAnsi="Arial Narrow"/>
                <w:b/>
                <w:iCs/>
                <w:sz w:val="20"/>
                <w:szCs w:val="20"/>
              </w:rPr>
              <w:t>2.49 (1.52, 4.08)</w:t>
            </w:r>
          </w:p>
        </w:tc>
        <w:tc>
          <w:tcPr>
            <w:tcW w:w="1503" w:type="dxa"/>
            <w:shd w:val="clear" w:color="auto" w:fill="D9D9D9" w:themeFill="background1" w:themeFillShade="D9"/>
            <w:vAlign w:val="center"/>
          </w:tcPr>
          <w:p w:rsidR="00516A59" w:rsidRDefault="007D3F6A">
            <w:pPr>
              <w:keepNext/>
              <w:keepLines/>
              <w:widowControl/>
              <w:jc w:val="center"/>
              <w:rPr>
                <w:iCs/>
              </w:rPr>
            </w:pPr>
            <w:r>
              <w:rPr>
                <w:rFonts w:ascii="Arial Narrow" w:hAnsi="Arial Narrow"/>
                <w:b/>
                <w:iCs/>
                <w:sz w:val="20"/>
                <w:szCs w:val="20"/>
              </w:rPr>
              <w:t>0.13 (0.07, 0.18)</w:t>
            </w:r>
          </w:p>
        </w:tc>
      </w:tr>
      <w:tr w:rsidR="00516A59">
        <w:tc>
          <w:tcPr>
            <w:tcW w:w="1502" w:type="dxa"/>
            <w:shd w:val="clear" w:color="auto" w:fill="D9D9D9" w:themeFill="background1" w:themeFillShade="D9"/>
          </w:tcPr>
          <w:p w:rsidR="00516A59" w:rsidRDefault="007D3F6A">
            <w:pPr>
              <w:keepNext/>
              <w:keepLines/>
              <w:widowControl/>
            </w:pPr>
            <w:r>
              <w:rPr>
                <w:rFonts w:ascii="Arial Narrow" w:hAnsi="Arial Narrow"/>
                <w:sz w:val="20"/>
                <w:szCs w:val="20"/>
              </w:rPr>
              <w:t xml:space="preserve">≥1 AEOSI </w:t>
            </w:r>
          </w:p>
        </w:tc>
        <w:tc>
          <w:tcPr>
            <w:tcW w:w="1503" w:type="dxa"/>
            <w:shd w:val="clear" w:color="auto" w:fill="D9D9D9" w:themeFill="background1" w:themeFillShade="D9"/>
            <w:vAlign w:val="center"/>
          </w:tcPr>
          <w:p w:rsidR="00516A59" w:rsidRDefault="007D3F6A">
            <w:pPr>
              <w:keepNext/>
              <w:keepLines/>
              <w:widowControl/>
              <w:jc w:val="center"/>
            </w:pPr>
            <w:r>
              <w:rPr>
                <w:rFonts w:ascii="Arial Narrow" w:hAnsi="Arial Narrow"/>
                <w:sz w:val="20"/>
                <w:szCs w:val="20"/>
              </w:rPr>
              <w:t>92 (22.7)</w:t>
            </w:r>
          </w:p>
        </w:tc>
        <w:tc>
          <w:tcPr>
            <w:tcW w:w="1503" w:type="dxa"/>
            <w:shd w:val="clear" w:color="auto" w:fill="D9D9D9" w:themeFill="background1" w:themeFillShade="D9"/>
            <w:vAlign w:val="center"/>
          </w:tcPr>
          <w:p w:rsidR="00516A59" w:rsidRDefault="007D3F6A">
            <w:pPr>
              <w:keepNext/>
              <w:keepLines/>
              <w:widowControl/>
              <w:jc w:val="center"/>
            </w:pPr>
            <w:r>
              <w:rPr>
                <w:rFonts w:ascii="Arial Narrow" w:hAnsi="Arial Narrow"/>
                <w:sz w:val="20"/>
                <w:szCs w:val="20"/>
              </w:rPr>
              <w:t>24 (11.9)</w:t>
            </w:r>
          </w:p>
        </w:tc>
        <w:tc>
          <w:tcPr>
            <w:tcW w:w="1503" w:type="dxa"/>
            <w:shd w:val="clear" w:color="auto" w:fill="D9D9D9" w:themeFill="background1" w:themeFillShade="D9"/>
            <w:vAlign w:val="center"/>
          </w:tcPr>
          <w:p w:rsidR="00516A59" w:rsidRDefault="007D3F6A">
            <w:pPr>
              <w:keepNext/>
              <w:keepLines/>
              <w:widowControl/>
              <w:jc w:val="center"/>
              <w:rPr>
                <w:b/>
                <w:iCs/>
              </w:rPr>
            </w:pPr>
            <w:r>
              <w:rPr>
                <w:rFonts w:ascii="Arial Narrow" w:hAnsi="Arial Narrow"/>
                <w:b/>
                <w:iCs/>
                <w:sz w:val="20"/>
                <w:szCs w:val="20"/>
              </w:rPr>
              <w:t>2.18 (1.32, 3.71)</w:t>
            </w:r>
          </w:p>
        </w:tc>
        <w:tc>
          <w:tcPr>
            <w:tcW w:w="1503" w:type="dxa"/>
            <w:shd w:val="clear" w:color="auto" w:fill="D9D9D9" w:themeFill="background1" w:themeFillShade="D9"/>
            <w:vAlign w:val="center"/>
          </w:tcPr>
          <w:p w:rsidR="00516A59" w:rsidRDefault="007D3F6A">
            <w:pPr>
              <w:keepNext/>
              <w:keepLines/>
              <w:widowControl/>
              <w:jc w:val="center"/>
              <w:rPr>
                <w:b/>
                <w:iCs/>
              </w:rPr>
            </w:pPr>
            <w:r>
              <w:rPr>
                <w:rFonts w:ascii="Arial Narrow" w:hAnsi="Arial Narrow"/>
                <w:b/>
                <w:iCs/>
                <w:sz w:val="20"/>
                <w:szCs w:val="20"/>
              </w:rPr>
              <w:t>1.91 (1.27, 2.91)</w:t>
            </w:r>
          </w:p>
        </w:tc>
        <w:tc>
          <w:tcPr>
            <w:tcW w:w="1503" w:type="dxa"/>
            <w:shd w:val="clear" w:color="auto" w:fill="D9D9D9" w:themeFill="background1" w:themeFillShade="D9"/>
            <w:vAlign w:val="center"/>
          </w:tcPr>
          <w:p w:rsidR="00516A59" w:rsidRDefault="007D3F6A">
            <w:pPr>
              <w:keepNext/>
              <w:keepLines/>
              <w:widowControl/>
              <w:jc w:val="center"/>
              <w:rPr>
                <w:b/>
                <w:iCs/>
              </w:rPr>
            </w:pPr>
            <w:r>
              <w:rPr>
                <w:rFonts w:ascii="Arial Narrow" w:hAnsi="Arial Narrow"/>
                <w:b/>
                <w:iCs/>
                <w:sz w:val="20"/>
                <w:szCs w:val="20"/>
              </w:rPr>
              <w:t>0.11 (0.04, 0.17)</w:t>
            </w:r>
          </w:p>
        </w:tc>
      </w:tr>
      <w:tr w:rsidR="00516A59">
        <w:tc>
          <w:tcPr>
            <w:tcW w:w="1502" w:type="dxa"/>
            <w:shd w:val="clear" w:color="auto" w:fill="D9D9D9" w:themeFill="background1" w:themeFillShade="D9"/>
          </w:tcPr>
          <w:p w:rsidR="00516A59" w:rsidRDefault="007D3F6A">
            <w:pPr>
              <w:keepNext/>
              <w:keepLines/>
              <w:widowControl/>
            </w:pPr>
            <w:r>
              <w:rPr>
                <w:rFonts w:ascii="Arial Narrow" w:hAnsi="Arial Narrow"/>
                <w:sz w:val="20"/>
                <w:szCs w:val="20"/>
              </w:rPr>
              <w:t>Drug related AEOSI</w:t>
            </w:r>
          </w:p>
        </w:tc>
        <w:tc>
          <w:tcPr>
            <w:tcW w:w="1503" w:type="dxa"/>
            <w:shd w:val="clear" w:color="auto" w:fill="D9D9D9" w:themeFill="background1" w:themeFillShade="D9"/>
            <w:vAlign w:val="center"/>
          </w:tcPr>
          <w:p w:rsidR="00516A59" w:rsidRDefault="007D3F6A">
            <w:pPr>
              <w:keepNext/>
              <w:keepLines/>
              <w:widowControl/>
              <w:jc w:val="center"/>
            </w:pPr>
            <w:r>
              <w:rPr>
                <w:rFonts w:ascii="Arial Narrow" w:hAnsi="Arial Narrow"/>
                <w:sz w:val="20"/>
                <w:szCs w:val="20"/>
              </w:rPr>
              <w:t>75 (18.5)</w:t>
            </w:r>
          </w:p>
        </w:tc>
        <w:tc>
          <w:tcPr>
            <w:tcW w:w="1503" w:type="dxa"/>
            <w:shd w:val="clear" w:color="auto" w:fill="D9D9D9" w:themeFill="background1" w:themeFillShade="D9"/>
            <w:vAlign w:val="center"/>
          </w:tcPr>
          <w:p w:rsidR="00516A59" w:rsidRDefault="007D3F6A">
            <w:pPr>
              <w:keepNext/>
              <w:keepLines/>
              <w:widowControl/>
              <w:jc w:val="center"/>
            </w:pPr>
            <w:r>
              <w:rPr>
                <w:rFonts w:ascii="Arial Narrow" w:hAnsi="Arial Narrow"/>
                <w:sz w:val="20"/>
                <w:szCs w:val="20"/>
              </w:rPr>
              <w:t>18 (8.9)</w:t>
            </w:r>
          </w:p>
        </w:tc>
        <w:tc>
          <w:tcPr>
            <w:tcW w:w="1503" w:type="dxa"/>
            <w:shd w:val="clear" w:color="auto" w:fill="D9D9D9" w:themeFill="background1" w:themeFillShade="D9"/>
            <w:vAlign w:val="center"/>
          </w:tcPr>
          <w:p w:rsidR="00516A59" w:rsidRDefault="007D3F6A">
            <w:pPr>
              <w:keepNext/>
              <w:keepLines/>
              <w:widowControl/>
              <w:jc w:val="center"/>
              <w:rPr>
                <w:b/>
                <w:iCs/>
              </w:rPr>
            </w:pPr>
            <w:r>
              <w:rPr>
                <w:rFonts w:ascii="Arial Narrow" w:hAnsi="Arial Narrow"/>
                <w:b/>
                <w:iCs/>
                <w:sz w:val="20"/>
                <w:szCs w:val="20"/>
              </w:rPr>
              <w:t>2.32 (1.32, 4.26)</w:t>
            </w:r>
          </w:p>
        </w:tc>
        <w:tc>
          <w:tcPr>
            <w:tcW w:w="1503" w:type="dxa"/>
            <w:shd w:val="clear" w:color="auto" w:fill="D9D9D9" w:themeFill="background1" w:themeFillShade="D9"/>
            <w:vAlign w:val="center"/>
          </w:tcPr>
          <w:p w:rsidR="00516A59" w:rsidRDefault="007D3F6A">
            <w:pPr>
              <w:keepNext/>
              <w:keepLines/>
              <w:widowControl/>
              <w:jc w:val="center"/>
              <w:rPr>
                <w:b/>
                <w:iCs/>
              </w:rPr>
            </w:pPr>
            <w:r>
              <w:rPr>
                <w:rFonts w:ascii="Arial Narrow" w:hAnsi="Arial Narrow"/>
                <w:b/>
                <w:iCs/>
                <w:sz w:val="20"/>
                <w:szCs w:val="20"/>
              </w:rPr>
              <w:t>2.08 (1.29, 3.38)</w:t>
            </w:r>
          </w:p>
        </w:tc>
        <w:tc>
          <w:tcPr>
            <w:tcW w:w="1503" w:type="dxa"/>
            <w:shd w:val="clear" w:color="auto" w:fill="D9D9D9" w:themeFill="background1" w:themeFillShade="D9"/>
            <w:vAlign w:val="center"/>
          </w:tcPr>
          <w:p w:rsidR="00516A59" w:rsidRDefault="007D3F6A">
            <w:pPr>
              <w:keepNext/>
              <w:keepLines/>
              <w:widowControl/>
              <w:jc w:val="center"/>
              <w:rPr>
                <w:b/>
                <w:iCs/>
              </w:rPr>
            </w:pPr>
            <w:r>
              <w:rPr>
                <w:rFonts w:ascii="Arial Narrow" w:hAnsi="Arial Narrow"/>
                <w:b/>
                <w:iCs/>
                <w:sz w:val="20"/>
                <w:szCs w:val="20"/>
              </w:rPr>
              <w:t>0.10 (0.04, 0.15)</w:t>
            </w:r>
          </w:p>
        </w:tc>
      </w:tr>
      <w:tr w:rsidR="00516A59">
        <w:tc>
          <w:tcPr>
            <w:tcW w:w="1502" w:type="dxa"/>
            <w:shd w:val="clear" w:color="auto" w:fill="D9D9D9" w:themeFill="background1" w:themeFillShade="D9"/>
          </w:tcPr>
          <w:p w:rsidR="00516A59" w:rsidRDefault="007D3F6A">
            <w:pPr>
              <w:keepNext/>
              <w:keepLines/>
              <w:widowControl/>
              <w:rPr>
                <w:rFonts w:ascii="Arial Narrow" w:hAnsi="Arial Narrow"/>
                <w:sz w:val="20"/>
                <w:szCs w:val="20"/>
              </w:rPr>
            </w:pPr>
            <w:r>
              <w:rPr>
                <w:rFonts w:ascii="Arial Narrow" w:hAnsi="Arial Narrow"/>
                <w:sz w:val="20"/>
                <w:szCs w:val="20"/>
              </w:rPr>
              <w:t>Grade 3-5 AEOSI</w:t>
            </w:r>
          </w:p>
        </w:tc>
        <w:tc>
          <w:tcPr>
            <w:tcW w:w="1503" w:type="dxa"/>
            <w:shd w:val="clear" w:color="auto" w:fill="D9D9D9" w:themeFill="background1" w:themeFillShade="D9"/>
            <w:vAlign w:val="center"/>
          </w:tcPr>
          <w:p w:rsidR="00516A59" w:rsidRDefault="007D3F6A">
            <w:pPr>
              <w:keepNext/>
              <w:keepLines/>
              <w:widowControl/>
              <w:jc w:val="center"/>
              <w:rPr>
                <w:rFonts w:ascii="Arial Narrow" w:hAnsi="Arial Narrow"/>
                <w:sz w:val="20"/>
                <w:szCs w:val="20"/>
              </w:rPr>
            </w:pPr>
            <w:r>
              <w:rPr>
                <w:rFonts w:ascii="Arial Narrow" w:hAnsi="Arial Narrow"/>
                <w:sz w:val="20"/>
                <w:szCs w:val="20"/>
              </w:rPr>
              <w:t>36 (8.9)</w:t>
            </w:r>
          </w:p>
        </w:tc>
        <w:tc>
          <w:tcPr>
            <w:tcW w:w="1503" w:type="dxa"/>
            <w:shd w:val="clear" w:color="auto" w:fill="D9D9D9" w:themeFill="background1" w:themeFillShade="D9"/>
            <w:vAlign w:val="center"/>
          </w:tcPr>
          <w:p w:rsidR="00516A59" w:rsidRDefault="007D3F6A">
            <w:pPr>
              <w:keepNext/>
              <w:keepLines/>
              <w:widowControl/>
              <w:jc w:val="center"/>
              <w:rPr>
                <w:rFonts w:ascii="Arial Narrow" w:hAnsi="Arial Narrow"/>
                <w:sz w:val="20"/>
                <w:szCs w:val="20"/>
              </w:rPr>
            </w:pPr>
            <w:r>
              <w:rPr>
                <w:rFonts w:ascii="Arial Narrow" w:hAnsi="Arial Narrow"/>
                <w:sz w:val="20"/>
                <w:szCs w:val="20"/>
              </w:rPr>
              <w:t>9 (4.5)</w:t>
            </w:r>
          </w:p>
        </w:tc>
        <w:tc>
          <w:tcPr>
            <w:tcW w:w="1503" w:type="dxa"/>
            <w:shd w:val="clear" w:color="auto" w:fill="D9D9D9" w:themeFill="background1" w:themeFillShade="D9"/>
            <w:vAlign w:val="center"/>
          </w:tcPr>
          <w:p w:rsidR="00516A59" w:rsidRDefault="007D3F6A">
            <w:pPr>
              <w:keepNext/>
              <w:keepLines/>
              <w:widowControl/>
              <w:jc w:val="center"/>
              <w:rPr>
                <w:rFonts w:ascii="Arial Narrow" w:hAnsi="Arial Narrow"/>
                <w:bCs/>
                <w:iCs/>
                <w:sz w:val="20"/>
                <w:szCs w:val="20"/>
              </w:rPr>
            </w:pPr>
            <w:r>
              <w:rPr>
                <w:rFonts w:ascii="Arial Narrow" w:hAnsi="Arial Narrow"/>
                <w:bCs/>
                <w:iCs/>
                <w:sz w:val="20"/>
                <w:szCs w:val="20"/>
              </w:rPr>
              <w:t>2.09 (0.96, 5.04)</w:t>
            </w:r>
          </w:p>
        </w:tc>
        <w:tc>
          <w:tcPr>
            <w:tcW w:w="1503" w:type="dxa"/>
            <w:shd w:val="clear" w:color="auto" w:fill="D9D9D9" w:themeFill="background1" w:themeFillShade="D9"/>
            <w:vAlign w:val="center"/>
          </w:tcPr>
          <w:p w:rsidR="00516A59" w:rsidRDefault="007D3F6A">
            <w:pPr>
              <w:keepNext/>
              <w:keepLines/>
              <w:widowControl/>
              <w:jc w:val="center"/>
              <w:rPr>
                <w:rFonts w:ascii="Arial Narrow" w:hAnsi="Arial Narrow"/>
                <w:b/>
                <w:iCs/>
                <w:sz w:val="20"/>
                <w:szCs w:val="20"/>
              </w:rPr>
            </w:pPr>
            <w:r>
              <w:rPr>
                <w:rFonts w:ascii="Arial Narrow" w:hAnsi="Arial Narrow"/>
                <w:b/>
                <w:iCs/>
                <w:sz w:val="20"/>
                <w:szCs w:val="20"/>
              </w:rPr>
              <w:t>2.00 (1.00, 4.02)</w:t>
            </w:r>
          </w:p>
        </w:tc>
        <w:tc>
          <w:tcPr>
            <w:tcW w:w="1503" w:type="dxa"/>
            <w:shd w:val="clear" w:color="auto" w:fill="D9D9D9" w:themeFill="background1" w:themeFillShade="D9"/>
            <w:vAlign w:val="center"/>
          </w:tcPr>
          <w:p w:rsidR="00516A59" w:rsidRDefault="007D3F6A">
            <w:pPr>
              <w:keepNext/>
              <w:keepLines/>
              <w:widowControl/>
              <w:jc w:val="center"/>
              <w:rPr>
                <w:rFonts w:ascii="Arial Narrow" w:hAnsi="Arial Narrow"/>
                <w:b/>
                <w:iCs/>
                <w:sz w:val="20"/>
                <w:szCs w:val="20"/>
              </w:rPr>
            </w:pPr>
            <w:r>
              <w:rPr>
                <w:rFonts w:ascii="Arial Narrow" w:hAnsi="Arial Narrow"/>
                <w:b/>
                <w:iCs/>
                <w:sz w:val="20"/>
                <w:szCs w:val="20"/>
              </w:rPr>
              <w:t>0.04 (0.00, 0.08)</w:t>
            </w:r>
          </w:p>
        </w:tc>
      </w:tr>
      <w:tr w:rsidR="00516A59">
        <w:tc>
          <w:tcPr>
            <w:tcW w:w="1502" w:type="dxa"/>
            <w:shd w:val="clear" w:color="auto" w:fill="D9D9D9" w:themeFill="background1" w:themeFillShade="D9"/>
          </w:tcPr>
          <w:p w:rsidR="00516A59" w:rsidRDefault="007D3F6A">
            <w:pPr>
              <w:keepNext/>
              <w:keepLines/>
              <w:widowControl/>
              <w:ind w:left="284"/>
            </w:pPr>
            <w:r>
              <w:rPr>
                <w:rFonts w:ascii="Arial Narrow" w:hAnsi="Arial Narrow"/>
                <w:sz w:val="20"/>
                <w:szCs w:val="20"/>
              </w:rPr>
              <w:t>Colitis</w:t>
            </w:r>
          </w:p>
        </w:tc>
        <w:tc>
          <w:tcPr>
            <w:tcW w:w="1503" w:type="dxa"/>
            <w:shd w:val="clear" w:color="auto" w:fill="D9D9D9" w:themeFill="background1" w:themeFillShade="D9"/>
            <w:vAlign w:val="center"/>
          </w:tcPr>
          <w:p w:rsidR="00516A59" w:rsidRDefault="007D3F6A">
            <w:pPr>
              <w:keepNext/>
              <w:keepLines/>
              <w:widowControl/>
              <w:jc w:val="center"/>
            </w:pPr>
            <w:r>
              <w:rPr>
                <w:rFonts w:ascii="Arial Narrow" w:hAnsi="Arial Narrow"/>
                <w:sz w:val="20"/>
                <w:szCs w:val="20"/>
              </w:rPr>
              <w:t>9 (2.2)</w:t>
            </w:r>
          </w:p>
        </w:tc>
        <w:tc>
          <w:tcPr>
            <w:tcW w:w="1503" w:type="dxa"/>
            <w:shd w:val="clear" w:color="auto" w:fill="D9D9D9" w:themeFill="background1" w:themeFillShade="D9"/>
            <w:vAlign w:val="center"/>
          </w:tcPr>
          <w:p w:rsidR="00516A59" w:rsidRDefault="007D3F6A">
            <w:pPr>
              <w:keepNext/>
              <w:keepLines/>
              <w:widowControl/>
              <w:jc w:val="center"/>
            </w:pPr>
            <w:r>
              <w:rPr>
                <w:rFonts w:ascii="Arial Narrow" w:hAnsi="Arial Narrow"/>
                <w:sz w:val="20"/>
                <w:szCs w:val="20"/>
              </w:rPr>
              <w:t>0 (0.0)</w:t>
            </w:r>
          </w:p>
        </w:tc>
        <w:tc>
          <w:tcPr>
            <w:tcW w:w="1503" w:type="dxa"/>
            <w:shd w:val="clear" w:color="auto" w:fill="D9D9D9" w:themeFill="background1" w:themeFillShade="D9"/>
            <w:vAlign w:val="center"/>
          </w:tcPr>
          <w:p w:rsidR="00516A59" w:rsidRDefault="007D3F6A">
            <w:pPr>
              <w:keepNext/>
              <w:keepLines/>
              <w:widowControl/>
              <w:jc w:val="center"/>
              <w:rPr>
                <w:iCs/>
              </w:rPr>
            </w:pPr>
            <w:r>
              <w:rPr>
                <w:rFonts w:ascii="Arial Narrow" w:hAnsi="Arial Narrow"/>
                <w:iCs/>
                <w:sz w:val="20"/>
                <w:szCs w:val="20"/>
              </w:rPr>
              <w:t>NC</w:t>
            </w:r>
          </w:p>
        </w:tc>
        <w:tc>
          <w:tcPr>
            <w:tcW w:w="1503" w:type="dxa"/>
            <w:shd w:val="clear" w:color="auto" w:fill="D9D9D9" w:themeFill="background1" w:themeFillShade="D9"/>
            <w:vAlign w:val="center"/>
          </w:tcPr>
          <w:p w:rsidR="00516A59" w:rsidRDefault="007D3F6A">
            <w:pPr>
              <w:keepNext/>
              <w:keepLines/>
              <w:widowControl/>
              <w:jc w:val="center"/>
              <w:rPr>
                <w:iCs/>
              </w:rPr>
            </w:pPr>
            <w:r>
              <w:rPr>
                <w:rFonts w:ascii="Arial Narrow" w:hAnsi="Arial Narrow"/>
                <w:iCs/>
                <w:sz w:val="20"/>
                <w:szCs w:val="20"/>
              </w:rPr>
              <w:t>NC</w:t>
            </w:r>
          </w:p>
        </w:tc>
        <w:tc>
          <w:tcPr>
            <w:tcW w:w="1503" w:type="dxa"/>
            <w:shd w:val="clear" w:color="auto" w:fill="D9D9D9" w:themeFill="background1" w:themeFillShade="D9"/>
            <w:vAlign w:val="center"/>
          </w:tcPr>
          <w:p w:rsidR="00516A59" w:rsidRDefault="007D3F6A">
            <w:pPr>
              <w:keepNext/>
              <w:keepLines/>
              <w:widowControl/>
              <w:jc w:val="center"/>
              <w:rPr>
                <w:iCs/>
              </w:rPr>
            </w:pPr>
            <w:r>
              <w:rPr>
                <w:rFonts w:ascii="Arial Narrow" w:hAnsi="Arial Narrow"/>
                <w:b/>
                <w:iCs/>
                <w:sz w:val="20"/>
                <w:szCs w:val="20"/>
              </w:rPr>
              <w:t>0.02 (0.00, 0.04)</w:t>
            </w:r>
          </w:p>
        </w:tc>
      </w:tr>
      <w:tr w:rsidR="00516A59">
        <w:tc>
          <w:tcPr>
            <w:tcW w:w="1502" w:type="dxa"/>
            <w:shd w:val="clear" w:color="auto" w:fill="D9D9D9" w:themeFill="background1" w:themeFillShade="D9"/>
          </w:tcPr>
          <w:p w:rsidR="00516A59" w:rsidRDefault="007D3F6A">
            <w:pPr>
              <w:keepNext/>
              <w:keepLines/>
              <w:widowControl/>
              <w:ind w:left="284"/>
              <w:rPr>
                <w:rFonts w:ascii="Arial Narrow" w:hAnsi="Arial Narrow"/>
                <w:sz w:val="20"/>
                <w:szCs w:val="20"/>
              </w:rPr>
            </w:pPr>
            <w:r>
              <w:rPr>
                <w:rFonts w:ascii="Arial Narrow" w:hAnsi="Arial Narrow"/>
                <w:sz w:val="20"/>
                <w:szCs w:val="20"/>
              </w:rPr>
              <w:t>Hypothyroidism</w:t>
            </w:r>
          </w:p>
        </w:tc>
        <w:tc>
          <w:tcPr>
            <w:tcW w:w="1503" w:type="dxa"/>
            <w:shd w:val="clear" w:color="auto" w:fill="D9D9D9" w:themeFill="background1" w:themeFillShade="D9"/>
            <w:vAlign w:val="center"/>
          </w:tcPr>
          <w:p w:rsidR="00516A59" w:rsidRDefault="007D3F6A">
            <w:pPr>
              <w:keepNext/>
              <w:keepLines/>
              <w:widowControl/>
              <w:jc w:val="center"/>
              <w:rPr>
                <w:rFonts w:ascii="Arial Narrow" w:hAnsi="Arial Narrow"/>
                <w:sz w:val="20"/>
                <w:szCs w:val="20"/>
              </w:rPr>
            </w:pPr>
            <w:r>
              <w:rPr>
                <w:rFonts w:ascii="Arial Narrow" w:hAnsi="Arial Narrow"/>
                <w:sz w:val="20"/>
                <w:szCs w:val="20"/>
              </w:rPr>
              <w:t>27 (6.7)</w:t>
            </w:r>
          </w:p>
        </w:tc>
        <w:tc>
          <w:tcPr>
            <w:tcW w:w="1503" w:type="dxa"/>
            <w:shd w:val="clear" w:color="auto" w:fill="D9D9D9" w:themeFill="background1" w:themeFillShade="D9"/>
            <w:vAlign w:val="center"/>
          </w:tcPr>
          <w:p w:rsidR="00516A59" w:rsidRDefault="007D3F6A">
            <w:pPr>
              <w:keepNext/>
              <w:keepLines/>
              <w:widowControl/>
              <w:jc w:val="center"/>
              <w:rPr>
                <w:rFonts w:ascii="Arial Narrow" w:hAnsi="Arial Narrow"/>
                <w:sz w:val="20"/>
                <w:szCs w:val="20"/>
              </w:rPr>
            </w:pPr>
            <w:r>
              <w:rPr>
                <w:rFonts w:ascii="Arial Narrow" w:hAnsi="Arial Narrow"/>
                <w:sz w:val="20"/>
                <w:szCs w:val="20"/>
              </w:rPr>
              <w:t>5 (2.5)</w:t>
            </w:r>
          </w:p>
        </w:tc>
        <w:tc>
          <w:tcPr>
            <w:tcW w:w="1503" w:type="dxa"/>
            <w:shd w:val="clear" w:color="auto" w:fill="D9D9D9" w:themeFill="background1" w:themeFillShade="D9"/>
            <w:vAlign w:val="center"/>
          </w:tcPr>
          <w:p w:rsidR="00516A59" w:rsidRDefault="007D3F6A">
            <w:pPr>
              <w:keepNext/>
              <w:keepLines/>
              <w:widowControl/>
              <w:jc w:val="center"/>
              <w:rPr>
                <w:rFonts w:ascii="Arial Narrow" w:hAnsi="Arial Narrow"/>
                <w:iCs/>
                <w:sz w:val="20"/>
                <w:szCs w:val="20"/>
              </w:rPr>
            </w:pPr>
            <w:r>
              <w:rPr>
                <w:rFonts w:ascii="Arial Narrow" w:hAnsi="Arial Narrow"/>
                <w:b/>
                <w:iCs/>
                <w:sz w:val="20"/>
                <w:szCs w:val="20"/>
              </w:rPr>
              <w:t>2.81 (1.05, 9.49)</w:t>
            </w:r>
          </w:p>
        </w:tc>
        <w:tc>
          <w:tcPr>
            <w:tcW w:w="1503" w:type="dxa"/>
            <w:shd w:val="clear" w:color="auto" w:fill="D9D9D9" w:themeFill="background1" w:themeFillShade="D9"/>
            <w:vAlign w:val="center"/>
          </w:tcPr>
          <w:p w:rsidR="00516A59" w:rsidRDefault="007D3F6A">
            <w:pPr>
              <w:keepNext/>
              <w:keepLines/>
              <w:widowControl/>
              <w:jc w:val="center"/>
              <w:rPr>
                <w:rFonts w:ascii="Arial Narrow" w:hAnsi="Arial Narrow"/>
                <w:iCs/>
                <w:sz w:val="20"/>
                <w:szCs w:val="20"/>
              </w:rPr>
            </w:pPr>
            <w:r>
              <w:rPr>
                <w:rFonts w:ascii="Arial Narrow" w:hAnsi="Arial Narrow"/>
                <w:b/>
                <w:iCs/>
                <w:sz w:val="20"/>
                <w:szCs w:val="20"/>
              </w:rPr>
              <w:t>2.69 (1.05, 6.89)</w:t>
            </w:r>
          </w:p>
        </w:tc>
        <w:tc>
          <w:tcPr>
            <w:tcW w:w="1503" w:type="dxa"/>
            <w:shd w:val="clear" w:color="auto" w:fill="D9D9D9" w:themeFill="background1" w:themeFillShade="D9"/>
            <w:vAlign w:val="center"/>
          </w:tcPr>
          <w:p w:rsidR="00516A59" w:rsidRDefault="007D3F6A">
            <w:pPr>
              <w:keepNext/>
              <w:keepLines/>
              <w:widowControl/>
              <w:jc w:val="center"/>
              <w:rPr>
                <w:rFonts w:ascii="Arial Narrow" w:hAnsi="Arial Narrow"/>
                <w:b/>
                <w:iCs/>
                <w:sz w:val="20"/>
                <w:szCs w:val="20"/>
              </w:rPr>
            </w:pPr>
            <w:r>
              <w:rPr>
                <w:rFonts w:ascii="Arial Narrow" w:hAnsi="Arial Narrow"/>
                <w:b/>
                <w:iCs/>
                <w:sz w:val="20"/>
                <w:szCs w:val="20"/>
              </w:rPr>
              <w:t>0.04 (0.00, 0.07)</w:t>
            </w:r>
          </w:p>
        </w:tc>
      </w:tr>
    </w:tbl>
    <w:p w:rsidR="00516A59" w:rsidRDefault="007D3F6A">
      <w:pPr>
        <w:pStyle w:val="TableFooter"/>
        <w:keepNext/>
        <w:keepLines/>
        <w:widowControl/>
      </w:pPr>
      <w:r>
        <w:rPr>
          <w:highlight w:val="lightGray"/>
        </w:rPr>
        <w:t>Shaded data previously considered by PBAC</w:t>
      </w:r>
    </w:p>
    <w:p w:rsidR="00516A59" w:rsidRDefault="007D3F6A">
      <w:pPr>
        <w:keepNext/>
        <w:keepLines/>
        <w:widowControl/>
        <w:rPr>
          <w:rFonts w:ascii="Arial Narrow" w:hAnsi="Arial Narrow"/>
          <w:sz w:val="18"/>
          <w:szCs w:val="20"/>
        </w:rPr>
      </w:pPr>
      <w:r>
        <w:rPr>
          <w:rFonts w:ascii="Arial Narrow" w:hAnsi="Arial Narrow"/>
          <w:sz w:val="18"/>
          <w:szCs w:val="18"/>
        </w:rPr>
        <w:t>Pembro Combo = pembrolizumab+platinum+pemetrexed;</w:t>
      </w:r>
      <w:r>
        <w:rPr>
          <w:rFonts w:ascii="Arial Narrow" w:hAnsi="Arial Narrow"/>
          <w:sz w:val="18"/>
          <w:szCs w:val="20"/>
        </w:rPr>
        <w:t xml:space="preserve"> AE = Adverse event; AEOSI = Adverse events of special interest; CI = confidence interval; n = number of participants reporting data; N = total participants in group; NC = not calculated; OR = odd ratio; RD = risk difference; RR = relative risk; </w:t>
      </w:r>
      <w:r>
        <w:rPr>
          <w:rFonts w:ascii="Arial Narrow" w:hAnsi="Arial Narrow"/>
          <w:b/>
          <w:sz w:val="18"/>
          <w:szCs w:val="20"/>
        </w:rPr>
        <w:t>bold</w:t>
      </w:r>
      <w:r>
        <w:rPr>
          <w:rFonts w:ascii="Arial Narrow" w:hAnsi="Arial Narrow"/>
          <w:sz w:val="18"/>
          <w:szCs w:val="20"/>
        </w:rPr>
        <w:t xml:space="preserve"> = statistically significant</w:t>
      </w:r>
    </w:p>
    <w:p w:rsidR="00516A59" w:rsidRDefault="007D3F6A">
      <w:pPr>
        <w:keepNext/>
        <w:keepLines/>
        <w:widowControl/>
        <w:rPr>
          <w:rFonts w:ascii="Arial Narrow" w:hAnsi="Arial Narrow"/>
          <w:sz w:val="18"/>
          <w:szCs w:val="20"/>
        </w:rPr>
      </w:pPr>
      <w:r>
        <w:rPr>
          <w:rFonts w:ascii="Arial Narrow" w:hAnsi="Arial Narrow"/>
          <w:sz w:val="18"/>
          <w:szCs w:val="20"/>
        </w:rPr>
        <w:t xml:space="preserve">Source: Table 9, pembrolizumab (NSCLC) Public Summary Document, November 2018. </w:t>
      </w:r>
    </w:p>
    <w:p w:rsidR="00516A59" w:rsidRDefault="00516A59">
      <w:pPr>
        <w:keepLines/>
        <w:widowControl/>
        <w:rPr>
          <w:rFonts w:asciiTheme="minorHAnsi" w:hAnsiTheme="minorHAnsi" w:cstheme="minorHAnsi"/>
          <w:szCs w:val="24"/>
        </w:rPr>
      </w:pPr>
    </w:p>
    <w:p w:rsidR="00516A59" w:rsidRDefault="007D3F6A">
      <w:pPr>
        <w:pStyle w:val="Heading2"/>
      </w:pPr>
      <w:bookmarkStart w:id="20" w:name="_Toc371170708"/>
      <w:bookmarkStart w:id="21" w:name="_Toc9436243"/>
      <w:r>
        <w:t>Benefits/harms</w:t>
      </w:r>
      <w:bookmarkEnd w:id="20"/>
      <w:bookmarkEnd w:id="21"/>
    </w:p>
    <w:p w:rsidR="00516A59" w:rsidRDefault="007D3F6A">
      <w:pPr>
        <w:pStyle w:val="ListParagraph"/>
        <w:keepLines/>
        <w:widowControl/>
      </w:pPr>
      <w:r>
        <w:t>A summary of the comparative benefits and harms for pembrolizumab+platinum+pemetrexed versus platinum+pemetrexed, in patients with tumours that are PD-L1 TPS &lt;50%, is presented in Table 11.</w:t>
      </w:r>
    </w:p>
    <w:p w:rsidR="00516A59" w:rsidRDefault="007D3F6A">
      <w:pPr>
        <w:pStyle w:val="Caption"/>
        <w:keepLines/>
        <w:widowControl/>
        <w:rPr>
          <w:rStyle w:val="CommentReference"/>
        </w:rPr>
      </w:pPr>
      <w:r>
        <w:rPr>
          <w:rStyle w:val="CommentReference"/>
          <w:b/>
        </w:rPr>
        <w:t xml:space="preserve"> </w:t>
      </w:r>
    </w:p>
    <w:p w:rsidR="0093515B" w:rsidRDefault="0093515B">
      <w:pPr>
        <w:widowControl/>
        <w:jc w:val="left"/>
        <w:rPr>
          <w:rFonts w:ascii="Arial Narrow" w:hAnsi="Arial Narrow"/>
          <w:b/>
          <w:bCs/>
          <w:sz w:val="20"/>
          <w:szCs w:val="18"/>
        </w:rPr>
      </w:pPr>
      <w:r>
        <w:br w:type="page"/>
      </w:r>
    </w:p>
    <w:p w:rsidR="0093515B" w:rsidRDefault="0093515B" w:rsidP="0093515B">
      <w:pPr>
        <w:pStyle w:val="Caption"/>
        <w:keepNext/>
      </w:pPr>
      <w:r>
        <w:lastRenderedPageBreak/>
        <w:t xml:space="preserve">Table </w:t>
      </w:r>
      <w:r>
        <w:rPr>
          <w:noProof/>
        </w:rPr>
        <w:t>11</w:t>
      </w:r>
      <w:r w:rsidRPr="000C3F18">
        <w:t>: Summary of comparative benefits and harms for pembrolizumab+platinum+pemetrexed versus platinum doublet</w:t>
      </w:r>
    </w:p>
    <w:tbl>
      <w:tblPr>
        <w:tblW w:w="5000" w:type="pct"/>
        <w:tblLayout w:type="fixed"/>
        <w:tblCellMar>
          <w:left w:w="28" w:type="dxa"/>
          <w:right w:w="28" w:type="dxa"/>
        </w:tblCellMar>
        <w:tblLook w:val="04A0" w:firstRow="1" w:lastRow="0" w:firstColumn="1" w:lastColumn="0" w:noHBand="0" w:noVBand="1"/>
        <w:tblCaption w:val="Table 11: Summary of comparative benefits and harms for pembrolizumab+platinum+pemetrexed versus platinum doublet "/>
      </w:tblPr>
      <w:tblGrid>
        <w:gridCol w:w="1294"/>
        <w:gridCol w:w="545"/>
        <w:gridCol w:w="720"/>
        <w:gridCol w:w="1075"/>
        <w:gridCol w:w="191"/>
        <w:gridCol w:w="1295"/>
        <w:gridCol w:w="310"/>
        <w:gridCol w:w="1069"/>
        <w:gridCol w:w="725"/>
        <w:gridCol w:w="404"/>
        <w:gridCol w:w="1389"/>
      </w:tblGrid>
      <w:tr w:rsidR="00516A59">
        <w:tc>
          <w:tcPr>
            <w:tcW w:w="102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16A59" w:rsidRDefault="007D3F6A">
            <w:pPr>
              <w:keepLines/>
              <w:widowControl/>
              <w:jc w:val="left"/>
              <w:rPr>
                <w:rFonts w:ascii="Arial Narrow" w:hAnsi="Arial Narrow"/>
                <w:b/>
                <w:color w:val="000000"/>
                <w:sz w:val="20"/>
                <w:szCs w:val="20"/>
              </w:rPr>
            </w:pPr>
            <w:r>
              <w:rPr>
                <w:rFonts w:ascii="Arial Narrow" w:hAnsi="Arial Narrow"/>
                <w:b/>
                <w:color w:val="000000"/>
                <w:sz w:val="20"/>
                <w:szCs w:val="20"/>
              </w:rPr>
              <w:t xml:space="preserve">Outcome </w:t>
            </w:r>
          </w:p>
        </w:tc>
        <w:tc>
          <w:tcPr>
            <w:tcW w:w="995" w:type="pct"/>
            <w:gridSpan w:val="2"/>
            <w:tcBorders>
              <w:top w:val="single" w:sz="4" w:space="0" w:color="auto"/>
              <w:left w:val="single" w:sz="4" w:space="0" w:color="auto"/>
              <w:bottom w:val="single" w:sz="4" w:space="0" w:color="auto"/>
              <w:right w:val="single" w:sz="4" w:space="0" w:color="auto"/>
            </w:tcBorders>
            <w:vAlign w:val="center"/>
          </w:tcPr>
          <w:p w:rsidR="00516A59" w:rsidRDefault="007D3F6A">
            <w:pPr>
              <w:keepLines/>
              <w:widowControl/>
              <w:jc w:val="center"/>
              <w:rPr>
                <w:rFonts w:ascii="Arial Narrow" w:hAnsi="Arial Narrow"/>
                <w:b/>
                <w:color w:val="000000"/>
                <w:sz w:val="20"/>
                <w:szCs w:val="20"/>
              </w:rPr>
            </w:pPr>
            <w:r>
              <w:rPr>
                <w:rFonts w:ascii="Arial Narrow" w:hAnsi="Arial Narrow"/>
                <w:b/>
                <w:color w:val="000000"/>
                <w:sz w:val="20"/>
                <w:szCs w:val="20"/>
              </w:rPr>
              <w:t>Pembro Combo</w:t>
            </w:r>
          </w:p>
        </w:tc>
        <w:tc>
          <w:tcPr>
            <w:tcW w:w="996" w:type="pct"/>
            <w:gridSpan w:val="3"/>
            <w:tcBorders>
              <w:top w:val="single" w:sz="4" w:space="0" w:color="auto"/>
              <w:left w:val="single" w:sz="4" w:space="0" w:color="auto"/>
              <w:bottom w:val="single" w:sz="4" w:space="0" w:color="auto"/>
              <w:right w:val="single" w:sz="4" w:space="0" w:color="auto"/>
            </w:tcBorders>
            <w:vAlign w:val="center"/>
          </w:tcPr>
          <w:p w:rsidR="00516A59" w:rsidRDefault="007D3F6A">
            <w:pPr>
              <w:keepLines/>
              <w:widowControl/>
              <w:jc w:val="center"/>
              <w:rPr>
                <w:rFonts w:ascii="Arial Narrow" w:hAnsi="Arial Narrow"/>
                <w:b/>
                <w:color w:val="000000"/>
                <w:sz w:val="20"/>
                <w:szCs w:val="20"/>
              </w:rPr>
            </w:pPr>
            <w:r>
              <w:rPr>
                <w:rFonts w:ascii="Arial Narrow" w:hAnsi="Arial Narrow"/>
                <w:b/>
                <w:color w:val="000000"/>
                <w:sz w:val="20"/>
                <w:szCs w:val="20"/>
              </w:rPr>
              <w:t xml:space="preserve">Platinum doublet </w:t>
            </w:r>
          </w:p>
        </w:tc>
        <w:tc>
          <w:tcPr>
            <w:tcW w:w="995" w:type="pct"/>
            <w:gridSpan w:val="2"/>
            <w:tcBorders>
              <w:top w:val="single" w:sz="4" w:space="0" w:color="auto"/>
              <w:left w:val="single" w:sz="4" w:space="0" w:color="auto"/>
              <w:bottom w:val="single" w:sz="4" w:space="0" w:color="auto"/>
              <w:right w:val="single" w:sz="4" w:space="0" w:color="auto"/>
            </w:tcBorders>
            <w:vAlign w:val="center"/>
          </w:tcPr>
          <w:p w:rsidR="00516A59" w:rsidRDefault="007D3F6A">
            <w:pPr>
              <w:keepLines/>
              <w:widowControl/>
              <w:jc w:val="center"/>
              <w:rPr>
                <w:rFonts w:ascii="Arial Narrow" w:hAnsi="Arial Narrow"/>
                <w:b/>
                <w:color w:val="000000"/>
                <w:sz w:val="20"/>
                <w:szCs w:val="20"/>
              </w:rPr>
            </w:pPr>
            <w:r>
              <w:rPr>
                <w:rFonts w:ascii="Arial Narrow" w:hAnsi="Arial Narrow"/>
                <w:b/>
                <w:color w:val="000000"/>
                <w:sz w:val="20"/>
                <w:szCs w:val="20"/>
              </w:rPr>
              <w:t>Absolute difference</w:t>
            </w:r>
          </w:p>
        </w:tc>
        <w:tc>
          <w:tcPr>
            <w:tcW w:w="994" w:type="pct"/>
            <w:gridSpan w:val="2"/>
            <w:tcBorders>
              <w:top w:val="single" w:sz="4" w:space="0" w:color="auto"/>
              <w:left w:val="single" w:sz="4" w:space="0" w:color="auto"/>
              <w:bottom w:val="single" w:sz="4" w:space="0" w:color="auto"/>
              <w:right w:val="single" w:sz="4" w:space="0" w:color="auto"/>
            </w:tcBorders>
            <w:vAlign w:val="center"/>
          </w:tcPr>
          <w:p w:rsidR="00516A59" w:rsidRDefault="007D3F6A">
            <w:pPr>
              <w:keepLines/>
              <w:widowControl/>
              <w:jc w:val="center"/>
              <w:rPr>
                <w:rFonts w:ascii="Arial Narrow" w:hAnsi="Arial Narrow"/>
                <w:b/>
                <w:color w:val="000000"/>
                <w:sz w:val="20"/>
                <w:szCs w:val="20"/>
              </w:rPr>
            </w:pPr>
            <w:r>
              <w:rPr>
                <w:rFonts w:ascii="Arial Narrow" w:hAnsi="Arial Narrow"/>
                <w:b/>
                <w:color w:val="000000"/>
                <w:sz w:val="20"/>
                <w:szCs w:val="20"/>
              </w:rPr>
              <w:t>HR (95% CI)</w:t>
            </w:r>
          </w:p>
        </w:tc>
      </w:tr>
      <w:tr w:rsidR="00516A59">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516A59" w:rsidRDefault="007D3F6A">
            <w:pPr>
              <w:keepLines/>
              <w:widowControl/>
              <w:jc w:val="left"/>
              <w:rPr>
                <w:rFonts w:ascii="Arial Narrow" w:hAnsi="Arial Narrow"/>
                <w:b/>
                <w:color w:val="000000"/>
                <w:sz w:val="20"/>
                <w:szCs w:val="20"/>
              </w:rPr>
            </w:pPr>
            <w:r>
              <w:rPr>
                <w:rFonts w:ascii="Arial Narrow" w:hAnsi="Arial Narrow"/>
                <w:b/>
                <w:color w:val="000000"/>
                <w:sz w:val="20"/>
                <w:szCs w:val="20"/>
              </w:rPr>
              <w:t>Benefits</w:t>
            </w:r>
          </w:p>
        </w:tc>
      </w:tr>
      <w:tr w:rsidR="00516A59">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516A59" w:rsidRDefault="007D3F6A">
            <w:pPr>
              <w:keepLines/>
              <w:widowControl/>
              <w:rPr>
                <w:rFonts w:ascii="Arial Narrow" w:hAnsi="Arial Narrow"/>
                <w:b/>
                <w:color w:val="000000"/>
                <w:sz w:val="20"/>
                <w:szCs w:val="20"/>
              </w:rPr>
            </w:pPr>
            <w:r>
              <w:rPr>
                <w:rFonts w:ascii="Arial Narrow" w:hAnsi="Arial Narrow"/>
                <w:b/>
                <w:color w:val="000000"/>
                <w:sz w:val="20"/>
                <w:szCs w:val="20"/>
              </w:rPr>
              <w:t>Time-to-event outcome OS: KN189 (PD-L1 TPS &lt;50%) – median duration of follow up 16.7 months</w:t>
            </w:r>
          </w:p>
        </w:tc>
      </w:tr>
      <w:tr w:rsidR="00516A59">
        <w:tc>
          <w:tcPr>
            <w:tcW w:w="1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16A59" w:rsidRDefault="007D3F6A">
            <w:pPr>
              <w:keepLines/>
              <w:widowControl/>
              <w:rPr>
                <w:rFonts w:ascii="Arial Narrow" w:hAnsi="Arial Narrow"/>
                <w:color w:val="000000"/>
                <w:sz w:val="20"/>
                <w:szCs w:val="20"/>
              </w:rPr>
            </w:pPr>
            <w:r>
              <w:rPr>
                <w:rFonts w:ascii="Arial Narrow" w:hAnsi="Arial Narrow"/>
                <w:color w:val="000000"/>
                <w:sz w:val="20"/>
                <w:szCs w:val="20"/>
              </w:rPr>
              <w:t>Deaths, n/N (%)</w:t>
            </w:r>
          </w:p>
        </w:tc>
        <w:tc>
          <w:tcPr>
            <w:tcW w:w="995" w:type="pct"/>
            <w:gridSpan w:val="2"/>
            <w:tcBorders>
              <w:top w:val="single" w:sz="4" w:space="0" w:color="auto"/>
              <w:left w:val="single" w:sz="4" w:space="0" w:color="auto"/>
              <w:bottom w:val="single" w:sz="4" w:space="0" w:color="auto"/>
              <w:right w:val="single" w:sz="4" w:space="0" w:color="auto"/>
            </w:tcBorders>
            <w:vAlign w:val="center"/>
          </w:tcPr>
          <w:p w:rsidR="00516A59" w:rsidRDefault="007D3F6A">
            <w:pPr>
              <w:keepLines/>
              <w:widowControl/>
              <w:jc w:val="center"/>
              <w:rPr>
                <w:rFonts w:ascii="Arial Narrow" w:hAnsi="Arial Narrow"/>
                <w:sz w:val="20"/>
                <w:szCs w:val="20"/>
              </w:rPr>
            </w:pPr>
            <w:r>
              <w:rPr>
                <w:rFonts w:ascii="Arial Narrow" w:hAnsi="Arial Narrow"/>
                <w:sz w:val="20"/>
                <w:szCs w:val="20"/>
              </w:rPr>
              <w:t>142/255 (55.7)</w:t>
            </w:r>
          </w:p>
        </w:tc>
        <w:tc>
          <w:tcPr>
            <w:tcW w:w="996" w:type="pct"/>
            <w:gridSpan w:val="3"/>
            <w:tcBorders>
              <w:top w:val="single" w:sz="4" w:space="0" w:color="auto"/>
              <w:left w:val="single" w:sz="4" w:space="0" w:color="auto"/>
              <w:bottom w:val="single" w:sz="4" w:space="0" w:color="auto"/>
              <w:right w:val="single" w:sz="4" w:space="0" w:color="auto"/>
            </w:tcBorders>
            <w:vAlign w:val="center"/>
          </w:tcPr>
          <w:p w:rsidR="00516A59" w:rsidRDefault="007D3F6A">
            <w:pPr>
              <w:keepLines/>
              <w:widowControl/>
              <w:jc w:val="center"/>
              <w:rPr>
                <w:rFonts w:ascii="Arial Narrow" w:hAnsi="Arial Narrow"/>
                <w:sz w:val="20"/>
                <w:szCs w:val="20"/>
              </w:rPr>
            </w:pPr>
            <w:r>
              <w:rPr>
                <w:rFonts w:ascii="Arial Narrow" w:hAnsi="Arial Narrow"/>
                <w:sz w:val="20"/>
                <w:szCs w:val="20"/>
              </w:rPr>
              <w:t>91/121 (75.2)</w:t>
            </w:r>
          </w:p>
        </w:tc>
        <w:tc>
          <w:tcPr>
            <w:tcW w:w="995" w:type="pct"/>
            <w:gridSpan w:val="2"/>
            <w:tcBorders>
              <w:top w:val="single" w:sz="4" w:space="0" w:color="auto"/>
              <w:left w:val="single" w:sz="4" w:space="0" w:color="auto"/>
              <w:bottom w:val="single" w:sz="4" w:space="0" w:color="auto"/>
              <w:right w:val="single" w:sz="4" w:space="0" w:color="auto"/>
            </w:tcBorders>
            <w:vAlign w:val="center"/>
          </w:tcPr>
          <w:p w:rsidR="00516A59" w:rsidRDefault="00516A59">
            <w:pPr>
              <w:keepLines/>
              <w:widowControl/>
              <w:jc w:val="center"/>
              <w:rPr>
                <w:rFonts w:ascii="Arial Narrow" w:hAnsi="Arial Narrow"/>
                <w:color w:val="000000"/>
                <w:sz w:val="20"/>
                <w:szCs w:val="20"/>
              </w:rPr>
            </w:pPr>
          </w:p>
        </w:tc>
        <w:tc>
          <w:tcPr>
            <w:tcW w:w="994" w:type="pct"/>
            <w:gridSpan w:val="2"/>
            <w:vMerge w:val="restart"/>
            <w:tcBorders>
              <w:top w:val="single" w:sz="4" w:space="0" w:color="auto"/>
              <w:left w:val="single" w:sz="4" w:space="0" w:color="auto"/>
              <w:right w:val="single" w:sz="4" w:space="0" w:color="auto"/>
            </w:tcBorders>
            <w:vAlign w:val="center"/>
          </w:tcPr>
          <w:p w:rsidR="00516A59" w:rsidRDefault="007D3F6A">
            <w:pPr>
              <w:keepLines/>
              <w:widowControl/>
              <w:jc w:val="center"/>
              <w:rPr>
                <w:rFonts w:ascii="Arial Narrow" w:hAnsi="Arial Narrow"/>
                <w:color w:val="000000"/>
                <w:sz w:val="20"/>
                <w:szCs w:val="20"/>
              </w:rPr>
            </w:pPr>
            <w:r>
              <w:rPr>
                <w:rFonts w:ascii="Arial Narrow" w:hAnsi="Arial Narrow"/>
                <w:color w:val="000000"/>
                <w:sz w:val="20"/>
                <w:szCs w:val="20"/>
              </w:rPr>
              <w:t>0.56 (0.43, 0.73)</w:t>
            </w:r>
          </w:p>
          <w:p w:rsidR="00516A59" w:rsidRDefault="007D3F6A">
            <w:pPr>
              <w:keepLines/>
              <w:widowControl/>
              <w:jc w:val="center"/>
              <w:rPr>
                <w:rFonts w:ascii="Arial Narrow" w:hAnsi="Arial Narrow"/>
                <w:color w:val="000000"/>
                <w:sz w:val="20"/>
                <w:szCs w:val="20"/>
              </w:rPr>
            </w:pPr>
            <w:r>
              <w:rPr>
                <w:rFonts w:ascii="Arial Narrow" w:hAnsi="Arial Narrow"/>
                <w:color w:val="000000"/>
                <w:sz w:val="20"/>
                <w:szCs w:val="20"/>
              </w:rPr>
              <w:t>P=0.00001</w:t>
            </w:r>
          </w:p>
        </w:tc>
      </w:tr>
      <w:tr w:rsidR="00516A59">
        <w:tc>
          <w:tcPr>
            <w:tcW w:w="1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16A59" w:rsidRDefault="007D3F6A">
            <w:pPr>
              <w:keepLines/>
              <w:widowControl/>
              <w:rPr>
                <w:rFonts w:ascii="Arial Narrow" w:hAnsi="Arial Narrow"/>
                <w:color w:val="000000"/>
                <w:sz w:val="20"/>
                <w:szCs w:val="20"/>
              </w:rPr>
            </w:pPr>
            <w:r>
              <w:rPr>
                <w:rFonts w:ascii="Arial Narrow" w:hAnsi="Arial Narrow"/>
                <w:color w:val="000000"/>
                <w:sz w:val="20"/>
                <w:szCs w:val="20"/>
              </w:rPr>
              <w:t>Median (mths)</w:t>
            </w:r>
          </w:p>
        </w:tc>
        <w:tc>
          <w:tcPr>
            <w:tcW w:w="995" w:type="pct"/>
            <w:gridSpan w:val="2"/>
            <w:tcBorders>
              <w:top w:val="single" w:sz="4" w:space="0" w:color="auto"/>
              <w:left w:val="single" w:sz="4" w:space="0" w:color="auto"/>
              <w:bottom w:val="single" w:sz="4" w:space="0" w:color="auto"/>
              <w:right w:val="single" w:sz="4" w:space="0" w:color="auto"/>
            </w:tcBorders>
            <w:vAlign w:val="center"/>
          </w:tcPr>
          <w:p w:rsidR="00516A59" w:rsidRDefault="007D3F6A">
            <w:pPr>
              <w:keepLines/>
              <w:widowControl/>
              <w:jc w:val="center"/>
              <w:rPr>
                <w:rFonts w:ascii="Arial Narrow" w:hAnsi="Arial Narrow"/>
                <w:sz w:val="20"/>
                <w:szCs w:val="20"/>
              </w:rPr>
            </w:pPr>
            <w:r>
              <w:rPr>
                <w:rFonts w:ascii="Arial Narrow" w:hAnsi="Arial Narrow"/>
                <w:sz w:val="20"/>
                <w:szCs w:val="20"/>
              </w:rPr>
              <w:t>19.8 (17.2, 22.8)</w:t>
            </w:r>
          </w:p>
        </w:tc>
        <w:tc>
          <w:tcPr>
            <w:tcW w:w="996" w:type="pct"/>
            <w:gridSpan w:val="3"/>
            <w:tcBorders>
              <w:top w:val="single" w:sz="4" w:space="0" w:color="auto"/>
              <w:left w:val="single" w:sz="4" w:space="0" w:color="auto"/>
              <w:bottom w:val="single" w:sz="4" w:space="0" w:color="auto"/>
              <w:right w:val="single" w:sz="4" w:space="0" w:color="auto"/>
            </w:tcBorders>
            <w:vAlign w:val="center"/>
          </w:tcPr>
          <w:p w:rsidR="00516A59" w:rsidRDefault="007D3F6A">
            <w:pPr>
              <w:keepLines/>
              <w:widowControl/>
              <w:jc w:val="center"/>
              <w:rPr>
                <w:rFonts w:ascii="Arial Narrow" w:hAnsi="Arial Narrow"/>
                <w:sz w:val="20"/>
                <w:szCs w:val="20"/>
              </w:rPr>
            </w:pPr>
            <w:r>
              <w:rPr>
                <w:rFonts w:ascii="Arial Narrow" w:hAnsi="Arial Narrow"/>
                <w:sz w:val="20"/>
                <w:szCs w:val="20"/>
              </w:rPr>
              <w:t>11.4 (8.6, 13.5)</w:t>
            </w:r>
          </w:p>
        </w:tc>
        <w:tc>
          <w:tcPr>
            <w:tcW w:w="995" w:type="pct"/>
            <w:gridSpan w:val="2"/>
            <w:tcBorders>
              <w:top w:val="single" w:sz="4" w:space="0" w:color="auto"/>
              <w:left w:val="single" w:sz="4" w:space="0" w:color="auto"/>
              <w:bottom w:val="single" w:sz="4" w:space="0" w:color="auto"/>
              <w:right w:val="single" w:sz="4" w:space="0" w:color="auto"/>
            </w:tcBorders>
            <w:vAlign w:val="center"/>
          </w:tcPr>
          <w:p w:rsidR="00516A59" w:rsidRDefault="007D3F6A">
            <w:pPr>
              <w:keepLines/>
              <w:widowControl/>
              <w:jc w:val="center"/>
              <w:rPr>
                <w:rFonts w:ascii="Arial Narrow" w:hAnsi="Arial Narrow"/>
                <w:color w:val="000000"/>
                <w:sz w:val="20"/>
                <w:szCs w:val="20"/>
              </w:rPr>
            </w:pPr>
            <w:r>
              <w:rPr>
                <w:rFonts w:ascii="Arial Narrow" w:hAnsi="Arial Narrow"/>
                <w:color w:val="000000"/>
                <w:sz w:val="20"/>
                <w:szCs w:val="20"/>
              </w:rPr>
              <w:t>8.4</w:t>
            </w:r>
          </w:p>
        </w:tc>
        <w:tc>
          <w:tcPr>
            <w:tcW w:w="994" w:type="pct"/>
            <w:gridSpan w:val="2"/>
            <w:vMerge/>
            <w:tcBorders>
              <w:left w:val="single" w:sz="4" w:space="0" w:color="auto"/>
              <w:right w:val="single" w:sz="4" w:space="0" w:color="auto"/>
            </w:tcBorders>
            <w:vAlign w:val="center"/>
          </w:tcPr>
          <w:p w:rsidR="00516A59" w:rsidRDefault="00516A59">
            <w:pPr>
              <w:keepLines/>
              <w:widowControl/>
              <w:jc w:val="center"/>
              <w:rPr>
                <w:rFonts w:ascii="Arial Narrow" w:hAnsi="Arial Narrow"/>
                <w:color w:val="000000"/>
                <w:sz w:val="20"/>
                <w:szCs w:val="20"/>
              </w:rPr>
            </w:pPr>
          </w:p>
        </w:tc>
      </w:tr>
      <w:tr w:rsidR="00516A59">
        <w:tc>
          <w:tcPr>
            <w:tcW w:w="1020" w:type="pct"/>
            <w:gridSpan w:val="2"/>
            <w:tcBorders>
              <w:top w:val="single" w:sz="4" w:space="0" w:color="auto"/>
              <w:left w:val="single" w:sz="4" w:space="0" w:color="auto"/>
              <w:bottom w:val="double" w:sz="4" w:space="0" w:color="auto"/>
              <w:right w:val="single" w:sz="4" w:space="0" w:color="auto"/>
            </w:tcBorders>
            <w:shd w:val="clear" w:color="auto" w:fill="auto"/>
            <w:vAlign w:val="center"/>
          </w:tcPr>
          <w:p w:rsidR="00516A59" w:rsidRDefault="007D3F6A">
            <w:pPr>
              <w:keepLines/>
              <w:widowControl/>
              <w:rPr>
                <w:rFonts w:ascii="Arial Narrow" w:hAnsi="Arial Narrow"/>
                <w:color w:val="000000"/>
                <w:sz w:val="20"/>
                <w:szCs w:val="20"/>
              </w:rPr>
            </w:pPr>
            <w:r>
              <w:rPr>
                <w:rFonts w:ascii="Arial Narrow" w:hAnsi="Arial Narrow"/>
                <w:color w:val="000000"/>
                <w:sz w:val="20"/>
                <w:szCs w:val="20"/>
              </w:rPr>
              <w:t>Survival at 6 months (%)</w:t>
            </w:r>
          </w:p>
        </w:tc>
        <w:tc>
          <w:tcPr>
            <w:tcW w:w="995" w:type="pct"/>
            <w:gridSpan w:val="2"/>
            <w:tcBorders>
              <w:top w:val="single" w:sz="4" w:space="0" w:color="auto"/>
              <w:left w:val="single" w:sz="4" w:space="0" w:color="auto"/>
              <w:bottom w:val="double" w:sz="4" w:space="0" w:color="auto"/>
              <w:right w:val="single" w:sz="4" w:space="0" w:color="auto"/>
            </w:tcBorders>
            <w:vAlign w:val="center"/>
          </w:tcPr>
          <w:p w:rsidR="00516A59" w:rsidRDefault="007D3F6A">
            <w:pPr>
              <w:keepLines/>
              <w:widowControl/>
              <w:jc w:val="center"/>
              <w:rPr>
                <w:rFonts w:ascii="Arial Narrow" w:hAnsi="Arial Narrow"/>
                <w:sz w:val="20"/>
                <w:szCs w:val="20"/>
              </w:rPr>
            </w:pPr>
            <w:r>
              <w:rPr>
                <w:rFonts w:ascii="Arial Narrow" w:hAnsi="Arial Narrow"/>
                <w:sz w:val="20"/>
                <w:szCs w:val="20"/>
              </w:rPr>
              <w:t>83.9 (78.7, 87.9)</w:t>
            </w:r>
          </w:p>
        </w:tc>
        <w:tc>
          <w:tcPr>
            <w:tcW w:w="996" w:type="pct"/>
            <w:gridSpan w:val="3"/>
            <w:tcBorders>
              <w:top w:val="single" w:sz="4" w:space="0" w:color="auto"/>
              <w:left w:val="single" w:sz="4" w:space="0" w:color="auto"/>
              <w:bottom w:val="double" w:sz="4" w:space="0" w:color="auto"/>
              <w:right w:val="single" w:sz="4" w:space="0" w:color="auto"/>
            </w:tcBorders>
            <w:vAlign w:val="center"/>
          </w:tcPr>
          <w:p w:rsidR="00516A59" w:rsidRDefault="007D3F6A">
            <w:pPr>
              <w:keepLines/>
              <w:widowControl/>
              <w:jc w:val="center"/>
              <w:rPr>
                <w:rFonts w:ascii="Arial Narrow" w:hAnsi="Arial Narrow"/>
                <w:sz w:val="20"/>
                <w:szCs w:val="20"/>
              </w:rPr>
            </w:pPr>
            <w:r>
              <w:rPr>
                <w:rFonts w:ascii="Arial Narrow" w:hAnsi="Arial Narrow"/>
                <w:sz w:val="20"/>
                <w:szCs w:val="20"/>
              </w:rPr>
              <w:t>76.0 (67.4, 82.7)</w:t>
            </w:r>
          </w:p>
        </w:tc>
        <w:tc>
          <w:tcPr>
            <w:tcW w:w="995" w:type="pct"/>
            <w:gridSpan w:val="2"/>
            <w:tcBorders>
              <w:top w:val="single" w:sz="4" w:space="0" w:color="auto"/>
              <w:left w:val="single" w:sz="4" w:space="0" w:color="auto"/>
              <w:bottom w:val="double" w:sz="4" w:space="0" w:color="auto"/>
              <w:right w:val="single" w:sz="4" w:space="0" w:color="auto"/>
            </w:tcBorders>
            <w:vAlign w:val="center"/>
          </w:tcPr>
          <w:p w:rsidR="00516A59" w:rsidRDefault="007D3F6A">
            <w:pPr>
              <w:keepLines/>
              <w:widowControl/>
              <w:jc w:val="center"/>
              <w:rPr>
                <w:rFonts w:ascii="Arial Narrow" w:hAnsi="Arial Narrow"/>
                <w:color w:val="000000"/>
                <w:sz w:val="20"/>
                <w:szCs w:val="20"/>
              </w:rPr>
            </w:pPr>
            <w:r>
              <w:rPr>
                <w:rFonts w:ascii="Arial Narrow" w:hAnsi="Arial Narrow"/>
                <w:color w:val="000000"/>
                <w:sz w:val="20"/>
                <w:szCs w:val="20"/>
              </w:rPr>
              <w:t>7.9</w:t>
            </w:r>
          </w:p>
        </w:tc>
        <w:tc>
          <w:tcPr>
            <w:tcW w:w="994" w:type="pct"/>
            <w:gridSpan w:val="2"/>
            <w:vMerge/>
            <w:tcBorders>
              <w:left w:val="single" w:sz="4" w:space="0" w:color="auto"/>
              <w:bottom w:val="double" w:sz="4" w:space="0" w:color="auto"/>
              <w:right w:val="single" w:sz="4" w:space="0" w:color="auto"/>
            </w:tcBorders>
            <w:vAlign w:val="center"/>
          </w:tcPr>
          <w:p w:rsidR="00516A59" w:rsidRDefault="00516A59">
            <w:pPr>
              <w:keepLines/>
              <w:widowControl/>
              <w:jc w:val="center"/>
              <w:rPr>
                <w:rFonts w:ascii="Arial Narrow" w:hAnsi="Arial Narrow"/>
                <w:color w:val="000000"/>
                <w:sz w:val="20"/>
                <w:szCs w:val="20"/>
              </w:rPr>
            </w:pPr>
          </w:p>
        </w:tc>
      </w:tr>
      <w:tr w:rsidR="00516A59">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516A59" w:rsidRDefault="007D3F6A">
            <w:pPr>
              <w:keepLines/>
              <w:widowControl/>
              <w:rPr>
                <w:rFonts w:ascii="Arial Narrow" w:hAnsi="Arial Narrow"/>
                <w:b/>
                <w:color w:val="000000"/>
                <w:sz w:val="20"/>
                <w:szCs w:val="20"/>
              </w:rPr>
            </w:pPr>
            <w:r>
              <w:rPr>
                <w:rFonts w:ascii="Arial Narrow" w:hAnsi="Arial Narrow"/>
                <w:b/>
                <w:color w:val="000000"/>
                <w:sz w:val="20"/>
                <w:szCs w:val="20"/>
              </w:rPr>
              <w:t>Time-to-event outcome PFS: KN189 (PD-L1 TPS &lt;50%) – median duration of follow up 16.7 months</w:t>
            </w:r>
          </w:p>
        </w:tc>
      </w:tr>
      <w:tr w:rsidR="00516A59">
        <w:tc>
          <w:tcPr>
            <w:tcW w:w="1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16A59" w:rsidRDefault="007D3F6A">
            <w:pPr>
              <w:keepLines/>
              <w:widowControl/>
              <w:rPr>
                <w:rFonts w:ascii="Arial Narrow" w:hAnsi="Arial Narrow"/>
                <w:color w:val="000000"/>
                <w:sz w:val="20"/>
                <w:szCs w:val="20"/>
              </w:rPr>
            </w:pPr>
            <w:r>
              <w:rPr>
                <w:rFonts w:ascii="Arial Narrow" w:hAnsi="Arial Narrow"/>
                <w:color w:val="000000"/>
                <w:sz w:val="20"/>
                <w:szCs w:val="20"/>
              </w:rPr>
              <w:t>Progressed, n/N (%)</w:t>
            </w:r>
          </w:p>
        </w:tc>
        <w:tc>
          <w:tcPr>
            <w:tcW w:w="995" w:type="pct"/>
            <w:gridSpan w:val="2"/>
            <w:tcBorders>
              <w:top w:val="single" w:sz="4" w:space="0" w:color="auto"/>
              <w:left w:val="single" w:sz="4" w:space="0" w:color="auto"/>
              <w:bottom w:val="single" w:sz="4" w:space="0" w:color="auto"/>
              <w:right w:val="single" w:sz="4" w:space="0" w:color="auto"/>
            </w:tcBorders>
            <w:vAlign w:val="center"/>
          </w:tcPr>
          <w:p w:rsidR="00516A59" w:rsidRDefault="007D3F6A">
            <w:pPr>
              <w:keepLines/>
              <w:widowControl/>
              <w:jc w:val="center"/>
              <w:rPr>
                <w:rFonts w:ascii="Arial Narrow" w:hAnsi="Arial Narrow"/>
                <w:sz w:val="20"/>
                <w:szCs w:val="20"/>
              </w:rPr>
            </w:pPr>
            <w:r>
              <w:rPr>
                <w:rFonts w:ascii="Arial Narrow" w:hAnsi="Arial Narrow"/>
                <w:sz w:val="20"/>
                <w:szCs w:val="20"/>
              </w:rPr>
              <w:t>202/255 (79.2)</w:t>
            </w:r>
          </w:p>
        </w:tc>
        <w:tc>
          <w:tcPr>
            <w:tcW w:w="996" w:type="pct"/>
            <w:gridSpan w:val="3"/>
            <w:tcBorders>
              <w:top w:val="single" w:sz="4" w:space="0" w:color="auto"/>
              <w:left w:val="single" w:sz="4" w:space="0" w:color="auto"/>
              <w:bottom w:val="single" w:sz="4" w:space="0" w:color="auto"/>
              <w:right w:val="single" w:sz="4" w:space="0" w:color="auto"/>
            </w:tcBorders>
            <w:vAlign w:val="center"/>
          </w:tcPr>
          <w:p w:rsidR="00516A59" w:rsidRDefault="007D3F6A">
            <w:pPr>
              <w:keepLines/>
              <w:widowControl/>
              <w:jc w:val="center"/>
              <w:rPr>
                <w:rFonts w:ascii="Arial Narrow" w:hAnsi="Arial Narrow"/>
                <w:sz w:val="20"/>
                <w:szCs w:val="20"/>
              </w:rPr>
            </w:pPr>
            <w:r>
              <w:rPr>
                <w:rFonts w:ascii="Arial Narrow" w:hAnsi="Arial Narrow"/>
                <w:sz w:val="20"/>
                <w:szCs w:val="20"/>
              </w:rPr>
              <w:t>112/121 (92.6)</w:t>
            </w:r>
          </w:p>
        </w:tc>
        <w:tc>
          <w:tcPr>
            <w:tcW w:w="995" w:type="pct"/>
            <w:gridSpan w:val="2"/>
            <w:tcBorders>
              <w:top w:val="single" w:sz="4" w:space="0" w:color="auto"/>
              <w:left w:val="single" w:sz="4" w:space="0" w:color="auto"/>
              <w:bottom w:val="single" w:sz="4" w:space="0" w:color="auto"/>
              <w:right w:val="single" w:sz="4" w:space="0" w:color="auto"/>
            </w:tcBorders>
            <w:vAlign w:val="center"/>
          </w:tcPr>
          <w:p w:rsidR="00516A59" w:rsidRDefault="00516A59">
            <w:pPr>
              <w:keepLines/>
              <w:widowControl/>
              <w:jc w:val="center"/>
              <w:rPr>
                <w:rFonts w:ascii="Arial Narrow" w:hAnsi="Arial Narrow"/>
                <w:color w:val="000000"/>
                <w:sz w:val="20"/>
                <w:szCs w:val="20"/>
              </w:rPr>
            </w:pPr>
          </w:p>
        </w:tc>
        <w:tc>
          <w:tcPr>
            <w:tcW w:w="994" w:type="pct"/>
            <w:gridSpan w:val="2"/>
            <w:vMerge w:val="restart"/>
            <w:tcBorders>
              <w:top w:val="single" w:sz="4" w:space="0" w:color="auto"/>
              <w:left w:val="single" w:sz="4" w:space="0" w:color="auto"/>
              <w:right w:val="single" w:sz="4" w:space="0" w:color="auto"/>
            </w:tcBorders>
            <w:vAlign w:val="center"/>
          </w:tcPr>
          <w:p w:rsidR="00516A59" w:rsidRDefault="007D3F6A">
            <w:pPr>
              <w:keepLines/>
              <w:widowControl/>
              <w:jc w:val="center"/>
              <w:rPr>
                <w:rFonts w:ascii="Arial Narrow" w:hAnsi="Arial Narrow"/>
                <w:color w:val="000000"/>
                <w:sz w:val="20"/>
                <w:szCs w:val="20"/>
              </w:rPr>
            </w:pPr>
            <w:r>
              <w:rPr>
                <w:rFonts w:ascii="Arial Narrow" w:hAnsi="Arial Narrow"/>
                <w:color w:val="000000"/>
                <w:sz w:val="20"/>
                <w:szCs w:val="20"/>
              </w:rPr>
              <w:t>0.58 (0.46, 0.74)</w:t>
            </w:r>
          </w:p>
          <w:p w:rsidR="00516A59" w:rsidRDefault="007D3F6A">
            <w:pPr>
              <w:keepLines/>
              <w:widowControl/>
              <w:jc w:val="center"/>
              <w:rPr>
                <w:rFonts w:ascii="Arial Narrow" w:hAnsi="Arial Narrow"/>
                <w:color w:val="000000"/>
                <w:sz w:val="20"/>
                <w:szCs w:val="20"/>
              </w:rPr>
            </w:pPr>
            <w:r>
              <w:rPr>
                <w:rFonts w:ascii="Arial Narrow" w:hAnsi="Arial Narrow"/>
                <w:color w:val="000000"/>
                <w:sz w:val="20"/>
                <w:szCs w:val="20"/>
              </w:rPr>
              <w:t>P&lt;0.00001</w:t>
            </w:r>
          </w:p>
        </w:tc>
      </w:tr>
      <w:tr w:rsidR="00516A59">
        <w:tc>
          <w:tcPr>
            <w:tcW w:w="1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16A59" w:rsidRDefault="007D3F6A">
            <w:pPr>
              <w:keepLines/>
              <w:widowControl/>
              <w:rPr>
                <w:rFonts w:ascii="Arial Narrow" w:hAnsi="Arial Narrow"/>
                <w:color w:val="000000"/>
                <w:sz w:val="20"/>
                <w:szCs w:val="20"/>
              </w:rPr>
            </w:pPr>
            <w:r>
              <w:rPr>
                <w:rFonts w:ascii="Arial Narrow" w:hAnsi="Arial Narrow"/>
                <w:color w:val="000000"/>
                <w:sz w:val="20"/>
                <w:szCs w:val="20"/>
              </w:rPr>
              <w:t>Median (mths)</w:t>
            </w:r>
          </w:p>
        </w:tc>
        <w:tc>
          <w:tcPr>
            <w:tcW w:w="995" w:type="pct"/>
            <w:gridSpan w:val="2"/>
            <w:tcBorders>
              <w:top w:val="single" w:sz="4" w:space="0" w:color="auto"/>
              <w:left w:val="single" w:sz="4" w:space="0" w:color="auto"/>
              <w:bottom w:val="single" w:sz="4" w:space="0" w:color="auto"/>
              <w:right w:val="single" w:sz="4" w:space="0" w:color="auto"/>
            </w:tcBorders>
            <w:vAlign w:val="center"/>
          </w:tcPr>
          <w:p w:rsidR="00516A59" w:rsidRDefault="007D3F6A">
            <w:pPr>
              <w:keepLines/>
              <w:widowControl/>
              <w:jc w:val="center"/>
              <w:rPr>
                <w:rFonts w:ascii="Arial Narrow" w:hAnsi="Arial Narrow"/>
                <w:sz w:val="20"/>
                <w:szCs w:val="20"/>
              </w:rPr>
            </w:pPr>
            <w:r>
              <w:rPr>
                <w:rFonts w:ascii="Arial Narrow" w:hAnsi="Arial Narrow"/>
                <w:sz w:val="20"/>
                <w:szCs w:val="20"/>
              </w:rPr>
              <w:t>8.1 (6.8, 9.0)</w:t>
            </w:r>
          </w:p>
        </w:tc>
        <w:tc>
          <w:tcPr>
            <w:tcW w:w="996" w:type="pct"/>
            <w:gridSpan w:val="3"/>
            <w:tcBorders>
              <w:top w:val="single" w:sz="4" w:space="0" w:color="auto"/>
              <w:left w:val="single" w:sz="4" w:space="0" w:color="auto"/>
              <w:bottom w:val="single" w:sz="4" w:space="0" w:color="auto"/>
              <w:right w:val="single" w:sz="4" w:space="0" w:color="auto"/>
            </w:tcBorders>
            <w:vAlign w:val="center"/>
          </w:tcPr>
          <w:p w:rsidR="00516A59" w:rsidRDefault="007D3F6A">
            <w:pPr>
              <w:keepLines/>
              <w:widowControl/>
              <w:jc w:val="center"/>
              <w:rPr>
                <w:rFonts w:ascii="Arial Narrow" w:hAnsi="Arial Narrow"/>
                <w:sz w:val="20"/>
                <w:szCs w:val="20"/>
              </w:rPr>
            </w:pPr>
            <w:r>
              <w:rPr>
                <w:rFonts w:ascii="Arial Narrow" w:hAnsi="Arial Narrow"/>
                <w:sz w:val="20"/>
                <w:szCs w:val="20"/>
              </w:rPr>
              <w:t>4.9 (4.7, 6.5)</w:t>
            </w:r>
          </w:p>
        </w:tc>
        <w:tc>
          <w:tcPr>
            <w:tcW w:w="995" w:type="pct"/>
            <w:gridSpan w:val="2"/>
            <w:tcBorders>
              <w:top w:val="single" w:sz="4" w:space="0" w:color="auto"/>
              <w:left w:val="single" w:sz="4" w:space="0" w:color="auto"/>
              <w:bottom w:val="single" w:sz="4" w:space="0" w:color="auto"/>
              <w:right w:val="single" w:sz="4" w:space="0" w:color="auto"/>
            </w:tcBorders>
            <w:vAlign w:val="center"/>
          </w:tcPr>
          <w:p w:rsidR="00516A59" w:rsidRDefault="007D3F6A">
            <w:pPr>
              <w:keepLines/>
              <w:widowControl/>
              <w:jc w:val="center"/>
              <w:rPr>
                <w:rFonts w:ascii="Arial Narrow" w:hAnsi="Arial Narrow"/>
                <w:color w:val="000000"/>
                <w:sz w:val="20"/>
                <w:szCs w:val="20"/>
              </w:rPr>
            </w:pPr>
            <w:r>
              <w:rPr>
                <w:rFonts w:ascii="Arial Narrow" w:hAnsi="Arial Narrow"/>
                <w:color w:val="000000"/>
                <w:sz w:val="20"/>
                <w:szCs w:val="20"/>
              </w:rPr>
              <w:t>3.2</w:t>
            </w:r>
          </w:p>
        </w:tc>
        <w:tc>
          <w:tcPr>
            <w:tcW w:w="994" w:type="pct"/>
            <w:gridSpan w:val="2"/>
            <w:vMerge/>
            <w:tcBorders>
              <w:left w:val="single" w:sz="4" w:space="0" w:color="auto"/>
              <w:right w:val="single" w:sz="4" w:space="0" w:color="auto"/>
            </w:tcBorders>
            <w:vAlign w:val="center"/>
          </w:tcPr>
          <w:p w:rsidR="00516A59" w:rsidRDefault="00516A59">
            <w:pPr>
              <w:keepLines/>
              <w:widowControl/>
              <w:jc w:val="center"/>
              <w:rPr>
                <w:rFonts w:ascii="Arial Narrow" w:hAnsi="Arial Narrow"/>
                <w:color w:val="000000"/>
                <w:sz w:val="20"/>
                <w:szCs w:val="20"/>
              </w:rPr>
            </w:pPr>
          </w:p>
        </w:tc>
      </w:tr>
      <w:tr w:rsidR="00516A59">
        <w:tc>
          <w:tcPr>
            <w:tcW w:w="1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16A59" w:rsidRDefault="007D3F6A">
            <w:pPr>
              <w:keepLines/>
              <w:widowControl/>
              <w:rPr>
                <w:rFonts w:ascii="Arial Narrow" w:hAnsi="Arial Narrow"/>
                <w:color w:val="000000"/>
                <w:sz w:val="20"/>
                <w:szCs w:val="20"/>
              </w:rPr>
            </w:pPr>
            <w:r>
              <w:rPr>
                <w:rFonts w:ascii="Arial Narrow" w:hAnsi="Arial Narrow"/>
                <w:color w:val="000000"/>
                <w:sz w:val="20"/>
                <w:szCs w:val="20"/>
              </w:rPr>
              <w:t>PFS at 6 months (%)</w:t>
            </w:r>
          </w:p>
        </w:tc>
        <w:tc>
          <w:tcPr>
            <w:tcW w:w="995" w:type="pct"/>
            <w:gridSpan w:val="2"/>
            <w:tcBorders>
              <w:top w:val="single" w:sz="4" w:space="0" w:color="auto"/>
              <w:left w:val="single" w:sz="4" w:space="0" w:color="auto"/>
              <w:bottom w:val="single" w:sz="4" w:space="0" w:color="auto"/>
              <w:right w:val="single" w:sz="4" w:space="0" w:color="auto"/>
            </w:tcBorders>
            <w:vAlign w:val="center"/>
          </w:tcPr>
          <w:p w:rsidR="00516A59" w:rsidRDefault="007D3F6A">
            <w:pPr>
              <w:keepLines/>
              <w:widowControl/>
              <w:jc w:val="center"/>
              <w:rPr>
                <w:rFonts w:ascii="Arial Narrow" w:hAnsi="Arial Narrow"/>
                <w:sz w:val="20"/>
                <w:szCs w:val="20"/>
              </w:rPr>
            </w:pPr>
            <w:r>
              <w:rPr>
                <w:rFonts w:ascii="Arial Narrow" w:hAnsi="Arial Narrow"/>
                <w:sz w:val="20"/>
                <w:szCs w:val="20"/>
              </w:rPr>
              <w:t>61.9 (55.6, 67.6)</w:t>
            </w:r>
          </w:p>
        </w:tc>
        <w:tc>
          <w:tcPr>
            <w:tcW w:w="996" w:type="pct"/>
            <w:gridSpan w:val="3"/>
            <w:tcBorders>
              <w:top w:val="single" w:sz="4" w:space="0" w:color="auto"/>
              <w:left w:val="single" w:sz="4" w:space="0" w:color="auto"/>
              <w:bottom w:val="single" w:sz="4" w:space="0" w:color="auto"/>
              <w:right w:val="single" w:sz="4" w:space="0" w:color="auto"/>
            </w:tcBorders>
            <w:vAlign w:val="center"/>
          </w:tcPr>
          <w:p w:rsidR="00516A59" w:rsidRDefault="007D3F6A">
            <w:pPr>
              <w:keepLines/>
              <w:widowControl/>
              <w:jc w:val="center"/>
              <w:rPr>
                <w:rFonts w:ascii="Arial Narrow" w:hAnsi="Arial Narrow"/>
                <w:sz w:val="20"/>
                <w:szCs w:val="20"/>
              </w:rPr>
            </w:pPr>
            <w:r>
              <w:rPr>
                <w:rFonts w:ascii="Arial Narrow" w:hAnsi="Arial Narrow"/>
                <w:sz w:val="20"/>
                <w:szCs w:val="20"/>
              </w:rPr>
              <w:t>42.1 (33.1, 50.7)</w:t>
            </w:r>
          </w:p>
        </w:tc>
        <w:tc>
          <w:tcPr>
            <w:tcW w:w="995" w:type="pct"/>
            <w:gridSpan w:val="2"/>
            <w:tcBorders>
              <w:top w:val="single" w:sz="4" w:space="0" w:color="auto"/>
              <w:left w:val="single" w:sz="4" w:space="0" w:color="auto"/>
              <w:bottom w:val="single" w:sz="4" w:space="0" w:color="auto"/>
              <w:right w:val="single" w:sz="4" w:space="0" w:color="auto"/>
            </w:tcBorders>
            <w:vAlign w:val="center"/>
          </w:tcPr>
          <w:p w:rsidR="00516A59" w:rsidRDefault="007D3F6A">
            <w:pPr>
              <w:keepLines/>
              <w:widowControl/>
              <w:jc w:val="center"/>
              <w:rPr>
                <w:rFonts w:ascii="Arial Narrow" w:hAnsi="Arial Narrow"/>
                <w:color w:val="000000"/>
                <w:sz w:val="20"/>
                <w:szCs w:val="20"/>
              </w:rPr>
            </w:pPr>
            <w:r>
              <w:rPr>
                <w:rFonts w:ascii="Arial Narrow" w:hAnsi="Arial Narrow"/>
                <w:color w:val="000000"/>
                <w:sz w:val="20"/>
                <w:szCs w:val="20"/>
              </w:rPr>
              <w:t>19.8</w:t>
            </w:r>
          </w:p>
        </w:tc>
        <w:tc>
          <w:tcPr>
            <w:tcW w:w="994" w:type="pct"/>
            <w:gridSpan w:val="2"/>
            <w:vMerge/>
            <w:tcBorders>
              <w:left w:val="single" w:sz="4" w:space="0" w:color="auto"/>
              <w:right w:val="single" w:sz="4" w:space="0" w:color="auto"/>
            </w:tcBorders>
            <w:vAlign w:val="center"/>
          </w:tcPr>
          <w:p w:rsidR="00516A59" w:rsidRDefault="00516A59">
            <w:pPr>
              <w:keepLines/>
              <w:widowControl/>
              <w:jc w:val="center"/>
              <w:rPr>
                <w:rFonts w:ascii="Arial Narrow" w:hAnsi="Arial Narrow"/>
                <w:color w:val="000000"/>
                <w:sz w:val="20"/>
                <w:szCs w:val="20"/>
              </w:rPr>
            </w:pPr>
          </w:p>
        </w:tc>
      </w:tr>
      <w:tr w:rsidR="00516A59">
        <w:tc>
          <w:tcPr>
            <w:tcW w:w="5000" w:type="pct"/>
            <w:gridSpan w:val="11"/>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rPr>
                <w:rFonts w:ascii="Arial Narrow" w:hAnsi="Arial Narrow"/>
                <w:b/>
                <w:color w:val="000000"/>
                <w:sz w:val="20"/>
                <w:szCs w:val="20"/>
              </w:rPr>
            </w:pPr>
            <w:r>
              <w:rPr>
                <w:rFonts w:ascii="Arial Narrow" w:hAnsi="Arial Narrow"/>
                <w:b/>
                <w:color w:val="000000"/>
                <w:sz w:val="20"/>
                <w:szCs w:val="20"/>
              </w:rPr>
              <w:t>Harms – median duration of follow-up: 10.5 months</w:t>
            </w:r>
          </w:p>
        </w:tc>
      </w:tr>
      <w:tr w:rsidR="00516A59">
        <w:trPr>
          <w:trHeight w:val="70"/>
        </w:trPr>
        <w:tc>
          <w:tcPr>
            <w:tcW w:w="71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16A59" w:rsidRDefault="007D3F6A">
            <w:pPr>
              <w:keepLines/>
              <w:widowControl/>
              <w:jc w:val="left"/>
              <w:rPr>
                <w:rFonts w:ascii="Arial Narrow" w:hAnsi="Arial Narrow"/>
                <w:b/>
                <w:color w:val="000000"/>
                <w:sz w:val="20"/>
                <w:szCs w:val="20"/>
              </w:rPr>
            </w:pPr>
            <w:r>
              <w:rPr>
                <w:rFonts w:ascii="Arial Narrow" w:hAnsi="Arial Narrow"/>
                <w:b/>
                <w:color w:val="000000"/>
                <w:sz w:val="20"/>
                <w:szCs w:val="20"/>
              </w:rPr>
              <w:t>Adverse event</w:t>
            </w:r>
          </w:p>
        </w:tc>
        <w:tc>
          <w:tcPr>
            <w:tcW w:w="701"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b/>
                <w:color w:val="000000"/>
                <w:sz w:val="20"/>
                <w:szCs w:val="20"/>
              </w:rPr>
            </w:pPr>
            <w:r>
              <w:rPr>
                <w:rFonts w:ascii="Arial Narrow" w:hAnsi="Arial Narrow"/>
                <w:b/>
                <w:color w:val="000000"/>
                <w:sz w:val="20"/>
                <w:szCs w:val="20"/>
              </w:rPr>
              <w:t>Pembro Combo</w:t>
            </w:r>
          </w:p>
          <w:p w:rsidR="00516A59" w:rsidRDefault="007D3F6A">
            <w:pPr>
              <w:keepLines/>
              <w:widowControl/>
              <w:jc w:val="center"/>
              <w:rPr>
                <w:rFonts w:ascii="Arial Narrow" w:hAnsi="Arial Narrow"/>
                <w:b/>
                <w:color w:val="000000"/>
                <w:sz w:val="20"/>
                <w:szCs w:val="20"/>
              </w:rPr>
            </w:pPr>
            <w:r>
              <w:rPr>
                <w:rFonts w:ascii="Arial Narrow" w:hAnsi="Arial Narrow"/>
                <w:b/>
                <w:color w:val="000000"/>
                <w:sz w:val="20"/>
                <w:szCs w:val="20"/>
              </w:rPr>
              <w:t>n/N (%)</w:t>
            </w:r>
          </w:p>
        </w:tc>
        <w:tc>
          <w:tcPr>
            <w:tcW w:w="702"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b/>
                <w:color w:val="000000"/>
                <w:sz w:val="20"/>
                <w:szCs w:val="20"/>
              </w:rPr>
            </w:pPr>
            <w:r>
              <w:rPr>
                <w:rFonts w:ascii="Arial Narrow" w:hAnsi="Arial Narrow"/>
                <w:b/>
                <w:color w:val="000000"/>
                <w:sz w:val="20"/>
                <w:szCs w:val="20"/>
              </w:rPr>
              <w:t>Platinum doublet</w:t>
            </w:r>
          </w:p>
          <w:p w:rsidR="00516A59" w:rsidRDefault="007D3F6A">
            <w:pPr>
              <w:keepLines/>
              <w:widowControl/>
              <w:jc w:val="center"/>
              <w:rPr>
                <w:rFonts w:ascii="Arial Narrow" w:hAnsi="Arial Narrow"/>
                <w:b/>
                <w:color w:val="000000"/>
                <w:sz w:val="20"/>
                <w:szCs w:val="20"/>
              </w:rPr>
            </w:pPr>
            <w:r>
              <w:rPr>
                <w:rFonts w:ascii="Arial Narrow" w:hAnsi="Arial Narrow"/>
                <w:b/>
                <w:color w:val="000000"/>
                <w:sz w:val="20"/>
                <w:szCs w:val="20"/>
              </w:rPr>
              <w:t>n/N (%)</w:t>
            </w:r>
          </w:p>
        </w:tc>
        <w:tc>
          <w:tcPr>
            <w:tcW w:w="71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b/>
                <w:color w:val="000000"/>
                <w:sz w:val="20"/>
                <w:szCs w:val="20"/>
              </w:rPr>
            </w:pPr>
            <w:r>
              <w:rPr>
                <w:rFonts w:ascii="Arial Narrow" w:hAnsi="Arial Narrow"/>
                <w:b/>
                <w:color w:val="000000"/>
                <w:sz w:val="20"/>
                <w:szCs w:val="20"/>
              </w:rPr>
              <w:t>RR</w:t>
            </w:r>
          </w:p>
          <w:p w:rsidR="00516A59" w:rsidRDefault="007D3F6A">
            <w:pPr>
              <w:keepLines/>
              <w:widowControl/>
              <w:jc w:val="center"/>
              <w:rPr>
                <w:rFonts w:ascii="Arial Narrow" w:hAnsi="Arial Narrow"/>
                <w:b/>
                <w:color w:val="000000"/>
                <w:sz w:val="20"/>
                <w:szCs w:val="20"/>
              </w:rPr>
            </w:pPr>
            <w:r>
              <w:rPr>
                <w:rFonts w:ascii="Arial Narrow" w:hAnsi="Arial Narrow"/>
                <w:b/>
                <w:color w:val="000000"/>
                <w:sz w:val="20"/>
                <w:szCs w:val="20"/>
              </w:rPr>
              <w:t>(95% CI)</w:t>
            </w:r>
          </w:p>
        </w:tc>
        <w:tc>
          <w:tcPr>
            <w:tcW w:w="139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b/>
                <w:color w:val="000000"/>
                <w:sz w:val="20"/>
                <w:szCs w:val="20"/>
              </w:rPr>
            </w:pPr>
            <w:r>
              <w:rPr>
                <w:rFonts w:ascii="Arial Narrow" w:hAnsi="Arial Narrow"/>
                <w:b/>
                <w:color w:val="000000"/>
                <w:sz w:val="20"/>
                <w:szCs w:val="20"/>
              </w:rPr>
              <w:t>Event rate/100 patients</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b/>
                <w:color w:val="000000"/>
                <w:sz w:val="20"/>
                <w:szCs w:val="20"/>
              </w:rPr>
            </w:pPr>
            <w:r>
              <w:rPr>
                <w:rFonts w:ascii="Arial Narrow" w:hAnsi="Arial Narrow"/>
                <w:b/>
                <w:color w:val="000000"/>
                <w:sz w:val="20"/>
                <w:szCs w:val="20"/>
              </w:rPr>
              <w:t>RD</w:t>
            </w:r>
          </w:p>
          <w:p w:rsidR="00516A59" w:rsidRDefault="007D3F6A">
            <w:pPr>
              <w:keepLines/>
              <w:widowControl/>
              <w:jc w:val="center"/>
              <w:rPr>
                <w:rFonts w:ascii="Arial Narrow" w:hAnsi="Arial Narrow"/>
                <w:b/>
                <w:color w:val="000000"/>
                <w:sz w:val="20"/>
                <w:szCs w:val="20"/>
              </w:rPr>
            </w:pPr>
            <w:r>
              <w:rPr>
                <w:rFonts w:ascii="Arial Narrow" w:hAnsi="Arial Narrow"/>
                <w:b/>
                <w:color w:val="000000"/>
                <w:sz w:val="20"/>
                <w:szCs w:val="20"/>
              </w:rPr>
              <w:t>(95% CI)</w:t>
            </w:r>
          </w:p>
        </w:tc>
      </w:tr>
      <w:tr w:rsidR="00516A59">
        <w:trPr>
          <w:trHeight w:val="390"/>
        </w:trPr>
        <w:tc>
          <w:tcPr>
            <w:tcW w:w="71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516A59">
            <w:pPr>
              <w:keepLines/>
              <w:widowControl/>
              <w:rPr>
                <w:rFonts w:ascii="Arial Narrow" w:hAnsi="Arial Narrow"/>
                <w:b/>
                <w:color w:val="000000"/>
                <w:sz w:val="20"/>
                <w:szCs w:val="20"/>
              </w:rPr>
            </w:pPr>
          </w:p>
        </w:tc>
        <w:tc>
          <w:tcPr>
            <w:tcW w:w="701" w:type="pct"/>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516A59">
            <w:pPr>
              <w:keepLines/>
              <w:widowControl/>
              <w:jc w:val="center"/>
              <w:rPr>
                <w:rFonts w:ascii="Arial Narrow" w:hAnsi="Arial Narrow"/>
                <w:b/>
                <w:color w:val="000000"/>
                <w:sz w:val="20"/>
                <w:szCs w:val="20"/>
              </w:rPr>
            </w:pPr>
          </w:p>
        </w:tc>
        <w:tc>
          <w:tcPr>
            <w:tcW w:w="702" w:type="pct"/>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516A59">
            <w:pPr>
              <w:keepLines/>
              <w:widowControl/>
              <w:jc w:val="center"/>
              <w:rPr>
                <w:rFonts w:ascii="Arial Narrow" w:hAnsi="Arial Narrow"/>
                <w:b/>
                <w:color w:val="000000"/>
                <w:sz w:val="20"/>
                <w:szCs w:val="20"/>
              </w:rPr>
            </w:pPr>
          </w:p>
        </w:tc>
        <w:tc>
          <w:tcPr>
            <w:tcW w:w="71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516A59">
            <w:pPr>
              <w:keepLines/>
              <w:widowControl/>
              <w:jc w:val="center"/>
              <w:rPr>
                <w:rFonts w:ascii="Arial Narrow" w:hAnsi="Arial Narrow"/>
                <w:b/>
                <w:color w:val="000000"/>
                <w:sz w:val="20"/>
                <w:szCs w:val="20"/>
              </w:rPr>
            </w:pPr>
          </w:p>
        </w:tc>
        <w:tc>
          <w:tcPr>
            <w:tcW w:w="7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b/>
                <w:color w:val="000000"/>
                <w:sz w:val="20"/>
                <w:szCs w:val="20"/>
              </w:rPr>
            </w:pPr>
            <w:r>
              <w:rPr>
                <w:rFonts w:ascii="Arial Narrow" w:hAnsi="Arial Narrow"/>
                <w:b/>
                <w:color w:val="000000"/>
                <w:sz w:val="20"/>
                <w:szCs w:val="20"/>
              </w:rPr>
              <w:t>Pembro Combo</w:t>
            </w:r>
          </w:p>
        </w:tc>
        <w:tc>
          <w:tcPr>
            <w:tcW w:w="6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b/>
                <w:color w:val="000000"/>
                <w:sz w:val="20"/>
                <w:szCs w:val="20"/>
              </w:rPr>
            </w:pPr>
            <w:r>
              <w:rPr>
                <w:rFonts w:ascii="Arial Narrow" w:hAnsi="Arial Narrow"/>
                <w:b/>
                <w:color w:val="000000"/>
                <w:sz w:val="20"/>
                <w:szCs w:val="20"/>
              </w:rPr>
              <w:t>Platinum doublet</w:t>
            </w:r>
          </w:p>
        </w:tc>
        <w:tc>
          <w:tcPr>
            <w:tcW w:w="77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516A59">
            <w:pPr>
              <w:keepLines/>
              <w:widowControl/>
              <w:jc w:val="center"/>
              <w:rPr>
                <w:rFonts w:ascii="Arial Narrow" w:hAnsi="Arial Narrow"/>
                <w:b/>
                <w:color w:val="000000"/>
                <w:sz w:val="20"/>
                <w:szCs w:val="20"/>
              </w:rPr>
            </w:pPr>
          </w:p>
        </w:tc>
      </w:tr>
      <w:tr w:rsidR="00516A59">
        <w:tc>
          <w:tcPr>
            <w:tcW w:w="71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6A59" w:rsidRDefault="007D3F6A">
            <w:pPr>
              <w:keepLines/>
              <w:widowControl/>
              <w:rPr>
                <w:rFonts w:ascii="Arial Narrow" w:hAnsi="Arial Narrow"/>
                <w:color w:val="000000"/>
                <w:sz w:val="20"/>
                <w:szCs w:val="20"/>
              </w:rPr>
            </w:pPr>
            <w:r>
              <w:rPr>
                <w:rFonts w:ascii="Arial Narrow" w:hAnsi="Arial Narrow"/>
                <w:sz w:val="20"/>
                <w:szCs w:val="20"/>
              </w:rPr>
              <w:t>Diarrhoea</w:t>
            </w:r>
          </w:p>
        </w:tc>
        <w:tc>
          <w:tcPr>
            <w:tcW w:w="70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sz w:val="20"/>
                <w:szCs w:val="20"/>
              </w:rPr>
              <w:t>125 (30.9)</w:t>
            </w:r>
          </w:p>
        </w:tc>
        <w:tc>
          <w:tcPr>
            <w:tcW w:w="7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sz w:val="20"/>
                <w:szCs w:val="20"/>
              </w:rPr>
              <w:t>43 (21.3)</w:t>
            </w:r>
          </w:p>
        </w:tc>
        <w:tc>
          <w:tcPr>
            <w:tcW w:w="7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b/>
                <w:sz w:val="20"/>
                <w:szCs w:val="20"/>
              </w:rPr>
              <w:t>1.45 (1.08, 1.97)</w:t>
            </w:r>
          </w:p>
        </w:tc>
        <w:tc>
          <w:tcPr>
            <w:tcW w:w="7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color w:val="000000"/>
                <w:sz w:val="20"/>
                <w:szCs w:val="20"/>
              </w:rPr>
              <w:t>30.9</w:t>
            </w:r>
          </w:p>
        </w:tc>
        <w:tc>
          <w:tcPr>
            <w:tcW w:w="6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color w:val="000000"/>
                <w:sz w:val="20"/>
                <w:szCs w:val="20"/>
              </w:rPr>
              <w:t>21.3</w:t>
            </w:r>
          </w:p>
        </w:tc>
        <w:tc>
          <w:tcPr>
            <w:tcW w:w="7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b/>
                <w:sz w:val="20"/>
                <w:szCs w:val="20"/>
              </w:rPr>
              <w:t>0.10 (0.02,0.17)</w:t>
            </w:r>
          </w:p>
        </w:tc>
      </w:tr>
      <w:tr w:rsidR="00516A59">
        <w:tc>
          <w:tcPr>
            <w:tcW w:w="71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6A59" w:rsidRDefault="007D3F6A">
            <w:pPr>
              <w:keepLines/>
              <w:widowControl/>
              <w:rPr>
                <w:rFonts w:ascii="Arial Narrow" w:hAnsi="Arial Narrow"/>
                <w:color w:val="000000"/>
                <w:sz w:val="20"/>
                <w:szCs w:val="20"/>
              </w:rPr>
            </w:pPr>
            <w:r>
              <w:rPr>
                <w:rFonts w:ascii="Arial Narrow" w:hAnsi="Arial Narrow"/>
                <w:sz w:val="20"/>
                <w:szCs w:val="20"/>
              </w:rPr>
              <w:t>Rash</w:t>
            </w:r>
          </w:p>
        </w:tc>
        <w:tc>
          <w:tcPr>
            <w:tcW w:w="70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sz w:val="20"/>
                <w:szCs w:val="20"/>
              </w:rPr>
              <w:t>82 (20.2)</w:t>
            </w:r>
          </w:p>
        </w:tc>
        <w:tc>
          <w:tcPr>
            <w:tcW w:w="7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sz w:val="20"/>
                <w:szCs w:val="20"/>
              </w:rPr>
              <w:t>23 (11.4)</w:t>
            </w:r>
          </w:p>
        </w:tc>
        <w:tc>
          <w:tcPr>
            <w:tcW w:w="7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b/>
                <w:sz w:val="20"/>
                <w:szCs w:val="20"/>
              </w:rPr>
              <w:t>1.78 (1.17, 2.74)</w:t>
            </w:r>
          </w:p>
        </w:tc>
        <w:tc>
          <w:tcPr>
            <w:tcW w:w="7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color w:val="000000"/>
                <w:sz w:val="20"/>
                <w:szCs w:val="20"/>
              </w:rPr>
              <w:t>20.2</w:t>
            </w:r>
          </w:p>
        </w:tc>
        <w:tc>
          <w:tcPr>
            <w:tcW w:w="6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color w:val="000000"/>
                <w:sz w:val="20"/>
                <w:szCs w:val="20"/>
              </w:rPr>
              <w:t>11.4</w:t>
            </w:r>
          </w:p>
        </w:tc>
        <w:tc>
          <w:tcPr>
            <w:tcW w:w="7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b/>
                <w:sz w:val="20"/>
                <w:szCs w:val="20"/>
              </w:rPr>
              <w:t>0.09 (0.03, 0.15)</w:t>
            </w:r>
          </w:p>
        </w:tc>
      </w:tr>
      <w:tr w:rsidR="00516A59">
        <w:tc>
          <w:tcPr>
            <w:tcW w:w="71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6A59" w:rsidRDefault="007D3F6A">
            <w:pPr>
              <w:keepLines/>
              <w:widowControl/>
              <w:rPr>
                <w:rFonts w:ascii="Arial Narrow" w:hAnsi="Arial Narrow"/>
                <w:color w:val="000000"/>
                <w:sz w:val="20"/>
                <w:szCs w:val="20"/>
              </w:rPr>
            </w:pPr>
            <w:r>
              <w:rPr>
                <w:rFonts w:ascii="Arial Narrow" w:hAnsi="Arial Narrow"/>
                <w:sz w:val="20"/>
                <w:szCs w:val="20"/>
              </w:rPr>
              <w:t>Febrile neutropenia</w:t>
            </w:r>
          </w:p>
        </w:tc>
        <w:tc>
          <w:tcPr>
            <w:tcW w:w="70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sz w:val="20"/>
                <w:szCs w:val="20"/>
              </w:rPr>
              <w:t>24 (5.9)</w:t>
            </w:r>
          </w:p>
        </w:tc>
        <w:tc>
          <w:tcPr>
            <w:tcW w:w="7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sz w:val="20"/>
                <w:szCs w:val="20"/>
              </w:rPr>
              <w:t>4 (2.0)</w:t>
            </w:r>
          </w:p>
        </w:tc>
        <w:tc>
          <w:tcPr>
            <w:tcW w:w="7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b/>
                <w:sz w:val="20"/>
                <w:szCs w:val="20"/>
              </w:rPr>
              <w:t>2.99 (1.05, 8.51)</w:t>
            </w:r>
          </w:p>
        </w:tc>
        <w:tc>
          <w:tcPr>
            <w:tcW w:w="7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color w:val="000000"/>
                <w:sz w:val="20"/>
                <w:szCs w:val="20"/>
              </w:rPr>
              <w:t>5.9</w:t>
            </w:r>
          </w:p>
        </w:tc>
        <w:tc>
          <w:tcPr>
            <w:tcW w:w="6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color w:val="000000"/>
                <w:sz w:val="20"/>
                <w:szCs w:val="20"/>
              </w:rPr>
              <w:t>2.0</w:t>
            </w:r>
          </w:p>
        </w:tc>
        <w:tc>
          <w:tcPr>
            <w:tcW w:w="7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b/>
                <w:color w:val="000000"/>
                <w:sz w:val="20"/>
                <w:szCs w:val="20"/>
              </w:rPr>
            </w:pPr>
            <w:r>
              <w:rPr>
                <w:rFonts w:ascii="Arial Narrow" w:hAnsi="Arial Narrow"/>
                <w:b/>
                <w:sz w:val="20"/>
                <w:szCs w:val="20"/>
              </w:rPr>
              <w:t>0.04 (0.00,0.07)</w:t>
            </w:r>
          </w:p>
        </w:tc>
      </w:tr>
      <w:tr w:rsidR="00516A59">
        <w:tc>
          <w:tcPr>
            <w:tcW w:w="71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6A59" w:rsidRDefault="007D3F6A">
            <w:pPr>
              <w:keepLines/>
              <w:widowControl/>
              <w:rPr>
                <w:rFonts w:ascii="Arial Narrow" w:hAnsi="Arial Narrow"/>
                <w:color w:val="000000"/>
                <w:sz w:val="20"/>
                <w:szCs w:val="20"/>
              </w:rPr>
            </w:pPr>
            <w:r>
              <w:rPr>
                <w:rFonts w:ascii="Arial Narrow" w:hAnsi="Arial Narrow"/>
                <w:sz w:val="20"/>
                <w:szCs w:val="20"/>
              </w:rPr>
              <w:t>Colitis</w:t>
            </w:r>
          </w:p>
        </w:tc>
        <w:tc>
          <w:tcPr>
            <w:tcW w:w="70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sz w:val="20"/>
                <w:szCs w:val="20"/>
              </w:rPr>
              <w:t>9 (2.2)</w:t>
            </w:r>
          </w:p>
        </w:tc>
        <w:tc>
          <w:tcPr>
            <w:tcW w:w="7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sz w:val="20"/>
                <w:szCs w:val="20"/>
              </w:rPr>
              <w:t>0 (0.0)</w:t>
            </w:r>
          </w:p>
        </w:tc>
        <w:tc>
          <w:tcPr>
            <w:tcW w:w="7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sz w:val="20"/>
                <w:szCs w:val="20"/>
              </w:rPr>
              <w:t>NC</w:t>
            </w:r>
          </w:p>
        </w:tc>
        <w:tc>
          <w:tcPr>
            <w:tcW w:w="7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color w:val="000000"/>
                <w:sz w:val="20"/>
                <w:szCs w:val="20"/>
              </w:rPr>
              <w:t>2.2</w:t>
            </w:r>
          </w:p>
        </w:tc>
        <w:tc>
          <w:tcPr>
            <w:tcW w:w="6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color w:val="000000"/>
                <w:sz w:val="20"/>
                <w:szCs w:val="20"/>
              </w:rPr>
              <w:t>0</w:t>
            </w:r>
          </w:p>
        </w:tc>
        <w:tc>
          <w:tcPr>
            <w:tcW w:w="7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b/>
                <w:sz w:val="20"/>
                <w:szCs w:val="20"/>
              </w:rPr>
              <w:t>0.02 (0.00,0.04)</w:t>
            </w:r>
          </w:p>
        </w:tc>
      </w:tr>
      <w:tr w:rsidR="00516A59">
        <w:tc>
          <w:tcPr>
            <w:tcW w:w="71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6A59" w:rsidRDefault="007D3F6A">
            <w:pPr>
              <w:keepLines/>
              <w:widowControl/>
              <w:rPr>
                <w:rFonts w:ascii="Arial Narrow" w:hAnsi="Arial Narrow"/>
                <w:color w:val="000000"/>
                <w:sz w:val="20"/>
                <w:szCs w:val="20"/>
              </w:rPr>
            </w:pPr>
            <w:r>
              <w:rPr>
                <w:rFonts w:ascii="Arial Narrow" w:hAnsi="Arial Narrow"/>
                <w:sz w:val="20"/>
                <w:szCs w:val="20"/>
              </w:rPr>
              <w:t>Hypothyroidism</w:t>
            </w:r>
          </w:p>
        </w:tc>
        <w:tc>
          <w:tcPr>
            <w:tcW w:w="70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sz w:val="20"/>
                <w:szCs w:val="20"/>
              </w:rPr>
              <w:t>27 (6.7)</w:t>
            </w:r>
          </w:p>
        </w:tc>
        <w:tc>
          <w:tcPr>
            <w:tcW w:w="7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sz w:val="20"/>
                <w:szCs w:val="20"/>
              </w:rPr>
              <w:t>5 (2.5)</w:t>
            </w:r>
          </w:p>
        </w:tc>
        <w:tc>
          <w:tcPr>
            <w:tcW w:w="7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b/>
                <w:sz w:val="20"/>
                <w:szCs w:val="20"/>
              </w:rPr>
              <w:t>2.69 (1.05, 6.89)</w:t>
            </w:r>
          </w:p>
        </w:tc>
        <w:tc>
          <w:tcPr>
            <w:tcW w:w="7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color w:val="000000"/>
                <w:sz w:val="20"/>
                <w:szCs w:val="20"/>
              </w:rPr>
              <w:t>6.7</w:t>
            </w:r>
          </w:p>
        </w:tc>
        <w:tc>
          <w:tcPr>
            <w:tcW w:w="6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color w:val="000000"/>
                <w:sz w:val="20"/>
                <w:szCs w:val="20"/>
              </w:rPr>
              <w:t>2.5</w:t>
            </w:r>
          </w:p>
        </w:tc>
        <w:tc>
          <w:tcPr>
            <w:tcW w:w="7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6A59" w:rsidRDefault="007D3F6A">
            <w:pPr>
              <w:keepLines/>
              <w:widowControl/>
              <w:jc w:val="center"/>
              <w:rPr>
                <w:rFonts w:ascii="Arial Narrow" w:hAnsi="Arial Narrow"/>
                <w:color w:val="000000"/>
                <w:sz w:val="20"/>
                <w:szCs w:val="20"/>
              </w:rPr>
            </w:pPr>
            <w:r>
              <w:rPr>
                <w:rFonts w:ascii="Arial Narrow" w:hAnsi="Arial Narrow"/>
                <w:b/>
                <w:sz w:val="20"/>
                <w:szCs w:val="20"/>
              </w:rPr>
              <w:t>0.04 (0.00,0.07)</w:t>
            </w:r>
          </w:p>
        </w:tc>
      </w:tr>
    </w:tbl>
    <w:p w:rsidR="00516A59" w:rsidRDefault="007D3F6A">
      <w:pPr>
        <w:pStyle w:val="TableFooter"/>
        <w:keepNext/>
        <w:keepLines/>
        <w:widowControl/>
      </w:pPr>
      <w:r>
        <w:rPr>
          <w:highlight w:val="lightGray"/>
        </w:rPr>
        <w:t>Shaded data previously considered by PBAC</w:t>
      </w:r>
    </w:p>
    <w:p w:rsidR="00516A59" w:rsidRDefault="007D3F6A">
      <w:pPr>
        <w:pStyle w:val="TableFooter"/>
        <w:keepLines/>
        <w:widowControl/>
      </w:pPr>
      <w:r>
        <w:t xml:space="preserve">HR = hazard ratio; NC = not calculable; OS = overall survival, PFS = progression free survival; RD = risk difference; RR = risk ratio, </w:t>
      </w:r>
      <w:r>
        <w:rPr>
          <w:b/>
        </w:rPr>
        <w:t xml:space="preserve">bold </w:t>
      </w:r>
      <w:r>
        <w:t>= statistically significant</w:t>
      </w:r>
    </w:p>
    <w:p w:rsidR="00516A59" w:rsidRDefault="007D3F6A">
      <w:pPr>
        <w:pStyle w:val="TableFooter"/>
        <w:keepLines/>
        <w:widowControl/>
      </w:pPr>
      <w:r>
        <w:t>Source: Tables 2.6-2 and 2.6-3, pp72-74 of the resubmission and Table 10 in the previous evaluation (6.06.COM.15, November 2018).</w:t>
      </w:r>
    </w:p>
    <w:p w:rsidR="00516A59" w:rsidRDefault="00516A59">
      <w:pPr>
        <w:keepLines/>
        <w:widowControl/>
      </w:pPr>
    </w:p>
    <w:p w:rsidR="00516A59" w:rsidRDefault="007D3F6A">
      <w:pPr>
        <w:pStyle w:val="ListParagraph"/>
        <w:keepLines/>
        <w:widowControl/>
        <w:spacing w:after="120"/>
      </w:pPr>
      <w:r>
        <w:t>On the basis of direct evidence presented in the resubmission, for every 100 patients with tumours that have PD-L1 &lt;50% and are treated with pembrolizumab+platinum+pemetrexed in comparison with platinum+pemetrexed:</w:t>
      </w:r>
    </w:p>
    <w:p w:rsidR="00516A59" w:rsidRDefault="007D3F6A">
      <w:pPr>
        <w:pStyle w:val="ListParagraph"/>
        <w:keepLines/>
        <w:widowControl/>
        <w:numPr>
          <w:ilvl w:val="0"/>
          <w:numId w:val="5"/>
        </w:numPr>
        <w:spacing w:after="120"/>
        <w:ind w:left="1077" w:hanging="357"/>
      </w:pPr>
      <w:r>
        <w:t xml:space="preserve">Approximately 20 additional patients would be progression-free 6 months after the start of treatment; and </w:t>
      </w:r>
    </w:p>
    <w:p w:rsidR="00516A59" w:rsidRDefault="007D3F6A">
      <w:pPr>
        <w:pStyle w:val="ListParagraph"/>
        <w:keepLines/>
        <w:widowControl/>
        <w:numPr>
          <w:ilvl w:val="0"/>
          <w:numId w:val="5"/>
        </w:numPr>
        <w:spacing w:after="120"/>
        <w:ind w:left="1077" w:hanging="357"/>
      </w:pPr>
      <w:r>
        <w:t>Approximately 8 additional patients would be alive 6 months after the start of treatment.</w:t>
      </w:r>
    </w:p>
    <w:p w:rsidR="00516A59" w:rsidRDefault="007D3F6A">
      <w:pPr>
        <w:pStyle w:val="ListParagraph"/>
        <w:keepLines/>
        <w:widowControl/>
        <w:spacing w:after="120"/>
      </w:pPr>
      <w:r>
        <w:t xml:space="preserve">These data were consistent with those presented in the previous submission. </w:t>
      </w:r>
    </w:p>
    <w:p w:rsidR="00516A59" w:rsidRDefault="007D3F6A">
      <w:pPr>
        <w:pStyle w:val="ListParagraph"/>
        <w:keepLines/>
        <w:widowControl/>
        <w:spacing w:after="120"/>
      </w:pPr>
      <w:r>
        <w:rPr>
          <w:snapToGrid/>
          <w:lang w:val="en-US" w:eastAsia="en-AU"/>
        </w:rPr>
        <w:t xml:space="preserve">The relative safety data for pembrolizumab+platinum+pemetrexed with platinum+pemetrexed were unchanged from the previous submission. On </w:t>
      </w:r>
      <w:r>
        <w:t>the basis of direct evidence presented by the submission, for every 100 patients treated with pembrolizumab+platinum+pemetrexed in comparison to platinum doublet and over a median duration of follow-up of 10.5 months (regardless of PD-L1 expression):</w:t>
      </w:r>
    </w:p>
    <w:p w:rsidR="00516A59" w:rsidRDefault="007D3F6A">
      <w:pPr>
        <w:pStyle w:val="ListParagraph"/>
        <w:keepLines/>
        <w:widowControl/>
        <w:numPr>
          <w:ilvl w:val="0"/>
          <w:numId w:val="5"/>
        </w:numPr>
        <w:spacing w:after="120"/>
      </w:pPr>
      <w:r>
        <w:t>Approximately 10 additional patients would have diarrhoea.</w:t>
      </w:r>
    </w:p>
    <w:p w:rsidR="00516A59" w:rsidRDefault="007D3F6A">
      <w:pPr>
        <w:pStyle w:val="ListParagraph"/>
        <w:keepLines/>
        <w:widowControl/>
        <w:numPr>
          <w:ilvl w:val="0"/>
          <w:numId w:val="5"/>
        </w:numPr>
        <w:spacing w:after="120"/>
      </w:pPr>
      <w:r>
        <w:t>Approximately 9 additional patients would have rash.</w:t>
      </w:r>
    </w:p>
    <w:p w:rsidR="00516A59" w:rsidRDefault="007D3F6A">
      <w:pPr>
        <w:pStyle w:val="ListParagraph"/>
        <w:keepLines/>
        <w:widowControl/>
        <w:numPr>
          <w:ilvl w:val="0"/>
          <w:numId w:val="5"/>
        </w:numPr>
        <w:spacing w:after="120"/>
      </w:pPr>
      <w:r>
        <w:t>Approximately 4 additional patients would have febrile neutropenia.</w:t>
      </w:r>
    </w:p>
    <w:p w:rsidR="00516A59" w:rsidRDefault="007D3F6A">
      <w:pPr>
        <w:pStyle w:val="ListParagraph"/>
        <w:keepLines/>
        <w:widowControl/>
        <w:numPr>
          <w:ilvl w:val="0"/>
          <w:numId w:val="5"/>
        </w:numPr>
      </w:pPr>
      <w:r>
        <w:t>Approximately 2 additional patients would have colitis.</w:t>
      </w:r>
    </w:p>
    <w:p w:rsidR="00516A59" w:rsidRDefault="007D3F6A">
      <w:pPr>
        <w:pStyle w:val="ListParagraph"/>
        <w:keepLines/>
        <w:widowControl/>
        <w:numPr>
          <w:ilvl w:val="0"/>
          <w:numId w:val="5"/>
        </w:numPr>
        <w:spacing w:after="120"/>
      </w:pPr>
      <w:r>
        <w:lastRenderedPageBreak/>
        <w:t>Approximately 4 additional patients would have hypothyroidism.</w:t>
      </w:r>
    </w:p>
    <w:p w:rsidR="00516A59" w:rsidRDefault="007D3F6A">
      <w:pPr>
        <w:pStyle w:val="ListParagraph"/>
        <w:keepLines/>
        <w:widowControl/>
        <w:spacing w:after="120"/>
      </w:pPr>
      <w:r>
        <w:rPr>
          <w:snapToGrid/>
          <w:lang w:val="en-US" w:eastAsia="en-AU"/>
        </w:rPr>
        <w:t>Given the uncertainty associated with the indirect comparisons between pembrolizumab+platinum+pemetrexed and pembrolizumab monotherapy, the lack of a significant difference in OS benefit between the two treatments, and the naïve nature of the comparisons for safety data, a benefits/harms table has not been presented for the population with tumours that are PD-L1 TPS ≥50%.</w:t>
      </w:r>
    </w:p>
    <w:p w:rsidR="00516A59" w:rsidRDefault="007D3F6A">
      <w:pPr>
        <w:pStyle w:val="Heading2"/>
      </w:pPr>
      <w:bookmarkStart w:id="22" w:name="_Toc371170709"/>
      <w:bookmarkStart w:id="23" w:name="_Toc9436244"/>
      <w:r>
        <w:t>Clinical claim</w:t>
      </w:r>
      <w:bookmarkEnd w:id="22"/>
      <w:bookmarkEnd w:id="23"/>
    </w:p>
    <w:p w:rsidR="00516A59" w:rsidRPr="00216BCE" w:rsidRDefault="007D3F6A" w:rsidP="00216BCE">
      <w:pPr>
        <w:keepLines/>
        <w:widowControl/>
      </w:pPr>
      <w:r w:rsidRPr="00216BCE">
        <w:rPr>
          <w:b/>
          <w:u w:val="single"/>
        </w:rPr>
        <w:t>PD-L1 TPS &lt;50% patient subgroup</w:t>
      </w:r>
    </w:p>
    <w:p w:rsidR="00516A59" w:rsidRDefault="00516A59">
      <w:pPr>
        <w:keepLines/>
        <w:widowControl/>
        <w:ind w:left="720" w:hanging="720"/>
      </w:pPr>
    </w:p>
    <w:p w:rsidR="00516A59" w:rsidRDefault="007D3F6A">
      <w:pPr>
        <w:pStyle w:val="ListParagraph"/>
        <w:keepLines/>
        <w:widowControl/>
        <w:spacing w:after="120"/>
      </w:pPr>
      <w:r>
        <w:t xml:space="preserve">The resubmission claimed that pembrolizumab+platinum+pemetrexed was superior in terms of effectiveness, and inferior in terms of safety, to platinum+pemetrexed (platinum doublet) followed by anti PD-(L)1 therapy, in patients with PD-L1 TPS &lt;50%. </w:t>
      </w:r>
    </w:p>
    <w:p w:rsidR="00516A59" w:rsidRDefault="007D3F6A">
      <w:pPr>
        <w:pStyle w:val="ListParagraph"/>
        <w:keepLines/>
        <w:widowControl/>
        <w:spacing w:after="120"/>
      </w:pPr>
      <w:r>
        <w:t xml:space="preserve">The PBAC previously considered the claim of superior comparative effectiveness of pembrolizumab+platinum+pemetrexed versus platinum+pemetrexed was not adequately supported by the data presented in the previous submission, given the concern over the immaturity of KN189 OS data, and the uncertain extent of subsequent anti PD(L)-1 inhibitor use post-progression, in the platinum+pemetrexed arm in KN189 for the PD-L1 TPS &lt;50% subgroup. </w:t>
      </w:r>
    </w:p>
    <w:p w:rsidR="00516A59" w:rsidRDefault="007D3F6A">
      <w:pPr>
        <w:pStyle w:val="ListParagraph"/>
        <w:keepLines/>
        <w:widowControl/>
        <w:numPr>
          <w:ilvl w:val="0"/>
          <w:numId w:val="5"/>
        </w:numPr>
        <w:spacing w:after="120"/>
      </w:pPr>
      <w:r>
        <w:t xml:space="preserve">Compared with the previous submission, the resubmission provided an additional 6 months of data from KN189 to support the claim of superior effectiveness of pembrolizumab+platinum+pemetrexed versus platinum+pemetrexed. </w:t>
      </w:r>
    </w:p>
    <w:p w:rsidR="00516A59" w:rsidRDefault="007D3F6A">
      <w:pPr>
        <w:pStyle w:val="ListParagraph"/>
        <w:keepLines/>
        <w:widowControl/>
        <w:numPr>
          <w:ilvl w:val="0"/>
          <w:numId w:val="5"/>
        </w:numPr>
        <w:spacing w:after="120"/>
      </w:pPr>
      <w:r>
        <w:t>The resubmission provided new information which indicated that, for the TPS &lt;50% population, 88% of patients who received a 2</w:t>
      </w:r>
      <w:r>
        <w:rPr>
          <w:vertAlign w:val="superscript"/>
        </w:rPr>
        <w:t>nd</w:t>
      </w:r>
      <w:r>
        <w:t xml:space="preserve"> line treatment received an anti-PD-(L)1 agent. This extent of subsequent use of PD(L)-1 inhibitors post-progression with chemotherapy appeared to be a reasonable reflection of the second line PD(L)-1 inhibitor use in the Australian clinical practice.</w:t>
      </w:r>
    </w:p>
    <w:p w:rsidR="00516A59" w:rsidRDefault="007D3F6A">
      <w:pPr>
        <w:pStyle w:val="ListParagraph"/>
        <w:keepLines/>
        <w:widowControl/>
        <w:spacing w:after="120"/>
      </w:pPr>
      <w:r>
        <w:t>The PBAC considered that the claim of superior comparative effectiveness was adequately supported by the data.</w:t>
      </w:r>
    </w:p>
    <w:p w:rsidR="00516A59" w:rsidRDefault="007D3F6A">
      <w:pPr>
        <w:pStyle w:val="ListParagraph"/>
        <w:keepLines/>
        <w:widowControl/>
        <w:spacing w:after="120"/>
      </w:pPr>
      <w:r>
        <w:rPr>
          <w:rFonts w:asciiTheme="minorHAnsi" w:hAnsiTheme="minorHAnsi"/>
          <w:szCs w:val="20"/>
        </w:rPr>
        <w:t>The PBAC considered that the claim of inferior comparative safety was reasonable.</w:t>
      </w:r>
    </w:p>
    <w:p w:rsidR="00216BCE" w:rsidRDefault="00216BCE">
      <w:pPr>
        <w:widowControl/>
        <w:jc w:val="left"/>
        <w:rPr>
          <w:b/>
          <w:u w:val="single"/>
        </w:rPr>
      </w:pPr>
      <w:r>
        <w:rPr>
          <w:b/>
          <w:u w:val="single"/>
        </w:rPr>
        <w:br w:type="page"/>
      </w:r>
    </w:p>
    <w:p w:rsidR="00516A59" w:rsidRPr="00216BCE" w:rsidRDefault="007D3F6A" w:rsidP="00216BCE">
      <w:pPr>
        <w:keepLines/>
        <w:widowControl/>
        <w:rPr>
          <w:b/>
          <w:u w:val="single"/>
        </w:rPr>
      </w:pPr>
      <w:r w:rsidRPr="00216BCE">
        <w:rPr>
          <w:b/>
          <w:u w:val="single"/>
        </w:rPr>
        <w:lastRenderedPageBreak/>
        <w:t>PD-L1 TPS ≥50% patient subgroup</w:t>
      </w:r>
    </w:p>
    <w:p w:rsidR="00516A59" w:rsidRDefault="00516A59">
      <w:pPr>
        <w:keepNext/>
        <w:keepLines/>
        <w:widowControl/>
      </w:pPr>
    </w:p>
    <w:p w:rsidR="00516A59" w:rsidRDefault="007D3F6A">
      <w:pPr>
        <w:pStyle w:val="ListParagraph"/>
        <w:keepNext/>
        <w:keepLines/>
        <w:widowControl/>
        <w:spacing w:after="120"/>
      </w:pPr>
      <w:r>
        <w:t xml:space="preserve">The resubmission described pembrolizumab+platinum+pemetrexed as superior in terms of “survival” and “inferior but manageable safety” compared with pembrolizumab monotherapy in patients with PD-L1 TPS ≥50%. </w:t>
      </w:r>
    </w:p>
    <w:p w:rsidR="00516A59" w:rsidRDefault="007D3F6A">
      <w:pPr>
        <w:pStyle w:val="ListParagraph"/>
        <w:keepLines/>
        <w:widowControl/>
        <w:spacing w:after="120"/>
      </w:pPr>
      <w:r>
        <w:t>Similar to the previous submission, the resubmission’s superiority claim for pembrolizumab+platinum+pemetrexed versus pembrolizumab monotherapy was based on an indirect comparison using KN189, KN024 and KN042 trials, which remained highly uncertain, as a result of both methodological and transitivity issues as described above. Furthermore, the indirect comparison in the resubmission did not show that there was a statistically significant benefit in OS associated with pembrolizumab+platinum+pemetrexed relative to pembrolizumab monotherapy followed by a platinum doublet.</w:t>
      </w:r>
    </w:p>
    <w:p w:rsidR="00516A59" w:rsidRDefault="007D3F6A">
      <w:pPr>
        <w:pStyle w:val="ListParagraph"/>
        <w:keepLines/>
        <w:widowControl/>
        <w:spacing w:after="120"/>
      </w:pPr>
      <w:r>
        <w:rPr>
          <w:lang w:val="en-GB"/>
        </w:rPr>
        <w:t xml:space="preserve">The PBAC previously considered that the transitivity of the three studies had not been adequately addressed. The PBAC also considered that an indirect comparison relying upon subgroups from each trial was inherently uncertain. The PBAC noted that the estimate of the indirect treatment effect was not statistically significant. Consequently, the PBAC considered that for the TPS </w:t>
      </w:r>
      <w:r>
        <w:rPr>
          <w:rFonts w:cs="Calibri"/>
          <w:snapToGrid/>
          <w:szCs w:val="24"/>
          <w:lang w:val="en-US" w:eastAsia="en-AU"/>
        </w:rPr>
        <w:t>≥50% subgroup,</w:t>
      </w:r>
      <w:r>
        <w:rPr>
          <w:lang w:val="en-GB"/>
        </w:rPr>
        <w:t xml:space="preserve"> pembrolizumab+platinum+pemetrexed could not be considered superior to pembrolizumab monotherapy in terms of effectiveness, and was likely inferior in terms of adverse effects (paragraphs 7.8 and 7.9, pembrolizumab (NSCLC) PSD, November 2018). The new information provided in the resubmission did not address the PBAC’s previous concerns regarding the comparative effectiveness of pembrolizumab+platinum+pemetrexed with pembrolizumab monotherapy, in the PD-L1 TPS ≥50% population.</w:t>
      </w:r>
    </w:p>
    <w:p w:rsidR="00516A59" w:rsidRDefault="007D3F6A">
      <w:pPr>
        <w:pStyle w:val="Heading2"/>
      </w:pPr>
      <w:bookmarkStart w:id="24" w:name="_Toc371170710"/>
      <w:bookmarkStart w:id="25" w:name="_Toc9436245"/>
      <w:r>
        <w:t>Economic analysis</w:t>
      </w:r>
      <w:bookmarkEnd w:id="24"/>
      <w:bookmarkEnd w:id="25"/>
      <w:r>
        <w:t xml:space="preserve"> </w:t>
      </w:r>
    </w:p>
    <w:p w:rsidR="00516A59" w:rsidRDefault="007D3F6A">
      <w:pPr>
        <w:pStyle w:val="ListParagraph"/>
        <w:keepLines/>
        <w:widowControl/>
        <w:spacing w:after="120"/>
      </w:pPr>
      <w:bookmarkStart w:id="26" w:name="_Toc371170715"/>
      <w:r>
        <w:t xml:space="preserve">The resubmission presented two economic evaluations (Table 12): </w:t>
      </w:r>
    </w:p>
    <w:p w:rsidR="00516A59" w:rsidRDefault="007D3F6A">
      <w:pPr>
        <w:pStyle w:val="ListParagraph"/>
        <w:keepLines/>
        <w:widowControl/>
        <w:numPr>
          <w:ilvl w:val="0"/>
          <w:numId w:val="5"/>
        </w:numPr>
        <w:spacing w:after="120"/>
      </w:pPr>
      <w:r>
        <w:t xml:space="preserve">PD-L1 TPS &lt;50%: pembrolizumab+platinum+pemetrexed vs. platinum + pemetrexed. A modelled economic evaluation based on the results of a subgroup in the direct-randomised trial (KN189); </w:t>
      </w:r>
    </w:p>
    <w:p w:rsidR="00516A59" w:rsidRDefault="007D3F6A">
      <w:pPr>
        <w:pStyle w:val="ListParagraph"/>
        <w:keepLines/>
        <w:widowControl/>
        <w:numPr>
          <w:ilvl w:val="0"/>
          <w:numId w:val="5"/>
        </w:numPr>
        <w:spacing w:after="120"/>
        <w:ind w:left="1077" w:hanging="357"/>
      </w:pPr>
      <w:r>
        <w:t>PD-L1 TPS ≥50%: pembrolizumab+platinum+pemetrexed vs. pembrolizumab monotherapy. A modelled economic evaluation based on an indirect comparison of subgroups from randomised trials (KN189 versus KN024 and KN042).</w:t>
      </w:r>
    </w:p>
    <w:p w:rsidR="00516A59" w:rsidRDefault="007D3F6A">
      <w:pPr>
        <w:pStyle w:val="ListParagraph"/>
        <w:keepLines/>
        <w:widowControl/>
        <w:spacing w:after="120"/>
      </w:pPr>
      <w:r>
        <w:t xml:space="preserve">The types of economic evaluations presented were cost-utility analyses. The type of economic evaluation for the PD-L1 TPS &lt;50% population was appropriate and consistent with the evidence base presented above. </w:t>
      </w:r>
    </w:p>
    <w:p w:rsidR="00516A59" w:rsidRDefault="007D3F6A">
      <w:pPr>
        <w:pStyle w:val="ListParagraph"/>
        <w:keepLines/>
        <w:widowControl/>
        <w:spacing w:after="120"/>
      </w:pPr>
      <w:r>
        <w:rPr>
          <w:lang w:val="en-GB"/>
        </w:rPr>
        <w:lastRenderedPageBreak/>
        <w:t>Regarding the economic analysis for the PD-L1 TPS ≥50% group, the PBAC previously considered a cost-utility analysis inappropriate in the context of a highly uncertain indirect comparison, based on subgroups with questionable transitivity, and with no significant difference in OS between pembrolizumab monotherapy and pembrolizumab+platinum+pemetrexed</w:t>
      </w:r>
      <w:r>
        <w:t>. The ESC noted the PSCR  did not revise the clinical claim of superiority, but offered a discount on the price of pembrolizumab when used as part of combination therapy “to deliver an incremental cost effectiveness ratio (ICER) of $0 relative to monotherapy treatment” ($</w:t>
      </w:r>
      <w:r w:rsidR="00845E21">
        <w:rPr>
          <w:noProof/>
          <w:color w:val="000000"/>
          <w:highlight w:val="black"/>
        </w:rPr>
        <w:t>'''''''''</w:t>
      </w:r>
      <w:r>
        <w:t xml:space="preserve"> per 100 mg via in the PSCR compared to $</w:t>
      </w:r>
      <w:r w:rsidR="00845E21">
        <w:rPr>
          <w:noProof/>
          <w:color w:val="000000"/>
          <w:highlight w:val="black"/>
        </w:rPr>
        <w:t>'''''''''''</w:t>
      </w:r>
      <w:r>
        <w:t xml:space="preserve"> in the resubmission). The PBAC reiterated that a cost utility analysis was not appropriate for this population but noted that with the price reduction offered, the cost per patient per treatment course for pembrolizumab+platinum+pemetrexed and pembrolizumab monotherapy was similar. </w:t>
      </w:r>
    </w:p>
    <w:p w:rsidR="0093515B" w:rsidRDefault="0093515B" w:rsidP="0093515B">
      <w:pPr>
        <w:pStyle w:val="Caption"/>
        <w:keepNext/>
      </w:pPr>
      <w:r>
        <w:t xml:space="preserve">Table </w:t>
      </w:r>
      <w:r>
        <w:rPr>
          <w:noProof/>
        </w:rPr>
        <w:t>12</w:t>
      </w:r>
      <w:r w:rsidRPr="008D630A">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12: Key components of the economic evaluation"/>
      </w:tblPr>
      <w:tblGrid>
        <w:gridCol w:w="2842"/>
        <w:gridCol w:w="6175"/>
      </w:tblGrid>
      <w:tr w:rsidR="00516A59">
        <w:trPr>
          <w:tblHeader/>
        </w:trPr>
        <w:tc>
          <w:tcPr>
            <w:tcW w:w="1576" w:type="pct"/>
            <w:vAlign w:val="center"/>
          </w:tcPr>
          <w:p w:rsidR="00516A59" w:rsidRDefault="007D3F6A">
            <w:pPr>
              <w:pStyle w:val="Tabletext"/>
              <w:keepNext/>
              <w:keepLines/>
              <w:rPr>
                <w:b/>
              </w:rPr>
            </w:pPr>
            <w:r>
              <w:rPr>
                <w:b/>
              </w:rPr>
              <w:t>Component</w:t>
            </w:r>
          </w:p>
        </w:tc>
        <w:tc>
          <w:tcPr>
            <w:tcW w:w="3424" w:type="pct"/>
          </w:tcPr>
          <w:p w:rsidR="00516A59" w:rsidRDefault="007D3F6A">
            <w:pPr>
              <w:pStyle w:val="Tabletext"/>
              <w:keepNext/>
              <w:keepLines/>
              <w:jc w:val="center"/>
              <w:rPr>
                <w:b/>
              </w:rPr>
            </w:pPr>
            <w:r>
              <w:rPr>
                <w:b/>
              </w:rPr>
              <w:t>Description</w:t>
            </w:r>
          </w:p>
        </w:tc>
      </w:tr>
      <w:tr w:rsidR="00516A59">
        <w:tc>
          <w:tcPr>
            <w:tcW w:w="1576" w:type="pct"/>
            <w:vAlign w:val="center"/>
          </w:tcPr>
          <w:p w:rsidR="00516A59" w:rsidRDefault="007D3F6A">
            <w:pPr>
              <w:pStyle w:val="Tabletext"/>
              <w:keepNext/>
              <w:keepLines/>
            </w:pPr>
            <w:r>
              <w:t>Type of analysis</w:t>
            </w:r>
          </w:p>
        </w:tc>
        <w:tc>
          <w:tcPr>
            <w:tcW w:w="3424" w:type="pct"/>
          </w:tcPr>
          <w:p w:rsidR="00516A59" w:rsidRDefault="007D3F6A">
            <w:pPr>
              <w:pStyle w:val="Tabletext"/>
              <w:keepNext/>
              <w:keepLines/>
            </w:pPr>
            <w:r>
              <w:t>Cost utility and cost effectiveness analysis</w:t>
            </w:r>
          </w:p>
        </w:tc>
      </w:tr>
      <w:tr w:rsidR="00516A59">
        <w:tc>
          <w:tcPr>
            <w:tcW w:w="1576" w:type="pct"/>
            <w:vAlign w:val="center"/>
          </w:tcPr>
          <w:p w:rsidR="00516A59" w:rsidRDefault="007D3F6A">
            <w:pPr>
              <w:pStyle w:val="Tabletext"/>
              <w:keepNext/>
              <w:keepLines/>
            </w:pPr>
            <w:r>
              <w:t>Outcomes</w:t>
            </w:r>
          </w:p>
        </w:tc>
        <w:tc>
          <w:tcPr>
            <w:tcW w:w="3424" w:type="pct"/>
          </w:tcPr>
          <w:p w:rsidR="00516A59" w:rsidRDefault="007D3F6A">
            <w:pPr>
              <w:pStyle w:val="Tabletext"/>
              <w:keepNext/>
              <w:keepLines/>
            </w:pPr>
            <w:r>
              <w:t>QALY, LYG</w:t>
            </w:r>
          </w:p>
        </w:tc>
      </w:tr>
      <w:tr w:rsidR="00516A59">
        <w:tc>
          <w:tcPr>
            <w:tcW w:w="1576" w:type="pct"/>
            <w:vAlign w:val="center"/>
          </w:tcPr>
          <w:p w:rsidR="00516A59" w:rsidRDefault="007D3F6A">
            <w:pPr>
              <w:pStyle w:val="Tabletext"/>
              <w:keepNext/>
              <w:keepLines/>
            </w:pPr>
            <w:r>
              <w:t>Time horizon</w:t>
            </w:r>
          </w:p>
        </w:tc>
        <w:tc>
          <w:tcPr>
            <w:tcW w:w="3424" w:type="pct"/>
            <w:vAlign w:val="center"/>
          </w:tcPr>
          <w:p w:rsidR="00516A59" w:rsidRDefault="007D3F6A">
            <w:pPr>
              <w:pStyle w:val="Tabletext"/>
              <w:keepNext/>
              <w:keepLines/>
            </w:pPr>
            <w:r>
              <w:t>7.5 years</w:t>
            </w:r>
          </w:p>
        </w:tc>
      </w:tr>
      <w:tr w:rsidR="00516A59">
        <w:tc>
          <w:tcPr>
            <w:tcW w:w="1576" w:type="pct"/>
            <w:vAlign w:val="center"/>
          </w:tcPr>
          <w:p w:rsidR="00516A59" w:rsidRDefault="007D3F6A">
            <w:pPr>
              <w:pStyle w:val="Tabletext"/>
              <w:keepNext/>
              <w:keepLines/>
            </w:pPr>
            <w:r>
              <w:t>Methods used to generate results</w:t>
            </w:r>
          </w:p>
        </w:tc>
        <w:tc>
          <w:tcPr>
            <w:tcW w:w="3424" w:type="pct"/>
          </w:tcPr>
          <w:p w:rsidR="00516A59" w:rsidRDefault="007D3F6A">
            <w:pPr>
              <w:pStyle w:val="Tabletext"/>
              <w:keepNext/>
              <w:keepLines/>
            </w:pPr>
            <w:r>
              <w:t>Partitioned survival analysis</w:t>
            </w:r>
          </w:p>
        </w:tc>
      </w:tr>
      <w:tr w:rsidR="00516A59">
        <w:tc>
          <w:tcPr>
            <w:tcW w:w="1576" w:type="pct"/>
            <w:vAlign w:val="center"/>
          </w:tcPr>
          <w:p w:rsidR="00516A59" w:rsidRDefault="007D3F6A">
            <w:pPr>
              <w:pStyle w:val="Tabletext"/>
              <w:keepNext/>
              <w:keepLines/>
            </w:pPr>
            <w:r>
              <w:t>Health states</w:t>
            </w:r>
          </w:p>
        </w:tc>
        <w:tc>
          <w:tcPr>
            <w:tcW w:w="3424" w:type="pct"/>
          </w:tcPr>
          <w:p w:rsidR="00516A59" w:rsidRDefault="007D3F6A">
            <w:pPr>
              <w:pStyle w:val="Tabletext"/>
              <w:keepNext/>
              <w:keepLines/>
            </w:pPr>
            <w:r>
              <w:t>Pre-progression, progression and death</w:t>
            </w:r>
          </w:p>
        </w:tc>
      </w:tr>
      <w:tr w:rsidR="00516A59">
        <w:tc>
          <w:tcPr>
            <w:tcW w:w="1576" w:type="pct"/>
            <w:vAlign w:val="center"/>
          </w:tcPr>
          <w:p w:rsidR="00516A59" w:rsidRDefault="007D3F6A">
            <w:pPr>
              <w:pStyle w:val="Tabletext"/>
              <w:keepNext/>
              <w:keepLines/>
            </w:pPr>
            <w:r>
              <w:t>Time interval in which health state membership is determined, and cost and outcomes are accrued (cycle)</w:t>
            </w:r>
          </w:p>
        </w:tc>
        <w:tc>
          <w:tcPr>
            <w:tcW w:w="3424" w:type="pct"/>
          </w:tcPr>
          <w:p w:rsidR="00516A59" w:rsidRDefault="007D3F6A">
            <w:pPr>
              <w:pStyle w:val="Tabletext"/>
              <w:keepNext/>
              <w:keepLines/>
            </w:pPr>
            <w:r>
              <w:t xml:space="preserve">1 week. This appeared reasonable. </w:t>
            </w:r>
          </w:p>
        </w:tc>
      </w:tr>
      <w:tr w:rsidR="00516A59">
        <w:tc>
          <w:tcPr>
            <w:tcW w:w="1576" w:type="pct"/>
            <w:vAlign w:val="center"/>
          </w:tcPr>
          <w:p w:rsidR="00516A59" w:rsidRDefault="007D3F6A">
            <w:pPr>
              <w:pStyle w:val="Tabletext"/>
              <w:keepNext/>
              <w:keepLines/>
            </w:pPr>
            <w:r>
              <w:t>Health state membership</w:t>
            </w:r>
          </w:p>
        </w:tc>
        <w:tc>
          <w:tcPr>
            <w:tcW w:w="3424" w:type="pct"/>
          </w:tcPr>
          <w:p w:rsidR="00516A59" w:rsidRDefault="007D3F6A">
            <w:pPr>
              <w:pStyle w:val="Tabletext"/>
              <w:keepNext/>
              <w:keepLines/>
            </w:pPr>
            <w:r>
              <w:t xml:space="preserve">PD-L1 TPS &lt;50%: based on KM curve from subgroup of KN189, separately extrapolated. There was convergence of PFS and OS curves towards the end of the time horizon of the model. </w:t>
            </w:r>
          </w:p>
          <w:p w:rsidR="00516A59" w:rsidRDefault="00516A59">
            <w:pPr>
              <w:pStyle w:val="Tabletext"/>
              <w:keepNext/>
              <w:keepLines/>
            </w:pPr>
          </w:p>
          <w:p w:rsidR="00516A59" w:rsidRDefault="007D3F6A">
            <w:pPr>
              <w:pStyle w:val="Tabletext"/>
              <w:keepNext/>
              <w:keepLines/>
            </w:pPr>
            <w:r>
              <w:t xml:space="preserve">PD-L1 TPS </w:t>
            </w:r>
            <w:r>
              <w:sym w:font="Symbol" w:char="F0B3"/>
            </w:r>
            <w:r>
              <w:t>50%: pembro combo arm based on KM curve from subgroup of KN189 and extrapolated. HR from ITC in Section 2 used to determine Pembro Mono arm. Forced convergence of PFS and OS curves</w:t>
            </w:r>
          </w:p>
        </w:tc>
      </w:tr>
      <w:tr w:rsidR="00516A59">
        <w:tc>
          <w:tcPr>
            <w:tcW w:w="1576" w:type="pct"/>
            <w:vAlign w:val="center"/>
          </w:tcPr>
          <w:p w:rsidR="00516A59" w:rsidRDefault="007D3F6A">
            <w:pPr>
              <w:pStyle w:val="Tabletext"/>
              <w:keepNext/>
              <w:keepLines/>
            </w:pPr>
            <w:r>
              <w:t>Utilities</w:t>
            </w:r>
          </w:p>
        </w:tc>
        <w:tc>
          <w:tcPr>
            <w:tcW w:w="3424" w:type="pct"/>
          </w:tcPr>
          <w:p w:rsidR="00516A59" w:rsidRDefault="007D3F6A">
            <w:pPr>
              <w:pStyle w:val="Tabletext"/>
              <w:keepNext/>
              <w:keepLines/>
            </w:pPr>
            <w:r>
              <w:t xml:space="preserve">Application determined by health state membership. </w:t>
            </w:r>
          </w:p>
          <w:p w:rsidR="00516A59" w:rsidRDefault="007D3F6A">
            <w:pPr>
              <w:pStyle w:val="Tabletext"/>
              <w:keepNext/>
              <w:keepLines/>
            </w:pPr>
            <w:r>
              <w:t>Utilities based on KN189 for pembrolizumab+platinum+pemetrexed and platinum+pemetrexed arms.</w:t>
            </w:r>
          </w:p>
          <w:p w:rsidR="00516A59" w:rsidRDefault="007D3F6A">
            <w:pPr>
              <w:pStyle w:val="Tabletext"/>
              <w:keepNext/>
              <w:keepLines/>
            </w:pPr>
            <w:r>
              <w:t xml:space="preserve">Utilities for pembrolizumab monotherapy from KN024, adjusted for differences in platinum+pemetrexed arm. </w:t>
            </w:r>
          </w:p>
        </w:tc>
      </w:tr>
      <w:tr w:rsidR="00516A59">
        <w:tc>
          <w:tcPr>
            <w:tcW w:w="1576" w:type="pct"/>
            <w:vAlign w:val="center"/>
          </w:tcPr>
          <w:p w:rsidR="00516A59" w:rsidRDefault="007D3F6A">
            <w:pPr>
              <w:pStyle w:val="Tabletext"/>
              <w:keepNext/>
              <w:keepLines/>
            </w:pPr>
            <w:r>
              <w:t>Discount rate</w:t>
            </w:r>
          </w:p>
        </w:tc>
        <w:tc>
          <w:tcPr>
            <w:tcW w:w="3424" w:type="pct"/>
          </w:tcPr>
          <w:p w:rsidR="00516A59" w:rsidRDefault="007D3F6A">
            <w:pPr>
              <w:pStyle w:val="Tabletext"/>
              <w:keepNext/>
              <w:keepLines/>
            </w:pPr>
            <w:r>
              <w:t>5% per annum for cost and outcomes</w:t>
            </w:r>
          </w:p>
        </w:tc>
      </w:tr>
      <w:tr w:rsidR="00516A59">
        <w:tc>
          <w:tcPr>
            <w:tcW w:w="1576" w:type="pct"/>
            <w:vAlign w:val="center"/>
          </w:tcPr>
          <w:p w:rsidR="00516A59" w:rsidRDefault="007D3F6A">
            <w:pPr>
              <w:pStyle w:val="Tabletext"/>
              <w:keepNext/>
              <w:keepLines/>
            </w:pPr>
            <w:r>
              <w:t>Software package</w:t>
            </w:r>
          </w:p>
        </w:tc>
        <w:tc>
          <w:tcPr>
            <w:tcW w:w="3424" w:type="pct"/>
          </w:tcPr>
          <w:p w:rsidR="00516A59" w:rsidRDefault="007D3F6A">
            <w:pPr>
              <w:pStyle w:val="Tabletext"/>
              <w:keepNext/>
              <w:keepLines/>
            </w:pPr>
            <w:r>
              <w:t>Microsoft Excel 2010</w:t>
            </w:r>
          </w:p>
        </w:tc>
      </w:tr>
    </w:tbl>
    <w:p w:rsidR="00516A59" w:rsidRDefault="007D3F6A">
      <w:pPr>
        <w:pStyle w:val="TableFooter"/>
        <w:keepNext/>
        <w:keepLines/>
        <w:widowControl/>
        <w:rPr>
          <w:snapToGrid/>
        </w:rPr>
      </w:pPr>
      <w:r>
        <w:t>Pembro Combo = pembrolizumab+platinum+pemetrexed; Pembro Mono = pembrolizumab monotherapy; QALY = quality-adjusted life year; LYG = life year gained; PD-L1 = programmed death ligand 1; TPS = tumour proportion score; PFS = progression free survival; OS = overall survival; HR = hazard ratio; ITC = indirect treatment comparison.</w:t>
      </w:r>
    </w:p>
    <w:p w:rsidR="00516A59" w:rsidRDefault="007D3F6A">
      <w:pPr>
        <w:pStyle w:val="TableFooter"/>
        <w:keepNext/>
        <w:keepLines/>
        <w:widowControl/>
      </w:pPr>
      <w:r>
        <w:t>Source: Table 3.1-2, Section 3 of the resubmission</w:t>
      </w:r>
    </w:p>
    <w:p w:rsidR="00516A59" w:rsidRDefault="00516A59">
      <w:pPr>
        <w:keepLines/>
        <w:widowControl/>
      </w:pPr>
    </w:p>
    <w:p w:rsidR="00516A59" w:rsidRDefault="007D3F6A">
      <w:pPr>
        <w:pStyle w:val="ListParagraph"/>
        <w:keepLines/>
        <w:widowControl/>
        <w:spacing w:after="120"/>
      </w:pPr>
      <w:r>
        <w:lastRenderedPageBreak/>
        <w:t xml:space="preserve">Consistent with feedback from the PBAC on the November 2018 PBAC submission, the resubmission applied utilities by the patient’s progression-status (i.e., progression-free; progressive disease) instead of utilities by time-to death. This change was appropriate. However, the ESC noted that the utility values in the original submission could not be verified, and that insufficient detail was provided in the resubmission to assess the appropriateness of the revised utilities. The ESC also noted that utility values were higher in the resubmission than those in the original submission, for each health state and for each treatment arm. The ESC noted a large amount of information on utilities was provided with the PSCR but the information was not considered informative as it was not able to be evaluated due to the timeframe in which it was provided. </w:t>
      </w:r>
    </w:p>
    <w:p w:rsidR="00516A59" w:rsidRDefault="007D3F6A">
      <w:pPr>
        <w:pStyle w:val="ListParagraph"/>
        <w:keepLines/>
        <w:widowControl/>
        <w:spacing w:after="120"/>
      </w:pPr>
      <w:r>
        <w:t>The resubmission stated that the utility values for progression-free and progressive disease health states for the pembrolizumab+platinum+pemetrexed and platinum+pemetrexed arms were obtained from the EQ-5D results from KN189, using Australian-based valuations. For the pembrolizumab monotherapy arm, EQ-5D utility data were from the KN024 trial with an adjustment to account for different patient characteristics between KN024 and KN189. The utility values were derived by multiplying the ratio of the pembrolizumab monotherapy treatment arm and the chemotherapy treatment arm utilities in KN024 by the chemotherapy treatment arm utilities in KN189 (e.g., for the progression free state, 0.779/0.742 = 1.05, utilities = 1.05 x 0.766 = 0.804). The utility weights for pembrolizumab monotherapy and the utilities used in the base case of the economic models are summarised in the tables below.</w:t>
      </w:r>
    </w:p>
    <w:p w:rsidR="0093515B" w:rsidRDefault="0093515B" w:rsidP="0093515B">
      <w:pPr>
        <w:pStyle w:val="Caption"/>
        <w:keepNext/>
      </w:pPr>
      <w:r>
        <w:t xml:space="preserve">Table </w:t>
      </w:r>
      <w:r>
        <w:rPr>
          <w:noProof/>
        </w:rPr>
        <w:t>13</w:t>
      </w:r>
      <w:r w:rsidRPr="00716F11">
        <w:t>: Utility weights for Pembrolizumab Monotherapy</w:t>
      </w:r>
    </w:p>
    <w:tbl>
      <w:tblPr>
        <w:tblStyle w:val="TableGrid"/>
        <w:tblW w:w="0" w:type="auto"/>
        <w:tblLook w:val="04A0" w:firstRow="1" w:lastRow="0" w:firstColumn="1" w:lastColumn="0" w:noHBand="0" w:noVBand="1"/>
        <w:tblCaption w:val="Table 13: Utility weights for Pembrolizumab Monotherapy"/>
      </w:tblPr>
      <w:tblGrid>
        <w:gridCol w:w="1803"/>
        <w:gridCol w:w="1803"/>
        <w:gridCol w:w="1804"/>
        <w:gridCol w:w="1803"/>
        <w:gridCol w:w="1804"/>
      </w:tblGrid>
      <w:tr w:rsidR="00516A59">
        <w:tc>
          <w:tcPr>
            <w:tcW w:w="1803" w:type="dxa"/>
          </w:tcPr>
          <w:p w:rsidR="00516A59" w:rsidRDefault="007D3F6A">
            <w:pPr>
              <w:pStyle w:val="Tabletext"/>
              <w:keepLines/>
              <w:jc w:val="center"/>
              <w:rPr>
                <w:b/>
                <w:color w:val="000000" w:themeColor="text1"/>
              </w:rPr>
            </w:pPr>
            <w:r>
              <w:rPr>
                <w:b/>
                <w:color w:val="000000" w:themeColor="text1"/>
              </w:rPr>
              <w:t>Health State</w:t>
            </w:r>
          </w:p>
        </w:tc>
        <w:tc>
          <w:tcPr>
            <w:tcW w:w="1803" w:type="dxa"/>
          </w:tcPr>
          <w:p w:rsidR="00516A59" w:rsidRDefault="007D3F6A">
            <w:pPr>
              <w:pStyle w:val="Tabletext"/>
              <w:keepLines/>
              <w:jc w:val="center"/>
              <w:rPr>
                <w:b/>
                <w:color w:val="000000" w:themeColor="text1"/>
              </w:rPr>
            </w:pPr>
            <w:r>
              <w:rPr>
                <w:b/>
                <w:color w:val="000000" w:themeColor="text1"/>
              </w:rPr>
              <w:t>Pembro Mono in KN024</w:t>
            </w:r>
          </w:p>
        </w:tc>
        <w:tc>
          <w:tcPr>
            <w:tcW w:w="1804" w:type="dxa"/>
          </w:tcPr>
          <w:p w:rsidR="00516A59" w:rsidRDefault="007D3F6A">
            <w:pPr>
              <w:pStyle w:val="Tabletext"/>
              <w:keepLines/>
              <w:jc w:val="center"/>
              <w:rPr>
                <w:b/>
                <w:color w:val="000000" w:themeColor="text1"/>
              </w:rPr>
            </w:pPr>
            <w:r>
              <w:rPr>
                <w:b/>
                <w:color w:val="000000" w:themeColor="text1"/>
              </w:rPr>
              <w:t>Chemotherapy in KN024</w:t>
            </w:r>
          </w:p>
        </w:tc>
        <w:tc>
          <w:tcPr>
            <w:tcW w:w="1803" w:type="dxa"/>
          </w:tcPr>
          <w:p w:rsidR="00516A59" w:rsidRDefault="007D3F6A">
            <w:pPr>
              <w:pStyle w:val="Tabletext"/>
              <w:keepLines/>
              <w:jc w:val="center"/>
              <w:rPr>
                <w:b/>
                <w:color w:val="000000" w:themeColor="text1"/>
              </w:rPr>
            </w:pPr>
            <w:r>
              <w:rPr>
                <w:b/>
                <w:color w:val="000000" w:themeColor="text1"/>
              </w:rPr>
              <w:t>KN024 Ratio (pembro:chemo)</w:t>
            </w:r>
          </w:p>
        </w:tc>
        <w:tc>
          <w:tcPr>
            <w:tcW w:w="1804" w:type="dxa"/>
          </w:tcPr>
          <w:p w:rsidR="00516A59" w:rsidRDefault="007D3F6A">
            <w:pPr>
              <w:pStyle w:val="Tabletext"/>
              <w:keepLines/>
              <w:jc w:val="center"/>
              <w:rPr>
                <w:b/>
                <w:color w:val="000000" w:themeColor="text1"/>
              </w:rPr>
            </w:pPr>
            <w:r>
              <w:rPr>
                <w:b/>
                <w:color w:val="000000" w:themeColor="text1"/>
              </w:rPr>
              <w:t>Modelled Values for Pembro mono</w:t>
            </w:r>
          </w:p>
        </w:tc>
      </w:tr>
      <w:tr w:rsidR="00516A59">
        <w:tc>
          <w:tcPr>
            <w:tcW w:w="1803" w:type="dxa"/>
          </w:tcPr>
          <w:p w:rsidR="00516A59" w:rsidRDefault="007D3F6A">
            <w:pPr>
              <w:pStyle w:val="Tabletext"/>
              <w:keepLines/>
              <w:rPr>
                <w:color w:val="000000" w:themeColor="text1"/>
              </w:rPr>
            </w:pPr>
            <w:r>
              <w:rPr>
                <w:color w:val="000000" w:themeColor="text1"/>
              </w:rPr>
              <w:t>Progression-free</w:t>
            </w:r>
          </w:p>
        </w:tc>
        <w:tc>
          <w:tcPr>
            <w:tcW w:w="1803" w:type="dxa"/>
          </w:tcPr>
          <w:p w:rsidR="00516A59" w:rsidRDefault="007D3F6A">
            <w:pPr>
              <w:pStyle w:val="Tabletext"/>
              <w:keepLines/>
              <w:jc w:val="center"/>
              <w:rPr>
                <w:color w:val="000000" w:themeColor="text1"/>
              </w:rPr>
            </w:pPr>
            <w:r>
              <w:rPr>
                <w:color w:val="000000" w:themeColor="text1"/>
              </w:rPr>
              <w:t>0.779</w:t>
            </w:r>
          </w:p>
        </w:tc>
        <w:tc>
          <w:tcPr>
            <w:tcW w:w="1804" w:type="dxa"/>
          </w:tcPr>
          <w:p w:rsidR="00516A59" w:rsidRDefault="007D3F6A">
            <w:pPr>
              <w:pStyle w:val="Tabletext"/>
              <w:keepLines/>
              <w:jc w:val="center"/>
              <w:rPr>
                <w:color w:val="000000" w:themeColor="text1"/>
              </w:rPr>
            </w:pPr>
            <w:r>
              <w:rPr>
                <w:color w:val="000000" w:themeColor="text1"/>
              </w:rPr>
              <w:t>0.742</w:t>
            </w:r>
          </w:p>
        </w:tc>
        <w:tc>
          <w:tcPr>
            <w:tcW w:w="1803" w:type="dxa"/>
          </w:tcPr>
          <w:p w:rsidR="00516A59" w:rsidRDefault="007D3F6A">
            <w:pPr>
              <w:pStyle w:val="Tabletext"/>
              <w:keepLines/>
              <w:jc w:val="center"/>
              <w:rPr>
                <w:color w:val="000000" w:themeColor="text1"/>
              </w:rPr>
            </w:pPr>
            <w:r>
              <w:rPr>
                <w:color w:val="000000" w:themeColor="text1"/>
              </w:rPr>
              <w:t>1.05</w:t>
            </w:r>
          </w:p>
        </w:tc>
        <w:tc>
          <w:tcPr>
            <w:tcW w:w="1804" w:type="dxa"/>
          </w:tcPr>
          <w:p w:rsidR="00516A59" w:rsidRDefault="007D3F6A">
            <w:pPr>
              <w:pStyle w:val="Tabletext"/>
              <w:keepLines/>
              <w:jc w:val="center"/>
              <w:rPr>
                <w:color w:val="000000" w:themeColor="text1"/>
              </w:rPr>
            </w:pPr>
            <w:r>
              <w:rPr>
                <w:color w:val="000000" w:themeColor="text1"/>
              </w:rPr>
              <w:t>0.804</w:t>
            </w:r>
          </w:p>
        </w:tc>
      </w:tr>
      <w:tr w:rsidR="00516A59">
        <w:tc>
          <w:tcPr>
            <w:tcW w:w="1803" w:type="dxa"/>
          </w:tcPr>
          <w:p w:rsidR="00516A59" w:rsidRDefault="007D3F6A">
            <w:pPr>
              <w:pStyle w:val="Tabletext"/>
              <w:keepLines/>
              <w:rPr>
                <w:color w:val="000000" w:themeColor="text1"/>
              </w:rPr>
            </w:pPr>
            <w:r>
              <w:rPr>
                <w:color w:val="000000" w:themeColor="text1"/>
              </w:rPr>
              <w:t>Progressive</w:t>
            </w:r>
          </w:p>
        </w:tc>
        <w:tc>
          <w:tcPr>
            <w:tcW w:w="1803" w:type="dxa"/>
          </w:tcPr>
          <w:p w:rsidR="00516A59" w:rsidRDefault="007D3F6A">
            <w:pPr>
              <w:pStyle w:val="Tabletext"/>
              <w:keepLines/>
              <w:jc w:val="center"/>
              <w:rPr>
                <w:color w:val="000000" w:themeColor="text1"/>
              </w:rPr>
            </w:pPr>
            <w:r>
              <w:rPr>
                <w:color w:val="000000" w:themeColor="text1"/>
              </w:rPr>
              <w:t>0.665</w:t>
            </w:r>
          </w:p>
        </w:tc>
        <w:tc>
          <w:tcPr>
            <w:tcW w:w="1804" w:type="dxa"/>
          </w:tcPr>
          <w:p w:rsidR="00516A59" w:rsidRDefault="007D3F6A">
            <w:pPr>
              <w:pStyle w:val="Tabletext"/>
              <w:keepLines/>
              <w:jc w:val="center"/>
              <w:rPr>
                <w:color w:val="000000" w:themeColor="text1"/>
              </w:rPr>
            </w:pPr>
            <w:r>
              <w:rPr>
                <w:color w:val="000000" w:themeColor="text1"/>
              </w:rPr>
              <w:t>0.679</w:t>
            </w:r>
          </w:p>
        </w:tc>
        <w:tc>
          <w:tcPr>
            <w:tcW w:w="1803" w:type="dxa"/>
          </w:tcPr>
          <w:p w:rsidR="00516A59" w:rsidRDefault="007D3F6A">
            <w:pPr>
              <w:pStyle w:val="Tabletext"/>
              <w:keepLines/>
              <w:jc w:val="center"/>
              <w:rPr>
                <w:color w:val="000000" w:themeColor="text1"/>
              </w:rPr>
            </w:pPr>
            <w:r>
              <w:rPr>
                <w:color w:val="000000" w:themeColor="text1"/>
              </w:rPr>
              <w:t>0.98</w:t>
            </w:r>
          </w:p>
        </w:tc>
        <w:tc>
          <w:tcPr>
            <w:tcW w:w="1804" w:type="dxa"/>
          </w:tcPr>
          <w:p w:rsidR="00516A59" w:rsidRDefault="007D3F6A">
            <w:pPr>
              <w:pStyle w:val="Tabletext"/>
              <w:keepLines/>
              <w:jc w:val="center"/>
              <w:rPr>
                <w:color w:val="000000" w:themeColor="text1"/>
              </w:rPr>
            </w:pPr>
            <w:r>
              <w:rPr>
                <w:color w:val="000000" w:themeColor="text1"/>
              </w:rPr>
              <w:t>0.677</w:t>
            </w:r>
          </w:p>
        </w:tc>
      </w:tr>
    </w:tbl>
    <w:p w:rsidR="00516A59" w:rsidRDefault="007D3F6A">
      <w:pPr>
        <w:pStyle w:val="TableFooter"/>
        <w:keepLines/>
        <w:widowControl/>
        <w:rPr>
          <w:color w:val="000000" w:themeColor="text1"/>
        </w:rPr>
      </w:pPr>
      <w:r>
        <w:rPr>
          <w:color w:val="000000" w:themeColor="text1"/>
        </w:rPr>
        <w:t>Source: Table 3.5-2 Section 3 of the submission</w:t>
      </w:r>
    </w:p>
    <w:p w:rsidR="00516A59" w:rsidRDefault="00516A59">
      <w:pPr>
        <w:keepLines/>
        <w:widowControl/>
        <w:rPr>
          <w:highlight w:val="yellow"/>
        </w:rPr>
      </w:pPr>
    </w:p>
    <w:p w:rsidR="0093515B" w:rsidRDefault="0093515B" w:rsidP="0093515B">
      <w:pPr>
        <w:pStyle w:val="Caption"/>
        <w:keepNext/>
      </w:pPr>
      <w:r>
        <w:t xml:space="preserve">Table </w:t>
      </w:r>
      <w:r>
        <w:rPr>
          <w:noProof/>
        </w:rPr>
        <w:t>14</w:t>
      </w:r>
      <w:r w:rsidRPr="00BE2C39">
        <w:t>: Health state utilities used in the base case of the economic models</w:t>
      </w:r>
    </w:p>
    <w:tbl>
      <w:tblPr>
        <w:tblStyle w:val="TableGrid"/>
        <w:tblW w:w="5000" w:type="pct"/>
        <w:tblLayout w:type="fixed"/>
        <w:tblLook w:val="04A0" w:firstRow="1" w:lastRow="0" w:firstColumn="1" w:lastColumn="0" w:noHBand="0" w:noVBand="1"/>
        <w:tblCaption w:val="Table 14: Health state utilities used in the base case of the economic models"/>
      </w:tblPr>
      <w:tblGrid>
        <w:gridCol w:w="2255"/>
        <w:gridCol w:w="2254"/>
        <w:gridCol w:w="2254"/>
        <w:gridCol w:w="2254"/>
      </w:tblGrid>
      <w:tr w:rsidR="00516A59">
        <w:trPr>
          <w:tblHeader/>
        </w:trPr>
        <w:tc>
          <w:tcPr>
            <w:tcW w:w="1250" w:type="pct"/>
          </w:tcPr>
          <w:p w:rsidR="00516A59" w:rsidRDefault="007D3F6A">
            <w:pPr>
              <w:pStyle w:val="Tabletext"/>
              <w:keepLines/>
              <w:jc w:val="center"/>
              <w:rPr>
                <w:b/>
              </w:rPr>
            </w:pPr>
            <w:r>
              <w:rPr>
                <w:b/>
              </w:rPr>
              <w:t>Health State</w:t>
            </w:r>
          </w:p>
        </w:tc>
        <w:tc>
          <w:tcPr>
            <w:tcW w:w="1250" w:type="pct"/>
          </w:tcPr>
          <w:p w:rsidR="00516A59" w:rsidRDefault="007D3F6A">
            <w:pPr>
              <w:pStyle w:val="Tabletext"/>
              <w:keepLines/>
              <w:jc w:val="center"/>
              <w:rPr>
                <w:b/>
              </w:rPr>
            </w:pPr>
            <w:r>
              <w:rPr>
                <w:b/>
              </w:rPr>
              <w:t>Pembrolizumab+platinum+pemetrexed</w:t>
            </w:r>
          </w:p>
        </w:tc>
        <w:tc>
          <w:tcPr>
            <w:tcW w:w="1250" w:type="pct"/>
          </w:tcPr>
          <w:p w:rsidR="00516A59" w:rsidRDefault="007D3F6A">
            <w:pPr>
              <w:pStyle w:val="Tabletext"/>
              <w:keepLines/>
              <w:jc w:val="center"/>
              <w:rPr>
                <w:b/>
              </w:rPr>
            </w:pPr>
            <w:r>
              <w:rPr>
                <w:b/>
              </w:rPr>
              <w:t>Platinum+</w:t>
            </w:r>
          </w:p>
          <w:p w:rsidR="00516A59" w:rsidRDefault="007D3F6A">
            <w:pPr>
              <w:pStyle w:val="Tabletext"/>
              <w:keepLines/>
              <w:jc w:val="center"/>
              <w:rPr>
                <w:b/>
              </w:rPr>
            </w:pPr>
            <w:r>
              <w:rPr>
                <w:b/>
              </w:rPr>
              <w:t>pemetrexed</w:t>
            </w:r>
          </w:p>
        </w:tc>
        <w:tc>
          <w:tcPr>
            <w:tcW w:w="1250" w:type="pct"/>
          </w:tcPr>
          <w:p w:rsidR="00516A59" w:rsidRDefault="007D3F6A">
            <w:pPr>
              <w:pStyle w:val="Tabletext"/>
              <w:keepLines/>
              <w:jc w:val="center"/>
              <w:rPr>
                <w:b/>
              </w:rPr>
            </w:pPr>
            <w:r>
              <w:rPr>
                <w:b/>
              </w:rPr>
              <w:t>Pembro Mono</w:t>
            </w:r>
          </w:p>
        </w:tc>
      </w:tr>
      <w:tr w:rsidR="00516A59">
        <w:tc>
          <w:tcPr>
            <w:tcW w:w="1250" w:type="pct"/>
          </w:tcPr>
          <w:p w:rsidR="00516A59" w:rsidRDefault="007D3F6A">
            <w:pPr>
              <w:pStyle w:val="Tabletext"/>
              <w:keepLines/>
            </w:pPr>
            <w:r>
              <w:t>Progression-free</w:t>
            </w:r>
          </w:p>
        </w:tc>
        <w:tc>
          <w:tcPr>
            <w:tcW w:w="1250" w:type="pct"/>
          </w:tcPr>
          <w:p w:rsidR="00516A59" w:rsidRDefault="007D3F6A">
            <w:pPr>
              <w:pStyle w:val="Tabletext"/>
              <w:keepLines/>
              <w:jc w:val="center"/>
            </w:pPr>
            <w:r>
              <w:t>0.776</w:t>
            </w:r>
          </w:p>
        </w:tc>
        <w:tc>
          <w:tcPr>
            <w:tcW w:w="1250" w:type="pct"/>
          </w:tcPr>
          <w:p w:rsidR="00516A59" w:rsidRDefault="007D3F6A">
            <w:pPr>
              <w:pStyle w:val="Tabletext"/>
              <w:keepLines/>
              <w:jc w:val="center"/>
            </w:pPr>
            <w:r>
              <w:t>0.766</w:t>
            </w:r>
          </w:p>
        </w:tc>
        <w:tc>
          <w:tcPr>
            <w:tcW w:w="1250" w:type="pct"/>
          </w:tcPr>
          <w:p w:rsidR="00516A59" w:rsidRDefault="007D3F6A">
            <w:pPr>
              <w:pStyle w:val="Tabletext"/>
              <w:keepLines/>
              <w:jc w:val="center"/>
            </w:pPr>
            <w:r>
              <w:t>0.804</w:t>
            </w:r>
          </w:p>
        </w:tc>
      </w:tr>
      <w:tr w:rsidR="00516A59">
        <w:tc>
          <w:tcPr>
            <w:tcW w:w="1250" w:type="pct"/>
          </w:tcPr>
          <w:p w:rsidR="00516A59" w:rsidRDefault="007D3F6A">
            <w:pPr>
              <w:pStyle w:val="Tabletext"/>
              <w:keepLines/>
            </w:pPr>
            <w:r>
              <w:t>Progressive</w:t>
            </w:r>
          </w:p>
        </w:tc>
        <w:tc>
          <w:tcPr>
            <w:tcW w:w="1250" w:type="pct"/>
          </w:tcPr>
          <w:p w:rsidR="00516A59" w:rsidRDefault="007D3F6A">
            <w:pPr>
              <w:pStyle w:val="Tabletext"/>
              <w:keepLines/>
              <w:jc w:val="center"/>
            </w:pPr>
            <w:r>
              <w:t>0.714</w:t>
            </w:r>
          </w:p>
        </w:tc>
        <w:tc>
          <w:tcPr>
            <w:tcW w:w="1250" w:type="pct"/>
          </w:tcPr>
          <w:p w:rsidR="00516A59" w:rsidRDefault="007D3F6A">
            <w:pPr>
              <w:pStyle w:val="Tabletext"/>
              <w:keepLines/>
              <w:jc w:val="center"/>
            </w:pPr>
            <w:r>
              <w:t>0.691</w:t>
            </w:r>
          </w:p>
        </w:tc>
        <w:tc>
          <w:tcPr>
            <w:tcW w:w="1250" w:type="pct"/>
          </w:tcPr>
          <w:p w:rsidR="00516A59" w:rsidRDefault="007D3F6A">
            <w:pPr>
              <w:pStyle w:val="Tabletext"/>
              <w:keepLines/>
              <w:jc w:val="center"/>
            </w:pPr>
            <w:r>
              <w:t>0.677</w:t>
            </w:r>
          </w:p>
        </w:tc>
      </w:tr>
    </w:tbl>
    <w:p w:rsidR="00516A59" w:rsidRDefault="007D3F6A">
      <w:pPr>
        <w:pStyle w:val="TableFooter"/>
        <w:keepLines/>
        <w:widowControl/>
      </w:pPr>
      <w:r>
        <w:t xml:space="preserve">Source: Table 3.5-1 and 3.5-2 Section 3 of the submission. </w:t>
      </w:r>
    </w:p>
    <w:p w:rsidR="00516A59" w:rsidRDefault="00516A59">
      <w:pPr>
        <w:keepLines/>
        <w:widowControl/>
        <w:rPr>
          <w:highlight w:val="yellow"/>
        </w:rPr>
      </w:pPr>
    </w:p>
    <w:p w:rsidR="00516A59" w:rsidRDefault="007D3F6A">
      <w:pPr>
        <w:pStyle w:val="ListParagraph"/>
        <w:keepLines/>
        <w:widowControl/>
        <w:spacing w:after="120"/>
      </w:pPr>
      <w:r>
        <w:lastRenderedPageBreak/>
        <w:t>The ESC considered it was unclear why the utility for pembrolizumab+platinum+pemetrexed would be higher than the utility for those in the platinum+pemetrexed arm for both the progression-free and progressive disease states, especially given the higher rate of AEs seen with pembrolizumab+platinum+pemetrexed. The PSCR  argued that the higher utility in the pembrolizumab+platinum+pemetrexed arm reflected the EQ-5D results collected in KN189 trial, which were consistent with the EORTC QLQ-C30 GHS/QoL results also collected in KN189. The Pre-PBAC response  argued that as not all EQ-5D dimensions are influenced by the presence of AEs, the fact that pembrolizumab+platinum+pemetrexed is associated with more AEs does not translate directly to lower utilities for that group. In addition, the pre-PBAC response argued that patients receiving pembrolizumab+platinum+pemetrexed might have less symptom burden in both the progression-free and progressive-disease state compared to patients receiving chemotherapy alone, which may lead to their higher perceived quality of life and utility values.</w:t>
      </w:r>
    </w:p>
    <w:p w:rsidR="00516A59" w:rsidRDefault="007D3F6A">
      <w:pPr>
        <w:pStyle w:val="ListParagraph"/>
        <w:spacing w:after="120"/>
      </w:pPr>
      <w:r>
        <w:t xml:space="preserve">The resubmission used the proposed effective price of pembrolizumab (when in combination with platinum and pemetrexed) in the base case of the economic evaluation. The resubmission assumed an average cost of nivolumab per treated patient in the second line setting based on previous deed negotiations. </w:t>
      </w:r>
    </w:p>
    <w:p w:rsidR="00516A59" w:rsidRDefault="007D3F6A">
      <w:pPr>
        <w:pStyle w:val="ListParagraph"/>
        <w:keepLines/>
        <w:widowControl/>
        <w:spacing w:after="120"/>
      </w:pPr>
      <w:r>
        <w:t>The resubmission made a number of key changes to the derivation of healthcare resource use and costs in both economic models that were consistent with previous PBAC and ESC considerations:</w:t>
      </w:r>
    </w:p>
    <w:p w:rsidR="00516A59" w:rsidRDefault="007D3F6A">
      <w:pPr>
        <w:pStyle w:val="ListParagraph"/>
        <w:keepLines/>
        <w:widowControl/>
        <w:numPr>
          <w:ilvl w:val="0"/>
          <w:numId w:val="5"/>
        </w:numPr>
        <w:spacing w:after="120"/>
      </w:pPr>
      <w:r>
        <w:t>The proportion of patients receiving any post-discontinuation treatment was sourced directly from the specific population (PD-L1 TPS &lt;50% vs PD-L1 TPS ≥50%) in KN189, rather than a pooled estimate across the entire trial population regardless of PD-L1 status. This change was appropriate and consistent with PBAC feedback.</w:t>
      </w:r>
    </w:p>
    <w:p w:rsidR="00516A59" w:rsidRDefault="007D3F6A">
      <w:pPr>
        <w:pStyle w:val="ListParagraph"/>
        <w:keepLines/>
        <w:widowControl/>
        <w:numPr>
          <w:ilvl w:val="0"/>
          <w:numId w:val="5"/>
        </w:numPr>
        <w:spacing w:after="120"/>
      </w:pPr>
      <w:r>
        <w:t>The duration of treatment with nivolumab in the platinum+pemetrexed arm following progression remained at 24 weeks, consistent with PBAC advice.</w:t>
      </w:r>
    </w:p>
    <w:p w:rsidR="00516A59" w:rsidRDefault="007D3F6A">
      <w:pPr>
        <w:pStyle w:val="ListParagraph"/>
        <w:keepLines/>
        <w:widowControl/>
        <w:numPr>
          <w:ilvl w:val="0"/>
          <w:numId w:val="5"/>
        </w:numPr>
        <w:spacing w:after="120"/>
      </w:pPr>
      <w:r>
        <w:t>The vial price of pembrolizumab was reduced from the previous submission (refer to paragraph 2.2). The resubmission did not justify a higher price in the PD-L1 TPS &lt;50% population than that for the PD-L1 TPS ≥50% population.</w:t>
      </w:r>
    </w:p>
    <w:p w:rsidR="00516A59" w:rsidRDefault="007D3F6A">
      <w:pPr>
        <w:pStyle w:val="ListParagraph"/>
        <w:keepLines/>
        <w:widowControl/>
        <w:numPr>
          <w:ilvl w:val="0"/>
          <w:numId w:val="5"/>
        </w:numPr>
        <w:spacing w:after="120"/>
      </w:pPr>
      <w:r>
        <w:t>Minor updates to the cost of pre-medications, and concomitant medications were also incorporated. This included price reductions associated with pemetrexed, although did not incorporate the statutory price reduction that occurred on 1 April 2019.</w:t>
      </w:r>
    </w:p>
    <w:p w:rsidR="00516A59" w:rsidRDefault="007D3F6A">
      <w:pPr>
        <w:pStyle w:val="ListParagraph"/>
        <w:keepLines/>
        <w:widowControl/>
        <w:spacing w:after="120"/>
      </w:pPr>
      <w:r>
        <w:lastRenderedPageBreak/>
        <w:t xml:space="preserve">The PSCR provided revised economic models, incorporating several changes in response to the evaluation as well as additional changes such as the proportion of patients treated in a public/private hospital setting (the proportion of patients treated in the public hospital setting increased from 32.7% to 34.4%). The ESC noted the revised economic models were not evaluated. </w:t>
      </w:r>
    </w:p>
    <w:p w:rsidR="00516A59" w:rsidRPr="00216BCE" w:rsidRDefault="007D3F6A" w:rsidP="00216BCE">
      <w:pPr>
        <w:keepLines/>
        <w:widowControl/>
        <w:rPr>
          <w:b/>
          <w:u w:val="single"/>
        </w:rPr>
      </w:pPr>
      <w:r w:rsidRPr="00216BCE">
        <w:rPr>
          <w:b/>
          <w:u w:val="single"/>
        </w:rPr>
        <w:t>PD-L1 TPS &lt;50% economic model</w:t>
      </w:r>
    </w:p>
    <w:p w:rsidR="00516A59" w:rsidRDefault="00516A59">
      <w:pPr>
        <w:keepLines/>
        <w:widowControl/>
        <w:rPr>
          <w:u w:val="single"/>
        </w:rPr>
      </w:pPr>
    </w:p>
    <w:p w:rsidR="00516A59" w:rsidRDefault="007D3F6A">
      <w:pPr>
        <w:pStyle w:val="ListParagraph"/>
        <w:keepLines/>
        <w:widowControl/>
        <w:spacing w:after="120"/>
      </w:pPr>
      <w:r>
        <w:t>For the PD-L1 TPS &lt;50% population, the main differences in the economic models between the November 2018 submission and the current resubmission in relation to the estimation and extrapolation of treatment effect were:</w:t>
      </w:r>
    </w:p>
    <w:p w:rsidR="00516A59" w:rsidRDefault="007D3F6A">
      <w:pPr>
        <w:pStyle w:val="ListParagraph"/>
        <w:keepLines/>
        <w:widowControl/>
        <w:numPr>
          <w:ilvl w:val="0"/>
          <w:numId w:val="5"/>
        </w:numPr>
        <w:spacing w:after="120"/>
      </w:pPr>
      <w:r>
        <w:t>PFS, OS and time on treatment (ToT) KM estimates were based on updated efficacy data from KN189 with an additional 6</w:t>
      </w:r>
      <w:r>
        <w:rPr>
          <w:i/>
        </w:rPr>
        <w:t xml:space="preserve"> </w:t>
      </w:r>
      <w:r>
        <w:t xml:space="preserve">months follow up. The resubmission appropriately refitted the parametric functions used for extrapolation. </w:t>
      </w:r>
    </w:p>
    <w:p w:rsidR="00516A59" w:rsidRDefault="007D3F6A">
      <w:pPr>
        <w:pStyle w:val="ListParagraph"/>
        <w:keepLines/>
        <w:widowControl/>
        <w:numPr>
          <w:ilvl w:val="0"/>
          <w:numId w:val="5"/>
        </w:numPr>
        <w:spacing w:after="120"/>
      </w:pPr>
      <w:r>
        <w:t xml:space="preserve">Consistent with previous ESC and PBAC advices, the resubmission used individually fitted parametric functions to extrapolate the KM data from median follow up. </w:t>
      </w:r>
    </w:p>
    <w:p w:rsidR="00516A59" w:rsidRDefault="007D3F6A">
      <w:pPr>
        <w:pStyle w:val="ListParagraph"/>
        <w:keepLines/>
        <w:widowControl/>
        <w:numPr>
          <w:ilvl w:val="0"/>
          <w:numId w:val="5"/>
        </w:numPr>
        <w:spacing w:after="120"/>
      </w:pPr>
      <w:r>
        <w:t>Consistent with previous ESC advice, the resubmission used the Gompertz parametric function to extrapolate OS. This remains the most conservative extrapolation; and</w:t>
      </w:r>
    </w:p>
    <w:p w:rsidR="00516A59" w:rsidRDefault="007D3F6A">
      <w:pPr>
        <w:pStyle w:val="ListParagraph"/>
        <w:keepLines/>
        <w:widowControl/>
        <w:numPr>
          <w:ilvl w:val="0"/>
          <w:numId w:val="5"/>
        </w:numPr>
        <w:spacing w:after="120"/>
      </w:pPr>
      <w:r>
        <w:t xml:space="preserve">The resubmission used the log-normal parametric function to extrapolate the PFS curve and exponential function to extrapolate the ToT curve. Given the maturity of the updated data for PFS and ToT, the choice of extrapolation functions did not substantially alter the results of the model. </w:t>
      </w:r>
    </w:p>
    <w:p w:rsidR="00516A59" w:rsidRDefault="007D3F6A">
      <w:pPr>
        <w:pStyle w:val="ListParagraph"/>
        <w:keepLines/>
        <w:widowControl/>
        <w:spacing w:after="120"/>
      </w:pPr>
      <w:r>
        <w:t xml:space="preserve">The modelled PFS, OS and ToT curves for the pembrolizumab+platinum+pemetrexed and platinum+pemetrexed arms are provided in the figures below. </w:t>
      </w:r>
    </w:p>
    <w:p w:rsidR="007F5824" w:rsidRDefault="007F5824">
      <w:pPr>
        <w:widowControl/>
        <w:jc w:val="left"/>
        <w:rPr>
          <w:rFonts w:ascii="Arial Narrow" w:hAnsi="Arial Narrow"/>
          <w:b/>
          <w:bCs/>
          <w:sz w:val="20"/>
          <w:szCs w:val="18"/>
        </w:rPr>
      </w:pPr>
      <w:r>
        <w:br w:type="page"/>
      </w:r>
    </w:p>
    <w:p w:rsidR="007F5824" w:rsidRDefault="007F5824" w:rsidP="007F5824">
      <w:pPr>
        <w:pStyle w:val="Caption"/>
      </w:pPr>
      <w:r>
        <w:lastRenderedPageBreak/>
        <w:t xml:space="preserve">Figure </w:t>
      </w:r>
      <w:r>
        <w:rPr>
          <w:noProof/>
        </w:rPr>
        <w:t>4</w:t>
      </w:r>
      <w:r w:rsidRPr="00080C7F">
        <w:t>: PD-L1 TPS &lt;50%: Modelled PFS, OS and ToT for the pembrolizumab+platinum+pemetrexed and platinum+pemetrexed arms</w:t>
      </w:r>
    </w:p>
    <w:p w:rsidR="00516A59" w:rsidRDefault="00516A59">
      <w:pPr>
        <w:pStyle w:val="TableHeading0"/>
        <w:keepLines/>
      </w:pPr>
    </w:p>
    <w:p w:rsidR="007F5824" w:rsidRDefault="007D3F6A" w:rsidP="007F5824">
      <w:pPr>
        <w:keepNext/>
        <w:keepLines/>
        <w:widowControl/>
      </w:pPr>
      <w:r>
        <w:rPr>
          <w:noProof/>
          <w:lang w:eastAsia="en-AU"/>
        </w:rPr>
        <w:drawing>
          <wp:inline distT="0" distB="0" distL="0" distR="0" wp14:anchorId="76C8FD78" wp14:editId="17B0D178">
            <wp:extent cx="5732145" cy="4046120"/>
            <wp:effectExtent l="0" t="0" r="1905" b="0"/>
            <wp:docPr id="24" name="Picture 24" title="Figure 4: PD-L1 TPS &lt;50%: Modelled PFS, OS and ToT for the pembrolizumab+platinum+pemetrexed and platinum+pemetrexed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145" cy="4046120"/>
                    </a:xfrm>
                    <a:prstGeom prst="rect">
                      <a:avLst/>
                    </a:prstGeom>
                    <a:noFill/>
                    <a:ln>
                      <a:noFill/>
                    </a:ln>
                  </pic:spPr>
                </pic:pic>
              </a:graphicData>
            </a:graphic>
          </wp:inline>
        </w:drawing>
      </w:r>
    </w:p>
    <w:p w:rsidR="00516A59" w:rsidRDefault="007D3F6A">
      <w:pPr>
        <w:pStyle w:val="TableFooter"/>
        <w:keepNext/>
        <w:keepLines/>
        <w:widowControl/>
      </w:pPr>
      <w:r>
        <w:t>Source: compiled during the evaluation based on information presented in ‘KN189 NSQ NSCLC Under 50 CE PD-L1 FINAL 05MAR19.xlsx’</w:t>
      </w:r>
    </w:p>
    <w:p w:rsidR="00516A59" w:rsidRDefault="00516A59">
      <w:pPr>
        <w:pStyle w:val="Bulletpoints"/>
        <w:keepLines/>
        <w:widowControl/>
        <w:numPr>
          <w:ilvl w:val="0"/>
          <w:numId w:val="0"/>
        </w:numPr>
      </w:pPr>
    </w:p>
    <w:p w:rsidR="00516A59" w:rsidRPr="00216BCE" w:rsidRDefault="007D3F6A" w:rsidP="00216BCE">
      <w:pPr>
        <w:keepLines/>
        <w:widowControl/>
        <w:rPr>
          <w:b/>
          <w:u w:val="single"/>
        </w:rPr>
      </w:pPr>
      <w:r w:rsidRPr="00216BCE">
        <w:rPr>
          <w:b/>
          <w:u w:val="single"/>
        </w:rPr>
        <w:t xml:space="preserve">PD-L1 TPS ≥50% economic model  </w:t>
      </w:r>
    </w:p>
    <w:p w:rsidR="00516A59" w:rsidRDefault="00516A59">
      <w:pPr>
        <w:pStyle w:val="Bulletpoints"/>
        <w:keepLines/>
        <w:widowControl/>
        <w:numPr>
          <w:ilvl w:val="0"/>
          <w:numId w:val="0"/>
        </w:numPr>
      </w:pPr>
    </w:p>
    <w:p w:rsidR="00516A59" w:rsidRDefault="007D3F6A">
      <w:pPr>
        <w:pStyle w:val="ListParagraph"/>
        <w:keepLines/>
        <w:widowControl/>
        <w:spacing w:after="120"/>
      </w:pPr>
      <w:r>
        <w:t>The resubmission made a number of changes to the allocation of health state membership over time:</w:t>
      </w:r>
    </w:p>
    <w:p w:rsidR="00516A59" w:rsidRDefault="007D3F6A">
      <w:pPr>
        <w:pStyle w:val="ListParagraph"/>
        <w:keepLines/>
        <w:widowControl/>
        <w:numPr>
          <w:ilvl w:val="0"/>
          <w:numId w:val="5"/>
        </w:numPr>
        <w:spacing w:after="120"/>
      </w:pPr>
      <w:r>
        <w:t>PFS, OS and ToT KM estimates for the pembrolizumab+platinum+pemetrexed arm were based on the updated efficacy data from KN189 with an additional 6 months follow up. The resubmission appropriately refitted the parametric functions used for extrapolation;</w:t>
      </w:r>
    </w:p>
    <w:p w:rsidR="00516A59" w:rsidRDefault="007D3F6A">
      <w:pPr>
        <w:pStyle w:val="ListParagraph"/>
        <w:keepLines/>
        <w:widowControl/>
        <w:numPr>
          <w:ilvl w:val="0"/>
          <w:numId w:val="5"/>
        </w:numPr>
        <w:spacing w:after="120"/>
      </w:pPr>
      <w:r>
        <w:t>Updated HR of PFS and OS for pembrolizumab+platinum+pemetrexed versus pembrolizumab monotherapy, based on the results of the updated ITC;</w:t>
      </w:r>
    </w:p>
    <w:p w:rsidR="00516A59" w:rsidRDefault="007D3F6A">
      <w:pPr>
        <w:pStyle w:val="ListParagraph"/>
        <w:keepLines/>
        <w:widowControl/>
        <w:numPr>
          <w:ilvl w:val="0"/>
          <w:numId w:val="5"/>
        </w:numPr>
        <w:spacing w:after="120"/>
      </w:pPr>
      <w:r>
        <w:t xml:space="preserve">The extrapolated PFS curves in the pembrolizumab+platinum+pemetrexed and pembrolizumab monotherapy arms and OS curves in these two comparative arms were forced to converge, beginning at week 130 (approximately 2.5 years) and converging at 7.5 years (the end of the time horizon), for both OS and PFS. </w:t>
      </w:r>
    </w:p>
    <w:p w:rsidR="00516A59" w:rsidRDefault="00516A59">
      <w:pPr>
        <w:pStyle w:val="Bulletpoints"/>
        <w:keepLines/>
        <w:widowControl/>
        <w:numPr>
          <w:ilvl w:val="0"/>
          <w:numId w:val="0"/>
        </w:numPr>
      </w:pPr>
    </w:p>
    <w:p w:rsidR="00C17D32" w:rsidRDefault="00C17D32">
      <w:pPr>
        <w:widowControl/>
        <w:jc w:val="left"/>
        <w:rPr>
          <w:rFonts w:ascii="Arial Narrow" w:hAnsi="Arial Narrow"/>
          <w:b/>
          <w:bCs/>
          <w:sz w:val="20"/>
          <w:szCs w:val="18"/>
        </w:rPr>
      </w:pPr>
      <w:bookmarkStart w:id="27" w:name="_Ref8997448"/>
      <w:r>
        <w:br w:type="page"/>
      </w:r>
    </w:p>
    <w:bookmarkEnd w:id="27"/>
    <w:p w:rsidR="007F5824" w:rsidRDefault="007F5824" w:rsidP="007F5824">
      <w:pPr>
        <w:pStyle w:val="Caption"/>
      </w:pPr>
      <w:r>
        <w:lastRenderedPageBreak/>
        <w:t xml:space="preserve">Figure </w:t>
      </w:r>
      <w:r>
        <w:rPr>
          <w:noProof/>
        </w:rPr>
        <w:t>5</w:t>
      </w:r>
      <w:r w:rsidRPr="003C30C3">
        <w:t>: PD-L1 TPS ≥50%: Modelled PFS, OS and ToT curves for the pembrolizumab+platinum+pemetrexed and pembrolizumab monotherapy arms</w:t>
      </w:r>
    </w:p>
    <w:p w:rsidR="00516A59" w:rsidRDefault="00516A59">
      <w:pPr>
        <w:pStyle w:val="Caption"/>
        <w:keepLines/>
        <w:widowControl/>
      </w:pPr>
    </w:p>
    <w:p w:rsidR="007F5824" w:rsidRDefault="007D3F6A" w:rsidP="007F5824">
      <w:pPr>
        <w:pStyle w:val="Caption"/>
        <w:keepNext/>
        <w:keepLines/>
        <w:widowControl/>
      </w:pPr>
      <w:r>
        <w:rPr>
          <w:noProof/>
          <w:lang w:eastAsia="en-AU"/>
        </w:rPr>
        <w:drawing>
          <wp:inline distT="0" distB="0" distL="0" distR="0" wp14:anchorId="75609938" wp14:editId="15E2F521">
            <wp:extent cx="5732145" cy="3681638"/>
            <wp:effectExtent l="0" t="0" r="1905" b="0"/>
            <wp:docPr id="7180" name="Picture 7180" title="Figure 5: PD-L1 TPS ≥50%: Modelled PFS, OS and ToT curves for the pembrolizumab+platinum+pemetrexed and pembrolizumab monotherapy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145" cy="3681638"/>
                    </a:xfrm>
                    <a:prstGeom prst="rect">
                      <a:avLst/>
                    </a:prstGeom>
                    <a:noFill/>
                    <a:ln>
                      <a:noFill/>
                    </a:ln>
                  </pic:spPr>
                </pic:pic>
              </a:graphicData>
            </a:graphic>
          </wp:inline>
        </w:drawing>
      </w:r>
    </w:p>
    <w:p w:rsidR="00516A59" w:rsidRDefault="007D3F6A">
      <w:pPr>
        <w:pStyle w:val="TableFooter"/>
        <w:keepLines/>
        <w:widowControl/>
      </w:pPr>
      <w:r>
        <w:t>Note: the maximum duration of pembrolizumab in combination with platinum and pemetrexed was capped at 2 years, consistent with the proposed listing. Source: Compiled during the evaluation based on information presented in ‘KN189 NSQ NSCLC Over 50 CE PD-L1 FINAL 05MAR19.xlsx’</w:t>
      </w:r>
    </w:p>
    <w:p w:rsidR="00516A59" w:rsidRDefault="00516A59">
      <w:pPr>
        <w:pStyle w:val="TableFooter"/>
        <w:keepLines/>
        <w:widowControl/>
      </w:pPr>
    </w:p>
    <w:p w:rsidR="00516A59" w:rsidRDefault="007D3F6A">
      <w:pPr>
        <w:pStyle w:val="ListParagraph"/>
        <w:keepLines/>
        <w:widowControl/>
        <w:spacing w:after="120"/>
      </w:pPr>
      <w:r>
        <w:t xml:space="preserve">In the pembrolizumab monotherapy arm, follow-up on the ToT outcome in KN024 was complete and, therefore, the model employed the KM curve for this outcome directly rather than using parametric survival functions. The ToT KM curve for pembrolizumab monotherapy lay substantially above the modelled PFS curve (see Figure </w:t>
      </w:r>
      <w:r>
        <w:rPr>
          <w:noProof/>
        </w:rPr>
        <w:t>5</w:t>
      </w:r>
      <w:r>
        <w:t xml:space="preserve">), which suggested that the estimated PFS curve may not be appropriate. </w:t>
      </w:r>
    </w:p>
    <w:p w:rsidR="00516A59" w:rsidRDefault="007D3F6A">
      <w:pPr>
        <w:pStyle w:val="ListParagraph"/>
        <w:keepLines/>
        <w:widowControl/>
        <w:spacing w:after="120"/>
      </w:pPr>
      <w:r>
        <w:t xml:space="preserve">The results of the economic evaluations are provided in Table 15 (PD-L1 TPS &lt;50%) and Table 16 (PD-L1 TPS ≥50%) below. </w:t>
      </w:r>
    </w:p>
    <w:p w:rsidR="0093515B" w:rsidRDefault="0093515B">
      <w:pPr>
        <w:widowControl/>
        <w:jc w:val="left"/>
        <w:rPr>
          <w:rFonts w:ascii="Arial Narrow" w:hAnsi="Arial Narrow"/>
          <w:b/>
          <w:bCs/>
          <w:sz w:val="20"/>
          <w:szCs w:val="18"/>
        </w:rPr>
      </w:pPr>
      <w:r>
        <w:br w:type="page"/>
      </w:r>
    </w:p>
    <w:p w:rsidR="0093515B" w:rsidRDefault="0093515B" w:rsidP="0093515B">
      <w:pPr>
        <w:pStyle w:val="Caption"/>
        <w:keepNext/>
      </w:pPr>
      <w:r>
        <w:lastRenderedPageBreak/>
        <w:t xml:space="preserve">Table </w:t>
      </w:r>
      <w:r>
        <w:rPr>
          <w:noProof/>
        </w:rPr>
        <w:t>15</w:t>
      </w:r>
      <w:r w:rsidRPr="00530BCB">
        <w:t>: Results of the economic evaluation for the PD-L1 TPS &lt;50% population; current resubmission and November 2018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5: Results of the economic evaluation for the PD-L1 TPS &lt;50% population; current resubmission and November 2018 submission"/>
      </w:tblPr>
      <w:tblGrid>
        <w:gridCol w:w="2755"/>
        <w:gridCol w:w="2087"/>
        <w:gridCol w:w="2088"/>
        <w:gridCol w:w="2087"/>
      </w:tblGrid>
      <w:tr w:rsidR="00516A59" w:rsidTr="0093515B">
        <w:trPr>
          <w:tblHeader/>
        </w:trPr>
        <w:tc>
          <w:tcPr>
            <w:tcW w:w="1528" w:type="pct"/>
            <w:vAlign w:val="bottom"/>
          </w:tcPr>
          <w:p w:rsidR="00516A59" w:rsidRDefault="007D3F6A">
            <w:pPr>
              <w:pStyle w:val="TableText0"/>
              <w:keepLines/>
              <w:jc w:val="center"/>
              <w:rPr>
                <w:b/>
              </w:rPr>
            </w:pPr>
            <w:r>
              <w:rPr>
                <w:b/>
              </w:rPr>
              <w:t>Component</w:t>
            </w:r>
          </w:p>
        </w:tc>
        <w:tc>
          <w:tcPr>
            <w:tcW w:w="1157" w:type="pct"/>
            <w:vAlign w:val="center"/>
          </w:tcPr>
          <w:p w:rsidR="00516A59" w:rsidRDefault="007D3F6A">
            <w:pPr>
              <w:pStyle w:val="TableText0"/>
              <w:keepLines/>
              <w:jc w:val="center"/>
              <w:rPr>
                <w:b/>
              </w:rPr>
            </w:pPr>
            <w:r>
              <w:rPr>
                <w:b/>
              </w:rPr>
              <w:t>Pembro Combo</w:t>
            </w:r>
          </w:p>
        </w:tc>
        <w:tc>
          <w:tcPr>
            <w:tcW w:w="1158" w:type="pct"/>
            <w:vAlign w:val="center"/>
          </w:tcPr>
          <w:p w:rsidR="00516A59" w:rsidRDefault="007D3F6A">
            <w:pPr>
              <w:pStyle w:val="TableText0"/>
              <w:keepLines/>
              <w:jc w:val="center"/>
              <w:rPr>
                <w:b/>
              </w:rPr>
            </w:pPr>
            <w:r>
              <w:rPr>
                <w:b/>
              </w:rPr>
              <w:t>Platinum+pemetrexed</w:t>
            </w:r>
          </w:p>
        </w:tc>
        <w:tc>
          <w:tcPr>
            <w:tcW w:w="1157" w:type="pct"/>
            <w:vAlign w:val="center"/>
          </w:tcPr>
          <w:p w:rsidR="00516A59" w:rsidRDefault="007D3F6A">
            <w:pPr>
              <w:pStyle w:val="TableText0"/>
              <w:keepLines/>
              <w:jc w:val="center"/>
              <w:rPr>
                <w:b/>
              </w:rPr>
            </w:pPr>
            <w:r>
              <w:rPr>
                <w:b/>
              </w:rPr>
              <w:t>Increment</w:t>
            </w:r>
          </w:p>
        </w:tc>
      </w:tr>
      <w:tr w:rsidR="00516A59">
        <w:tc>
          <w:tcPr>
            <w:tcW w:w="5000" w:type="pct"/>
            <w:gridSpan w:val="4"/>
            <w:vAlign w:val="center"/>
          </w:tcPr>
          <w:p w:rsidR="00516A59" w:rsidRDefault="007D3F6A">
            <w:pPr>
              <w:pStyle w:val="TableText0"/>
              <w:keepLines/>
              <w:rPr>
                <w:b/>
              </w:rPr>
            </w:pPr>
            <w:r>
              <w:rPr>
                <w:b/>
              </w:rPr>
              <w:t>Current resubmission</w:t>
            </w:r>
          </w:p>
        </w:tc>
      </w:tr>
      <w:tr w:rsidR="00516A59" w:rsidTr="0093515B">
        <w:tc>
          <w:tcPr>
            <w:tcW w:w="1528" w:type="pct"/>
            <w:vAlign w:val="center"/>
          </w:tcPr>
          <w:p w:rsidR="00516A59" w:rsidRDefault="007D3F6A">
            <w:pPr>
              <w:pStyle w:val="TableText0"/>
              <w:keepLines/>
            </w:pPr>
            <w:r>
              <w:t>Life years gained (LYG)</w:t>
            </w:r>
          </w:p>
        </w:tc>
        <w:tc>
          <w:tcPr>
            <w:tcW w:w="1157" w:type="pct"/>
            <w:vAlign w:val="center"/>
          </w:tcPr>
          <w:p w:rsidR="00516A59" w:rsidRDefault="007D3F6A">
            <w:pPr>
              <w:pStyle w:val="TableText0"/>
              <w:keepLines/>
              <w:jc w:val="center"/>
            </w:pPr>
            <w:r>
              <w:t>1.85</w:t>
            </w:r>
          </w:p>
        </w:tc>
        <w:tc>
          <w:tcPr>
            <w:tcW w:w="1158" w:type="pct"/>
            <w:vAlign w:val="center"/>
          </w:tcPr>
          <w:p w:rsidR="00516A59" w:rsidRDefault="007D3F6A">
            <w:pPr>
              <w:pStyle w:val="TableText0"/>
              <w:keepLines/>
              <w:jc w:val="center"/>
            </w:pPr>
            <w:r>
              <w:t>1.24</w:t>
            </w:r>
          </w:p>
        </w:tc>
        <w:tc>
          <w:tcPr>
            <w:tcW w:w="1157" w:type="pct"/>
            <w:vAlign w:val="center"/>
          </w:tcPr>
          <w:p w:rsidR="00516A59" w:rsidRDefault="007D3F6A">
            <w:pPr>
              <w:pStyle w:val="TableText0"/>
              <w:keepLines/>
              <w:jc w:val="center"/>
            </w:pPr>
            <w:r>
              <w:t>0.61</w:t>
            </w:r>
          </w:p>
        </w:tc>
      </w:tr>
      <w:tr w:rsidR="00516A59" w:rsidTr="0093515B">
        <w:tc>
          <w:tcPr>
            <w:tcW w:w="1528" w:type="pct"/>
            <w:vAlign w:val="center"/>
          </w:tcPr>
          <w:p w:rsidR="00516A59" w:rsidRDefault="007D3F6A">
            <w:pPr>
              <w:pStyle w:val="TableText0"/>
              <w:keepLines/>
            </w:pPr>
            <w:r>
              <w:t>QALY gained</w:t>
            </w:r>
          </w:p>
        </w:tc>
        <w:tc>
          <w:tcPr>
            <w:tcW w:w="1157" w:type="pct"/>
            <w:vAlign w:val="center"/>
          </w:tcPr>
          <w:p w:rsidR="00516A59" w:rsidRDefault="007D3F6A">
            <w:pPr>
              <w:pStyle w:val="TableText0"/>
              <w:keepLines/>
              <w:jc w:val="center"/>
            </w:pPr>
            <w:r>
              <w:t>1.39</w:t>
            </w:r>
          </w:p>
        </w:tc>
        <w:tc>
          <w:tcPr>
            <w:tcW w:w="1158" w:type="pct"/>
            <w:vAlign w:val="center"/>
          </w:tcPr>
          <w:p w:rsidR="00516A59" w:rsidRDefault="007D3F6A">
            <w:pPr>
              <w:pStyle w:val="TableText0"/>
              <w:keepLines/>
              <w:jc w:val="center"/>
            </w:pPr>
            <w:r>
              <w:t>0.90</w:t>
            </w:r>
          </w:p>
        </w:tc>
        <w:tc>
          <w:tcPr>
            <w:tcW w:w="1157" w:type="pct"/>
            <w:vAlign w:val="center"/>
          </w:tcPr>
          <w:p w:rsidR="00516A59" w:rsidRDefault="007D3F6A">
            <w:pPr>
              <w:pStyle w:val="TableText0"/>
              <w:keepLines/>
              <w:jc w:val="center"/>
            </w:pPr>
            <w:r>
              <w:t>0.49</w:t>
            </w:r>
          </w:p>
        </w:tc>
      </w:tr>
      <w:tr w:rsidR="00516A59" w:rsidTr="0093515B">
        <w:tc>
          <w:tcPr>
            <w:tcW w:w="1528" w:type="pct"/>
            <w:vAlign w:val="center"/>
          </w:tcPr>
          <w:p w:rsidR="00516A59" w:rsidRDefault="007D3F6A">
            <w:pPr>
              <w:pStyle w:val="TableText0"/>
              <w:keepLines/>
            </w:pPr>
            <w:r>
              <w:t>Cost</w:t>
            </w:r>
          </w:p>
        </w:tc>
        <w:tc>
          <w:tcPr>
            <w:tcW w:w="1157" w:type="pct"/>
            <w:vAlign w:val="center"/>
          </w:tcPr>
          <w:p w:rsidR="00516A59" w:rsidRDefault="007D3F6A">
            <w:pPr>
              <w:pStyle w:val="TableText0"/>
              <w:keepLines/>
              <w:jc w:val="center"/>
            </w:pPr>
            <w:r>
              <w:t>$</w:t>
            </w:r>
            <w:r w:rsidR="00845E21">
              <w:rPr>
                <w:noProof/>
                <w:color w:val="000000"/>
                <w:highlight w:val="black"/>
              </w:rPr>
              <w:t>''''''''''''''''</w:t>
            </w:r>
          </w:p>
        </w:tc>
        <w:tc>
          <w:tcPr>
            <w:tcW w:w="1158" w:type="pct"/>
            <w:vAlign w:val="center"/>
          </w:tcPr>
          <w:p w:rsidR="00516A59" w:rsidRDefault="007D3F6A">
            <w:pPr>
              <w:pStyle w:val="TableText0"/>
              <w:keepLines/>
              <w:jc w:val="center"/>
            </w:pPr>
            <w:r>
              <w:t>$</w:t>
            </w:r>
            <w:r w:rsidR="00845E21">
              <w:rPr>
                <w:noProof/>
                <w:color w:val="000000"/>
                <w:highlight w:val="black"/>
              </w:rPr>
              <w:t>'''''''''''''''</w:t>
            </w:r>
          </w:p>
        </w:tc>
        <w:tc>
          <w:tcPr>
            <w:tcW w:w="1157" w:type="pct"/>
          </w:tcPr>
          <w:p w:rsidR="00516A59" w:rsidRDefault="007D3F6A">
            <w:pPr>
              <w:pStyle w:val="TableText0"/>
              <w:keepLines/>
              <w:jc w:val="center"/>
            </w:pPr>
            <w:r>
              <w:t>$</w:t>
            </w:r>
            <w:r w:rsidR="00845E21">
              <w:rPr>
                <w:noProof/>
                <w:color w:val="000000"/>
                <w:highlight w:val="black"/>
              </w:rPr>
              <w:t>'''''''''''''''</w:t>
            </w:r>
          </w:p>
        </w:tc>
      </w:tr>
      <w:tr w:rsidR="00516A59">
        <w:tc>
          <w:tcPr>
            <w:tcW w:w="3843" w:type="pct"/>
            <w:gridSpan w:val="3"/>
            <w:vAlign w:val="center"/>
          </w:tcPr>
          <w:p w:rsidR="00516A59" w:rsidRDefault="007D3F6A">
            <w:pPr>
              <w:pStyle w:val="TableText0"/>
              <w:keepLines/>
            </w:pPr>
            <w:r>
              <w:t>Incremental cost per LYG (PD-L1 TPS &lt;50%)</w:t>
            </w:r>
          </w:p>
        </w:tc>
        <w:tc>
          <w:tcPr>
            <w:tcW w:w="1157" w:type="pct"/>
            <w:vAlign w:val="center"/>
          </w:tcPr>
          <w:p w:rsidR="00516A59" w:rsidRDefault="007D3F6A">
            <w:pPr>
              <w:pStyle w:val="TableText0"/>
              <w:keepLines/>
              <w:jc w:val="center"/>
            </w:pPr>
            <w:r>
              <w:t>$</w:t>
            </w:r>
            <w:r w:rsidR="00845E21">
              <w:rPr>
                <w:noProof/>
                <w:color w:val="000000"/>
                <w:highlight w:val="black"/>
              </w:rPr>
              <w:t>'''''''''''''''''</w:t>
            </w:r>
          </w:p>
        </w:tc>
      </w:tr>
      <w:tr w:rsidR="00516A59">
        <w:tc>
          <w:tcPr>
            <w:tcW w:w="3843" w:type="pct"/>
            <w:gridSpan w:val="3"/>
            <w:vAlign w:val="center"/>
          </w:tcPr>
          <w:p w:rsidR="00516A59" w:rsidRDefault="007D3F6A">
            <w:pPr>
              <w:pStyle w:val="TableText0"/>
              <w:keepLines/>
            </w:pPr>
            <w:r>
              <w:t>Incremental cost per QALY gained (PD-L1 TPS &lt;50%)</w:t>
            </w:r>
          </w:p>
        </w:tc>
        <w:tc>
          <w:tcPr>
            <w:tcW w:w="1157" w:type="pct"/>
            <w:vAlign w:val="center"/>
          </w:tcPr>
          <w:p w:rsidR="00516A59" w:rsidRDefault="007D3F6A">
            <w:pPr>
              <w:pStyle w:val="TableText0"/>
              <w:keepLines/>
              <w:jc w:val="center"/>
            </w:pPr>
            <w:r>
              <w:t>$</w:t>
            </w:r>
            <w:r w:rsidR="00845E21">
              <w:rPr>
                <w:noProof/>
                <w:color w:val="000000"/>
                <w:highlight w:val="black"/>
              </w:rPr>
              <w:t>''''''''''''''''</w:t>
            </w:r>
          </w:p>
        </w:tc>
      </w:tr>
      <w:tr w:rsidR="00516A59">
        <w:tc>
          <w:tcPr>
            <w:tcW w:w="5000" w:type="pct"/>
            <w:gridSpan w:val="4"/>
            <w:shd w:val="clear" w:color="auto" w:fill="D9D9D9" w:themeFill="background1" w:themeFillShade="D9"/>
            <w:vAlign w:val="center"/>
          </w:tcPr>
          <w:p w:rsidR="00516A59" w:rsidRDefault="007D3F6A">
            <w:pPr>
              <w:pStyle w:val="TableText0"/>
              <w:keepLines/>
              <w:rPr>
                <w:b/>
              </w:rPr>
            </w:pPr>
            <w:r>
              <w:rPr>
                <w:b/>
              </w:rPr>
              <w:t>November 2018 submission</w:t>
            </w:r>
          </w:p>
        </w:tc>
      </w:tr>
      <w:tr w:rsidR="00516A59" w:rsidTr="0093515B">
        <w:tc>
          <w:tcPr>
            <w:tcW w:w="1528" w:type="pct"/>
            <w:shd w:val="clear" w:color="auto" w:fill="D9D9D9" w:themeFill="background1" w:themeFillShade="D9"/>
            <w:vAlign w:val="center"/>
          </w:tcPr>
          <w:p w:rsidR="00516A59" w:rsidRDefault="007D3F6A">
            <w:pPr>
              <w:pStyle w:val="TableText0"/>
              <w:keepLines/>
            </w:pPr>
            <w:r>
              <w:t>Life years gained (LYG)</w:t>
            </w:r>
          </w:p>
        </w:tc>
        <w:tc>
          <w:tcPr>
            <w:tcW w:w="1157" w:type="pct"/>
            <w:shd w:val="clear" w:color="auto" w:fill="D9D9D9" w:themeFill="background1" w:themeFillShade="D9"/>
            <w:vAlign w:val="center"/>
          </w:tcPr>
          <w:p w:rsidR="00516A59" w:rsidRDefault="007D3F6A">
            <w:pPr>
              <w:pStyle w:val="TableText0"/>
              <w:keepLines/>
              <w:jc w:val="center"/>
            </w:pPr>
            <w:r>
              <w:t>2.23</w:t>
            </w:r>
          </w:p>
        </w:tc>
        <w:tc>
          <w:tcPr>
            <w:tcW w:w="1158" w:type="pct"/>
            <w:shd w:val="clear" w:color="auto" w:fill="D9D9D9" w:themeFill="background1" w:themeFillShade="D9"/>
            <w:vAlign w:val="center"/>
          </w:tcPr>
          <w:p w:rsidR="00516A59" w:rsidRDefault="007D3F6A">
            <w:pPr>
              <w:pStyle w:val="TableText0"/>
              <w:keepLines/>
              <w:jc w:val="center"/>
            </w:pPr>
            <w:r>
              <w:t>1.41</w:t>
            </w:r>
          </w:p>
        </w:tc>
        <w:tc>
          <w:tcPr>
            <w:tcW w:w="1157" w:type="pct"/>
            <w:shd w:val="clear" w:color="auto" w:fill="D9D9D9" w:themeFill="background1" w:themeFillShade="D9"/>
            <w:vAlign w:val="center"/>
          </w:tcPr>
          <w:p w:rsidR="00516A59" w:rsidRDefault="007D3F6A">
            <w:pPr>
              <w:pStyle w:val="TableText0"/>
              <w:keepLines/>
              <w:jc w:val="center"/>
            </w:pPr>
            <w:r>
              <w:t>0.82</w:t>
            </w:r>
          </w:p>
        </w:tc>
      </w:tr>
      <w:tr w:rsidR="00516A59" w:rsidTr="0093515B">
        <w:tc>
          <w:tcPr>
            <w:tcW w:w="1528" w:type="pct"/>
            <w:shd w:val="clear" w:color="auto" w:fill="D9D9D9" w:themeFill="background1" w:themeFillShade="D9"/>
            <w:vAlign w:val="center"/>
          </w:tcPr>
          <w:p w:rsidR="00516A59" w:rsidRDefault="007D3F6A">
            <w:pPr>
              <w:pStyle w:val="TableText0"/>
              <w:keepLines/>
            </w:pPr>
            <w:r>
              <w:t>QALY gained</w:t>
            </w:r>
          </w:p>
        </w:tc>
        <w:tc>
          <w:tcPr>
            <w:tcW w:w="1157" w:type="pct"/>
            <w:shd w:val="clear" w:color="auto" w:fill="D9D9D9" w:themeFill="background1" w:themeFillShade="D9"/>
            <w:vAlign w:val="center"/>
          </w:tcPr>
          <w:p w:rsidR="00516A59" w:rsidRDefault="007D3F6A">
            <w:pPr>
              <w:pStyle w:val="TableText0"/>
              <w:keepLines/>
              <w:jc w:val="center"/>
            </w:pPr>
            <w:r>
              <w:t>1.62</w:t>
            </w:r>
          </w:p>
        </w:tc>
        <w:tc>
          <w:tcPr>
            <w:tcW w:w="1158" w:type="pct"/>
            <w:shd w:val="clear" w:color="auto" w:fill="D9D9D9" w:themeFill="background1" w:themeFillShade="D9"/>
            <w:vAlign w:val="center"/>
          </w:tcPr>
          <w:p w:rsidR="00516A59" w:rsidRDefault="007D3F6A">
            <w:pPr>
              <w:pStyle w:val="TableText0"/>
              <w:keepLines/>
              <w:jc w:val="center"/>
            </w:pPr>
            <w:r>
              <w:t>0.99</w:t>
            </w:r>
          </w:p>
        </w:tc>
        <w:tc>
          <w:tcPr>
            <w:tcW w:w="1157" w:type="pct"/>
            <w:shd w:val="clear" w:color="auto" w:fill="D9D9D9" w:themeFill="background1" w:themeFillShade="D9"/>
            <w:vAlign w:val="center"/>
          </w:tcPr>
          <w:p w:rsidR="00516A59" w:rsidRDefault="007D3F6A">
            <w:pPr>
              <w:pStyle w:val="TableText0"/>
              <w:keepLines/>
              <w:jc w:val="center"/>
            </w:pPr>
            <w:r>
              <w:t>0.63</w:t>
            </w:r>
          </w:p>
        </w:tc>
      </w:tr>
      <w:tr w:rsidR="00516A59" w:rsidTr="0093515B">
        <w:tc>
          <w:tcPr>
            <w:tcW w:w="1528" w:type="pct"/>
            <w:shd w:val="clear" w:color="auto" w:fill="D9D9D9" w:themeFill="background1" w:themeFillShade="D9"/>
            <w:vAlign w:val="center"/>
          </w:tcPr>
          <w:p w:rsidR="00516A59" w:rsidRDefault="007D3F6A">
            <w:pPr>
              <w:pStyle w:val="TableText0"/>
              <w:keepLines/>
            </w:pPr>
            <w:r>
              <w:t>Cost</w:t>
            </w:r>
          </w:p>
        </w:tc>
        <w:tc>
          <w:tcPr>
            <w:tcW w:w="1157" w:type="pct"/>
            <w:shd w:val="clear" w:color="auto" w:fill="D9D9D9" w:themeFill="background1" w:themeFillShade="D9"/>
            <w:vAlign w:val="center"/>
          </w:tcPr>
          <w:p w:rsidR="00516A59" w:rsidRDefault="007D3F6A">
            <w:pPr>
              <w:pStyle w:val="TableText0"/>
              <w:keepLines/>
              <w:jc w:val="center"/>
            </w:pPr>
            <w:r>
              <w:t>$</w:t>
            </w:r>
            <w:r w:rsidR="00845E21">
              <w:rPr>
                <w:noProof/>
                <w:color w:val="000000"/>
                <w:highlight w:val="black"/>
              </w:rPr>
              <w:t>''''''''''''''''</w:t>
            </w:r>
          </w:p>
        </w:tc>
        <w:tc>
          <w:tcPr>
            <w:tcW w:w="1158" w:type="pct"/>
            <w:shd w:val="clear" w:color="auto" w:fill="D9D9D9" w:themeFill="background1" w:themeFillShade="D9"/>
            <w:vAlign w:val="center"/>
          </w:tcPr>
          <w:p w:rsidR="00516A59" w:rsidRDefault="007D3F6A">
            <w:pPr>
              <w:pStyle w:val="TableText0"/>
              <w:keepLines/>
              <w:jc w:val="center"/>
            </w:pPr>
            <w:r>
              <w:t>$</w:t>
            </w:r>
            <w:r w:rsidR="00845E21">
              <w:rPr>
                <w:noProof/>
                <w:color w:val="000000"/>
                <w:highlight w:val="black"/>
              </w:rPr>
              <w:t>''''''''''''''''''</w:t>
            </w:r>
          </w:p>
        </w:tc>
        <w:tc>
          <w:tcPr>
            <w:tcW w:w="1157" w:type="pct"/>
            <w:shd w:val="clear" w:color="auto" w:fill="D9D9D9" w:themeFill="background1" w:themeFillShade="D9"/>
            <w:vAlign w:val="center"/>
          </w:tcPr>
          <w:p w:rsidR="00516A59" w:rsidRDefault="007D3F6A">
            <w:pPr>
              <w:pStyle w:val="TableText0"/>
              <w:keepLines/>
              <w:jc w:val="center"/>
            </w:pPr>
            <w:r>
              <w:t>$</w:t>
            </w:r>
            <w:r w:rsidR="00845E21">
              <w:rPr>
                <w:noProof/>
                <w:color w:val="000000"/>
                <w:highlight w:val="black"/>
              </w:rPr>
              <w:t>'''''''''''''''</w:t>
            </w:r>
          </w:p>
        </w:tc>
      </w:tr>
      <w:tr w:rsidR="00516A59">
        <w:tc>
          <w:tcPr>
            <w:tcW w:w="3843" w:type="pct"/>
            <w:gridSpan w:val="3"/>
            <w:shd w:val="clear" w:color="auto" w:fill="D9D9D9" w:themeFill="background1" w:themeFillShade="D9"/>
            <w:vAlign w:val="center"/>
          </w:tcPr>
          <w:p w:rsidR="00516A59" w:rsidRDefault="007D3F6A">
            <w:pPr>
              <w:pStyle w:val="TableText0"/>
              <w:keepLines/>
            </w:pPr>
            <w:r>
              <w:t>Incremental cost per LYG (PD-L1 TPS &lt;50%)</w:t>
            </w:r>
          </w:p>
        </w:tc>
        <w:tc>
          <w:tcPr>
            <w:tcW w:w="1157" w:type="pct"/>
            <w:shd w:val="clear" w:color="auto" w:fill="D9D9D9" w:themeFill="background1" w:themeFillShade="D9"/>
            <w:vAlign w:val="center"/>
          </w:tcPr>
          <w:p w:rsidR="00516A59" w:rsidRDefault="007D3F6A">
            <w:pPr>
              <w:pStyle w:val="TableText0"/>
              <w:keepLines/>
              <w:jc w:val="center"/>
            </w:pPr>
            <w:r>
              <w:t>$</w:t>
            </w:r>
            <w:r w:rsidR="00845E21">
              <w:rPr>
                <w:noProof/>
                <w:color w:val="000000"/>
                <w:highlight w:val="black"/>
              </w:rPr>
              <w:t>''''''''''''''''</w:t>
            </w:r>
          </w:p>
        </w:tc>
      </w:tr>
      <w:tr w:rsidR="00516A59">
        <w:tc>
          <w:tcPr>
            <w:tcW w:w="3843" w:type="pct"/>
            <w:gridSpan w:val="3"/>
            <w:shd w:val="clear" w:color="auto" w:fill="D9D9D9" w:themeFill="background1" w:themeFillShade="D9"/>
            <w:vAlign w:val="center"/>
          </w:tcPr>
          <w:p w:rsidR="00516A59" w:rsidRDefault="007D3F6A">
            <w:pPr>
              <w:pStyle w:val="TableText0"/>
              <w:keepLines/>
            </w:pPr>
            <w:r>
              <w:t>Incremental cost per QALY gained (PD-L1 TPS &lt;50%)</w:t>
            </w:r>
          </w:p>
        </w:tc>
        <w:tc>
          <w:tcPr>
            <w:tcW w:w="1157" w:type="pct"/>
            <w:shd w:val="clear" w:color="auto" w:fill="D9D9D9" w:themeFill="background1" w:themeFillShade="D9"/>
            <w:vAlign w:val="center"/>
          </w:tcPr>
          <w:p w:rsidR="00516A59" w:rsidRDefault="007D3F6A">
            <w:pPr>
              <w:pStyle w:val="TableText0"/>
              <w:keepLines/>
              <w:jc w:val="center"/>
            </w:pPr>
            <w:r>
              <w:t>$</w:t>
            </w:r>
            <w:r w:rsidR="00845E21">
              <w:rPr>
                <w:noProof/>
                <w:color w:val="000000"/>
                <w:highlight w:val="black"/>
              </w:rPr>
              <w:t>'''''''''''''''</w:t>
            </w:r>
          </w:p>
        </w:tc>
      </w:tr>
    </w:tbl>
    <w:p w:rsidR="00516A59" w:rsidRDefault="007D3F6A">
      <w:pPr>
        <w:pStyle w:val="TableFooter"/>
        <w:keepNext/>
        <w:keepLines/>
        <w:widowControl/>
      </w:pPr>
      <w:r>
        <w:rPr>
          <w:highlight w:val="lightGray"/>
        </w:rPr>
        <w:t>Shaded data previously considered by PBAC</w:t>
      </w:r>
    </w:p>
    <w:p w:rsidR="00516A59" w:rsidRDefault="007D3F6A">
      <w:pPr>
        <w:pStyle w:val="TableFooter"/>
        <w:keepNext/>
        <w:keepLines/>
        <w:widowControl/>
      </w:pPr>
      <w:r>
        <w:t>LYG = life years gained; QALY = quality-adjusted life year; PD-L1 = Programmed death-ligand 1; Pembro Combo = pembrolizumab + platinum+ pemetrexed; TPS = tumour proportion score</w:t>
      </w:r>
    </w:p>
    <w:p w:rsidR="00516A59" w:rsidRDefault="007D3F6A">
      <w:pPr>
        <w:pStyle w:val="TableFooter"/>
        <w:keepNext/>
        <w:keepLines/>
        <w:widowControl/>
      </w:pPr>
      <w:r>
        <w:t>Note: calculations based on the figures above may differ to results in this table due to rounding.</w:t>
      </w:r>
    </w:p>
    <w:p w:rsidR="00516A59" w:rsidRDefault="007D3F6A">
      <w:pPr>
        <w:pStyle w:val="TableFooter"/>
        <w:keepNext/>
        <w:keepLines/>
        <w:widowControl/>
      </w:pPr>
      <w:r>
        <w:t>Source: Table 3.8-6 and Table 3.8-7 Section 3 of the resubmission and Table 3.8.1 in 6.06 pembrolizumab COM 11-2018</w:t>
      </w:r>
    </w:p>
    <w:p w:rsidR="00516A59" w:rsidRDefault="00516A59">
      <w:pPr>
        <w:pStyle w:val="TableFooter"/>
        <w:keepLines/>
        <w:widowControl/>
        <w:rPr>
          <w:rStyle w:val="CommentReference"/>
          <w:b w:val="0"/>
          <w:sz w:val="18"/>
          <w:szCs w:val="22"/>
        </w:rPr>
      </w:pPr>
    </w:p>
    <w:p w:rsidR="005738BA" w:rsidRPr="000C4110" w:rsidRDefault="000C4110">
      <w:pPr>
        <w:pStyle w:val="Caption"/>
        <w:keepLines/>
        <w:widowControl/>
        <w:rPr>
          <w:rFonts w:ascii="Calibri" w:hAnsi="Calibri"/>
          <w:b w:val="0"/>
          <w:bCs w:val="0"/>
          <w:sz w:val="24"/>
          <w:szCs w:val="22"/>
        </w:rPr>
      </w:pPr>
      <w:bookmarkStart w:id="28" w:name="_Ref6070616"/>
      <w:r w:rsidRPr="000C4110">
        <w:rPr>
          <w:rFonts w:ascii="Calibri" w:hAnsi="Calibri"/>
          <w:b w:val="0"/>
          <w:bCs w:val="0"/>
          <w:sz w:val="24"/>
          <w:szCs w:val="22"/>
        </w:rPr>
        <w:t>The redacted table shows ICERs in the range $15,000/QALY - $45,000/QALY to $45,000/QALY - $75,000/QALY.</w:t>
      </w:r>
    </w:p>
    <w:p w:rsidR="000C4110" w:rsidRPr="000C4110" w:rsidRDefault="000C4110" w:rsidP="000C4110"/>
    <w:bookmarkEnd w:id="28"/>
    <w:p w:rsidR="0093515B" w:rsidRDefault="0093515B" w:rsidP="0093515B">
      <w:pPr>
        <w:pStyle w:val="Caption"/>
        <w:keepNext/>
      </w:pPr>
      <w:r>
        <w:t xml:space="preserve">Table </w:t>
      </w:r>
      <w:r>
        <w:rPr>
          <w:noProof/>
        </w:rPr>
        <w:t>16</w:t>
      </w:r>
      <w:r w:rsidRPr="007929FF">
        <w:t>: Results of the economic evaluation for the PD-L1 TPS ≥50% population; current resubmission and November 2018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6: Results of the economic evaluation for the PD-L1 TPS ≥50% population; current resubmission and November 2018 submission"/>
      </w:tblPr>
      <w:tblGrid>
        <w:gridCol w:w="2755"/>
        <w:gridCol w:w="2087"/>
        <w:gridCol w:w="2088"/>
        <w:gridCol w:w="2087"/>
      </w:tblGrid>
      <w:tr w:rsidR="00516A59" w:rsidTr="0093515B">
        <w:trPr>
          <w:tblHeader/>
        </w:trPr>
        <w:tc>
          <w:tcPr>
            <w:tcW w:w="1528" w:type="pct"/>
            <w:vAlign w:val="bottom"/>
          </w:tcPr>
          <w:p w:rsidR="00516A59" w:rsidRDefault="007D3F6A">
            <w:pPr>
              <w:pStyle w:val="TableText0"/>
              <w:keepNext w:val="0"/>
              <w:keepLines/>
              <w:jc w:val="center"/>
              <w:rPr>
                <w:b/>
              </w:rPr>
            </w:pPr>
            <w:r>
              <w:rPr>
                <w:b/>
              </w:rPr>
              <w:t>Component</w:t>
            </w:r>
          </w:p>
        </w:tc>
        <w:tc>
          <w:tcPr>
            <w:tcW w:w="1157" w:type="pct"/>
            <w:vAlign w:val="center"/>
          </w:tcPr>
          <w:p w:rsidR="00516A59" w:rsidRDefault="007D3F6A">
            <w:pPr>
              <w:pStyle w:val="TableText0"/>
              <w:keepNext w:val="0"/>
              <w:keepLines/>
              <w:jc w:val="center"/>
              <w:rPr>
                <w:b/>
              </w:rPr>
            </w:pPr>
            <w:r>
              <w:rPr>
                <w:b/>
              </w:rPr>
              <w:t>Pembro Combo</w:t>
            </w:r>
          </w:p>
        </w:tc>
        <w:tc>
          <w:tcPr>
            <w:tcW w:w="1158" w:type="pct"/>
            <w:vAlign w:val="center"/>
          </w:tcPr>
          <w:p w:rsidR="00516A59" w:rsidRDefault="007D3F6A">
            <w:pPr>
              <w:pStyle w:val="TableText0"/>
              <w:keepNext w:val="0"/>
              <w:keepLines/>
              <w:jc w:val="center"/>
              <w:rPr>
                <w:b/>
              </w:rPr>
            </w:pPr>
            <w:r>
              <w:rPr>
                <w:b/>
              </w:rPr>
              <w:t>Pembro Mono</w:t>
            </w:r>
          </w:p>
        </w:tc>
        <w:tc>
          <w:tcPr>
            <w:tcW w:w="1157" w:type="pct"/>
            <w:vAlign w:val="center"/>
          </w:tcPr>
          <w:p w:rsidR="00516A59" w:rsidRDefault="007D3F6A">
            <w:pPr>
              <w:pStyle w:val="TableText0"/>
              <w:keepNext w:val="0"/>
              <w:keepLines/>
              <w:jc w:val="center"/>
              <w:rPr>
                <w:b/>
              </w:rPr>
            </w:pPr>
            <w:r>
              <w:rPr>
                <w:b/>
              </w:rPr>
              <w:t>Increment</w:t>
            </w:r>
          </w:p>
        </w:tc>
      </w:tr>
      <w:tr w:rsidR="00516A59">
        <w:tc>
          <w:tcPr>
            <w:tcW w:w="5000" w:type="pct"/>
            <w:gridSpan w:val="4"/>
            <w:vAlign w:val="center"/>
          </w:tcPr>
          <w:p w:rsidR="00516A59" w:rsidRDefault="007D3F6A">
            <w:pPr>
              <w:pStyle w:val="TableText0"/>
              <w:keepNext w:val="0"/>
              <w:keepLines/>
              <w:rPr>
                <w:b/>
              </w:rPr>
            </w:pPr>
            <w:r>
              <w:rPr>
                <w:b/>
              </w:rPr>
              <w:t>Current resubmission</w:t>
            </w:r>
          </w:p>
        </w:tc>
      </w:tr>
      <w:tr w:rsidR="00516A59" w:rsidTr="0093515B">
        <w:tc>
          <w:tcPr>
            <w:tcW w:w="1528" w:type="pct"/>
            <w:vAlign w:val="center"/>
          </w:tcPr>
          <w:p w:rsidR="00516A59" w:rsidRDefault="007D3F6A">
            <w:pPr>
              <w:pStyle w:val="TableText0"/>
              <w:keepNext w:val="0"/>
              <w:keepLines/>
            </w:pPr>
            <w:r>
              <w:t>Life years gained (LYG)</w:t>
            </w:r>
          </w:p>
        </w:tc>
        <w:tc>
          <w:tcPr>
            <w:tcW w:w="1157" w:type="pct"/>
          </w:tcPr>
          <w:p w:rsidR="00516A59" w:rsidRDefault="007D3F6A">
            <w:pPr>
              <w:pStyle w:val="TableText0"/>
              <w:keepNext w:val="0"/>
              <w:keepLines/>
              <w:jc w:val="center"/>
            </w:pPr>
            <w:r>
              <w:t>2.71</w:t>
            </w:r>
          </w:p>
        </w:tc>
        <w:tc>
          <w:tcPr>
            <w:tcW w:w="1158" w:type="pct"/>
            <w:vAlign w:val="center"/>
          </w:tcPr>
          <w:p w:rsidR="00516A59" w:rsidRDefault="007D3F6A">
            <w:pPr>
              <w:pStyle w:val="TableText0"/>
              <w:keepNext w:val="0"/>
              <w:keepLines/>
              <w:jc w:val="center"/>
            </w:pPr>
            <w:r>
              <w:t>2.55</w:t>
            </w:r>
          </w:p>
        </w:tc>
        <w:tc>
          <w:tcPr>
            <w:tcW w:w="1157" w:type="pct"/>
            <w:vAlign w:val="center"/>
          </w:tcPr>
          <w:p w:rsidR="00516A59" w:rsidRDefault="007D3F6A">
            <w:pPr>
              <w:pStyle w:val="TableText0"/>
              <w:keepNext w:val="0"/>
              <w:keepLines/>
              <w:jc w:val="center"/>
            </w:pPr>
            <w:r>
              <w:t>0.16</w:t>
            </w:r>
          </w:p>
        </w:tc>
      </w:tr>
      <w:tr w:rsidR="00516A59" w:rsidTr="0093515B">
        <w:tc>
          <w:tcPr>
            <w:tcW w:w="1528" w:type="pct"/>
            <w:vAlign w:val="center"/>
          </w:tcPr>
          <w:p w:rsidR="00516A59" w:rsidRDefault="007D3F6A">
            <w:pPr>
              <w:pStyle w:val="TableText0"/>
              <w:keepNext w:val="0"/>
              <w:keepLines/>
            </w:pPr>
            <w:r>
              <w:t>QALY gained</w:t>
            </w:r>
          </w:p>
        </w:tc>
        <w:tc>
          <w:tcPr>
            <w:tcW w:w="1157" w:type="pct"/>
            <w:vAlign w:val="center"/>
          </w:tcPr>
          <w:p w:rsidR="00516A59" w:rsidRDefault="007D3F6A">
            <w:pPr>
              <w:pStyle w:val="TableText0"/>
              <w:keepNext w:val="0"/>
              <w:keepLines/>
              <w:jc w:val="center"/>
            </w:pPr>
            <w:r>
              <w:t>2.03</w:t>
            </w:r>
          </w:p>
        </w:tc>
        <w:tc>
          <w:tcPr>
            <w:tcW w:w="1158" w:type="pct"/>
            <w:vAlign w:val="center"/>
          </w:tcPr>
          <w:p w:rsidR="00516A59" w:rsidRDefault="007D3F6A">
            <w:pPr>
              <w:pStyle w:val="TableText0"/>
              <w:keepNext w:val="0"/>
              <w:keepLines/>
              <w:jc w:val="center"/>
            </w:pPr>
            <w:r>
              <w:t>1.81</w:t>
            </w:r>
          </w:p>
        </w:tc>
        <w:tc>
          <w:tcPr>
            <w:tcW w:w="1157" w:type="pct"/>
            <w:vAlign w:val="center"/>
          </w:tcPr>
          <w:p w:rsidR="00516A59" w:rsidRDefault="007D3F6A">
            <w:pPr>
              <w:pStyle w:val="TableText0"/>
              <w:keepNext w:val="0"/>
              <w:keepLines/>
              <w:jc w:val="center"/>
            </w:pPr>
            <w:r>
              <w:t>0.21</w:t>
            </w:r>
          </w:p>
        </w:tc>
      </w:tr>
      <w:tr w:rsidR="00516A59" w:rsidTr="0093515B">
        <w:tc>
          <w:tcPr>
            <w:tcW w:w="1528" w:type="pct"/>
            <w:vAlign w:val="center"/>
          </w:tcPr>
          <w:p w:rsidR="00516A59" w:rsidRDefault="007D3F6A">
            <w:pPr>
              <w:pStyle w:val="TableText0"/>
              <w:keepNext w:val="0"/>
              <w:keepLines/>
            </w:pPr>
            <w:r>
              <w:t>Cost</w:t>
            </w:r>
          </w:p>
        </w:tc>
        <w:tc>
          <w:tcPr>
            <w:tcW w:w="1157" w:type="pct"/>
            <w:vAlign w:val="center"/>
          </w:tcPr>
          <w:p w:rsidR="00516A59" w:rsidRDefault="007D3F6A">
            <w:pPr>
              <w:pStyle w:val="TableText0"/>
              <w:keepNext w:val="0"/>
              <w:keepLines/>
              <w:jc w:val="center"/>
            </w:pPr>
            <w:r>
              <w:t>$</w:t>
            </w:r>
            <w:r w:rsidR="00845E21">
              <w:rPr>
                <w:noProof/>
                <w:color w:val="000000"/>
                <w:highlight w:val="black"/>
              </w:rPr>
              <w:t>''''''''''''''''</w:t>
            </w:r>
          </w:p>
        </w:tc>
        <w:tc>
          <w:tcPr>
            <w:tcW w:w="1158" w:type="pct"/>
            <w:vAlign w:val="center"/>
          </w:tcPr>
          <w:p w:rsidR="00516A59" w:rsidRDefault="007D3F6A">
            <w:pPr>
              <w:pStyle w:val="TableText0"/>
              <w:keepNext w:val="0"/>
              <w:keepLines/>
              <w:jc w:val="center"/>
            </w:pPr>
            <w:r>
              <w:t>$</w:t>
            </w:r>
            <w:r w:rsidR="00845E21">
              <w:rPr>
                <w:noProof/>
                <w:color w:val="000000"/>
                <w:highlight w:val="black"/>
              </w:rPr>
              <w:t>''''''''''''''''</w:t>
            </w:r>
          </w:p>
        </w:tc>
        <w:tc>
          <w:tcPr>
            <w:tcW w:w="1157" w:type="pct"/>
            <w:vAlign w:val="center"/>
          </w:tcPr>
          <w:p w:rsidR="00516A59" w:rsidRDefault="007D3F6A">
            <w:pPr>
              <w:pStyle w:val="TableText0"/>
              <w:keepNext w:val="0"/>
              <w:keepLines/>
              <w:jc w:val="center"/>
            </w:pPr>
            <w:r>
              <w:t>$</w:t>
            </w:r>
            <w:r w:rsidR="00845E21">
              <w:rPr>
                <w:noProof/>
                <w:color w:val="000000"/>
                <w:highlight w:val="black"/>
              </w:rPr>
              <w:t>'''''''''''''</w:t>
            </w:r>
          </w:p>
        </w:tc>
      </w:tr>
      <w:tr w:rsidR="00516A59">
        <w:tc>
          <w:tcPr>
            <w:tcW w:w="3843" w:type="pct"/>
            <w:gridSpan w:val="3"/>
            <w:vAlign w:val="center"/>
          </w:tcPr>
          <w:p w:rsidR="00516A59" w:rsidRDefault="007D3F6A">
            <w:pPr>
              <w:pStyle w:val="TableText0"/>
              <w:keepNext w:val="0"/>
              <w:keepLines/>
            </w:pPr>
            <w:r>
              <w:t>Incremental cost per LYG (PD-L1 TPS ≥50%)</w:t>
            </w:r>
          </w:p>
        </w:tc>
        <w:tc>
          <w:tcPr>
            <w:tcW w:w="1157" w:type="pct"/>
            <w:vAlign w:val="center"/>
          </w:tcPr>
          <w:p w:rsidR="00516A59" w:rsidRDefault="007D3F6A">
            <w:pPr>
              <w:pStyle w:val="TableText0"/>
              <w:keepNext w:val="0"/>
              <w:keepLines/>
              <w:jc w:val="center"/>
            </w:pPr>
            <w:r>
              <w:t>$</w:t>
            </w:r>
            <w:r w:rsidR="00845E21">
              <w:rPr>
                <w:noProof/>
                <w:color w:val="000000"/>
                <w:highlight w:val="black"/>
              </w:rPr>
              <w:t>'''''''''''''''''</w:t>
            </w:r>
          </w:p>
        </w:tc>
      </w:tr>
      <w:tr w:rsidR="00516A59">
        <w:tc>
          <w:tcPr>
            <w:tcW w:w="3843" w:type="pct"/>
            <w:gridSpan w:val="3"/>
            <w:vAlign w:val="center"/>
          </w:tcPr>
          <w:p w:rsidR="00516A59" w:rsidRDefault="007D3F6A">
            <w:pPr>
              <w:pStyle w:val="TableText0"/>
              <w:keepNext w:val="0"/>
              <w:keepLines/>
            </w:pPr>
            <w:r>
              <w:t>Incremental cost per QALY gained (PD-L1 TPS ≥50%)</w:t>
            </w:r>
          </w:p>
        </w:tc>
        <w:tc>
          <w:tcPr>
            <w:tcW w:w="1157" w:type="pct"/>
            <w:vAlign w:val="center"/>
          </w:tcPr>
          <w:p w:rsidR="00516A59" w:rsidRDefault="007D3F6A">
            <w:pPr>
              <w:pStyle w:val="TableText0"/>
              <w:keepNext w:val="0"/>
              <w:keepLines/>
              <w:jc w:val="center"/>
            </w:pPr>
            <w:r>
              <w:t>$</w:t>
            </w:r>
            <w:r w:rsidR="00845E21">
              <w:rPr>
                <w:noProof/>
                <w:color w:val="000000"/>
                <w:highlight w:val="black"/>
              </w:rPr>
              <w:t>''''''''''''''''</w:t>
            </w:r>
          </w:p>
        </w:tc>
      </w:tr>
      <w:tr w:rsidR="00516A59">
        <w:tc>
          <w:tcPr>
            <w:tcW w:w="5000" w:type="pct"/>
            <w:gridSpan w:val="4"/>
            <w:shd w:val="clear" w:color="auto" w:fill="D9D9D9" w:themeFill="background1" w:themeFillShade="D9"/>
            <w:vAlign w:val="center"/>
          </w:tcPr>
          <w:p w:rsidR="00516A59" w:rsidRDefault="007D3F6A">
            <w:pPr>
              <w:pStyle w:val="TableText0"/>
              <w:keepNext w:val="0"/>
              <w:keepLines/>
              <w:rPr>
                <w:b/>
              </w:rPr>
            </w:pPr>
            <w:r>
              <w:rPr>
                <w:b/>
              </w:rPr>
              <w:t>November 2018 submission</w:t>
            </w:r>
          </w:p>
        </w:tc>
      </w:tr>
      <w:tr w:rsidR="00516A59" w:rsidTr="0093515B">
        <w:tc>
          <w:tcPr>
            <w:tcW w:w="1528" w:type="pct"/>
            <w:shd w:val="clear" w:color="auto" w:fill="D9D9D9" w:themeFill="background1" w:themeFillShade="D9"/>
            <w:vAlign w:val="center"/>
          </w:tcPr>
          <w:p w:rsidR="00516A59" w:rsidRDefault="007D3F6A">
            <w:pPr>
              <w:pStyle w:val="TableText0"/>
              <w:keepNext w:val="0"/>
              <w:keepLines/>
            </w:pPr>
            <w:r>
              <w:t>Life years gained (LYG)</w:t>
            </w:r>
          </w:p>
        </w:tc>
        <w:tc>
          <w:tcPr>
            <w:tcW w:w="1157" w:type="pct"/>
            <w:shd w:val="clear" w:color="auto" w:fill="D9D9D9" w:themeFill="background1" w:themeFillShade="D9"/>
            <w:vAlign w:val="center"/>
          </w:tcPr>
          <w:p w:rsidR="00516A59" w:rsidRDefault="007D3F6A">
            <w:pPr>
              <w:pStyle w:val="TableText0"/>
              <w:keepNext w:val="0"/>
              <w:keepLines/>
              <w:jc w:val="center"/>
            </w:pPr>
            <w:r>
              <w:t>2.81</w:t>
            </w:r>
          </w:p>
        </w:tc>
        <w:tc>
          <w:tcPr>
            <w:tcW w:w="1158" w:type="pct"/>
            <w:shd w:val="clear" w:color="auto" w:fill="D9D9D9" w:themeFill="background1" w:themeFillShade="D9"/>
            <w:vAlign w:val="center"/>
          </w:tcPr>
          <w:p w:rsidR="00516A59" w:rsidRDefault="007D3F6A">
            <w:pPr>
              <w:pStyle w:val="TableText0"/>
              <w:keepNext w:val="0"/>
              <w:keepLines/>
              <w:jc w:val="center"/>
            </w:pPr>
            <w:r>
              <w:t>2.31</w:t>
            </w:r>
          </w:p>
        </w:tc>
        <w:tc>
          <w:tcPr>
            <w:tcW w:w="1157" w:type="pct"/>
            <w:shd w:val="clear" w:color="auto" w:fill="D9D9D9" w:themeFill="background1" w:themeFillShade="D9"/>
            <w:vAlign w:val="center"/>
          </w:tcPr>
          <w:p w:rsidR="00516A59" w:rsidRDefault="007D3F6A">
            <w:pPr>
              <w:pStyle w:val="TableText0"/>
              <w:keepNext w:val="0"/>
              <w:keepLines/>
              <w:jc w:val="center"/>
            </w:pPr>
            <w:r>
              <w:t>0.50</w:t>
            </w:r>
          </w:p>
        </w:tc>
      </w:tr>
      <w:tr w:rsidR="00516A59" w:rsidTr="0093515B">
        <w:tc>
          <w:tcPr>
            <w:tcW w:w="1528" w:type="pct"/>
            <w:shd w:val="clear" w:color="auto" w:fill="D9D9D9" w:themeFill="background1" w:themeFillShade="D9"/>
            <w:vAlign w:val="center"/>
          </w:tcPr>
          <w:p w:rsidR="00516A59" w:rsidRDefault="007D3F6A">
            <w:pPr>
              <w:pStyle w:val="TableText0"/>
              <w:keepNext w:val="0"/>
              <w:keepLines/>
            </w:pPr>
            <w:r>
              <w:t>QALY gained</w:t>
            </w:r>
          </w:p>
        </w:tc>
        <w:tc>
          <w:tcPr>
            <w:tcW w:w="1157" w:type="pct"/>
            <w:shd w:val="clear" w:color="auto" w:fill="D9D9D9" w:themeFill="background1" w:themeFillShade="D9"/>
            <w:vAlign w:val="center"/>
          </w:tcPr>
          <w:p w:rsidR="00516A59" w:rsidRDefault="007D3F6A">
            <w:pPr>
              <w:pStyle w:val="TableText0"/>
              <w:keepNext w:val="0"/>
              <w:keepLines/>
              <w:jc w:val="center"/>
            </w:pPr>
            <w:r>
              <w:t>2.08</w:t>
            </w:r>
          </w:p>
        </w:tc>
        <w:tc>
          <w:tcPr>
            <w:tcW w:w="1158" w:type="pct"/>
            <w:shd w:val="clear" w:color="auto" w:fill="D9D9D9" w:themeFill="background1" w:themeFillShade="D9"/>
            <w:vAlign w:val="center"/>
          </w:tcPr>
          <w:p w:rsidR="00516A59" w:rsidRDefault="007D3F6A">
            <w:pPr>
              <w:pStyle w:val="TableText0"/>
              <w:keepNext w:val="0"/>
              <w:keepLines/>
              <w:jc w:val="center"/>
            </w:pPr>
            <w:r>
              <w:t>1.72</w:t>
            </w:r>
          </w:p>
        </w:tc>
        <w:tc>
          <w:tcPr>
            <w:tcW w:w="1157" w:type="pct"/>
            <w:shd w:val="clear" w:color="auto" w:fill="D9D9D9" w:themeFill="background1" w:themeFillShade="D9"/>
            <w:vAlign w:val="center"/>
          </w:tcPr>
          <w:p w:rsidR="00516A59" w:rsidRDefault="007D3F6A">
            <w:pPr>
              <w:pStyle w:val="TableText0"/>
              <w:keepNext w:val="0"/>
              <w:keepLines/>
              <w:jc w:val="center"/>
            </w:pPr>
            <w:r>
              <w:t>0.36</w:t>
            </w:r>
          </w:p>
        </w:tc>
      </w:tr>
      <w:tr w:rsidR="00516A59" w:rsidTr="0093515B">
        <w:tc>
          <w:tcPr>
            <w:tcW w:w="1528" w:type="pct"/>
            <w:shd w:val="clear" w:color="auto" w:fill="D9D9D9" w:themeFill="background1" w:themeFillShade="D9"/>
            <w:vAlign w:val="center"/>
          </w:tcPr>
          <w:p w:rsidR="00516A59" w:rsidRDefault="007D3F6A">
            <w:pPr>
              <w:pStyle w:val="TableText0"/>
              <w:keepNext w:val="0"/>
              <w:keepLines/>
            </w:pPr>
            <w:r>
              <w:t>Cost</w:t>
            </w:r>
          </w:p>
        </w:tc>
        <w:tc>
          <w:tcPr>
            <w:tcW w:w="1157" w:type="pct"/>
            <w:shd w:val="clear" w:color="auto" w:fill="D9D9D9" w:themeFill="background1" w:themeFillShade="D9"/>
            <w:vAlign w:val="center"/>
          </w:tcPr>
          <w:p w:rsidR="00516A59" w:rsidRDefault="007D3F6A">
            <w:pPr>
              <w:pStyle w:val="TableText0"/>
              <w:keepNext w:val="0"/>
              <w:keepLines/>
              <w:jc w:val="center"/>
            </w:pPr>
            <w:r>
              <w:t>$</w:t>
            </w:r>
            <w:r w:rsidR="00845E21">
              <w:rPr>
                <w:noProof/>
                <w:color w:val="000000"/>
                <w:highlight w:val="black"/>
              </w:rPr>
              <w:t>'''''''''''''''</w:t>
            </w:r>
          </w:p>
        </w:tc>
        <w:tc>
          <w:tcPr>
            <w:tcW w:w="1158" w:type="pct"/>
            <w:shd w:val="clear" w:color="auto" w:fill="D9D9D9" w:themeFill="background1" w:themeFillShade="D9"/>
            <w:vAlign w:val="center"/>
          </w:tcPr>
          <w:p w:rsidR="00516A59" w:rsidRDefault="007D3F6A">
            <w:pPr>
              <w:pStyle w:val="TableText0"/>
              <w:keepNext w:val="0"/>
              <w:keepLines/>
              <w:jc w:val="center"/>
            </w:pPr>
            <w:r>
              <w:t>$</w:t>
            </w:r>
            <w:r w:rsidR="00845E21">
              <w:rPr>
                <w:noProof/>
                <w:color w:val="000000"/>
                <w:highlight w:val="black"/>
              </w:rPr>
              <w:t>''''''''''''''''</w:t>
            </w:r>
          </w:p>
        </w:tc>
        <w:tc>
          <w:tcPr>
            <w:tcW w:w="1157" w:type="pct"/>
            <w:shd w:val="clear" w:color="auto" w:fill="D9D9D9" w:themeFill="background1" w:themeFillShade="D9"/>
            <w:vAlign w:val="center"/>
          </w:tcPr>
          <w:p w:rsidR="00516A59" w:rsidRDefault="007D3F6A">
            <w:pPr>
              <w:pStyle w:val="TableText0"/>
              <w:keepNext w:val="0"/>
              <w:keepLines/>
              <w:jc w:val="center"/>
            </w:pPr>
            <w:r>
              <w:t>$</w:t>
            </w:r>
            <w:r w:rsidR="00845E21">
              <w:rPr>
                <w:noProof/>
                <w:color w:val="000000"/>
                <w:highlight w:val="black"/>
              </w:rPr>
              <w:t>'''''''''''''''''</w:t>
            </w:r>
          </w:p>
        </w:tc>
      </w:tr>
      <w:tr w:rsidR="00516A59">
        <w:tc>
          <w:tcPr>
            <w:tcW w:w="3843" w:type="pct"/>
            <w:gridSpan w:val="3"/>
            <w:shd w:val="clear" w:color="auto" w:fill="D9D9D9" w:themeFill="background1" w:themeFillShade="D9"/>
            <w:vAlign w:val="center"/>
          </w:tcPr>
          <w:p w:rsidR="00516A59" w:rsidRDefault="007D3F6A">
            <w:pPr>
              <w:pStyle w:val="TableText0"/>
              <w:keepNext w:val="0"/>
              <w:keepLines/>
            </w:pPr>
            <w:r>
              <w:t>Incremental cost per LYG (PD-L1 TPS ≥50%)</w:t>
            </w:r>
          </w:p>
        </w:tc>
        <w:tc>
          <w:tcPr>
            <w:tcW w:w="1157" w:type="pct"/>
            <w:shd w:val="clear" w:color="auto" w:fill="D9D9D9" w:themeFill="background1" w:themeFillShade="D9"/>
            <w:vAlign w:val="center"/>
          </w:tcPr>
          <w:p w:rsidR="00516A59" w:rsidRDefault="007D3F6A">
            <w:pPr>
              <w:pStyle w:val="TableText0"/>
              <w:keepNext w:val="0"/>
              <w:keepLines/>
              <w:jc w:val="center"/>
            </w:pPr>
            <w:r>
              <w:t>$</w:t>
            </w:r>
            <w:r w:rsidR="00845E21">
              <w:rPr>
                <w:noProof/>
                <w:color w:val="000000"/>
                <w:highlight w:val="black"/>
              </w:rPr>
              <w:t>'''''''''''''''''</w:t>
            </w:r>
          </w:p>
        </w:tc>
      </w:tr>
      <w:tr w:rsidR="00516A59">
        <w:tc>
          <w:tcPr>
            <w:tcW w:w="3843" w:type="pct"/>
            <w:gridSpan w:val="3"/>
            <w:shd w:val="clear" w:color="auto" w:fill="D9D9D9" w:themeFill="background1" w:themeFillShade="D9"/>
            <w:vAlign w:val="center"/>
          </w:tcPr>
          <w:p w:rsidR="00516A59" w:rsidRDefault="007D3F6A">
            <w:pPr>
              <w:pStyle w:val="TableText0"/>
              <w:keepNext w:val="0"/>
              <w:keepLines/>
            </w:pPr>
            <w:r>
              <w:t>Incremental cost per QALY gained (PD-L1 TPS ≥50%)</w:t>
            </w:r>
          </w:p>
        </w:tc>
        <w:tc>
          <w:tcPr>
            <w:tcW w:w="1157" w:type="pct"/>
            <w:shd w:val="clear" w:color="auto" w:fill="D9D9D9" w:themeFill="background1" w:themeFillShade="D9"/>
            <w:vAlign w:val="center"/>
          </w:tcPr>
          <w:p w:rsidR="00516A59" w:rsidRDefault="007D3F6A">
            <w:pPr>
              <w:pStyle w:val="TableText0"/>
              <w:keepNext w:val="0"/>
              <w:keepLines/>
              <w:jc w:val="center"/>
            </w:pPr>
            <w:r>
              <w:t>$</w:t>
            </w:r>
            <w:r w:rsidR="00845E21">
              <w:rPr>
                <w:noProof/>
                <w:color w:val="000000"/>
                <w:highlight w:val="black"/>
              </w:rPr>
              <w:t>'''''''''''''''</w:t>
            </w:r>
          </w:p>
        </w:tc>
      </w:tr>
    </w:tbl>
    <w:p w:rsidR="00516A59" w:rsidRDefault="007D3F6A">
      <w:pPr>
        <w:pStyle w:val="TableFooter"/>
        <w:keepNext/>
        <w:keepLines/>
        <w:widowControl/>
      </w:pPr>
      <w:r>
        <w:rPr>
          <w:highlight w:val="lightGray"/>
        </w:rPr>
        <w:t>Shaded data previously considered by PBAC</w:t>
      </w:r>
    </w:p>
    <w:p w:rsidR="00516A59" w:rsidRDefault="007D3F6A">
      <w:pPr>
        <w:pStyle w:val="TableFooter"/>
        <w:keepLines/>
        <w:widowControl/>
      </w:pPr>
      <w:r>
        <w:t>LYG = life years gained; QALY = quality-adjusted life year; PD-L1 = Programmed death-ligand 1; Pembro Combo = pembrolizumab + platinum+ pemetrexed; TPS = tumour proportion score</w:t>
      </w:r>
    </w:p>
    <w:p w:rsidR="00516A59" w:rsidRDefault="007D3F6A">
      <w:pPr>
        <w:pStyle w:val="TableFooter"/>
        <w:keepLines/>
        <w:widowControl/>
      </w:pPr>
      <w:r>
        <w:t xml:space="preserve">Note: calculations based on the figures above may differ to results in this table due to rounding. </w:t>
      </w:r>
    </w:p>
    <w:p w:rsidR="00516A59" w:rsidRDefault="007D3F6A">
      <w:pPr>
        <w:pStyle w:val="TableFooter"/>
        <w:keepLines/>
        <w:widowControl/>
      </w:pPr>
      <w:r>
        <w:t>Source: Table 3.8-8 and Table 3.8-9 Section 3 of the resubmission and Table 3.8.1 in 6.06 pembrolizumab COM 11-2018</w:t>
      </w:r>
    </w:p>
    <w:p w:rsidR="00516A59" w:rsidRDefault="00516A59">
      <w:pPr>
        <w:keepLines/>
        <w:widowControl/>
      </w:pPr>
    </w:p>
    <w:p w:rsidR="000C4110" w:rsidRPr="000C4110" w:rsidRDefault="000C4110" w:rsidP="000C4110">
      <w:pPr>
        <w:pStyle w:val="Caption"/>
        <w:keepLines/>
        <w:widowControl/>
        <w:rPr>
          <w:rFonts w:ascii="Calibri" w:hAnsi="Calibri"/>
          <w:b w:val="0"/>
          <w:bCs w:val="0"/>
          <w:sz w:val="24"/>
          <w:szCs w:val="22"/>
        </w:rPr>
      </w:pPr>
      <w:r w:rsidRPr="000C4110">
        <w:rPr>
          <w:rFonts w:ascii="Calibri" w:hAnsi="Calibri"/>
          <w:b w:val="0"/>
          <w:bCs w:val="0"/>
          <w:sz w:val="24"/>
          <w:szCs w:val="22"/>
        </w:rPr>
        <w:t>The redacted table shows ICERs in the range $15,000/QALY - $45,000/QALY to $45,000/QALY - $75,000/QALY.</w:t>
      </w:r>
    </w:p>
    <w:p w:rsidR="00516A59" w:rsidRDefault="007D3F6A">
      <w:pPr>
        <w:widowControl/>
        <w:jc w:val="left"/>
      </w:pPr>
      <w:r>
        <w:br w:type="page"/>
      </w:r>
    </w:p>
    <w:p w:rsidR="00516A59" w:rsidRDefault="007D3F6A">
      <w:pPr>
        <w:pStyle w:val="ListParagraph"/>
        <w:keepLines/>
        <w:widowControl/>
      </w:pPr>
      <w:r>
        <w:lastRenderedPageBreak/>
        <w:t xml:space="preserve">The results of key sensitivity analyses are provided in Table </w:t>
      </w:r>
      <w:r>
        <w:rPr>
          <w:noProof/>
        </w:rPr>
        <w:t>17</w:t>
      </w:r>
      <w:r>
        <w:t xml:space="preserve"> below. </w:t>
      </w:r>
    </w:p>
    <w:p w:rsidR="0093515B" w:rsidRDefault="0093515B" w:rsidP="0093515B">
      <w:pPr>
        <w:pStyle w:val="Caption"/>
        <w:keepNext/>
      </w:pPr>
      <w:r>
        <w:t xml:space="preserve">Table </w:t>
      </w:r>
      <w:r>
        <w:rPr>
          <w:noProof/>
        </w:rPr>
        <w:t>17</w:t>
      </w:r>
      <w:r w:rsidRPr="00D16AC3">
        <w:t>: Results of selected univariate sensitivity analyses</w:t>
      </w:r>
    </w:p>
    <w:tbl>
      <w:tblPr>
        <w:tblStyle w:val="TableGrid"/>
        <w:tblW w:w="9232" w:type="dxa"/>
        <w:tblLayout w:type="fixed"/>
        <w:tblCellMar>
          <w:left w:w="28" w:type="dxa"/>
          <w:right w:w="28" w:type="dxa"/>
        </w:tblCellMar>
        <w:tblLook w:val="04A0" w:firstRow="1" w:lastRow="0" w:firstColumn="1" w:lastColumn="0" w:noHBand="0" w:noVBand="1"/>
        <w:tblCaption w:val="Table 17: Results of selected univariate sensitivity analyses"/>
      </w:tblPr>
      <w:tblGrid>
        <w:gridCol w:w="392"/>
        <w:gridCol w:w="2802"/>
        <w:gridCol w:w="2363"/>
        <w:gridCol w:w="1931"/>
        <w:gridCol w:w="1744"/>
      </w:tblGrid>
      <w:tr w:rsidR="00516A59">
        <w:trPr>
          <w:tblHeader/>
        </w:trPr>
        <w:tc>
          <w:tcPr>
            <w:tcW w:w="392" w:type="dxa"/>
            <w:vMerge w:val="restart"/>
          </w:tcPr>
          <w:p w:rsidR="00516A59" w:rsidRDefault="007D3F6A">
            <w:pPr>
              <w:pStyle w:val="Tabletext"/>
              <w:keepNext/>
              <w:keepLines/>
              <w:rPr>
                <w:b/>
              </w:rPr>
            </w:pPr>
            <w:r>
              <w:rPr>
                <w:b/>
              </w:rPr>
              <w:t>#</w:t>
            </w:r>
          </w:p>
        </w:tc>
        <w:tc>
          <w:tcPr>
            <w:tcW w:w="2802" w:type="dxa"/>
            <w:vMerge w:val="restart"/>
          </w:tcPr>
          <w:p w:rsidR="00516A59" w:rsidRDefault="007D3F6A">
            <w:pPr>
              <w:pStyle w:val="Tabletext"/>
              <w:keepNext/>
              <w:keepLines/>
              <w:rPr>
                <w:b/>
              </w:rPr>
            </w:pPr>
            <w:r>
              <w:rPr>
                <w:b/>
              </w:rPr>
              <w:t>Variable (base case)</w:t>
            </w:r>
          </w:p>
        </w:tc>
        <w:tc>
          <w:tcPr>
            <w:tcW w:w="2363" w:type="dxa"/>
            <w:vMerge w:val="restart"/>
            <w:noWrap/>
          </w:tcPr>
          <w:p w:rsidR="00516A59" w:rsidRDefault="007D3F6A">
            <w:pPr>
              <w:pStyle w:val="Tabletext"/>
              <w:keepNext/>
              <w:keepLines/>
              <w:rPr>
                <w:b/>
              </w:rPr>
            </w:pPr>
            <w:r>
              <w:rPr>
                <w:b/>
              </w:rPr>
              <w:t>Change</w:t>
            </w:r>
          </w:p>
        </w:tc>
        <w:tc>
          <w:tcPr>
            <w:tcW w:w="3675" w:type="dxa"/>
            <w:gridSpan w:val="2"/>
            <w:noWrap/>
          </w:tcPr>
          <w:p w:rsidR="00516A59" w:rsidRDefault="007D3F6A">
            <w:pPr>
              <w:pStyle w:val="Tabletext"/>
              <w:keepNext/>
              <w:keepLines/>
              <w:jc w:val="center"/>
              <w:rPr>
                <w:b/>
              </w:rPr>
            </w:pPr>
            <w:r>
              <w:rPr>
                <w:b/>
              </w:rPr>
              <w:t>ICER ($/QALY)</w:t>
            </w:r>
          </w:p>
        </w:tc>
      </w:tr>
      <w:tr w:rsidR="00516A59">
        <w:trPr>
          <w:tblHeader/>
        </w:trPr>
        <w:tc>
          <w:tcPr>
            <w:tcW w:w="392" w:type="dxa"/>
            <w:vMerge/>
          </w:tcPr>
          <w:p w:rsidR="00516A59" w:rsidRDefault="00516A59">
            <w:pPr>
              <w:pStyle w:val="Tabletext"/>
              <w:keepNext/>
              <w:keepLines/>
              <w:rPr>
                <w:b/>
              </w:rPr>
            </w:pPr>
          </w:p>
        </w:tc>
        <w:tc>
          <w:tcPr>
            <w:tcW w:w="2802" w:type="dxa"/>
            <w:vMerge/>
            <w:hideMark/>
          </w:tcPr>
          <w:p w:rsidR="00516A59" w:rsidRDefault="00516A59">
            <w:pPr>
              <w:pStyle w:val="Tabletext"/>
              <w:keepNext/>
              <w:keepLines/>
              <w:rPr>
                <w:b/>
              </w:rPr>
            </w:pPr>
          </w:p>
        </w:tc>
        <w:tc>
          <w:tcPr>
            <w:tcW w:w="2363" w:type="dxa"/>
            <w:vMerge/>
            <w:noWrap/>
            <w:hideMark/>
          </w:tcPr>
          <w:p w:rsidR="00516A59" w:rsidRDefault="00516A59">
            <w:pPr>
              <w:pStyle w:val="Tabletext"/>
              <w:keepNext/>
              <w:keepLines/>
              <w:rPr>
                <w:b/>
              </w:rPr>
            </w:pPr>
          </w:p>
        </w:tc>
        <w:tc>
          <w:tcPr>
            <w:tcW w:w="1931" w:type="dxa"/>
            <w:noWrap/>
            <w:hideMark/>
          </w:tcPr>
          <w:p w:rsidR="00516A59" w:rsidRDefault="007D3F6A">
            <w:pPr>
              <w:pStyle w:val="Tabletext"/>
              <w:keepNext/>
              <w:keepLines/>
              <w:jc w:val="center"/>
              <w:rPr>
                <w:b/>
              </w:rPr>
            </w:pPr>
            <w:r>
              <w:rPr>
                <w:b/>
              </w:rPr>
              <w:t>PD-L1 TPS &lt;50%:</w:t>
            </w:r>
          </w:p>
        </w:tc>
        <w:tc>
          <w:tcPr>
            <w:tcW w:w="1744" w:type="dxa"/>
            <w:noWrap/>
            <w:hideMark/>
          </w:tcPr>
          <w:p w:rsidR="00516A59" w:rsidRDefault="007D3F6A">
            <w:pPr>
              <w:pStyle w:val="Tabletext"/>
              <w:keepNext/>
              <w:keepLines/>
              <w:jc w:val="center"/>
              <w:rPr>
                <w:b/>
              </w:rPr>
            </w:pPr>
            <w:r>
              <w:rPr>
                <w:b/>
              </w:rPr>
              <w:t>PD-L1 TPS ≥50%:</w:t>
            </w:r>
          </w:p>
        </w:tc>
      </w:tr>
      <w:tr w:rsidR="00516A59">
        <w:tc>
          <w:tcPr>
            <w:tcW w:w="392" w:type="dxa"/>
          </w:tcPr>
          <w:p w:rsidR="00516A59" w:rsidRDefault="007D3F6A">
            <w:pPr>
              <w:pStyle w:val="Tabletext"/>
              <w:keepNext/>
              <w:keepLines/>
            </w:pPr>
            <w:r>
              <w:t>1</w:t>
            </w:r>
          </w:p>
        </w:tc>
        <w:tc>
          <w:tcPr>
            <w:tcW w:w="5165" w:type="dxa"/>
            <w:gridSpan w:val="2"/>
            <w:hideMark/>
          </w:tcPr>
          <w:p w:rsidR="00516A59" w:rsidRDefault="007D3F6A">
            <w:pPr>
              <w:pStyle w:val="Tabletext"/>
              <w:keepNext/>
              <w:keepLines/>
            </w:pPr>
            <w:r>
              <w:t>Base case</w:t>
            </w:r>
          </w:p>
        </w:tc>
        <w:tc>
          <w:tcPr>
            <w:tcW w:w="1931" w:type="dxa"/>
            <w:noWrap/>
            <w:hideMark/>
          </w:tcPr>
          <w:p w:rsidR="00516A59" w:rsidRDefault="007D3F6A">
            <w:pPr>
              <w:pStyle w:val="Tabletext"/>
              <w:keepNext/>
              <w:keepLines/>
              <w:jc w:val="center"/>
            </w:pPr>
            <w:r>
              <w:t>$</w:t>
            </w:r>
            <w:r w:rsidR="00845E21">
              <w:rPr>
                <w:noProof/>
                <w:color w:val="000000"/>
                <w:highlight w:val="black"/>
              </w:rPr>
              <w:t>'''''''''''''''</w:t>
            </w:r>
          </w:p>
        </w:tc>
        <w:tc>
          <w:tcPr>
            <w:tcW w:w="1744" w:type="dxa"/>
            <w:noWrap/>
            <w:hideMark/>
          </w:tcPr>
          <w:p w:rsidR="00516A59" w:rsidRDefault="007D3F6A">
            <w:pPr>
              <w:pStyle w:val="Tabletext"/>
              <w:keepNext/>
              <w:keepLines/>
              <w:jc w:val="center"/>
            </w:pPr>
            <w:r>
              <w:t>$</w:t>
            </w:r>
            <w:r w:rsidR="00845E21">
              <w:rPr>
                <w:noProof/>
                <w:color w:val="000000"/>
                <w:highlight w:val="black"/>
              </w:rPr>
              <w:t>''''''''''''''''</w:t>
            </w:r>
          </w:p>
        </w:tc>
      </w:tr>
      <w:tr w:rsidR="00516A59">
        <w:tc>
          <w:tcPr>
            <w:tcW w:w="392" w:type="dxa"/>
          </w:tcPr>
          <w:p w:rsidR="00516A59" w:rsidRDefault="007D3F6A">
            <w:pPr>
              <w:pStyle w:val="Tabletext"/>
              <w:keepNext/>
              <w:keepLines/>
            </w:pPr>
            <w:r>
              <w:t>2</w:t>
            </w:r>
          </w:p>
        </w:tc>
        <w:tc>
          <w:tcPr>
            <w:tcW w:w="2802" w:type="dxa"/>
            <w:vMerge w:val="restart"/>
            <w:hideMark/>
          </w:tcPr>
          <w:p w:rsidR="00516A59" w:rsidRDefault="007D3F6A">
            <w:pPr>
              <w:pStyle w:val="Tabletext"/>
              <w:keepNext/>
              <w:keepLines/>
            </w:pPr>
            <w:r>
              <w:t>Discount rate (5%)</w:t>
            </w:r>
          </w:p>
        </w:tc>
        <w:tc>
          <w:tcPr>
            <w:tcW w:w="2363" w:type="dxa"/>
            <w:noWrap/>
            <w:hideMark/>
          </w:tcPr>
          <w:p w:rsidR="00516A59" w:rsidRDefault="007D3F6A">
            <w:pPr>
              <w:pStyle w:val="Tabletext"/>
              <w:keepNext/>
              <w:keepLines/>
            </w:pPr>
            <w:r>
              <w:t>0%</w:t>
            </w:r>
          </w:p>
        </w:tc>
        <w:tc>
          <w:tcPr>
            <w:tcW w:w="1931" w:type="dxa"/>
            <w:noWrap/>
            <w:hideMark/>
          </w:tcPr>
          <w:p w:rsidR="00516A59" w:rsidRDefault="007D3F6A">
            <w:pPr>
              <w:pStyle w:val="Tabletext"/>
              <w:keepNext/>
              <w:keepLines/>
              <w:jc w:val="center"/>
            </w:pPr>
            <w:r>
              <w:t>$</w:t>
            </w:r>
            <w:r w:rsidR="00845E21">
              <w:rPr>
                <w:noProof/>
                <w:color w:val="000000"/>
                <w:highlight w:val="black"/>
              </w:rPr>
              <w:t>'''''''''''''''''</w:t>
            </w:r>
          </w:p>
        </w:tc>
        <w:tc>
          <w:tcPr>
            <w:tcW w:w="1744" w:type="dxa"/>
            <w:noWrap/>
            <w:hideMark/>
          </w:tcPr>
          <w:p w:rsidR="00516A59" w:rsidRDefault="007D3F6A">
            <w:pPr>
              <w:pStyle w:val="Tabletext"/>
              <w:keepNext/>
              <w:keepLines/>
              <w:jc w:val="center"/>
            </w:pPr>
            <w:r>
              <w:t>$</w:t>
            </w:r>
            <w:r w:rsidR="00845E21">
              <w:rPr>
                <w:noProof/>
                <w:color w:val="000000"/>
                <w:highlight w:val="black"/>
              </w:rPr>
              <w:t>'''''''''''''''''</w:t>
            </w:r>
          </w:p>
        </w:tc>
      </w:tr>
      <w:tr w:rsidR="00516A59">
        <w:tc>
          <w:tcPr>
            <w:tcW w:w="392" w:type="dxa"/>
          </w:tcPr>
          <w:p w:rsidR="00516A59" w:rsidRDefault="007D3F6A">
            <w:pPr>
              <w:pStyle w:val="Tabletext"/>
              <w:keepNext/>
              <w:keepLines/>
            </w:pPr>
            <w:r>
              <w:t>3</w:t>
            </w:r>
          </w:p>
        </w:tc>
        <w:tc>
          <w:tcPr>
            <w:tcW w:w="2802" w:type="dxa"/>
            <w:vMerge/>
            <w:hideMark/>
          </w:tcPr>
          <w:p w:rsidR="00516A59" w:rsidRDefault="00516A59">
            <w:pPr>
              <w:pStyle w:val="Tabletext"/>
              <w:keepNext/>
              <w:keepLines/>
            </w:pPr>
          </w:p>
        </w:tc>
        <w:tc>
          <w:tcPr>
            <w:tcW w:w="2363" w:type="dxa"/>
            <w:noWrap/>
            <w:hideMark/>
          </w:tcPr>
          <w:p w:rsidR="00516A59" w:rsidRDefault="007D3F6A">
            <w:pPr>
              <w:pStyle w:val="Tabletext"/>
              <w:keepNext/>
              <w:keepLines/>
            </w:pPr>
            <w:r>
              <w:t>10%</w:t>
            </w:r>
          </w:p>
        </w:tc>
        <w:tc>
          <w:tcPr>
            <w:tcW w:w="1931" w:type="dxa"/>
            <w:noWrap/>
            <w:hideMark/>
          </w:tcPr>
          <w:p w:rsidR="00516A59" w:rsidRDefault="007D3F6A">
            <w:pPr>
              <w:pStyle w:val="Tabletext"/>
              <w:keepNext/>
              <w:keepLines/>
              <w:jc w:val="center"/>
            </w:pPr>
            <w:r>
              <w:t>$</w:t>
            </w:r>
            <w:r w:rsidR="00845E21">
              <w:rPr>
                <w:noProof/>
                <w:color w:val="000000"/>
                <w:highlight w:val="black"/>
              </w:rPr>
              <w:t>''''''''''''''''</w:t>
            </w:r>
          </w:p>
        </w:tc>
        <w:tc>
          <w:tcPr>
            <w:tcW w:w="1744" w:type="dxa"/>
            <w:noWrap/>
            <w:hideMark/>
          </w:tcPr>
          <w:p w:rsidR="00516A59" w:rsidRDefault="007D3F6A">
            <w:pPr>
              <w:pStyle w:val="Tabletext"/>
              <w:keepNext/>
              <w:keepLines/>
              <w:jc w:val="center"/>
            </w:pPr>
            <w:r>
              <w:t>$</w:t>
            </w:r>
            <w:r w:rsidR="00845E21">
              <w:rPr>
                <w:noProof/>
                <w:color w:val="000000"/>
                <w:highlight w:val="black"/>
              </w:rPr>
              <w:t>''''''''''''''''</w:t>
            </w:r>
          </w:p>
        </w:tc>
      </w:tr>
      <w:tr w:rsidR="00516A59">
        <w:tc>
          <w:tcPr>
            <w:tcW w:w="392" w:type="dxa"/>
          </w:tcPr>
          <w:p w:rsidR="00516A59" w:rsidRDefault="007D3F6A">
            <w:pPr>
              <w:pStyle w:val="Tabletext"/>
              <w:keepNext/>
              <w:keepLines/>
            </w:pPr>
            <w:r>
              <w:t>4</w:t>
            </w:r>
          </w:p>
        </w:tc>
        <w:tc>
          <w:tcPr>
            <w:tcW w:w="2802" w:type="dxa"/>
            <w:vMerge w:val="restart"/>
            <w:hideMark/>
          </w:tcPr>
          <w:p w:rsidR="00516A59" w:rsidRDefault="007D3F6A">
            <w:pPr>
              <w:pStyle w:val="Tabletext"/>
              <w:keepNext/>
              <w:keepLines/>
            </w:pPr>
            <w:r>
              <w:t>Time horizon (7.5 years)</w:t>
            </w:r>
          </w:p>
        </w:tc>
        <w:tc>
          <w:tcPr>
            <w:tcW w:w="2363" w:type="dxa"/>
            <w:noWrap/>
            <w:hideMark/>
          </w:tcPr>
          <w:p w:rsidR="00516A59" w:rsidRDefault="007D3F6A">
            <w:pPr>
              <w:pStyle w:val="Tabletext"/>
              <w:keepNext/>
              <w:keepLines/>
            </w:pPr>
            <w:r>
              <w:t>10 years</w:t>
            </w:r>
          </w:p>
        </w:tc>
        <w:tc>
          <w:tcPr>
            <w:tcW w:w="1931" w:type="dxa"/>
            <w:noWrap/>
            <w:hideMark/>
          </w:tcPr>
          <w:p w:rsidR="00516A59" w:rsidRDefault="007D3F6A">
            <w:pPr>
              <w:pStyle w:val="Tabletext"/>
              <w:keepNext/>
              <w:keepLines/>
              <w:jc w:val="center"/>
            </w:pPr>
            <w:r>
              <w:t>$</w:t>
            </w:r>
            <w:r w:rsidR="00845E21">
              <w:rPr>
                <w:noProof/>
                <w:color w:val="000000"/>
                <w:highlight w:val="black"/>
              </w:rPr>
              <w:t>'''''''''''''''''</w:t>
            </w:r>
          </w:p>
        </w:tc>
        <w:tc>
          <w:tcPr>
            <w:tcW w:w="1744" w:type="dxa"/>
            <w:noWrap/>
            <w:hideMark/>
          </w:tcPr>
          <w:p w:rsidR="00516A59" w:rsidRDefault="007D3F6A">
            <w:pPr>
              <w:pStyle w:val="Tabletext"/>
              <w:keepNext/>
              <w:keepLines/>
              <w:jc w:val="center"/>
            </w:pPr>
            <w:r>
              <w:rPr>
                <w:rFonts w:cs="Arial"/>
                <w:color w:val="000000"/>
                <w:szCs w:val="18"/>
                <w:lang w:eastAsia="en-NZ"/>
              </w:rPr>
              <w:t>$</w:t>
            </w:r>
            <w:r w:rsidR="00845E21">
              <w:rPr>
                <w:rFonts w:cs="Arial"/>
                <w:noProof/>
                <w:color w:val="000000"/>
                <w:szCs w:val="18"/>
                <w:highlight w:val="black"/>
                <w:lang w:eastAsia="en-NZ"/>
              </w:rPr>
              <w:t>''''''''''''''''''</w:t>
            </w:r>
          </w:p>
        </w:tc>
      </w:tr>
      <w:tr w:rsidR="00516A59">
        <w:tc>
          <w:tcPr>
            <w:tcW w:w="392" w:type="dxa"/>
          </w:tcPr>
          <w:p w:rsidR="00516A59" w:rsidRDefault="007D3F6A">
            <w:pPr>
              <w:pStyle w:val="Tabletext"/>
              <w:keepNext/>
              <w:keepLines/>
            </w:pPr>
            <w:r>
              <w:t>5</w:t>
            </w:r>
          </w:p>
        </w:tc>
        <w:tc>
          <w:tcPr>
            <w:tcW w:w="2802" w:type="dxa"/>
            <w:vMerge/>
            <w:hideMark/>
          </w:tcPr>
          <w:p w:rsidR="00516A59" w:rsidRDefault="00516A59">
            <w:pPr>
              <w:pStyle w:val="Tabletext"/>
              <w:keepNext/>
              <w:keepLines/>
            </w:pPr>
          </w:p>
        </w:tc>
        <w:tc>
          <w:tcPr>
            <w:tcW w:w="2363" w:type="dxa"/>
            <w:noWrap/>
            <w:hideMark/>
          </w:tcPr>
          <w:p w:rsidR="00516A59" w:rsidRDefault="007D3F6A">
            <w:pPr>
              <w:pStyle w:val="Tabletext"/>
              <w:keepNext/>
              <w:keepLines/>
            </w:pPr>
            <w:r>
              <w:t>5 years</w:t>
            </w:r>
          </w:p>
        </w:tc>
        <w:tc>
          <w:tcPr>
            <w:tcW w:w="1931" w:type="dxa"/>
            <w:noWrap/>
            <w:hideMark/>
          </w:tcPr>
          <w:p w:rsidR="00516A59" w:rsidRDefault="007D3F6A">
            <w:pPr>
              <w:pStyle w:val="Tabletext"/>
              <w:keepNext/>
              <w:keepLines/>
              <w:jc w:val="center"/>
            </w:pPr>
            <w:r>
              <w:t>$</w:t>
            </w:r>
            <w:r w:rsidR="00845E21">
              <w:rPr>
                <w:noProof/>
                <w:color w:val="000000"/>
                <w:highlight w:val="black"/>
              </w:rPr>
              <w:t>'''''''''''''''</w:t>
            </w:r>
          </w:p>
        </w:tc>
        <w:tc>
          <w:tcPr>
            <w:tcW w:w="1744" w:type="dxa"/>
            <w:noWrap/>
            <w:hideMark/>
          </w:tcPr>
          <w:p w:rsidR="00516A59" w:rsidRDefault="007D3F6A">
            <w:pPr>
              <w:pStyle w:val="Tabletext"/>
              <w:keepNext/>
              <w:keepLines/>
              <w:jc w:val="center"/>
            </w:pPr>
            <w:r>
              <w:t>$</w:t>
            </w:r>
            <w:r w:rsidR="00845E21">
              <w:rPr>
                <w:noProof/>
                <w:color w:val="000000"/>
                <w:highlight w:val="black"/>
              </w:rPr>
              <w:t>'''''''''''''''''</w:t>
            </w:r>
          </w:p>
        </w:tc>
      </w:tr>
      <w:tr w:rsidR="00516A59">
        <w:tc>
          <w:tcPr>
            <w:tcW w:w="392" w:type="dxa"/>
          </w:tcPr>
          <w:p w:rsidR="00516A59" w:rsidRDefault="007D3F6A">
            <w:pPr>
              <w:pStyle w:val="Tabletext"/>
              <w:keepNext/>
              <w:keepLines/>
            </w:pPr>
            <w:r>
              <w:t>6</w:t>
            </w:r>
          </w:p>
        </w:tc>
        <w:tc>
          <w:tcPr>
            <w:tcW w:w="2802" w:type="dxa"/>
            <w:vMerge w:val="restart"/>
            <w:hideMark/>
          </w:tcPr>
          <w:p w:rsidR="00516A59" w:rsidRDefault="007D3F6A">
            <w:pPr>
              <w:pStyle w:val="Tabletext"/>
              <w:keepNext/>
              <w:keepLines/>
            </w:pPr>
            <w:r>
              <w:t xml:space="preserve">AE costs </w:t>
            </w:r>
          </w:p>
          <w:p w:rsidR="00516A59" w:rsidRDefault="007D3F6A">
            <w:pPr>
              <w:pStyle w:val="Tabletext"/>
              <w:keepNext/>
              <w:keepLines/>
            </w:pPr>
            <w:r>
              <w:t xml:space="preserve">(Pembro combo =$1,473; </w:t>
            </w:r>
          </w:p>
          <w:p w:rsidR="00516A59" w:rsidRDefault="007D3F6A">
            <w:pPr>
              <w:pStyle w:val="Tabletext"/>
              <w:keepNext/>
              <w:keepLines/>
            </w:pPr>
            <w:r>
              <w:t>Pembro Mono = $1,089; platinum+pemetrexed = $46)</w:t>
            </w:r>
          </w:p>
        </w:tc>
        <w:tc>
          <w:tcPr>
            <w:tcW w:w="2363" w:type="dxa"/>
            <w:noWrap/>
            <w:hideMark/>
          </w:tcPr>
          <w:p w:rsidR="00516A59" w:rsidRDefault="007D3F6A">
            <w:pPr>
              <w:pStyle w:val="Tabletext"/>
              <w:keepNext/>
              <w:keepLines/>
            </w:pPr>
            <w:r>
              <w:t>Halved:</w:t>
            </w:r>
          </w:p>
          <w:p w:rsidR="00516A59" w:rsidRDefault="007D3F6A">
            <w:pPr>
              <w:pStyle w:val="Tabletext"/>
              <w:keepNext/>
              <w:keepLines/>
            </w:pPr>
            <w:r>
              <w:t xml:space="preserve">Pembro combo =$737 </w:t>
            </w:r>
          </w:p>
          <w:p w:rsidR="00516A59" w:rsidRDefault="007D3F6A">
            <w:pPr>
              <w:pStyle w:val="Tabletext"/>
              <w:keepNext/>
              <w:keepLines/>
            </w:pPr>
            <w:r>
              <w:t>Pembro Mono = $544 platinum+pemetrexed = $23</w:t>
            </w:r>
          </w:p>
        </w:tc>
        <w:tc>
          <w:tcPr>
            <w:tcW w:w="1931" w:type="dxa"/>
            <w:noWrap/>
            <w:hideMark/>
          </w:tcPr>
          <w:p w:rsidR="00516A59" w:rsidRDefault="007D3F6A">
            <w:pPr>
              <w:pStyle w:val="Tabletext"/>
              <w:keepNext/>
              <w:keepLines/>
              <w:jc w:val="center"/>
            </w:pPr>
            <w:r>
              <w:t>$</w:t>
            </w:r>
            <w:r w:rsidR="00845E21">
              <w:rPr>
                <w:noProof/>
                <w:color w:val="000000"/>
                <w:highlight w:val="black"/>
              </w:rPr>
              <w:t>''''''''''''''''</w:t>
            </w:r>
          </w:p>
        </w:tc>
        <w:tc>
          <w:tcPr>
            <w:tcW w:w="1744" w:type="dxa"/>
            <w:noWrap/>
            <w:hideMark/>
          </w:tcPr>
          <w:p w:rsidR="00516A59" w:rsidRDefault="007D3F6A">
            <w:pPr>
              <w:pStyle w:val="Tabletext"/>
              <w:keepNext/>
              <w:keepLines/>
              <w:jc w:val="center"/>
            </w:pPr>
            <w:r>
              <w:t>$</w:t>
            </w:r>
            <w:r w:rsidR="00845E21">
              <w:rPr>
                <w:noProof/>
                <w:color w:val="000000"/>
                <w:highlight w:val="black"/>
              </w:rPr>
              <w:t>'''''''''''''''''</w:t>
            </w:r>
          </w:p>
        </w:tc>
      </w:tr>
      <w:tr w:rsidR="00516A59">
        <w:tc>
          <w:tcPr>
            <w:tcW w:w="392" w:type="dxa"/>
          </w:tcPr>
          <w:p w:rsidR="00516A59" w:rsidRDefault="007D3F6A">
            <w:pPr>
              <w:pStyle w:val="Tabletext"/>
              <w:keepNext/>
              <w:keepLines/>
            </w:pPr>
            <w:r>
              <w:t>7</w:t>
            </w:r>
          </w:p>
        </w:tc>
        <w:tc>
          <w:tcPr>
            <w:tcW w:w="2802" w:type="dxa"/>
            <w:vMerge/>
            <w:hideMark/>
          </w:tcPr>
          <w:p w:rsidR="00516A59" w:rsidRDefault="00516A59">
            <w:pPr>
              <w:pStyle w:val="Tabletext"/>
              <w:keepNext/>
              <w:keepLines/>
            </w:pPr>
          </w:p>
        </w:tc>
        <w:tc>
          <w:tcPr>
            <w:tcW w:w="2363" w:type="dxa"/>
            <w:noWrap/>
            <w:hideMark/>
          </w:tcPr>
          <w:p w:rsidR="00516A59" w:rsidRDefault="007D3F6A">
            <w:pPr>
              <w:pStyle w:val="Tabletext"/>
              <w:keepNext/>
              <w:keepLines/>
            </w:pPr>
            <w:r>
              <w:t>Doubled:</w:t>
            </w:r>
          </w:p>
          <w:p w:rsidR="00516A59" w:rsidRDefault="007D3F6A">
            <w:pPr>
              <w:pStyle w:val="Tabletext"/>
              <w:keepNext/>
              <w:keepLines/>
            </w:pPr>
            <w:r>
              <w:t xml:space="preserve">Pembro combo =$2,946 </w:t>
            </w:r>
          </w:p>
          <w:p w:rsidR="00516A59" w:rsidRDefault="007D3F6A">
            <w:pPr>
              <w:pStyle w:val="Tabletext"/>
              <w:keepNext/>
              <w:keepLines/>
            </w:pPr>
            <w:r>
              <w:t>Pembro Mono = $2,177 platinum+pemetrexed = $92</w:t>
            </w:r>
          </w:p>
        </w:tc>
        <w:tc>
          <w:tcPr>
            <w:tcW w:w="1931" w:type="dxa"/>
            <w:noWrap/>
            <w:hideMark/>
          </w:tcPr>
          <w:p w:rsidR="00516A59" w:rsidRDefault="007D3F6A">
            <w:pPr>
              <w:pStyle w:val="Tabletext"/>
              <w:keepNext/>
              <w:keepLines/>
              <w:jc w:val="center"/>
            </w:pPr>
            <w:r>
              <w:t>$</w:t>
            </w:r>
            <w:r w:rsidR="00845E21">
              <w:rPr>
                <w:noProof/>
                <w:color w:val="000000"/>
                <w:highlight w:val="black"/>
              </w:rPr>
              <w:t>''''''''''''''''</w:t>
            </w:r>
          </w:p>
        </w:tc>
        <w:tc>
          <w:tcPr>
            <w:tcW w:w="1744" w:type="dxa"/>
            <w:noWrap/>
            <w:hideMark/>
          </w:tcPr>
          <w:p w:rsidR="00516A59" w:rsidRDefault="007D3F6A">
            <w:pPr>
              <w:pStyle w:val="Tabletext"/>
              <w:keepNext/>
              <w:keepLines/>
              <w:jc w:val="center"/>
            </w:pPr>
            <w:r>
              <w:t>$</w:t>
            </w:r>
            <w:r w:rsidR="00845E21">
              <w:rPr>
                <w:noProof/>
                <w:color w:val="000000"/>
                <w:highlight w:val="black"/>
              </w:rPr>
              <w:t>''''''''''''''''</w:t>
            </w:r>
          </w:p>
        </w:tc>
      </w:tr>
      <w:tr w:rsidR="00516A59">
        <w:tc>
          <w:tcPr>
            <w:tcW w:w="392" w:type="dxa"/>
          </w:tcPr>
          <w:p w:rsidR="00516A59" w:rsidRDefault="007D3F6A">
            <w:pPr>
              <w:pStyle w:val="Tabletext"/>
              <w:keepNext/>
              <w:keepLines/>
            </w:pPr>
            <w:r>
              <w:t>8</w:t>
            </w:r>
          </w:p>
        </w:tc>
        <w:tc>
          <w:tcPr>
            <w:tcW w:w="2802" w:type="dxa"/>
            <w:vMerge w:val="restart"/>
            <w:hideMark/>
          </w:tcPr>
          <w:p w:rsidR="00516A59" w:rsidRDefault="007D3F6A">
            <w:pPr>
              <w:pStyle w:val="Tabletext"/>
              <w:keepNext/>
              <w:keepLines/>
            </w:pPr>
            <w:r>
              <w:t xml:space="preserve">Disease management costs^ </w:t>
            </w:r>
          </w:p>
          <w:p w:rsidR="00516A59" w:rsidRDefault="00516A59">
            <w:pPr>
              <w:pStyle w:val="Tabletext"/>
              <w:keepNext/>
              <w:keepLines/>
            </w:pPr>
          </w:p>
        </w:tc>
        <w:tc>
          <w:tcPr>
            <w:tcW w:w="2363" w:type="dxa"/>
            <w:noWrap/>
            <w:hideMark/>
          </w:tcPr>
          <w:p w:rsidR="00516A59" w:rsidRDefault="007D3F6A">
            <w:pPr>
              <w:pStyle w:val="Tabletext"/>
              <w:keepNext/>
              <w:keepLines/>
            </w:pPr>
            <w:r>
              <w:t>Halved</w:t>
            </w:r>
          </w:p>
        </w:tc>
        <w:tc>
          <w:tcPr>
            <w:tcW w:w="1931" w:type="dxa"/>
            <w:noWrap/>
            <w:hideMark/>
          </w:tcPr>
          <w:p w:rsidR="00516A59" w:rsidRDefault="007D3F6A">
            <w:pPr>
              <w:pStyle w:val="Tabletext"/>
              <w:keepNext/>
              <w:keepLines/>
              <w:jc w:val="center"/>
            </w:pPr>
            <w:r>
              <w:t>$</w:t>
            </w:r>
            <w:r w:rsidR="00845E21">
              <w:rPr>
                <w:noProof/>
                <w:color w:val="000000"/>
                <w:highlight w:val="black"/>
              </w:rPr>
              <w:t>''''''''''''''''''</w:t>
            </w:r>
          </w:p>
        </w:tc>
        <w:tc>
          <w:tcPr>
            <w:tcW w:w="1744" w:type="dxa"/>
            <w:noWrap/>
            <w:hideMark/>
          </w:tcPr>
          <w:p w:rsidR="00516A59" w:rsidRDefault="007D3F6A">
            <w:pPr>
              <w:pStyle w:val="Tabletext"/>
              <w:keepNext/>
              <w:keepLines/>
              <w:jc w:val="center"/>
            </w:pPr>
            <w:r>
              <w:t>$</w:t>
            </w:r>
            <w:r w:rsidR="00845E21">
              <w:rPr>
                <w:noProof/>
                <w:color w:val="000000"/>
                <w:highlight w:val="black"/>
              </w:rPr>
              <w:t>''''''''''''''''</w:t>
            </w:r>
          </w:p>
        </w:tc>
      </w:tr>
      <w:tr w:rsidR="00516A59">
        <w:tc>
          <w:tcPr>
            <w:tcW w:w="392" w:type="dxa"/>
          </w:tcPr>
          <w:p w:rsidR="00516A59" w:rsidRDefault="007D3F6A">
            <w:pPr>
              <w:pStyle w:val="Tabletext"/>
              <w:keepNext/>
              <w:keepLines/>
            </w:pPr>
            <w:r>
              <w:t>9</w:t>
            </w:r>
          </w:p>
        </w:tc>
        <w:tc>
          <w:tcPr>
            <w:tcW w:w="2802" w:type="dxa"/>
            <w:vMerge/>
            <w:hideMark/>
          </w:tcPr>
          <w:p w:rsidR="00516A59" w:rsidRDefault="00516A59">
            <w:pPr>
              <w:pStyle w:val="Tabletext"/>
              <w:keepNext/>
              <w:keepLines/>
            </w:pPr>
          </w:p>
        </w:tc>
        <w:tc>
          <w:tcPr>
            <w:tcW w:w="2363" w:type="dxa"/>
            <w:noWrap/>
            <w:hideMark/>
          </w:tcPr>
          <w:p w:rsidR="00516A59" w:rsidRDefault="007D3F6A">
            <w:pPr>
              <w:pStyle w:val="Tabletext"/>
              <w:keepNext/>
              <w:keepLines/>
            </w:pPr>
            <w:r>
              <w:t>Doubled</w:t>
            </w:r>
          </w:p>
        </w:tc>
        <w:tc>
          <w:tcPr>
            <w:tcW w:w="1931" w:type="dxa"/>
            <w:noWrap/>
            <w:hideMark/>
          </w:tcPr>
          <w:p w:rsidR="00516A59" w:rsidRDefault="007D3F6A">
            <w:pPr>
              <w:pStyle w:val="Tabletext"/>
              <w:keepNext/>
              <w:keepLines/>
              <w:jc w:val="center"/>
            </w:pPr>
            <w:r>
              <w:t>$</w:t>
            </w:r>
            <w:r w:rsidR="00845E21">
              <w:rPr>
                <w:noProof/>
                <w:color w:val="000000"/>
                <w:highlight w:val="black"/>
              </w:rPr>
              <w:t>''''''''''''''''''</w:t>
            </w:r>
          </w:p>
        </w:tc>
        <w:tc>
          <w:tcPr>
            <w:tcW w:w="1744" w:type="dxa"/>
            <w:noWrap/>
            <w:hideMark/>
          </w:tcPr>
          <w:p w:rsidR="00516A59" w:rsidRDefault="007D3F6A">
            <w:pPr>
              <w:pStyle w:val="Tabletext"/>
              <w:keepNext/>
              <w:keepLines/>
              <w:jc w:val="center"/>
            </w:pPr>
            <w:r>
              <w:t>$</w:t>
            </w:r>
            <w:r w:rsidR="00845E21">
              <w:rPr>
                <w:noProof/>
                <w:color w:val="000000"/>
                <w:highlight w:val="black"/>
              </w:rPr>
              <w:t>''''''''''''''''</w:t>
            </w:r>
          </w:p>
        </w:tc>
      </w:tr>
      <w:tr w:rsidR="00516A59">
        <w:tc>
          <w:tcPr>
            <w:tcW w:w="392" w:type="dxa"/>
          </w:tcPr>
          <w:p w:rsidR="00516A59" w:rsidRDefault="007D3F6A">
            <w:pPr>
              <w:pStyle w:val="Tabletext"/>
              <w:keepNext/>
              <w:keepLines/>
            </w:pPr>
            <w:r>
              <w:t>10</w:t>
            </w:r>
          </w:p>
        </w:tc>
        <w:tc>
          <w:tcPr>
            <w:tcW w:w="2802" w:type="dxa"/>
            <w:vMerge/>
          </w:tcPr>
          <w:p w:rsidR="00516A59" w:rsidRDefault="00516A59">
            <w:pPr>
              <w:pStyle w:val="Tabletext"/>
              <w:keepNext/>
              <w:keepLines/>
            </w:pPr>
          </w:p>
        </w:tc>
        <w:tc>
          <w:tcPr>
            <w:tcW w:w="2363" w:type="dxa"/>
            <w:noWrap/>
          </w:tcPr>
          <w:p w:rsidR="00516A59" w:rsidRDefault="007D3F6A">
            <w:pPr>
              <w:pStyle w:val="Tabletext"/>
              <w:keepNext/>
              <w:keepLines/>
            </w:pPr>
            <w:r>
              <w:t>Disease management costs for the PFS health states in Pembro Combo arm set equal to the platinum+pemetrexed costs*</w:t>
            </w:r>
          </w:p>
        </w:tc>
        <w:tc>
          <w:tcPr>
            <w:tcW w:w="1931" w:type="dxa"/>
            <w:noWrap/>
          </w:tcPr>
          <w:p w:rsidR="00516A59" w:rsidRDefault="007D3F6A">
            <w:pPr>
              <w:pStyle w:val="Tabletext"/>
              <w:keepNext/>
              <w:keepLines/>
              <w:jc w:val="center"/>
            </w:pPr>
            <w:r>
              <w:t>$</w:t>
            </w:r>
            <w:r w:rsidR="00845E21">
              <w:rPr>
                <w:noProof/>
                <w:color w:val="000000"/>
                <w:highlight w:val="black"/>
              </w:rPr>
              <w:t>''''''''''''''''</w:t>
            </w:r>
          </w:p>
          <w:p w:rsidR="00516A59" w:rsidRDefault="00516A59">
            <w:pPr>
              <w:pStyle w:val="Tabletext"/>
              <w:keepNext/>
              <w:keepLines/>
              <w:jc w:val="center"/>
            </w:pPr>
          </w:p>
        </w:tc>
        <w:tc>
          <w:tcPr>
            <w:tcW w:w="1744" w:type="dxa"/>
            <w:noWrap/>
          </w:tcPr>
          <w:p w:rsidR="00516A59" w:rsidRDefault="007D3F6A">
            <w:pPr>
              <w:pStyle w:val="Tabletext"/>
              <w:keepNext/>
              <w:keepLines/>
              <w:jc w:val="center"/>
            </w:pPr>
            <w:r>
              <w:t>$</w:t>
            </w:r>
            <w:r w:rsidR="00845E21">
              <w:rPr>
                <w:noProof/>
                <w:color w:val="000000"/>
                <w:highlight w:val="black"/>
              </w:rPr>
              <w:t>''''''''''''''''</w:t>
            </w:r>
          </w:p>
          <w:p w:rsidR="00516A59" w:rsidRDefault="00516A59">
            <w:pPr>
              <w:pStyle w:val="Tabletext"/>
              <w:keepNext/>
              <w:keepLines/>
              <w:jc w:val="center"/>
            </w:pPr>
          </w:p>
        </w:tc>
      </w:tr>
      <w:tr w:rsidR="00516A59">
        <w:tc>
          <w:tcPr>
            <w:tcW w:w="392" w:type="dxa"/>
          </w:tcPr>
          <w:p w:rsidR="00516A59" w:rsidRDefault="007D3F6A">
            <w:pPr>
              <w:pStyle w:val="Tabletext"/>
              <w:keepNext/>
              <w:keepLines/>
            </w:pPr>
            <w:r>
              <w:t>11</w:t>
            </w:r>
          </w:p>
        </w:tc>
        <w:tc>
          <w:tcPr>
            <w:tcW w:w="2802" w:type="dxa"/>
            <w:vMerge w:val="restart"/>
            <w:hideMark/>
          </w:tcPr>
          <w:p w:rsidR="00516A59" w:rsidRDefault="007D3F6A">
            <w:pPr>
              <w:pStyle w:val="Tabletext"/>
              <w:keepNext/>
              <w:keepLines/>
            </w:pPr>
            <w:r>
              <w:t>Terminal care costs</w:t>
            </w:r>
          </w:p>
        </w:tc>
        <w:tc>
          <w:tcPr>
            <w:tcW w:w="2363" w:type="dxa"/>
            <w:noWrap/>
            <w:hideMark/>
          </w:tcPr>
          <w:p w:rsidR="00516A59" w:rsidRDefault="007D3F6A">
            <w:pPr>
              <w:pStyle w:val="Tabletext"/>
              <w:keepNext/>
              <w:keepLines/>
            </w:pPr>
            <w:r>
              <w:t>Halved</w:t>
            </w:r>
          </w:p>
        </w:tc>
        <w:tc>
          <w:tcPr>
            <w:tcW w:w="1931" w:type="dxa"/>
            <w:noWrap/>
            <w:hideMark/>
          </w:tcPr>
          <w:p w:rsidR="00516A59" w:rsidRDefault="007D3F6A">
            <w:pPr>
              <w:pStyle w:val="Tabletext"/>
              <w:keepNext/>
              <w:keepLines/>
              <w:jc w:val="center"/>
            </w:pPr>
            <w:r>
              <w:t>$</w:t>
            </w:r>
            <w:r w:rsidR="00845E21">
              <w:rPr>
                <w:noProof/>
                <w:color w:val="000000"/>
                <w:highlight w:val="black"/>
              </w:rPr>
              <w:t>''''''''''''''''''</w:t>
            </w:r>
          </w:p>
        </w:tc>
        <w:tc>
          <w:tcPr>
            <w:tcW w:w="1744" w:type="dxa"/>
            <w:noWrap/>
            <w:hideMark/>
          </w:tcPr>
          <w:p w:rsidR="00516A59" w:rsidRDefault="007D3F6A">
            <w:pPr>
              <w:pStyle w:val="Tabletext"/>
              <w:keepNext/>
              <w:keepLines/>
              <w:jc w:val="center"/>
            </w:pPr>
            <w:r>
              <w:t>$</w:t>
            </w:r>
            <w:r w:rsidR="00845E21">
              <w:rPr>
                <w:noProof/>
                <w:color w:val="000000"/>
                <w:highlight w:val="black"/>
              </w:rPr>
              <w:t>''''''''''''''''</w:t>
            </w:r>
          </w:p>
        </w:tc>
      </w:tr>
      <w:tr w:rsidR="00516A59">
        <w:tc>
          <w:tcPr>
            <w:tcW w:w="392" w:type="dxa"/>
          </w:tcPr>
          <w:p w:rsidR="00516A59" w:rsidRDefault="007D3F6A">
            <w:pPr>
              <w:pStyle w:val="Tabletext"/>
              <w:keepNext/>
              <w:keepLines/>
            </w:pPr>
            <w:r>
              <w:t>12</w:t>
            </w:r>
          </w:p>
        </w:tc>
        <w:tc>
          <w:tcPr>
            <w:tcW w:w="2802" w:type="dxa"/>
            <w:vMerge/>
            <w:hideMark/>
          </w:tcPr>
          <w:p w:rsidR="00516A59" w:rsidRDefault="00516A59">
            <w:pPr>
              <w:pStyle w:val="Tabletext"/>
              <w:keepNext/>
              <w:keepLines/>
            </w:pPr>
          </w:p>
        </w:tc>
        <w:tc>
          <w:tcPr>
            <w:tcW w:w="2363" w:type="dxa"/>
            <w:noWrap/>
            <w:hideMark/>
          </w:tcPr>
          <w:p w:rsidR="00516A59" w:rsidRDefault="007D3F6A">
            <w:pPr>
              <w:pStyle w:val="Tabletext"/>
              <w:keepNext/>
              <w:keepLines/>
            </w:pPr>
            <w:r>
              <w:t>Doubled</w:t>
            </w:r>
          </w:p>
        </w:tc>
        <w:tc>
          <w:tcPr>
            <w:tcW w:w="1931" w:type="dxa"/>
            <w:noWrap/>
            <w:hideMark/>
          </w:tcPr>
          <w:p w:rsidR="00516A59" w:rsidRDefault="007D3F6A">
            <w:pPr>
              <w:pStyle w:val="Tabletext"/>
              <w:keepNext/>
              <w:keepLines/>
              <w:jc w:val="center"/>
            </w:pPr>
            <w:r>
              <w:t>$</w:t>
            </w:r>
            <w:r w:rsidR="00845E21">
              <w:rPr>
                <w:noProof/>
                <w:color w:val="000000"/>
                <w:highlight w:val="black"/>
              </w:rPr>
              <w:t>'''''''''''''''</w:t>
            </w:r>
          </w:p>
        </w:tc>
        <w:tc>
          <w:tcPr>
            <w:tcW w:w="1744" w:type="dxa"/>
            <w:noWrap/>
            <w:hideMark/>
          </w:tcPr>
          <w:p w:rsidR="00516A59" w:rsidRDefault="007D3F6A">
            <w:pPr>
              <w:pStyle w:val="Tabletext"/>
              <w:keepNext/>
              <w:keepLines/>
              <w:jc w:val="center"/>
            </w:pPr>
            <w:r>
              <w:t>$</w:t>
            </w:r>
            <w:r w:rsidR="00845E21">
              <w:rPr>
                <w:noProof/>
                <w:color w:val="000000"/>
                <w:highlight w:val="black"/>
              </w:rPr>
              <w:t>''''''''''''''''''</w:t>
            </w:r>
          </w:p>
        </w:tc>
      </w:tr>
      <w:tr w:rsidR="00516A59">
        <w:tc>
          <w:tcPr>
            <w:tcW w:w="392" w:type="dxa"/>
          </w:tcPr>
          <w:p w:rsidR="00516A59" w:rsidRDefault="007D3F6A">
            <w:pPr>
              <w:pStyle w:val="Tabletext"/>
              <w:keepNext/>
              <w:keepLines/>
            </w:pPr>
            <w:r>
              <w:t>13</w:t>
            </w:r>
          </w:p>
        </w:tc>
        <w:tc>
          <w:tcPr>
            <w:tcW w:w="2802" w:type="dxa"/>
            <w:vMerge w:val="restart"/>
            <w:hideMark/>
          </w:tcPr>
          <w:p w:rsidR="00516A59" w:rsidRDefault="007D3F6A">
            <w:pPr>
              <w:pStyle w:val="Tabletext"/>
              <w:keepNext/>
              <w:keepLines/>
            </w:pPr>
            <w:r>
              <w:t>Second line nivolumab use in platinum+pemetrexed arm</w:t>
            </w:r>
          </w:p>
        </w:tc>
        <w:tc>
          <w:tcPr>
            <w:tcW w:w="2363" w:type="dxa"/>
            <w:noWrap/>
            <w:hideMark/>
          </w:tcPr>
          <w:p w:rsidR="00516A59" w:rsidRDefault="007D3F6A">
            <w:pPr>
              <w:pStyle w:val="Tabletext"/>
              <w:keepNext/>
              <w:keepLines/>
            </w:pPr>
            <w:r>
              <w:t>Increased by 10%</w:t>
            </w:r>
          </w:p>
        </w:tc>
        <w:tc>
          <w:tcPr>
            <w:tcW w:w="1931" w:type="dxa"/>
            <w:noWrap/>
            <w:hideMark/>
          </w:tcPr>
          <w:p w:rsidR="00516A59" w:rsidRDefault="007D3F6A">
            <w:pPr>
              <w:pStyle w:val="Tabletext"/>
              <w:keepNext/>
              <w:keepLines/>
              <w:jc w:val="center"/>
            </w:pPr>
            <w:r>
              <w:t>$</w:t>
            </w:r>
            <w:r w:rsidR="00845E21">
              <w:rPr>
                <w:noProof/>
                <w:color w:val="000000"/>
                <w:highlight w:val="black"/>
              </w:rPr>
              <w:t>''''''''''''''''''</w:t>
            </w:r>
          </w:p>
        </w:tc>
        <w:tc>
          <w:tcPr>
            <w:tcW w:w="1744" w:type="dxa"/>
            <w:noWrap/>
            <w:hideMark/>
          </w:tcPr>
          <w:p w:rsidR="00516A59" w:rsidRPr="00845E21" w:rsidRDefault="00845E21">
            <w:pPr>
              <w:pStyle w:val="Tabletext"/>
              <w:keepNext/>
              <w:keepLines/>
              <w:jc w:val="center"/>
              <w:rPr>
                <w:highlight w:val="black"/>
              </w:rPr>
            </w:pPr>
            <w:r>
              <w:rPr>
                <w:noProof/>
                <w:color w:val="000000"/>
                <w:highlight w:val="black"/>
              </w:rPr>
              <w:t>''''''''''</w:t>
            </w:r>
          </w:p>
        </w:tc>
      </w:tr>
      <w:tr w:rsidR="00516A59">
        <w:tc>
          <w:tcPr>
            <w:tcW w:w="392" w:type="dxa"/>
          </w:tcPr>
          <w:p w:rsidR="00516A59" w:rsidRDefault="007D3F6A">
            <w:pPr>
              <w:pStyle w:val="Tabletext"/>
              <w:keepNext/>
              <w:keepLines/>
            </w:pPr>
            <w:r>
              <w:t>14</w:t>
            </w:r>
          </w:p>
        </w:tc>
        <w:tc>
          <w:tcPr>
            <w:tcW w:w="2802" w:type="dxa"/>
            <w:vMerge/>
            <w:hideMark/>
          </w:tcPr>
          <w:p w:rsidR="00516A59" w:rsidRDefault="00516A59">
            <w:pPr>
              <w:pStyle w:val="Tabletext"/>
              <w:keepNext/>
              <w:keepLines/>
            </w:pPr>
          </w:p>
        </w:tc>
        <w:tc>
          <w:tcPr>
            <w:tcW w:w="2363" w:type="dxa"/>
            <w:noWrap/>
            <w:hideMark/>
          </w:tcPr>
          <w:p w:rsidR="00516A59" w:rsidRDefault="007D3F6A">
            <w:pPr>
              <w:pStyle w:val="Tabletext"/>
              <w:keepNext/>
              <w:keepLines/>
            </w:pPr>
            <w:r>
              <w:t>Decreased by 10%</w:t>
            </w:r>
          </w:p>
        </w:tc>
        <w:tc>
          <w:tcPr>
            <w:tcW w:w="1931" w:type="dxa"/>
            <w:noWrap/>
            <w:hideMark/>
          </w:tcPr>
          <w:p w:rsidR="00516A59" w:rsidRDefault="007D3F6A">
            <w:pPr>
              <w:pStyle w:val="Tabletext"/>
              <w:keepNext/>
              <w:keepLines/>
              <w:jc w:val="center"/>
            </w:pPr>
            <w:r>
              <w:t>$</w:t>
            </w:r>
            <w:r w:rsidR="00845E21">
              <w:rPr>
                <w:noProof/>
                <w:color w:val="000000"/>
                <w:highlight w:val="black"/>
              </w:rPr>
              <w:t>''''''''''''''''</w:t>
            </w:r>
          </w:p>
        </w:tc>
        <w:tc>
          <w:tcPr>
            <w:tcW w:w="1744" w:type="dxa"/>
            <w:noWrap/>
            <w:hideMark/>
          </w:tcPr>
          <w:p w:rsidR="00516A59" w:rsidRPr="00845E21" w:rsidRDefault="00845E21">
            <w:pPr>
              <w:pStyle w:val="Tabletext"/>
              <w:keepNext/>
              <w:keepLines/>
              <w:jc w:val="center"/>
              <w:rPr>
                <w:highlight w:val="black"/>
              </w:rPr>
            </w:pPr>
            <w:r>
              <w:rPr>
                <w:noProof/>
                <w:color w:val="000000"/>
                <w:highlight w:val="black"/>
              </w:rPr>
              <w:t>''''''''''</w:t>
            </w:r>
          </w:p>
        </w:tc>
      </w:tr>
      <w:tr w:rsidR="00516A59">
        <w:tc>
          <w:tcPr>
            <w:tcW w:w="392" w:type="dxa"/>
          </w:tcPr>
          <w:p w:rsidR="00516A59" w:rsidRDefault="007D3F6A">
            <w:pPr>
              <w:pStyle w:val="Tabletext"/>
              <w:keepNext/>
              <w:keepLines/>
              <w:rPr>
                <w:i/>
              </w:rPr>
            </w:pPr>
            <w:r>
              <w:rPr>
                <w:i/>
              </w:rPr>
              <w:t>15</w:t>
            </w:r>
          </w:p>
        </w:tc>
        <w:tc>
          <w:tcPr>
            <w:tcW w:w="2802" w:type="dxa"/>
          </w:tcPr>
          <w:p w:rsidR="00516A59" w:rsidRDefault="007D3F6A">
            <w:pPr>
              <w:pStyle w:val="Tabletext"/>
              <w:keepNext/>
              <w:keepLines/>
            </w:pPr>
            <w:r>
              <w:t>Utilities</w:t>
            </w:r>
          </w:p>
        </w:tc>
        <w:tc>
          <w:tcPr>
            <w:tcW w:w="2363" w:type="dxa"/>
            <w:noWrap/>
          </w:tcPr>
          <w:p w:rsidR="00516A59" w:rsidRDefault="007D3F6A">
            <w:pPr>
              <w:pStyle w:val="Tabletext"/>
              <w:keepNext/>
              <w:keepLines/>
            </w:pPr>
            <w:r>
              <w:t>Applying utilities in the platinum+pemetrexed arm to the pembrolizumab+platinum+ pemetrexed arm</w:t>
            </w:r>
          </w:p>
        </w:tc>
        <w:tc>
          <w:tcPr>
            <w:tcW w:w="1931" w:type="dxa"/>
            <w:noWrap/>
          </w:tcPr>
          <w:p w:rsidR="00516A59" w:rsidRDefault="007D3F6A">
            <w:pPr>
              <w:pStyle w:val="Tabletext"/>
              <w:keepNext/>
              <w:keepLines/>
              <w:jc w:val="center"/>
            </w:pPr>
            <w:r>
              <w:t>$</w:t>
            </w:r>
            <w:r w:rsidR="00845E21">
              <w:rPr>
                <w:noProof/>
                <w:color w:val="000000"/>
                <w:highlight w:val="black"/>
              </w:rPr>
              <w:t>''''''''''''''''</w:t>
            </w:r>
          </w:p>
        </w:tc>
        <w:tc>
          <w:tcPr>
            <w:tcW w:w="1744" w:type="dxa"/>
            <w:noWrap/>
          </w:tcPr>
          <w:p w:rsidR="00516A59" w:rsidRDefault="007D3F6A">
            <w:pPr>
              <w:pStyle w:val="Tabletext"/>
              <w:keepNext/>
              <w:keepLines/>
              <w:jc w:val="center"/>
            </w:pPr>
            <w:r>
              <w:t>$</w:t>
            </w:r>
            <w:r w:rsidR="00845E21">
              <w:rPr>
                <w:noProof/>
                <w:color w:val="000000"/>
                <w:highlight w:val="black"/>
              </w:rPr>
              <w:t>''''''''''''''''</w:t>
            </w:r>
          </w:p>
        </w:tc>
      </w:tr>
    </w:tbl>
    <w:p w:rsidR="00516A59" w:rsidRDefault="007D3F6A">
      <w:pPr>
        <w:pStyle w:val="TableFooter"/>
        <w:keepNext/>
        <w:keepLines/>
        <w:widowControl/>
      </w:pPr>
      <w:r>
        <w:t>Pembro Combo = pembrolizumab+platinum+pemetrexed; PD-L1 = Programmed death-ligand 1; PFS = progression-free survival; QALY = quality-adjusted life-year; TPS = tumour proportion score.</w:t>
      </w:r>
    </w:p>
    <w:p w:rsidR="00516A59" w:rsidRDefault="007D3F6A">
      <w:pPr>
        <w:pStyle w:val="TableFooter"/>
        <w:keepNext/>
        <w:keepLines/>
        <w:widowControl/>
      </w:pPr>
      <w:r>
        <w:t xml:space="preserve">*conducted during the evaluation. The resubmission did not make any adjustments to the derivation or application of disease management costs. As noted in the previous commentary, the higher weekly cost associated with the management of patients in the progression-free health state in the platinum+pemetrexed arm compared to the pembrolizumab+platinum+pemetrexed arm lacks face validity, and is not justified by either the original submission or resubmission. </w:t>
      </w:r>
    </w:p>
    <w:p w:rsidR="00516A59" w:rsidRDefault="007D3F6A">
      <w:pPr>
        <w:pStyle w:val="TableFooter"/>
        <w:keepLines/>
        <w:widowControl/>
        <w:rPr>
          <w:szCs w:val="18"/>
        </w:rPr>
      </w:pPr>
      <w:r>
        <w:rPr>
          <w:szCs w:val="18"/>
        </w:rPr>
        <w:t>^</w:t>
      </w:r>
      <w:r>
        <w:rPr>
          <w:szCs w:val="18"/>
          <w:u w:val="single"/>
        </w:rPr>
        <w:t>Disease management costs</w:t>
      </w:r>
      <w:r>
        <w:rPr>
          <w:szCs w:val="18"/>
        </w:rPr>
        <w:t>:</w:t>
      </w:r>
    </w:p>
    <w:p w:rsidR="00516A59" w:rsidRDefault="007D3F6A">
      <w:pPr>
        <w:pStyle w:val="TableFooter"/>
        <w:keepLines/>
        <w:widowControl/>
        <w:numPr>
          <w:ilvl w:val="0"/>
          <w:numId w:val="13"/>
        </w:numPr>
        <w:ind w:left="136" w:hanging="136"/>
        <w:rPr>
          <w:szCs w:val="18"/>
        </w:rPr>
      </w:pPr>
      <w:r>
        <w:rPr>
          <w:szCs w:val="18"/>
        </w:rPr>
        <w:t>Weekly management (year 1 and 2), progression free state: Pembro Combo and Pembro Mono=$83.28; Platinum+pemetrexed=$104.10</w:t>
      </w:r>
    </w:p>
    <w:p w:rsidR="00516A59" w:rsidRDefault="007D3F6A">
      <w:pPr>
        <w:pStyle w:val="TableFooter"/>
        <w:keepLines/>
        <w:widowControl/>
        <w:numPr>
          <w:ilvl w:val="0"/>
          <w:numId w:val="13"/>
        </w:numPr>
        <w:ind w:left="136" w:hanging="136"/>
        <w:rPr>
          <w:szCs w:val="18"/>
        </w:rPr>
      </w:pPr>
      <w:r>
        <w:rPr>
          <w:szCs w:val="18"/>
        </w:rPr>
        <w:t>Weekly management (year 3 +), progression free state: Pembro Combo and Pembro Mono= $41.64; Platinum+pemetrexed =$52.05</w:t>
      </w:r>
    </w:p>
    <w:p w:rsidR="00516A59" w:rsidRDefault="007D3F6A">
      <w:pPr>
        <w:pStyle w:val="TableFooter"/>
        <w:keepLines/>
        <w:widowControl/>
        <w:numPr>
          <w:ilvl w:val="0"/>
          <w:numId w:val="13"/>
        </w:numPr>
        <w:ind w:left="136" w:hanging="136"/>
        <w:rPr>
          <w:szCs w:val="18"/>
        </w:rPr>
      </w:pPr>
      <w:r>
        <w:rPr>
          <w:szCs w:val="18"/>
        </w:rPr>
        <w:t>Weekly management (all years), progressed disease: Pembro Combo and Pembro Mono=$85.50; Platinum+pemetrexed= $85.50</w:t>
      </w:r>
    </w:p>
    <w:p w:rsidR="00516A59" w:rsidRDefault="007D3F6A">
      <w:pPr>
        <w:pStyle w:val="TableFooter"/>
        <w:keepLines/>
        <w:widowControl/>
        <w:numPr>
          <w:ilvl w:val="0"/>
          <w:numId w:val="13"/>
        </w:numPr>
        <w:ind w:left="136" w:hanging="136"/>
      </w:pPr>
      <w:r>
        <w:rPr>
          <w:szCs w:val="18"/>
        </w:rPr>
        <w:t>Terminal care (death): $6,278.44</w:t>
      </w:r>
    </w:p>
    <w:p w:rsidR="00516A59" w:rsidRDefault="007D3F6A">
      <w:pPr>
        <w:pStyle w:val="TableFooter"/>
        <w:keepLines/>
        <w:widowControl/>
      </w:pPr>
      <w:r>
        <w:t>Source: Table 3.9-1, Section 3 of the resubmission</w:t>
      </w:r>
    </w:p>
    <w:p w:rsidR="00516A59" w:rsidRDefault="00516A59">
      <w:pPr>
        <w:keepLines/>
        <w:widowControl/>
      </w:pPr>
    </w:p>
    <w:p w:rsidR="00516A59" w:rsidRDefault="007D3F6A">
      <w:pPr>
        <w:pStyle w:val="ListParagraph"/>
        <w:keepLines/>
        <w:widowControl/>
      </w:pPr>
      <w:r>
        <w:t xml:space="preserve">For the PD-L1 TPS &lt;50% population, the appropriateness of the utility values remains uncertain. The ESC noted that setting the utilities in the pembrolizumab+platinum+pemetrexed arm equal to those in the platinum+pemetrexed arm increased the ICER from </w:t>
      </w:r>
      <w:r w:rsidR="000C4110">
        <w:t>$45,000/QALY - $75,000</w:t>
      </w:r>
      <w:r>
        <w:t xml:space="preserve">/QALY in the base case to </w:t>
      </w:r>
      <w:r w:rsidR="000C4110">
        <w:t>$45,000/QALY - $75,000</w:t>
      </w:r>
      <w:r>
        <w:t xml:space="preserve">/QALY. </w:t>
      </w:r>
    </w:p>
    <w:p w:rsidR="000C4110" w:rsidRDefault="000C4110">
      <w:pPr>
        <w:widowControl/>
        <w:jc w:val="left"/>
        <w:rPr>
          <w:b/>
          <w:i/>
          <w:sz w:val="28"/>
        </w:rPr>
      </w:pPr>
      <w:bookmarkStart w:id="29" w:name="_Toc371170711"/>
      <w:bookmarkStart w:id="30" w:name="_Toc9436246"/>
      <w:r>
        <w:br w:type="page"/>
      </w:r>
    </w:p>
    <w:p w:rsidR="00516A59" w:rsidRDefault="007D3F6A">
      <w:pPr>
        <w:pStyle w:val="Heading2"/>
      </w:pPr>
      <w:r>
        <w:lastRenderedPageBreak/>
        <w:t>Drug cost/patient</w:t>
      </w:r>
      <w:bookmarkEnd w:id="29"/>
      <w:r>
        <w:t>/course</w:t>
      </w:r>
      <w:bookmarkEnd w:id="30"/>
    </w:p>
    <w:p w:rsidR="00516A59" w:rsidRDefault="00516A59">
      <w:pPr>
        <w:keepLines/>
        <w:widowControl/>
      </w:pPr>
    </w:p>
    <w:p w:rsidR="00516A59" w:rsidRDefault="007D3F6A">
      <w:pPr>
        <w:pStyle w:val="ListParagraph"/>
        <w:keepLines/>
        <w:widowControl/>
        <w:spacing w:after="120"/>
      </w:pPr>
      <w:r>
        <w:t>For the PD-L1 TPS &lt;50% population, the cost per patient per course is:</w:t>
      </w:r>
    </w:p>
    <w:p w:rsidR="00516A59" w:rsidRDefault="007D3F6A">
      <w:pPr>
        <w:pStyle w:val="ListParagraph"/>
        <w:keepLines/>
        <w:widowControl/>
        <w:numPr>
          <w:ilvl w:val="0"/>
          <w:numId w:val="5"/>
        </w:numPr>
        <w:spacing w:after="120"/>
      </w:pPr>
      <w:r>
        <w:t>$</w:t>
      </w:r>
      <w:r w:rsidR="00845E21">
        <w:rPr>
          <w:noProof/>
          <w:color w:val="000000"/>
          <w:highlight w:val="black"/>
        </w:rPr>
        <w:t>''''''''''''''</w:t>
      </w:r>
      <w:r>
        <w:t xml:space="preserve"> based on a mean duration of </w:t>
      </w:r>
      <w:r w:rsidR="00845E21">
        <w:rPr>
          <w:noProof/>
          <w:color w:val="000000"/>
          <w:highlight w:val="black"/>
        </w:rPr>
        <w:t>''''''''''''</w:t>
      </w:r>
      <w:r>
        <w:t xml:space="preserve"> doses (at 200 mg/dose) for pembrolizumab ($</w:t>
      </w:r>
      <w:r w:rsidR="00845E21">
        <w:rPr>
          <w:noProof/>
          <w:color w:val="000000"/>
          <w:highlight w:val="black"/>
        </w:rPr>
        <w:t>'''''''''''''</w:t>
      </w:r>
      <w:r>
        <w:t xml:space="preserve">) and an average of </w:t>
      </w:r>
      <w:r w:rsidR="00845E21">
        <w:rPr>
          <w:noProof/>
          <w:color w:val="000000"/>
          <w:highlight w:val="black"/>
        </w:rPr>
        <w:t>'''''''''''</w:t>
      </w:r>
      <w:r>
        <w:t xml:space="preserve"> doses of pemetrexed and 3.57 doses of platinum ($2,723).</w:t>
      </w:r>
    </w:p>
    <w:p w:rsidR="00516A59" w:rsidRDefault="007D3F6A">
      <w:pPr>
        <w:pStyle w:val="ListParagraph"/>
        <w:keepLines/>
        <w:widowControl/>
        <w:numPr>
          <w:ilvl w:val="0"/>
          <w:numId w:val="5"/>
        </w:numPr>
        <w:spacing w:after="120"/>
      </w:pPr>
      <w:r>
        <w:t xml:space="preserve">This compared to an average price of $2,451 for platinum+pemetrexed in the comparator arm. This estimate was based on an average of 9.53 doses of pemetrexed and 3.71 doses of platinum. </w:t>
      </w:r>
    </w:p>
    <w:p w:rsidR="00516A59" w:rsidRDefault="007D3F6A">
      <w:pPr>
        <w:pStyle w:val="ListParagraph"/>
        <w:keepLines/>
        <w:widowControl/>
        <w:spacing w:after="120"/>
      </w:pPr>
      <w:r>
        <w:t>For the PD-L1 TPS ≥50% population, the cost per patient per course is:</w:t>
      </w:r>
    </w:p>
    <w:p w:rsidR="00516A59" w:rsidRDefault="007D3F6A">
      <w:pPr>
        <w:pStyle w:val="ListParagraph"/>
        <w:keepLines/>
        <w:widowControl/>
        <w:numPr>
          <w:ilvl w:val="0"/>
          <w:numId w:val="5"/>
        </w:numPr>
        <w:spacing w:after="120"/>
      </w:pPr>
      <w:r>
        <w:t>$</w:t>
      </w:r>
      <w:r w:rsidR="00845E21">
        <w:rPr>
          <w:noProof/>
          <w:color w:val="000000"/>
          <w:highlight w:val="black"/>
        </w:rPr>
        <w:t>'''''''''''''</w:t>
      </w:r>
      <w:r>
        <w:t xml:space="preserve"> based on a mean duration of </w:t>
      </w:r>
      <w:r w:rsidR="00845E21">
        <w:rPr>
          <w:noProof/>
          <w:color w:val="000000"/>
          <w:highlight w:val="black"/>
        </w:rPr>
        <w:t>'''''''''''</w:t>
      </w:r>
      <w:r>
        <w:t xml:space="preserve"> doses (at 200 mg/dose) for pembrolizumab ($</w:t>
      </w:r>
      <w:r w:rsidR="00845E21">
        <w:rPr>
          <w:noProof/>
          <w:color w:val="000000"/>
          <w:highlight w:val="black"/>
        </w:rPr>
        <w:t>''''''''''''</w:t>
      </w:r>
      <w:r>
        <w:t xml:space="preserve">, using the price offered in the PSCR )  and an average of </w:t>
      </w:r>
      <w:r w:rsidR="00845E21">
        <w:rPr>
          <w:noProof/>
          <w:color w:val="000000"/>
          <w:highlight w:val="black"/>
        </w:rPr>
        <w:t>'''''''''''</w:t>
      </w:r>
      <w:r>
        <w:t xml:space="preserve"> doses of pemetrexed and 3.71 doses of platinum ($3,943). </w:t>
      </w:r>
    </w:p>
    <w:p w:rsidR="00516A59" w:rsidRDefault="007D3F6A">
      <w:pPr>
        <w:pStyle w:val="ListParagraph"/>
        <w:keepLines/>
        <w:widowControl/>
        <w:numPr>
          <w:ilvl w:val="0"/>
          <w:numId w:val="5"/>
        </w:numPr>
        <w:spacing w:after="120"/>
      </w:pPr>
      <w:r>
        <w:t>This compared to an average price of $</w:t>
      </w:r>
      <w:r w:rsidR="00845E21">
        <w:rPr>
          <w:noProof/>
          <w:color w:val="000000"/>
          <w:highlight w:val="black"/>
        </w:rPr>
        <w:t>''''''''''''''</w:t>
      </w:r>
      <w:r>
        <w:t xml:space="preserve"> per course for pembrolizumab monotherapy, assuming an average of </w:t>
      </w:r>
      <w:r w:rsidR="00845E21">
        <w:rPr>
          <w:noProof/>
          <w:color w:val="000000"/>
          <w:highlight w:val="black"/>
        </w:rPr>
        <w:t>'''''''''''</w:t>
      </w:r>
      <w:r>
        <w:t xml:space="preserve"> doses (at 200 mg/dose). </w:t>
      </w:r>
    </w:p>
    <w:p w:rsidR="00516A59" w:rsidRDefault="007D3F6A">
      <w:pPr>
        <w:pStyle w:val="ListParagraph"/>
        <w:keepLines/>
        <w:widowControl/>
        <w:spacing w:after="120"/>
      </w:pPr>
      <w:r>
        <w:t xml:space="preserve">All calculations above assumed a public/private hospital split of 32.7% public hospital and 67.3% private hospital use and are based on the dispensed price in the relevant population. </w:t>
      </w:r>
    </w:p>
    <w:p w:rsidR="00516A59" w:rsidRDefault="007D3F6A">
      <w:pPr>
        <w:pStyle w:val="ListParagraph"/>
        <w:keepLines/>
        <w:widowControl/>
        <w:spacing w:after="120"/>
      </w:pPr>
      <w:r>
        <w:t>There were some small differences between the average cost per course applied in Section 3 and Section 4:</w:t>
      </w:r>
    </w:p>
    <w:p w:rsidR="00516A59" w:rsidRDefault="007D3F6A">
      <w:pPr>
        <w:pStyle w:val="ListParagraph"/>
        <w:keepLines/>
        <w:widowControl/>
        <w:numPr>
          <w:ilvl w:val="0"/>
          <w:numId w:val="5"/>
        </w:numPr>
        <w:spacing w:after="120"/>
      </w:pPr>
      <w:r>
        <w:t>Data sources for the number of mean doses in the economic and financial models were consistent. However, the economic estimates multiplied the proportion of patients on treatment (according to the observed and extrapolated ToT curve) by the proportion of actual doses of planned doses as observed in KN189 and KN024.</w:t>
      </w:r>
    </w:p>
    <w:p w:rsidR="00516A59" w:rsidRDefault="007D3F6A">
      <w:pPr>
        <w:pStyle w:val="ListParagraph"/>
        <w:keepLines/>
        <w:widowControl/>
        <w:numPr>
          <w:ilvl w:val="0"/>
          <w:numId w:val="5"/>
        </w:numPr>
        <w:spacing w:after="120"/>
      </w:pPr>
      <w:r>
        <w:t>Prices applied in Section 3 differed from those applied in Section 4. Section 3 applied different prices per 100 mg vial of pembrolizumab in each of the populations ($</w:t>
      </w:r>
      <w:r w:rsidR="00845E21">
        <w:rPr>
          <w:noProof/>
          <w:color w:val="000000"/>
          <w:highlight w:val="black"/>
        </w:rPr>
        <w:t>'''''''''''''''</w:t>
      </w:r>
      <w:r>
        <w:t xml:space="preserve"> DPMA weighted between public and private hospital use in the PD-L1 TPS &lt;50% population; and $</w:t>
      </w:r>
      <w:r w:rsidR="00845E21">
        <w:rPr>
          <w:noProof/>
          <w:color w:val="000000"/>
          <w:highlight w:val="black"/>
        </w:rPr>
        <w:t>''''''''''''''''</w:t>
      </w:r>
      <w:r>
        <w:t xml:space="preserve"> DPMA weighted between public and private hospital use in the PD-L1 TPS ≥50% population), whereas the Section 4 estimates used a single price for both populations (the nominated effective price for the listings). The effective price was weighted by the proportion of vials expected to be dispensed for each of these populations.</w:t>
      </w:r>
    </w:p>
    <w:p w:rsidR="00516A59" w:rsidRDefault="007D3F6A">
      <w:pPr>
        <w:pStyle w:val="ListParagraph"/>
        <w:spacing w:after="120"/>
      </w:pPr>
      <w:r>
        <w:t>Using the revised weighted effective AEMP provided in the PSCR  ($</w:t>
      </w:r>
      <w:r w:rsidR="00845E21">
        <w:rPr>
          <w:noProof/>
          <w:color w:val="000000"/>
          <w:highlight w:val="black"/>
        </w:rPr>
        <w:t>'''''''''''''''</w:t>
      </w:r>
      <w:r>
        <w:t xml:space="preserve"> per 100 mg vial) and applying a public/private hospital split of 32.7% / 67.3% use, the pembrolizumab cost per patient per course weighted across the PD-L1 TPS &lt;50% population and the PD-L1 TPS </w:t>
      </w:r>
      <w:r>
        <w:rPr>
          <w:rFonts w:cs="Calibri"/>
        </w:rPr>
        <w:t>≥</w:t>
      </w:r>
      <w:r>
        <w:t xml:space="preserve"> 50% population is $</w:t>
      </w:r>
      <w:r w:rsidR="00845E21">
        <w:rPr>
          <w:noProof/>
          <w:color w:val="000000"/>
          <w:highlight w:val="black"/>
        </w:rPr>
        <w:t>''''''''''''</w:t>
      </w:r>
      <w:r>
        <w:t xml:space="preserve"> based on dispensed prices and $</w:t>
      </w:r>
      <w:r w:rsidR="00845E21">
        <w:rPr>
          <w:noProof/>
          <w:color w:val="000000"/>
          <w:highlight w:val="black"/>
        </w:rPr>
        <w:t>'''''''''''''</w:t>
      </w:r>
      <w:r>
        <w:t xml:space="preserve"> including platinum chemotherapy and pemetrexed. </w:t>
      </w:r>
    </w:p>
    <w:p w:rsidR="000C4110" w:rsidRDefault="000C4110">
      <w:pPr>
        <w:widowControl/>
        <w:jc w:val="left"/>
        <w:rPr>
          <w:b/>
          <w:i/>
          <w:sz w:val="28"/>
        </w:rPr>
      </w:pPr>
      <w:bookmarkStart w:id="31" w:name="_Toc371170712"/>
      <w:bookmarkStart w:id="32" w:name="_Toc9436247"/>
      <w:r>
        <w:br w:type="page"/>
      </w:r>
    </w:p>
    <w:p w:rsidR="00516A59" w:rsidRDefault="007D3F6A">
      <w:pPr>
        <w:pStyle w:val="Heading2"/>
      </w:pPr>
      <w:r>
        <w:lastRenderedPageBreak/>
        <w:t>Estimated PBS usage &amp; financial implications</w:t>
      </w:r>
      <w:bookmarkEnd w:id="31"/>
      <w:bookmarkEnd w:id="32"/>
    </w:p>
    <w:p w:rsidR="00516A59" w:rsidRDefault="007D3F6A">
      <w:pPr>
        <w:pStyle w:val="ListParagraph"/>
        <w:keepLines/>
        <w:widowControl/>
        <w:spacing w:after="120"/>
      </w:pPr>
      <w:r>
        <w:t xml:space="preserve">This resubmission was not considered by DUSC. The resubmission presented an epidemiological approach to estimating the financial impact of listing pembrolizumab+platinum+pemetrexed on the PBS for patients with NSQ, EGFR/ALK/ROS negative NSCLC. </w:t>
      </w:r>
    </w:p>
    <w:p w:rsidR="00516A59" w:rsidRDefault="007D3F6A">
      <w:pPr>
        <w:pStyle w:val="ListParagraph"/>
        <w:keepLines/>
        <w:widowControl/>
        <w:spacing w:after="120"/>
      </w:pPr>
      <w:r>
        <w:t>The resubmission adopted the majority of the calculations for the revised patient numbers for pembrolizumab+platinum+pemetrexed from the PBAC Minutes (Table 15 and Table 16, Item 6.06 Pembrolizumab, November 2018 PBAC Meeting Minutes), with the exception of:</w:t>
      </w:r>
    </w:p>
    <w:p w:rsidR="00516A59" w:rsidRDefault="007D3F6A">
      <w:pPr>
        <w:pStyle w:val="ListParagraph"/>
        <w:keepLines/>
        <w:widowControl/>
        <w:numPr>
          <w:ilvl w:val="0"/>
          <w:numId w:val="5"/>
        </w:numPr>
        <w:spacing w:after="120"/>
      </w:pPr>
      <w:r>
        <w:t>The predicted uptake rate of PD-(L)1 inhibitors was revised from 81% to 85%, consistent with Department of Health background paper titled PD-(L)1 inhibitors for Non-Small Cell Lung Cancer.</w:t>
      </w:r>
      <w:r>
        <w:rPr>
          <w:rStyle w:val="FootnoteReference"/>
        </w:rPr>
        <w:footnoteReference w:id="2"/>
      </w:r>
      <w:r>
        <w:t xml:space="preserve"> The resubmission stated that this treatment rate has been accepted by the PBAC for the anti-PD-(L)1 treatment of NSCLC. The DUSC has previously considered 85% was reasonable. </w:t>
      </w:r>
    </w:p>
    <w:p w:rsidR="00516A59" w:rsidRDefault="007D3F6A">
      <w:pPr>
        <w:pStyle w:val="ListParagraph"/>
        <w:keepLines/>
        <w:widowControl/>
        <w:numPr>
          <w:ilvl w:val="0"/>
          <w:numId w:val="5"/>
        </w:numPr>
        <w:spacing w:after="120"/>
      </w:pPr>
      <w:r>
        <w:t>The resubmission revised the expected market share of pembrolizumab+platinum+pemetrexed in the PD-L1 TPS ≥50% population from 80% to 30%, based on the FlatIron real-world database</w:t>
      </w:r>
      <w:r>
        <w:rPr>
          <w:rStyle w:val="FootnoteReference"/>
        </w:rPr>
        <w:footnoteReference w:id="3"/>
      </w:r>
      <w:r>
        <w:t xml:space="preserve">. The FlatIron database may not be applicable to the Australian population, given the vast differences in health care systems between Australia and the United states that may influence treatment choice. The ESC considered that only a small proportion of patients in the PD-L1 TPS ≥50% population with a high disease burden would be treated with pembrolizumab+platinum+pemetrexed rather than pembrolizumab monotherapy. </w:t>
      </w:r>
    </w:p>
    <w:p w:rsidR="00516A59" w:rsidRPr="00A77F3C" w:rsidRDefault="007D3F6A" w:rsidP="00A77F3C">
      <w:pPr>
        <w:pStyle w:val="ListParagraph"/>
        <w:keepLines/>
        <w:widowControl/>
        <w:spacing w:after="120"/>
        <w:rPr>
          <w:rFonts w:ascii="Arial Narrow" w:hAnsi="Arial Narrow"/>
          <w:b/>
          <w:sz w:val="20"/>
        </w:rPr>
      </w:pPr>
      <w:r>
        <w:t xml:space="preserve">The resubmission assumed that approximately 95% of all patients initiating treatment with platinum+pemetrexed would have received second line therapy with nivolumab (as a proxy for nivolumab and atezolizumab). The PBAC considered it was not appropriate to apply the 95% to the platinum+pemetrexed patients and not consistent with how the 5% uplift in patient numbers was applied in the pembrolizumab monotherapy deed negotiations. </w:t>
      </w:r>
    </w:p>
    <w:p w:rsidR="00516A59" w:rsidRDefault="007D3F6A">
      <w:pPr>
        <w:pStyle w:val="ListParagraph"/>
        <w:keepLines/>
        <w:widowControl/>
      </w:pPr>
      <w:r>
        <w:t xml:space="preserve">The resubmission attempted to quantify the reduction in use of MBS Items, including those relating to administration costs, oncologist consultations and imaging, although did not calculate the total cost associated with these. The resubmission made a number of errors in the estimates of MBS Item usage. The </w:t>
      </w:r>
      <w:r w:rsidR="00E25F3D">
        <w:t>PSCR provided</w:t>
      </w:r>
      <w:r>
        <w:t xml:space="preserve"> an updated budget impact model incorporating corrections.</w:t>
      </w:r>
    </w:p>
    <w:p w:rsidR="00516A59" w:rsidRDefault="00516A59">
      <w:pPr>
        <w:keepLines/>
        <w:widowControl/>
      </w:pPr>
    </w:p>
    <w:p w:rsidR="00516A59" w:rsidRDefault="007D3F6A">
      <w:pPr>
        <w:pStyle w:val="ListParagraph"/>
        <w:keepLines/>
        <w:widowControl/>
      </w:pPr>
      <w:r>
        <w:lastRenderedPageBreak/>
        <w:t xml:space="preserve">The table below presents the estimated use and financial implications over six years from the resubmission. </w:t>
      </w:r>
    </w:p>
    <w:p w:rsidR="0093515B" w:rsidRDefault="0093515B" w:rsidP="0093515B">
      <w:pPr>
        <w:pStyle w:val="Caption"/>
        <w:keepNext/>
      </w:pPr>
      <w:r>
        <w:t xml:space="preserve">Table </w:t>
      </w:r>
      <w:r>
        <w:rPr>
          <w:noProof/>
        </w:rPr>
        <w:t>18</w:t>
      </w:r>
      <w:r w:rsidRPr="00D1630D">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8: Estimated use and financial implications"/>
      </w:tblPr>
      <w:tblGrid>
        <w:gridCol w:w="1978"/>
        <w:gridCol w:w="1161"/>
        <w:gridCol w:w="1160"/>
        <w:gridCol w:w="1160"/>
        <w:gridCol w:w="1160"/>
        <w:gridCol w:w="1160"/>
        <w:gridCol w:w="1160"/>
      </w:tblGrid>
      <w:tr w:rsidR="00516A59">
        <w:trPr>
          <w:tblHeader/>
        </w:trPr>
        <w:tc>
          <w:tcPr>
            <w:tcW w:w="1106" w:type="pct"/>
            <w:shd w:val="clear" w:color="auto" w:fill="auto"/>
            <w:vAlign w:val="center"/>
          </w:tcPr>
          <w:p w:rsidR="00516A59" w:rsidRDefault="00516A59">
            <w:pPr>
              <w:pStyle w:val="Tabletext"/>
            </w:pPr>
          </w:p>
        </w:tc>
        <w:tc>
          <w:tcPr>
            <w:tcW w:w="649" w:type="pct"/>
            <w:shd w:val="clear" w:color="auto" w:fill="auto"/>
            <w:vAlign w:val="center"/>
          </w:tcPr>
          <w:p w:rsidR="00516A59" w:rsidRDefault="007D3F6A">
            <w:pPr>
              <w:pStyle w:val="Tabletext"/>
              <w:jc w:val="center"/>
              <w:rPr>
                <w:b/>
              </w:rPr>
            </w:pPr>
            <w:r>
              <w:rPr>
                <w:b/>
              </w:rPr>
              <w:t>Year 1</w:t>
            </w:r>
          </w:p>
        </w:tc>
        <w:tc>
          <w:tcPr>
            <w:tcW w:w="649" w:type="pct"/>
            <w:shd w:val="clear" w:color="auto" w:fill="auto"/>
            <w:vAlign w:val="center"/>
          </w:tcPr>
          <w:p w:rsidR="00516A59" w:rsidRDefault="007D3F6A">
            <w:pPr>
              <w:pStyle w:val="Tabletext"/>
              <w:jc w:val="center"/>
              <w:rPr>
                <w:b/>
              </w:rPr>
            </w:pPr>
            <w:r>
              <w:rPr>
                <w:b/>
              </w:rPr>
              <w:t>Year 2</w:t>
            </w:r>
          </w:p>
        </w:tc>
        <w:tc>
          <w:tcPr>
            <w:tcW w:w="649" w:type="pct"/>
            <w:shd w:val="clear" w:color="auto" w:fill="auto"/>
            <w:vAlign w:val="center"/>
          </w:tcPr>
          <w:p w:rsidR="00516A59" w:rsidRDefault="007D3F6A">
            <w:pPr>
              <w:pStyle w:val="Tabletext"/>
              <w:jc w:val="center"/>
              <w:rPr>
                <w:b/>
              </w:rPr>
            </w:pPr>
            <w:r>
              <w:rPr>
                <w:b/>
              </w:rPr>
              <w:t>Year 3</w:t>
            </w:r>
          </w:p>
        </w:tc>
        <w:tc>
          <w:tcPr>
            <w:tcW w:w="649" w:type="pct"/>
            <w:shd w:val="clear" w:color="auto" w:fill="auto"/>
            <w:vAlign w:val="center"/>
          </w:tcPr>
          <w:p w:rsidR="00516A59" w:rsidRDefault="007D3F6A">
            <w:pPr>
              <w:pStyle w:val="Tabletext"/>
              <w:jc w:val="center"/>
              <w:rPr>
                <w:b/>
              </w:rPr>
            </w:pPr>
            <w:r>
              <w:rPr>
                <w:b/>
              </w:rPr>
              <w:t>Year 4</w:t>
            </w:r>
          </w:p>
        </w:tc>
        <w:tc>
          <w:tcPr>
            <w:tcW w:w="649" w:type="pct"/>
            <w:shd w:val="clear" w:color="auto" w:fill="auto"/>
            <w:vAlign w:val="center"/>
          </w:tcPr>
          <w:p w:rsidR="00516A59" w:rsidRDefault="007D3F6A">
            <w:pPr>
              <w:pStyle w:val="Tabletext"/>
              <w:jc w:val="center"/>
              <w:rPr>
                <w:b/>
              </w:rPr>
            </w:pPr>
            <w:r>
              <w:rPr>
                <w:b/>
              </w:rPr>
              <w:t>Year 5</w:t>
            </w:r>
          </w:p>
        </w:tc>
        <w:tc>
          <w:tcPr>
            <w:tcW w:w="649" w:type="pct"/>
          </w:tcPr>
          <w:p w:rsidR="00516A59" w:rsidRDefault="007D3F6A">
            <w:pPr>
              <w:pStyle w:val="Tabletext"/>
              <w:jc w:val="center"/>
              <w:rPr>
                <w:b/>
              </w:rPr>
            </w:pPr>
            <w:r>
              <w:rPr>
                <w:b/>
              </w:rPr>
              <w:t>Year 6</w:t>
            </w:r>
          </w:p>
        </w:tc>
      </w:tr>
      <w:tr w:rsidR="00516A59">
        <w:trPr>
          <w:tblHeader/>
        </w:trPr>
        <w:tc>
          <w:tcPr>
            <w:tcW w:w="5000" w:type="pct"/>
            <w:gridSpan w:val="7"/>
            <w:shd w:val="clear" w:color="auto" w:fill="auto"/>
            <w:vAlign w:val="bottom"/>
          </w:tcPr>
          <w:p w:rsidR="00516A59" w:rsidRDefault="007D3F6A">
            <w:pPr>
              <w:pStyle w:val="Tabletext"/>
              <w:rPr>
                <w:b/>
                <w:bCs/>
                <w:color w:val="000000"/>
              </w:rPr>
            </w:pPr>
            <w:r>
              <w:rPr>
                <w:b/>
                <w:bCs/>
                <w:color w:val="000000"/>
              </w:rPr>
              <w:t>Estimated extent of use</w:t>
            </w:r>
          </w:p>
        </w:tc>
      </w:tr>
      <w:tr w:rsidR="00516A59">
        <w:trPr>
          <w:tblHeader/>
        </w:trPr>
        <w:tc>
          <w:tcPr>
            <w:tcW w:w="1106" w:type="pct"/>
            <w:shd w:val="clear" w:color="auto" w:fill="auto"/>
            <w:vAlign w:val="center"/>
          </w:tcPr>
          <w:p w:rsidR="00516A59" w:rsidRDefault="007D3F6A">
            <w:pPr>
              <w:pStyle w:val="Tabletext"/>
              <w:rPr>
                <w:rFonts w:ascii="Times" w:hAnsi="Times"/>
              </w:rPr>
            </w:pPr>
            <w:r>
              <w:t>Number of patients treated</w:t>
            </w:r>
            <w:r>
              <w:rPr>
                <w:vertAlign w:val="superscript"/>
              </w:rPr>
              <w:t>a</w:t>
            </w:r>
          </w:p>
        </w:tc>
        <w:tc>
          <w:tcPr>
            <w:tcW w:w="649" w:type="pct"/>
            <w:shd w:val="clear" w:color="auto" w:fill="auto"/>
            <w:vAlign w:val="center"/>
          </w:tcPr>
          <w:p w:rsidR="00516A59" w:rsidRPr="00845E21" w:rsidRDefault="00845E21">
            <w:pPr>
              <w:pStyle w:val="Tabletext"/>
              <w:jc w:val="center"/>
              <w:rPr>
                <w:bCs/>
                <w:color w:val="000000"/>
                <w:highlight w:val="black"/>
              </w:rPr>
            </w:pPr>
            <w:r>
              <w:rPr>
                <w:noProof/>
                <w:color w:val="000000"/>
                <w:highlight w:val="black"/>
              </w:rPr>
              <w:t>''''''''''''</w:t>
            </w:r>
          </w:p>
        </w:tc>
        <w:tc>
          <w:tcPr>
            <w:tcW w:w="649" w:type="pct"/>
            <w:shd w:val="clear" w:color="auto" w:fill="auto"/>
            <w:vAlign w:val="center"/>
          </w:tcPr>
          <w:p w:rsidR="00516A59" w:rsidRPr="00845E21" w:rsidRDefault="00845E21">
            <w:pPr>
              <w:pStyle w:val="Tabletext"/>
              <w:jc w:val="center"/>
              <w:rPr>
                <w:bCs/>
                <w:color w:val="000000"/>
                <w:highlight w:val="black"/>
              </w:rPr>
            </w:pPr>
            <w:r>
              <w:rPr>
                <w:noProof/>
                <w:color w:val="000000"/>
                <w:highlight w:val="black"/>
              </w:rPr>
              <w:t>''''''''''''</w:t>
            </w:r>
          </w:p>
        </w:tc>
        <w:tc>
          <w:tcPr>
            <w:tcW w:w="649" w:type="pct"/>
            <w:shd w:val="clear" w:color="auto" w:fill="auto"/>
            <w:vAlign w:val="center"/>
          </w:tcPr>
          <w:p w:rsidR="00516A59" w:rsidRPr="00845E21" w:rsidRDefault="00845E21">
            <w:pPr>
              <w:pStyle w:val="Tabletext"/>
              <w:jc w:val="center"/>
              <w:rPr>
                <w:bCs/>
                <w:color w:val="000000"/>
                <w:highlight w:val="black"/>
              </w:rPr>
            </w:pPr>
            <w:r>
              <w:rPr>
                <w:noProof/>
                <w:color w:val="000000"/>
                <w:highlight w:val="black"/>
              </w:rPr>
              <w:t>''''''''''''''</w:t>
            </w:r>
          </w:p>
        </w:tc>
        <w:tc>
          <w:tcPr>
            <w:tcW w:w="649" w:type="pct"/>
            <w:shd w:val="clear" w:color="auto" w:fill="auto"/>
            <w:vAlign w:val="center"/>
          </w:tcPr>
          <w:p w:rsidR="00516A59" w:rsidRPr="00845E21" w:rsidRDefault="00845E21">
            <w:pPr>
              <w:pStyle w:val="Tabletext"/>
              <w:jc w:val="center"/>
              <w:rPr>
                <w:bCs/>
                <w:color w:val="000000"/>
                <w:highlight w:val="black"/>
              </w:rPr>
            </w:pPr>
            <w:r>
              <w:rPr>
                <w:noProof/>
                <w:color w:val="000000"/>
                <w:highlight w:val="black"/>
              </w:rPr>
              <w:t>''''''''''''''</w:t>
            </w:r>
          </w:p>
        </w:tc>
        <w:tc>
          <w:tcPr>
            <w:tcW w:w="649" w:type="pct"/>
            <w:shd w:val="clear" w:color="auto" w:fill="auto"/>
            <w:vAlign w:val="center"/>
          </w:tcPr>
          <w:p w:rsidR="00516A59" w:rsidRPr="00845E21" w:rsidRDefault="00845E21">
            <w:pPr>
              <w:pStyle w:val="Tabletext"/>
              <w:jc w:val="center"/>
              <w:rPr>
                <w:bCs/>
                <w:color w:val="000000"/>
                <w:highlight w:val="black"/>
              </w:rPr>
            </w:pPr>
            <w:r>
              <w:rPr>
                <w:noProof/>
                <w:color w:val="000000"/>
                <w:highlight w:val="black"/>
              </w:rPr>
              <w:t>'''''''''''''</w:t>
            </w:r>
          </w:p>
        </w:tc>
        <w:tc>
          <w:tcPr>
            <w:tcW w:w="649" w:type="pct"/>
            <w:vAlign w:val="center"/>
          </w:tcPr>
          <w:p w:rsidR="00516A59" w:rsidRPr="00845E21" w:rsidRDefault="00845E21">
            <w:pPr>
              <w:pStyle w:val="Tabletext"/>
              <w:jc w:val="center"/>
              <w:rPr>
                <w:bCs/>
                <w:color w:val="000000"/>
                <w:highlight w:val="black"/>
              </w:rPr>
            </w:pPr>
            <w:r>
              <w:rPr>
                <w:noProof/>
                <w:color w:val="000000"/>
                <w:highlight w:val="black"/>
              </w:rPr>
              <w:t>''''''''''''</w:t>
            </w:r>
          </w:p>
        </w:tc>
      </w:tr>
      <w:tr w:rsidR="00516A59">
        <w:trPr>
          <w:tblHeader/>
        </w:trPr>
        <w:tc>
          <w:tcPr>
            <w:tcW w:w="1106" w:type="pct"/>
            <w:shd w:val="clear" w:color="auto" w:fill="auto"/>
            <w:vAlign w:val="center"/>
          </w:tcPr>
          <w:p w:rsidR="00516A59" w:rsidRDefault="007D3F6A">
            <w:pPr>
              <w:pStyle w:val="Tabletext"/>
              <w:rPr>
                <w:rFonts w:ascii="Times" w:hAnsi="Times"/>
              </w:rPr>
            </w:pPr>
            <w:r>
              <w:t>Number of scripts dispensed</w:t>
            </w:r>
            <w:r>
              <w:rPr>
                <w:vertAlign w:val="superscript"/>
              </w:rPr>
              <w:t>b</w:t>
            </w:r>
          </w:p>
        </w:tc>
        <w:tc>
          <w:tcPr>
            <w:tcW w:w="649" w:type="pct"/>
            <w:shd w:val="clear" w:color="auto" w:fill="auto"/>
            <w:vAlign w:val="center"/>
          </w:tcPr>
          <w:p w:rsidR="00516A59" w:rsidRPr="00845E21" w:rsidRDefault="00845E21">
            <w:pPr>
              <w:pStyle w:val="Tabletext"/>
              <w:jc w:val="center"/>
              <w:rPr>
                <w:bCs/>
                <w:color w:val="000000"/>
                <w:highlight w:val="black"/>
              </w:rPr>
            </w:pPr>
            <w:r>
              <w:rPr>
                <w:noProof/>
                <w:color w:val="000000"/>
                <w:highlight w:val="black"/>
              </w:rPr>
              <w:t>''''''''''''''''</w:t>
            </w:r>
          </w:p>
        </w:tc>
        <w:tc>
          <w:tcPr>
            <w:tcW w:w="649" w:type="pct"/>
            <w:shd w:val="clear" w:color="auto" w:fill="auto"/>
            <w:vAlign w:val="center"/>
          </w:tcPr>
          <w:p w:rsidR="00516A59" w:rsidRPr="00845E21" w:rsidRDefault="00845E21">
            <w:pPr>
              <w:pStyle w:val="Tabletext"/>
              <w:jc w:val="center"/>
              <w:rPr>
                <w:bCs/>
                <w:color w:val="000000"/>
                <w:highlight w:val="black"/>
              </w:rPr>
            </w:pPr>
            <w:r>
              <w:rPr>
                <w:noProof/>
                <w:color w:val="000000"/>
                <w:highlight w:val="black"/>
              </w:rPr>
              <w:t>'''''''''''''''</w:t>
            </w:r>
          </w:p>
        </w:tc>
        <w:tc>
          <w:tcPr>
            <w:tcW w:w="649" w:type="pct"/>
            <w:shd w:val="clear" w:color="auto" w:fill="auto"/>
            <w:vAlign w:val="center"/>
          </w:tcPr>
          <w:p w:rsidR="00516A59" w:rsidRPr="00845E21" w:rsidRDefault="00845E21">
            <w:pPr>
              <w:pStyle w:val="Tabletext"/>
              <w:jc w:val="center"/>
              <w:rPr>
                <w:bCs/>
                <w:color w:val="000000"/>
                <w:highlight w:val="black"/>
              </w:rPr>
            </w:pPr>
            <w:r>
              <w:rPr>
                <w:noProof/>
                <w:color w:val="000000"/>
                <w:highlight w:val="black"/>
              </w:rPr>
              <w:t>'''''''''''''''''</w:t>
            </w:r>
          </w:p>
        </w:tc>
        <w:tc>
          <w:tcPr>
            <w:tcW w:w="649" w:type="pct"/>
            <w:shd w:val="clear" w:color="auto" w:fill="auto"/>
            <w:vAlign w:val="center"/>
          </w:tcPr>
          <w:p w:rsidR="00516A59" w:rsidRPr="00845E21" w:rsidRDefault="00845E21">
            <w:pPr>
              <w:pStyle w:val="Tabletext"/>
              <w:jc w:val="center"/>
              <w:rPr>
                <w:bCs/>
                <w:color w:val="000000"/>
                <w:highlight w:val="black"/>
              </w:rPr>
            </w:pPr>
            <w:r>
              <w:rPr>
                <w:noProof/>
                <w:color w:val="000000"/>
                <w:highlight w:val="black"/>
              </w:rPr>
              <w:t>'''''''''''''''''</w:t>
            </w:r>
          </w:p>
        </w:tc>
        <w:tc>
          <w:tcPr>
            <w:tcW w:w="649" w:type="pct"/>
            <w:shd w:val="clear" w:color="auto" w:fill="auto"/>
            <w:vAlign w:val="center"/>
          </w:tcPr>
          <w:p w:rsidR="00516A59" w:rsidRPr="00845E21" w:rsidRDefault="00845E21">
            <w:pPr>
              <w:pStyle w:val="Tabletext"/>
              <w:jc w:val="center"/>
              <w:rPr>
                <w:bCs/>
                <w:color w:val="000000"/>
                <w:highlight w:val="black"/>
              </w:rPr>
            </w:pPr>
            <w:r>
              <w:rPr>
                <w:noProof/>
                <w:color w:val="000000"/>
                <w:highlight w:val="black"/>
              </w:rPr>
              <w:t>''''''''''''''''</w:t>
            </w:r>
          </w:p>
        </w:tc>
        <w:tc>
          <w:tcPr>
            <w:tcW w:w="649" w:type="pct"/>
            <w:vAlign w:val="center"/>
          </w:tcPr>
          <w:p w:rsidR="00516A59" w:rsidRPr="00845E21" w:rsidRDefault="00845E21">
            <w:pPr>
              <w:pStyle w:val="Tabletext"/>
              <w:jc w:val="center"/>
              <w:rPr>
                <w:bCs/>
                <w:color w:val="000000"/>
                <w:highlight w:val="black"/>
              </w:rPr>
            </w:pPr>
            <w:r>
              <w:rPr>
                <w:noProof/>
                <w:color w:val="000000"/>
                <w:highlight w:val="black"/>
              </w:rPr>
              <w:t>''''''''''''''''</w:t>
            </w:r>
          </w:p>
        </w:tc>
      </w:tr>
      <w:tr w:rsidR="00516A59">
        <w:trPr>
          <w:tblHeader/>
        </w:trPr>
        <w:tc>
          <w:tcPr>
            <w:tcW w:w="5000" w:type="pct"/>
            <w:gridSpan w:val="7"/>
            <w:shd w:val="clear" w:color="auto" w:fill="auto"/>
            <w:vAlign w:val="center"/>
          </w:tcPr>
          <w:p w:rsidR="00516A59" w:rsidRDefault="007D3F6A">
            <w:pPr>
              <w:pStyle w:val="Tabletext"/>
              <w:rPr>
                <w:b/>
                <w:bCs/>
                <w:color w:val="000000"/>
              </w:rPr>
            </w:pPr>
            <w:r>
              <w:rPr>
                <w:b/>
                <w:bCs/>
                <w:color w:val="000000"/>
              </w:rPr>
              <w:t>Estimated financial implications of pembrolizumab+platinum+pemetrexed</w:t>
            </w:r>
          </w:p>
        </w:tc>
      </w:tr>
      <w:tr w:rsidR="00516A59">
        <w:trPr>
          <w:tblHeader/>
        </w:trPr>
        <w:tc>
          <w:tcPr>
            <w:tcW w:w="1106" w:type="pct"/>
            <w:shd w:val="clear" w:color="auto" w:fill="auto"/>
          </w:tcPr>
          <w:p w:rsidR="00516A59" w:rsidRDefault="007D3F6A">
            <w:pPr>
              <w:pStyle w:val="Tabletext"/>
              <w:rPr>
                <w:rFonts w:ascii="Times" w:hAnsi="Times"/>
              </w:rPr>
            </w:pPr>
            <w:r>
              <w:t xml:space="preserve">Pembrolizumab </w:t>
            </w:r>
          </w:p>
        </w:tc>
        <w:tc>
          <w:tcPr>
            <w:tcW w:w="649" w:type="pct"/>
            <w:shd w:val="clear" w:color="auto" w:fill="auto"/>
            <w:vAlign w:val="center"/>
          </w:tcPr>
          <w:p w:rsidR="00516A59" w:rsidRDefault="007D3F6A">
            <w:pPr>
              <w:pStyle w:val="Tabletext"/>
              <w:jc w:val="center"/>
              <w:rPr>
                <w:bCs/>
                <w:color w:val="000000"/>
              </w:rPr>
            </w:pPr>
            <w:r>
              <w:t>$</w:t>
            </w:r>
            <w:r w:rsidR="00845E21">
              <w:rPr>
                <w:noProof/>
                <w:color w:val="000000"/>
                <w:highlight w:val="black"/>
              </w:rPr>
              <w:t>'''''''''''''''''''''''''''</w:t>
            </w:r>
          </w:p>
        </w:tc>
        <w:tc>
          <w:tcPr>
            <w:tcW w:w="649" w:type="pct"/>
            <w:shd w:val="clear" w:color="auto" w:fill="auto"/>
            <w:vAlign w:val="center"/>
          </w:tcPr>
          <w:p w:rsidR="00516A59" w:rsidRDefault="007D3F6A">
            <w:pPr>
              <w:pStyle w:val="Tabletext"/>
              <w:jc w:val="center"/>
              <w:rPr>
                <w:bCs/>
                <w:color w:val="000000"/>
              </w:rPr>
            </w:pPr>
            <w:r>
              <w:t>$</w:t>
            </w:r>
            <w:r w:rsidR="00845E21">
              <w:rPr>
                <w:noProof/>
                <w:color w:val="000000"/>
                <w:highlight w:val="black"/>
              </w:rPr>
              <w:t>'''''''''''''''''''''''''''''</w:t>
            </w:r>
          </w:p>
        </w:tc>
        <w:tc>
          <w:tcPr>
            <w:tcW w:w="649" w:type="pct"/>
            <w:shd w:val="clear" w:color="auto" w:fill="auto"/>
            <w:vAlign w:val="center"/>
          </w:tcPr>
          <w:p w:rsidR="00516A59" w:rsidRDefault="007D3F6A">
            <w:pPr>
              <w:pStyle w:val="Tabletext"/>
              <w:jc w:val="center"/>
              <w:rPr>
                <w:bCs/>
                <w:color w:val="000000"/>
              </w:rPr>
            </w:pPr>
            <w:r>
              <w:t>$</w:t>
            </w:r>
            <w:r w:rsidR="00845E21">
              <w:rPr>
                <w:noProof/>
                <w:color w:val="000000"/>
                <w:highlight w:val="black"/>
              </w:rPr>
              <w:t>'''''''''''''''''''''''''''</w:t>
            </w:r>
          </w:p>
        </w:tc>
        <w:tc>
          <w:tcPr>
            <w:tcW w:w="649" w:type="pct"/>
            <w:shd w:val="clear" w:color="auto" w:fill="auto"/>
            <w:vAlign w:val="center"/>
          </w:tcPr>
          <w:p w:rsidR="00516A59" w:rsidRDefault="007D3F6A">
            <w:pPr>
              <w:pStyle w:val="Tabletext"/>
              <w:jc w:val="center"/>
              <w:rPr>
                <w:bCs/>
                <w:color w:val="000000"/>
              </w:rPr>
            </w:pPr>
            <w:r>
              <w:t>$</w:t>
            </w:r>
            <w:r w:rsidR="00845E21">
              <w:rPr>
                <w:noProof/>
                <w:color w:val="000000"/>
                <w:highlight w:val="black"/>
              </w:rPr>
              <w:t>'''''''''''''''''''''''''''''''</w:t>
            </w:r>
          </w:p>
        </w:tc>
        <w:tc>
          <w:tcPr>
            <w:tcW w:w="649" w:type="pct"/>
            <w:shd w:val="clear" w:color="auto" w:fill="auto"/>
            <w:vAlign w:val="center"/>
          </w:tcPr>
          <w:p w:rsidR="00516A59" w:rsidRDefault="007D3F6A">
            <w:pPr>
              <w:pStyle w:val="Tabletext"/>
              <w:jc w:val="center"/>
              <w:rPr>
                <w:bCs/>
                <w:color w:val="000000"/>
              </w:rPr>
            </w:pPr>
            <w:r>
              <w:t>$</w:t>
            </w:r>
            <w:r w:rsidR="00845E21">
              <w:rPr>
                <w:noProof/>
                <w:color w:val="000000"/>
                <w:highlight w:val="black"/>
              </w:rPr>
              <w:t>'''''''''''''''''''''''''''''</w:t>
            </w:r>
          </w:p>
        </w:tc>
        <w:tc>
          <w:tcPr>
            <w:tcW w:w="649" w:type="pct"/>
            <w:vAlign w:val="center"/>
          </w:tcPr>
          <w:p w:rsidR="00516A59" w:rsidRDefault="007D3F6A">
            <w:pPr>
              <w:pStyle w:val="Tabletext"/>
              <w:jc w:val="center"/>
              <w:rPr>
                <w:bCs/>
                <w:color w:val="000000"/>
              </w:rPr>
            </w:pPr>
            <w:r>
              <w:t>$</w:t>
            </w:r>
            <w:r w:rsidR="00845E21">
              <w:rPr>
                <w:noProof/>
                <w:color w:val="000000"/>
                <w:highlight w:val="black"/>
              </w:rPr>
              <w:t>'''''''''''''''''''''''''''''</w:t>
            </w:r>
          </w:p>
        </w:tc>
      </w:tr>
      <w:tr w:rsidR="00516A59">
        <w:trPr>
          <w:tblHeader/>
        </w:trPr>
        <w:tc>
          <w:tcPr>
            <w:tcW w:w="1106" w:type="pct"/>
            <w:tcBorders>
              <w:top w:val="nil"/>
            </w:tcBorders>
            <w:shd w:val="clear" w:color="auto" w:fill="auto"/>
          </w:tcPr>
          <w:p w:rsidR="00516A59" w:rsidRDefault="007D3F6A">
            <w:pPr>
              <w:pStyle w:val="Tabletext"/>
              <w:rPr>
                <w:sz w:val="19"/>
                <w:szCs w:val="19"/>
              </w:rPr>
            </w:pPr>
            <w:r>
              <w:t>Pemetrexed</w:t>
            </w:r>
            <w:r>
              <w:rPr>
                <w:vertAlign w:val="superscript"/>
              </w:rPr>
              <w:t>c</w:t>
            </w:r>
          </w:p>
        </w:tc>
        <w:tc>
          <w:tcPr>
            <w:tcW w:w="649" w:type="pct"/>
            <w:tcBorders>
              <w:top w:val="nil"/>
            </w:tcBorders>
            <w:shd w:val="clear" w:color="auto" w:fill="auto"/>
            <w:vAlign w:val="center"/>
          </w:tcPr>
          <w:p w:rsidR="00516A59" w:rsidRDefault="007D3F6A">
            <w:pPr>
              <w:pStyle w:val="Tabletext"/>
              <w:jc w:val="center"/>
              <w:rPr>
                <w:bCs/>
                <w:color w:val="000000"/>
              </w:rPr>
            </w:pPr>
            <w:r>
              <w:t>$</w:t>
            </w:r>
            <w:r w:rsidR="00845E21">
              <w:rPr>
                <w:noProof/>
                <w:color w:val="000000"/>
                <w:highlight w:val="black"/>
              </w:rPr>
              <w:t>'''''''''''''''''''''''''</w:t>
            </w:r>
          </w:p>
        </w:tc>
        <w:tc>
          <w:tcPr>
            <w:tcW w:w="649" w:type="pct"/>
            <w:tcBorders>
              <w:top w:val="nil"/>
            </w:tcBorders>
            <w:shd w:val="clear" w:color="auto" w:fill="auto"/>
            <w:vAlign w:val="center"/>
          </w:tcPr>
          <w:p w:rsidR="00516A59" w:rsidRDefault="007D3F6A">
            <w:pPr>
              <w:pStyle w:val="Tabletext"/>
              <w:jc w:val="center"/>
              <w:rPr>
                <w:bCs/>
                <w:color w:val="000000"/>
              </w:rPr>
            </w:pPr>
            <w:r>
              <w:t>$</w:t>
            </w:r>
            <w:r w:rsidR="00845E21">
              <w:rPr>
                <w:noProof/>
                <w:color w:val="000000"/>
                <w:highlight w:val="black"/>
              </w:rPr>
              <w:t>'''''''''''''''''''''''''</w:t>
            </w:r>
          </w:p>
        </w:tc>
        <w:tc>
          <w:tcPr>
            <w:tcW w:w="649" w:type="pct"/>
            <w:tcBorders>
              <w:top w:val="nil"/>
            </w:tcBorders>
            <w:shd w:val="clear" w:color="auto" w:fill="auto"/>
            <w:vAlign w:val="center"/>
          </w:tcPr>
          <w:p w:rsidR="00516A59" w:rsidRDefault="007D3F6A">
            <w:pPr>
              <w:pStyle w:val="Tabletext"/>
              <w:jc w:val="center"/>
              <w:rPr>
                <w:bCs/>
                <w:color w:val="000000"/>
              </w:rPr>
            </w:pPr>
            <w:r>
              <w:t>$</w:t>
            </w:r>
            <w:r w:rsidR="00845E21">
              <w:rPr>
                <w:noProof/>
                <w:color w:val="000000"/>
                <w:highlight w:val="black"/>
              </w:rPr>
              <w:t>'''''''''''''''''''''''</w:t>
            </w:r>
          </w:p>
        </w:tc>
        <w:tc>
          <w:tcPr>
            <w:tcW w:w="649" w:type="pct"/>
            <w:tcBorders>
              <w:top w:val="nil"/>
            </w:tcBorders>
            <w:shd w:val="clear" w:color="auto" w:fill="auto"/>
            <w:vAlign w:val="center"/>
          </w:tcPr>
          <w:p w:rsidR="00516A59" w:rsidRDefault="007D3F6A">
            <w:pPr>
              <w:pStyle w:val="Tabletext"/>
              <w:jc w:val="center"/>
              <w:rPr>
                <w:bCs/>
                <w:color w:val="000000"/>
              </w:rPr>
            </w:pPr>
            <w:r>
              <w:t>$</w:t>
            </w:r>
            <w:r w:rsidR="00845E21">
              <w:rPr>
                <w:noProof/>
                <w:color w:val="000000"/>
                <w:highlight w:val="black"/>
              </w:rPr>
              <w:t>'''''''''''''''''''''''</w:t>
            </w:r>
          </w:p>
        </w:tc>
        <w:tc>
          <w:tcPr>
            <w:tcW w:w="649" w:type="pct"/>
            <w:tcBorders>
              <w:top w:val="nil"/>
            </w:tcBorders>
            <w:shd w:val="clear" w:color="auto" w:fill="auto"/>
            <w:vAlign w:val="center"/>
          </w:tcPr>
          <w:p w:rsidR="00516A59" w:rsidRDefault="007D3F6A">
            <w:pPr>
              <w:pStyle w:val="Tabletext"/>
              <w:jc w:val="center"/>
              <w:rPr>
                <w:bCs/>
                <w:color w:val="000000"/>
              </w:rPr>
            </w:pPr>
            <w:r>
              <w:t>$</w:t>
            </w:r>
            <w:r w:rsidR="00845E21">
              <w:rPr>
                <w:noProof/>
                <w:color w:val="000000"/>
                <w:highlight w:val="black"/>
              </w:rPr>
              <w:t>'''''''''''''''''''''''</w:t>
            </w:r>
          </w:p>
        </w:tc>
        <w:tc>
          <w:tcPr>
            <w:tcW w:w="649" w:type="pct"/>
            <w:tcBorders>
              <w:top w:val="nil"/>
            </w:tcBorders>
            <w:vAlign w:val="center"/>
          </w:tcPr>
          <w:p w:rsidR="00516A59" w:rsidRDefault="007D3F6A">
            <w:pPr>
              <w:pStyle w:val="Tabletext"/>
              <w:jc w:val="center"/>
              <w:rPr>
                <w:bCs/>
                <w:color w:val="000000"/>
              </w:rPr>
            </w:pPr>
            <w:r>
              <w:t>$</w:t>
            </w:r>
            <w:r w:rsidR="00845E21">
              <w:rPr>
                <w:noProof/>
                <w:color w:val="000000"/>
                <w:highlight w:val="black"/>
              </w:rPr>
              <w:t>'''''''''''''''''''''</w:t>
            </w:r>
          </w:p>
        </w:tc>
      </w:tr>
      <w:tr w:rsidR="00516A59">
        <w:trPr>
          <w:tblHeader/>
        </w:trPr>
        <w:tc>
          <w:tcPr>
            <w:tcW w:w="1106" w:type="pct"/>
            <w:shd w:val="clear" w:color="auto" w:fill="auto"/>
          </w:tcPr>
          <w:p w:rsidR="00516A59" w:rsidRDefault="007D3F6A">
            <w:pPr>
              <w:pStyle w:val="Tabletext"/>
              <w:rPr>
                <w:sz w:val="19"/>
                <w:szCs w:val="19"/>
              </w:rPr>
            </w:pPr>
            <w:r>
              <w:t>Carboplatin (72%)</w:t>
            </w:r>
          </w:p>
        </w:tc>
        <w:tc>
          <w:tcPr>
            <w:tcW w:w="649" w:type="pct"/>
            <w:shd w:val="clear" w:color="auto" w:fill="auto"/>
            <w:vAlign w:val="center"/>
          </w:tcPr>
          <w:p w:rsidR="00516A59" w:rsidRDefault="007D3F6A">
            <w:pPr>
              <w:pStyle w:val="Tabletext"/>
              <w:jc w:val="center"/>
              <w:rPr>
                <w:bCs/>
                <w:color w:val="000000"/>
              </w:rPr>
            </w:pPr>
            <w:r>
              <w:t>$</w:t>
            </w:r>
            <w:r w:rsidR="00845E21">
              <w:rPr>
                <w:noProof/>
                <w:color w:val="000000"/>
                <w:highlight w:val="black"/>
              </w:rPr>
              <w:t>'''''''''''''''''''''''''</w:t>
            </w:r>
          </w:p>
        </w:tc>
        <w:tc>
          <w:tcPr>
            <w:tcW w:w="649" w:type="pct"/>
            <w:shd w:val="clear" w:color="auto" w:fill="auto"/>
            <w:vAlign w:val="center"/>
          </w:tcPr>
          <w:p w:rsidR="00516A59" w:rsidRDefault="007D3F6A">
            <w:pPr>
              <w:pStyle w:val="Tabletext"/>
              <w:jc w:val="center"/>
              <w:rPr>
                <w:bCs/>
                <w:color w:val="000000"/>
              </w:rPr>
            </w:pPr>
            <w:r>
              <w:t>$</w:t>
            </w:r>
            <w:r w:rsidR="00845E21">
              <w:rPr>
                <w:noProof/>
                <w:color w:val="000000"/>
                <w:highlight w:val="black"/>
              </w:rPr>
              <w:t>'''''''''''''''''''''''</w:t>
            </w:r>
          </w:p>
        </w:tc>
        <w:tc>
          <w:tcPr>
            <w:tcW w:w="649" w:type="pct"/>
            <w:shd w:val="clear" w:color="auto" w:fill="auto"/>
            <w:vAlign w:val="center"/>
          </w:tcPr>
          <w:p w:rsidR="00516A59" w:rsidRDefault="007D3F6A">
            <w:pPr>
              <w:pStyle w:val="Tabletext"/>
              <w:jc w:val="center"/>
              <w:rPr>
                <w:bCs/>
                <w:color w:val="000000"/>
              </w:rPr>
            </w:pPr>
            <w:r>
              <w:t>$</w:t>
            </w:r>
            <w:r w:rsidR="00845E21">
              <w:rPr>
                <w:noProof/>
                <w:color w:val="000000"/>
                <w:highlight w:val="black"/>
              </w:rPr>
              <w:t>'''''''''''''''''''''''</w:t>
            </w:r>
          </w:p>
        </w:tc>
        <w:tc>
          <w:tcPr>
            <w:tcW w:w="649" w:type="pct"/>
            <w:shd w:val="clear" w:color="auto" w:fill="auto"/>
            <w:vAlign w:val="center"/>
          </w:tcPr>
          <w:p w:rsidR="00516A59" w:rsidRDefault="007D3F6A">
            <w:pPr>
              <w:pStyle w:val="Tabletext"/>
              <w:jc w:val="center"/>
              <w:rPr>
                <w:bCs/>
                <w:color w:val="000000"/>
              </w:rPr>
            </w:pPr>
            <w:r>
              <w:t>$</w:t>
            </w:r>
            <w:r w:rsidR="00845E21">
              <w:rPr>
                <w:noProof/>
                <w:color w:val="000000"/>
                <w:highlight w:val="black"/>
              </w:rPr>
              <w:t>''''''''''''''''''''''</w:t>
            </w:r>
          </w:p>
        </w:tc>
        <w:tc>
          <w:tcPr>
            <w:tcW w:w="649" w:type="pct"/>
            <w:shd w:val="clear" w:color="auto" w:fill="auto"/>
            <w:vAlign w:val="center"/>
          </w:tcPr>
          <w:p w:rsidR="00516A59" w:rsidRDefault="007D3F6A">
            <w:pPr>
              <w:pStyle w:val="Tabletext"/>
              <w:jc w:val="center"/>
              <w:rPr>
                <w:bCs/>
                <w:color w:val="000000"/>
              </w:rPr>
            </w:pPr>
            <w:r>
              <w:t>$</w:t>
            </w:r>
            <w:r w:rsidR="00845E21">
              <w:rPr>
                <w:noProof/>
                <w:color w:val="000000"/>
                <w:highlight w:val="black"/>
              </w:rPr>
              <w:t>'''''''''''''''''''''''''</w:t>
            </w:r>
          </w:p>
        </w:tc>
        <w:tc>
          <w:tcPr>
            <w:tcW w:w="649" w:type="pct"/>
            <w:vAlign w:val="center"/>
          </w:tcPr>
          <w:p w:rsidR="00516A59" w:rsidRDefault="007D3F6A">
            <w:pPr>
              <w:pStyle w:val="Tabletext"/>
              <w:jc w:val="center"/>
              <w:rPr>
                <w:bCs/>
                <w:color w:val="000000"/>
              </w:rPr>
            </w:pPr>
            <w:r>
              <w:t>$</w:t>
            </w:r>
            <w:r w:rsidR="00845E21">
              <w:rPr>
                <w:noProof/>
                <w:color w:val="000000"/>
                <w:highlight w:val="black"/>
              </w:rPr>
              <w:t>''''''''''''''''''''''''</w:t>
            </w:r>
          </w:p>
        </w:tc>
      </w:tr>
      <w:tr w:rsidR="00516A59">
        <w:trPr>
          <w:tblHeader/>
        </w:trPr>
        <w:tc>
          <w:tcPr>
            <w:tcW w:w="1106" w:type="pct"/>
            <w:shd w:val="clear" w:color="auto" w:fill="auto"/>
          </w:tcPr>
          <w:p w:rsidR="00516A59" w:rsidRDefault="007D3F6A">
            <w:pPr>
              <w:pStyle w:val="Tabletext"/>
              <w:rPr>
                <w:sz w:val="19"/>
                <w:szCs w:val="19"/>
              </w:rPr>
            </w:pPr>
            <w:r>
              <w:t>Cisplatin (28%)</w:t>
            </w:r>
          </w:p>
        </w:tc>
        <w:tc>
          <w:tcPr>
            <w:tcW w:w="649" w:type="pct"/>
            <w:shd w:val="clear" w:color="auto" w:fill="auto"/>
            <w:vAlign w:val="center"/>
          </w:tcPr>
          <w:p w:rsidR="00516A59" w:rsidRDefault="007D3F6A">
            <w:pPr>
              <w:pStyle w:val="Tabletext"/>
              <w:jc w:val="center"/>
              <w:rPr>
                <w:bCs/>
                <w:color w:val="000000"/>
              </w:rPr>
            </w:pPr>
            <w:r>
              <w:t>$</w:t>
            </w:r>
            <w:r w:rsidR="00845E21">
              <w:rPr>
                <w:noProof/>
                <w:color w:val="000000"/>
                <w:highlight w:val="black"/>
              </w:rPr>
              <w:t>''''''''''''''''''</w:t>
            </w:r>
          </w:p>
        </w:tc>
        <w:tc>
          <w:tcPr>
            <w:tcW w:w="649" w:type="pct"/>
            <w:shd w:val="clear" w:color="auto" w:fill="auto"/>
            <w:vAlign w:val="center"/>
          </w:tcPr>
          <w:p w:rsidR="00516A59" w:rsidRDefault="007D3F6A">
            <w:pPr>
              <w:pStyle w:val="Tabletext"/>
              <w:jc w:val="center"/>
              <w:rPr>
                <w:bCs/>
                <w:color w:val="000000"/>
              </w:rPr>
            </w:pPr>
            <w:r>
              <w:t>$</w:t>
            </w:r>
            <w:r w:rsidR="00845E21">
              <w:rPr>
                <w:noProof/>
                <w:color w:val="000000"/>
                <w:highlight w:val="black"/>
              </w:rPr>
              <w:t>''''''''''''''''''''''</w:t>
            </w:r>
          </w:p>
        </w:tc>
        <w:tc>
          <w:tcPr>
            <w:tcW w:w="649" w:type="pct"/>
            <w:shd w:val="clear" w:color="auto" w:fill="auto"/>
            <w:vAlign w:val="center"/>
          </w:tcPr>
          <w:p w:rsidR="00516A59" w:rsidRDefault="007D3F6A">
            <w:pPr>
              <w:pStyle w:val="Tabletext"/>
              <w:jc w:val="center"/>
              <w:rPr>
                <w:bCs/>
                <w:color w:val="000000"/>
              </w:rPr>
            </w:pPr>
            <w:r>
              <w:t>$</w:t>
            </w:r>
            <w:r w:rsidR="00845E21">
              <w:rPr>
                <w:noProof/>
                <w:color w:val="000000"/>
                <w:highlight w:val="black"/>
              </w:rPr>
              <w:t>'''''''''''''''''</w:t>
            </w:r>
          </w:p>
        </w:tc>
        <w:tc>
          <w:tcPr>
            <w:tcW w:w="649" w:type="pct"/>
            <w:shd w:val="clear" w:color="auto" w:fill="auto"/>
            <w:vAlign w:val="center"/>
          </w:tcPr>
          <w:p w:rsidR="00516A59" w:rsidRDefault="007D3F6A">
            <w:pPr>
              <w:pStyle w:val="Tabletext"/>
              <w:jc w:val="center"/>
              <w:rPr>
                <w:bCs/>
                <w:color w:val="000000"/>
              </w:rPr>
            </w:pPr>
            <w:r>
              <w:t>$</w:t>
            </w:r>
            <w:r w:rsidR="00845E21">
              <w:rPr>
                <w:noProof/>
                <w:color w:val="000000"/>
                <w:highlight w:val="black"/>
              </w:rPr>
              <w:t>''''''''''''''''''''</w:t>
            </w:r>
          </w:p>
        </w:tc>
        <w:tc>
          <w:tcPr>
            <w:tcW w:w="649" w:type="pct"/>
            <w:shd w:val="clear" w:color="auto" w:fill="auto"/>
            <w:vAlign w:val="center"/>
          </w:tcPr>
          <w:p w:rsidR="00516A59" w:rsidRDefault="007D3F6A">
            <w:pPr>
              <w:pStyle w:val="Tabletext"/>
              <w:jc w:val="center"/>
              <w:rPr>
                <w:bCs/>
                <w:color w:val="000000"/>
              </w:rPr>
            </w:pPr>
            <w:r>
              <w:t>$</w:t>
            </w:r>
            <w:r w:rsidR="00845E21">
              <w:rPr>
                <w:noProof/>
                <w:color w:val="000000"/>
                <w:highlight w:val="black"/>
              </w:rPr>
              <w:t>''''''''''''''''''''</w:t>
            </w:r>
          </w:p>
        </w:tc>
        <w:tc>
          <w:tcPr>
            <w:tcW w:w="649" w:type="pct"/>
            <w:vAlign w:val="center"/>
          </w:tcPr>
          <w:p w:rsidR="00516A59" w:rsidRDefault="007D3F6A">
            <w:pPr>
              <w:pStyle w:val="Tabletext"/>
              <w:jc w:val="center"/>
              <w:rPr>
                <w:bCs/>
                <w:color w:val="000000"/>
              </w:rPr>
            </w:pPr>
            <w:r>
              <w:t>$</w:t>
            </w:r>
            <w:r w:rsidR="00845E21">
              <w:rPr>
                <w:noProof/>
                <w:color w:val="000000"/>
                <w:highlight w:val="black"/>
              </w:rPr>
              <w:t>''''''''''''''''''</w:t>
            </w:r>
          </w:p>
        </w:tc>
      </w:tr>
      <w:tr w:rsidR="00516A59">
        <w:trPr>
          <w:tblHeader/>
        </w:trPr>
        <w:tc>
          <w:tcPr>
            <w:tcW w:w="1106" w:type="pct"/>
            <w:tcBorders>
              <w:top w:val="nil"/>
            </w:tcBorders>
            <w:shd w:val="clear" w:color="auto" w:fill="auto"/>
          </w:tcPr>
          <w:p w:rsidR="00516A59" w:rsidRDefault="007D3F6A">
            <w:pPr>
              <w:pStyle w:val="Tabletext"/>
              <w:rPr>
                <w:sz w:val="19"/>
                <w:szCs w:val="19"/>
              </w:rPr>
            </w:pPr>
            <w:r>
              <w:t>Total</w:t>
            </w:r>
            <w:r>
              <w:rPr>
                <w:vertAlign w:val="superscript"/>
              </w:rPr>
              <w:t>c</w:t>
            </w:r>
          </w:p>
        </w:tc>
        <w:tc>
          <w:tcPr>
            <w:tcW w:w="649" w:type="pct"/>
            <w:tcBorders>
              <w:top w:val="nil"/>
            </w:tcBorders>
            <w:shd w:val="clear" w:color="auto" w:fill="auto"/>
            <w:vAlign w:val="center"/>
          </w:tcPr>
          <w:p w:rsidR="00516A59" w:rsidRDefault="007D3F6A">
            <w:pPr>
              <w:pStyle w:val="Tabletext"/>
              <w:jc w:val="center"/>
              <w:rPr>
                <w:bCs/>
                <w:color w:val="000000"/>
              </w:rPr>
            </w:pPr>
            <w:r>
              <w:t>$</w:t>
            </w:r>
            <w:r w:rsidR="00845E21">
              <w:rPr>
                <w:noProof/>
                <w:color w:val="000000"/>
                <w:highlight w:val="black"/>
              </w:rPr>
              <w:t>''''''''''''''''''''''''''''</w:t>
            </w:r>
          </w:p>
        </w:tc>
        <w:tc>
          <w:tcPr>
            <w:tcW w:w="649" w:type="pct"/>
            <w:tcBorders>
              <w:top w:val="nil"/>
            </w:tcBorders>
            <w:shd w:val="clear" w:color="auto" w:fill="auto"/>
            <w:vAlign w:val="center"/>
          </w:tcPr>
          <w:p w:rsidR="00516A59" w:rsidRDefault="007D3F6A">
            <w:pPr>
              <w:pStyle w:val="Tabletext"/>
              <w:jc w:val="center"/>
              <w:rPr>
                <w:bCs/>
                <w:color w:val="000000"/>
              </w:rPr>
            </w:pPr>
            <w:r>
              <w:t>$</w:t>
            </w:r>
            <w:r w:rsidR="00845E21">
              <w:rPr>
                <w:noProof/>
                <w:color w:val="000000"/>
                <w:highlight w:val="black"/>
              </w:rPr>
              <w:t>''''''''''''''''''''''''''''''''</w:t>
            </w:r>
          </w:p>
        </w:tc>
        <w:tc>
          <w:tcPr>
            <w:tcW w:w="649" w:type="pct"/>
            <w:tcBorders>
              <w:top w:val="nil"/>
            </w:tcBorders>
            <w:shd w:val="clear" w:color="auto" w:fill="auto"/>
            <w:vAlign w:val="center"/>
          </w:tcPr>
          <w:p w:rsidR="00516A59" w:rsidRDefault="007D3F6A">
            <w:pPr>
              <w:pStyle w:val="Tabletext"/>
              <w:jc w:val="center"/>
              <w:rPr>
                <w:bCs/>
                <w:color w:val="000000"/>
              </w:rPr>
            </w:pPr>
            <w:r>
              <w:t>$</w:t>
            </w:r>
            <w:r w:rsidR="00845E21">
              <w:rPr>
                <w:noProof/>
                <w:color w:val="000000"/>
                <w:highlight w:val="black"/>
              </w:rPr>
              <w:t>''''''''''''''''''''''''''''''</w:t>
            </w:r>
          </w:p>
        </w:tc>
        <w:tc>
          <w:tcPr>
            <w:tcW w:w="649" w:type="pct"/>
            <w:tcBorders>
              <w:top w:val="nil"/>
            </w:tcBorders>
            <w:shd w:val="clear" w:color="auto" w:fill="auto"/>
            <w:vAlign w:val="center"/>
          </w:tcPr>
          <w:p w:rsidR="00516A59" w:rsidRDefault="007D3F6A">
            <w:pPr>
              <w:pStyle w:val="Tabletext"/>
              <w:jc w:val="center"/>
              <w:rPr>
                <w:bCs/>
                <w:color w:val="000000"/>
              </w:rPr>
            </w:pPr>
            <w:r>
              <w:t>$</w:t>
            </w:r>
            <w:r w:rsidR="00845E21">
              <w:rPr>
                <w:noProof/>
                <w:color w:val="000000"/>
                <w:highlight w:val="black"/>
              </w:rPr>
              <w:t>''''''''''''''''''''''''''''</w:t>
            </w:r>
          </w:p>
        </w:tc>
        <w:tc>
          <w:tcPr>
            <w:tcW w:w="649" w:type="pct"/>
            <w:tcBorders>
              <w:top w:val="nil"/>
            </w:tcBorders>
            <w:shd w:val="clear" w:color="auto" w:fill="auto"/>
            <w:vAlign w:val="center"/>
          </w:tcPr>
          <w:p w:rsidR="00516A59" w:rsidRDefault="007D3F6A">
            <w:pPr>
              <w:pStyle w:val="Tabletext"/>
              <w:jc w:val="center"/>
              <w:rPr>
                <w:bCs/>
                <w:color w:val="000000"/>
              </w:rPr>
            </w:pPr>
            <w:r>
              <w:t>$</w:t>
            </w:r>
            <w:r w:rsidR="00845E21">
              <w:rPr>
                <w:noProof/>
                <w:color w:val="000000"/>
                <w:highlight w:val="black"/>
              </w:rPr>
              <w:t>'''''''''''''''''''''''''''''</w:t>
            </w:r>
          </w:p>
        </w:tc>
        <w:tc>
          <w:tcPr>
            <w:tcW w:w="649" w:type="pct"/>
            <w:tcBorders>
              <w:top w:val="nil"/>
            </w:tcBorders>
            <w:vAlign w:val="center"/>
          </w:tcPr>
          <w:p w:rsidR="00516A59" w:rsidRDefault="007D3F6A">
            <w:pPr>
              <w:pStyle w:val="Tabletext"/>
              <w:jc w:val="center"/>
              <w:rPr>
                <w:bCs/>
                <w:color w:val="000000"/>
              </w:rPr>
            </w:pPr>
            <w:r>
              <w:t>$</w:t>
            </w:r>
            <w:r w:rsidR="00845E21">
              <w:rPr>
                <w:noProof/>
                <w:color w:val="000000"/>
                <w:highlight w:val="black"/>
              </w:rPr>
              <w:t>'''''''''''''''''''''''''''</w:t>
            </w:r>
          </w:p>
        </w:tc>
      </w:tr>
      <w:tr w:rsidR="00516A59">
        <w:trPr>
          <w:tblHeader/>
        </w:trPr>
        <w:tc>
          <w:tcPr>
            <w:tcW w:w="1106" w:type="pct"/>
            <w:shd w:val="clear" w:color="auto" w:fill="auto"/>
            <w:vAlign w:val="center"/>
          </w:tcPr>
          <w:p w:rsidR="00516A59" w:rsidRDefault="007D3F6A">
            <w:pPr>
              <w:pStyle w:val="Tabletext"/>
              <w:rPr>
                <w:sz w:val="19"/>
                <w:szCs w:val="19"/>
              </w:rPr>
            </w:pPr>
            <w:r>
              <w:rPr>
                <w:sz w:val="19"/>
                <w:szCs w:val="19"/>
              </w:rPr>
              <w:t>Copayments</w:t>
            </w:r>
          </w:p>
        </w:tc>
        <w:tc>
          <w:tcPr>
            <w:tcW w:w="649" w:type="pct"/>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vAlign w:val="center"/>
          </w:tcPr>
          <w:p w:rsidR="00516A59" w:rsidRDefault="007D3F6A">
            <w:pPr>
              <w:pStyle w:val="Tabletext"/>
              <w:jc w:val="center"/>
            </w:pPr>
            <w:r>
              <w:t>$</w:t>
            </w:r>
            <w:r w:rsidR="00845E21">
              <w:rPr>
                <w:noProof/>
                <w:color w:val="000000"/>
                <w:highlight w:val="black"/>
              </w:rPr>
              <w:t>''''''''''''''''''''</w:t>
            </w:r>
          </w:p>
        </w:tc>
      </w:tr>
      <w:tr w:rsidR="00516A59">
        <w:trPr>
          <w:tblHeader/>
        </w:trPr>
        <w:tc>
          <w:tcPr>
            <w:tcW w:w="1106" w:type="pct"/>
            <w:tcBorders>
              <w:top w:val="nil"/>
            </w:tcBorders>
            <w:shd w:val="clear" w:color="auto" w:fill="auto"/>
            <w:vAlign w:val="center"/>
          </w:tcPr>
          <w:p w:rsidR="00516A59" w:rsidRDefault="007D3F6A">
            <w:pPr>
              <w:pStyle w:val="Tabletext"/>
              <w:rPr>
                <w:sz w:val="19"/>
                <w:szCs w:val="19"/>
              </w:rPr>
            </w:pPr>
            <w:r>
              <w:rPr>
                <w:sz w:val="19"/>
                <w:szCs w:val="19"/>
              </w:rPr>
              <w:t>Cost to PBS/RPBS less copayments</w:t>
            </w:r>
            <w:r>
              <w:rPr>
                <w:vertAlign w:val="superscript"/>
              </w:rPr>
              <w:t>c</w:t>
            </w:r>
          </w:p>
        </w:tc>
        <w:tc>
          <w:tcPr>
            <w:tcW w:w="649" w:type="pct"/>
            <w:tcBorders>
              <w:top w:val="nil"/>
            </w:tcBorders>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tcBorders>
              <w:top w:val="nil"/>
            </w:tcBorders>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tcBorders>
              <w:top w:val="nil"/>
            </w:tcBorders>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tcBorders>
              <w:top w:val="nil"/>
            </w:tcBorders>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tcBorders>
              <w:top w:val="nil"/>
            </w:tcBorders>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tcBorders>
              <w:top w:val="nil"/>
            </w:tcBorders>
            <w:vAlign w:val="center"/>
          </w:tcPr>
          <w:p w:rsidR="00516A59" w:rsidRDefault="007D3F6A">
            <w:pPr>
              <w:pStyle w:val="Tabletext"/>
              <w:jc w:val="center"/>
            </w:pPr>
            <w:r>
              <w:t>$</w:t>
            </w:r>
            <w:r w:rsidR="00845E21">
              <w:rPr>
                <w:noProof/>
                <w:color w:val="000000"/>
                <w:highlight w:val="black"/>
              </w:rPr>
              <w:t>''''''''''''''''''''''''''''</w:t>
            </w:r>
          </w:p>
        </w:tc>
      </w:tr>
      <w:tr w:rsidR="00516A59">
        <w:trPr>
          <w:tblHeader/>
        </w:trPr>
        <w:tc>
          <w:tcPr>
            <w:tcW w:w="5000" w:type="pct"/>
            <w:gridSpan w:val="7"/>
            <w:shd w:val="clear" w:color="auto" w:fill="auto"/>
            <w:vAlign w:val="center"/>
          </w:tcPr>
          <w:p w:rsidR="00516A59" w:rsidRDefault="007D3F6A">
            <w:pPr>
              <w:pStyle w:val="Tabletext"/>
              <w:rPr>
                <w:bCs/>
                <w:color w:val="000000"/>
              </w:rPr>
            </w:pPr>
            <w:r>
              <w:rPr>
                <w:b/>
                <w:bCs/>
                <w:color w:val="000000"/>
              </w:rPr>
              <w:t>Estimated reduction in use of other medicines (net of patient co-payments)</w:t>
            </w:r>
          </w:p>
        </w:tc>
      </w:tr>
      <w:tr w:rsidR="00516A59">
        <w:trPr>
          <w:tblHeader/>
        </w:trPr>
        <w:tc>
          <w:tcPr>
            <w:tcW w:w="1106" w:type="pct"/>
            <w:tcBorders>
              <w:top w:val="nil"/>
            </w:tcBorders>
            <w:shd w:val="clear" w:color="auto" w:fill="auto"/>
            <w:vAlign w:val="center"/>
          </w:tcPr>
          <w:p w:rsidR="00516A59" w:rsidRDefault="007D3F6A">
            <w:pPr>
              <w:pStyle w:val="Tabletext"/>
              <w:rPr>
                <w:sz w:val="19"/>
                <w:szCs w:val="19"/>
              </w:rPr>
            </w:pPr>
            <w:r>
              <w:rPr>
                <w:sz w:val="19"/>
                <w:szCs w:val="19"/>
              </w:rPr>
              <w:t>Cost to PBS/RPBS: Platinum+pemetrexed</w:t>
            </w:r>
          </w:p>
        </w:tc>
        <w:tc>
          <w:tcPr>
            <w:tcW w:w="649" w:type="pct"/>
            <w:tcBorders>
              <w:top w:val="nil"/>
            </w:tcBorders>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tcBorders>
              <w:top w:val="nil"/>
            </w:tcBorders>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tcBorders>
              <w:top w:val="nil"/>
            </w:tcBorders>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tcBorders>
              <w:top w:val="nil"/>
            </w:tcBorders>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tcBorders>
              <w:top w:val="nil"/>
            </w:tcBorders>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tcBorders>
              <w:top w:val="nil"/>
            </w:tcBorders>
            <w:vAlign w:val="center"/>
          </w:tcPr>
          <w:p w:rsidR="00516A59" w:rsidRDefault="007D3F6A">
            <w:pPr>
              <w:pStyle w:val="Tabletext"/>
              <w:jc w:val="center"/>
            </w:pPr>
            <w:r>
              <w:t>$</w:t>
            </w:r>
            <w:r w:rsidR="00845E21">
              <w:rPr>
                <w:noProof/>
                <w:color w:val="000000"/>
                <w:highlight w:val="black"/>
              </w:rPr>
              <w:t>'''''''''''''''''''''''</w:t>
            </w:r>
          </w:p>
        </w:tc>
      </w:tr>
      <w:tr w:rsidR="00516A59">
        <w:trPr>
          <w:tblHeader/>
        </w:trPr>
        <w:tc>
          <w:tcPr>
            <w:tcW w:w="1106" w:type="pct"/>
            <w:shd w:val="clear" w:color="auto" w:fill="auto"/>
            <w:vAlign w:val="center"/>
          </w:tcPr>
          <w:p w:rsidR="00516A59" w:rsidRDefault="007D3F6A">
            <w:pPr>
              <w:pStyle w:val="Tabletext"/>
              <w:rPr>
                <w:sz w:val="19"/>
                <w:szCs w:val="19"/>
              </w:rPr>
            </w:pPr>
            <w:r>
              <w:rPr>
                <w:sz w:val="19"/>
                <w:szCs w:val="19"/>
              </w:rPr>
              <w:t>PBS/RPBS:  pembrolizumab monotherapy</w:t>
            </w:r>
          </w:p>
        </w:tc>
        <w:tc>
          <w:tcPr>
            <w:tcW w:w="649" w:type="pct"/>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vAlign w:val="center"/>
          </w:tcPr>
          <w:p w:rsidR="00516A59" w:rsidRDefault="007D3F6A">
            <w:pPr>
              <w:pStyle w:val="Tabletext"/>
              <w:jc w:val="center"/>
            </w:pPr>
            <w:r>
              <w:t>$</w:t>
            </w:r>
            <w:r w:rsidR="00845E21">
              <w:rPr>
                <w:noProof/>
                <w:color w:val="000000"/>
                <w:highlight w:val="black"/>
              </w:rPr>
              <w:t>'''''''''''''''''''''''''</w:t>
            </w:r>
          </w:p>
        </w:tc>
      </w:tr>
      <w:tr w:rsidR="00516A59">
        <w:trPr>
          <w:tblHeader/>
        </w:trPr>
        <w:tc>
          <w:tcPr>
            <w:tcW w:w="1106" w:type="pct"/>
            <w:shd w:val="clear" w:color="auto" w:fill="D9D9D9" w:themeFill="background1" w:themeFillShade="D9"/>
            <w:vAlign w:val="center"/>
          </w:tcPr>
          <w:p w:rsidR="00516A59" w:rsidRDefault="007D3F6A">
            <w:pPr>
              <w:pStyle w:val="Tabletext"/>
              <w:rPr>
                <w:sz w:val="19"/>
                <w:szCs w:val="19"/>
              </w:rPr>
            </w:pPr>
            <w:r>
              <w:rPr>
                <w:sz w:val="19"/>
                <w:szCs w:val="19"/>
              </w:rPr>
              <w:t>PBS/RPBS:</w:t>
            </w:r>
          </w:p>
          <w:p w:rsidR="00516A59" w:rsidRDefault="007D3F6A">
            <w:pPr>
              <w:pStyle w:val="Tabletext"/>
              <w:rPr>
                <w:sz w:val="19"/>
                <w:szCs w:val="19"/>
              </w:rPr>
            </w:pPr>
            <w:r>
              <w:rPr>
                <w:sz w:val="19"/>
                <w:szCs w:val="19"/>
              </w:rPr>
              <w:t>Second line nivolumab*</w:t>
            </w:r>
          </w:p>
        </w:tc>
        <w:tc>
          <w:tcPr>
            <w:tcW w:w="649" w:type="pct"/>
            <w:shd w:val="clear" w:color="auto" w:fill="D9D9D9" w:themeFill="background1" w:themeFillShade="D9"/>
            <w:vAlign w:val="center"/>
          </w:tcPr>
          <w:p w:rsidR="00516A59" w:rsidRDefault="007D3F6A">
            <w:pPr>
              <w:pStyle w:val="Tabletext"/>
              <w:jc w:val="center"/>
            </w:pPr>
            <w:r>
              <w:t>$</w:t>
            </w:r>
            <w:r w:rsidR="00845E21">
              <w:rPr>
                <w:noProof/>
                <w:color w:val="000000"/>
                <w:highlight w:val="black"/>
              </w:rPr>
              <w:t>'''''''''''''''''''''''''''</w:t>
            </w:r>
          </w:p>
        </w:tc>
        <w:tc>
          <w:tcPr>
            <w:tcW w:w="649" w:type="pct"/>
            <w:shd w:val="clear" w:color="auto" w:fill="D9D9D9" w:themeFill="background1" w:themeFillShade="D9"/>
            <w:vAlign w:val="center"/>
          </w:tcPr>
          <w:p w:rsidR="00516A59" w:rsidRDefault="007D3F6A">
            <w:pPr>
              <w:pStyle w:val="Tabletext"/>
              <w:jc w:val="center"/>
            </w:pPr>
            <w:r>
              <w:t>$</w:t>
            </w:r>
            <w:r w:rsidR="00845E21">
              <w:rPr>
                <w:noProof/>
                <w:color w:val="000000"/>
                <w:highlight w:val="black"/>
              </w:rPr>
              <w:t>''''''''''''''''''''''''''''</w:t>
            </w:r>
          </w:p>
        </w:tc>
        <w:tc>
          <w:tcPr>
            <w:tcW w:w="649" w:type="pct"/>
            <w:shd w:val="clear" w:color="auto" w:fill="D9D9D9" w:themeFill="background1" w:themeFillShade="D9"/>
            <w:vAlign w:val="center"/>
          </w:tcPr>
          <w:p w:rsidR="00516A59" w:rsidRDefault="007D3F6A">
            <w:pPr>
              <w:pStyle w:val="Tabletext"/>
              <w:jc w:val="center"/>
            </w:pPr>
            <w:r>
              <w:t>$</w:t>
            </w:r>
            <w:r w:rsidR="00845E21">
              <w:rPr>
                <w:noProof/>
                <w:color w:val="000000"/>
                <w:highlight w:val="black"/>
              </w:rPr>
              <w:t>'''''''''''''''''''''''''''</w:t>
            </w:r>
          </w:p>
        </w:tc>
        <w:tc>
          <w:tcPr>
            <w:tcW w:w="649" w:type="pct"/>
            <w:shd w:val="clear" w:color="auto" w:fill="D9D9D9" w:themeFill="background1" w:themeFillShade="D9"/>
            <w:vAlign w:val="center"/>
          </w:tcPr>
          <w:p w:rsidR="00516A59" w:rsidRDefault="007D3F6A">
            <w:pPr>
              <w:pStyle w:val="Tabletext"/>
              <w:jc w:val="center"/>
            </w:pPr>
            <w:r>
              <w:t>$</w:t>
            </w:r>
            <w:r w:rsidR="00845E21">
              <w:rPr>
                <w:noProof/>
                <w:color w:val="000000"/>
                <w:highlight w:val="black"/>
              </w:rPr>
              <w:t>'''''''''''''''''''''''''''</w:t>
            </w:r>
          </w:p>
        </w:tc>
        <w:tc>
          <w:tcPr>
            <w:tcW w:w="649" w:type="pct"/>
            <w:shd w:val="clear" w:color="auto" w:fill="D9D9D9" w:themeFill="background1" w:themeFillShade="D9"/>
            <w:vAlign w:val="center"/>
          </w:tcPr>
          <w:p w:rsidR="00516A59" w:rsidRDefault="007D3F6A">
            <w:pPr>
              <w:pStyle w:val="Tabletext"/>
              <w:jc w:val="center"/>
            </w:pPr>
            <w:r>
              <w:t>$</w:t>
            </w:r>
            <w:r w:rsidR="00845E21">
              <w:rPr>
                <w:noProof/>
                <w:color w:val="000000"/>
                <w:highlight w:val="black"/>
              </w:rPr>
              <w:t>'''''''''''''''''''''''''''</w:t>
            </w:r>
          </w:p>
        </w:tc>
        <w:tc>
          <w:tcPr>
            <w:tcW w:w="649" w:type="pct"/>
            <w:shd w:val="clear" w:color="auto" w:fill="D9D9D9" w:themeFill="background1" w:themeFillShade="D9"/>
            <w:vAlign w:val="center"/>
          </w:tcPr>
          <w:p w:rsidR="00516A59" w:rsidRDefault="007D3F6A">
            <w:pPr>
              <w:pStyle w:val="Tabletext"/>
              <w:jc w:val="center"/>
            </w:pPr>
            <w:r>
              <w:t>$</w:t>
            </w:r>
            <w:r w:rsidR="00845E21">
              <w:rPr>
                <w:noProof/>
                <w:color w:val="000000"/>
                <w:highlight w:val="black"/>
              </w:rPr>
              <w:t>'''''''''''''''''''''''''''</w:t>
            </w:r>
          </w:p>
        </w:tc>
      </w:tr>
      <w:tr w:rsidR="00516A59">
        <w:trPr>
          <w:tblHeader/>
        </w:trPr>
        <w:tc>
          <w:tcPr>
            <w:tcW w:w="1106" w:type="pct"/>
            <w:tcBorders>
              <w:top w:val="nil"/>
            </w:tcBorders>
            <w:shd w:val="clear" w:color="auto" w:fill="auto"/>
            <w:vAlign w:val="center"/>
          </w:tcPr>
          <w:p w:rsidR="00516A59" w:rsidRDefault="007D3F6A">
            <w:pPr>
              <w:pStyle w:val="Tabletext"/>
              <w:rPr>
                <w:sz w:val="19"/>
                <w:szCs w:val="19"/>
              </w:rPr>
            </w:pPr>
            <w:r>
              <w:rPr>
                <w:sz w:val="19"/>
                <w:szCs w:val="19"/>
              </w:rPr>
              <w:t>Total cost to PBS/RPBS net of copayments</w:t>
            </w:r>
            <w:r>
              <w:rPr>
                <w:vertAlign w:val="superscript"/>
              </w:rPr>
              <w:t>c</w:t>
            </w:r>
          </w:p>
        </w:tc>
        <w:tc>
          <w:tcPr>
            <w:tcW w:w="649" w:type="pct"/>
            <w:tcBorders>
              <w:top w:val="nil"/>
            </w:tcBorders>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tcBorders>
              <w:top w:val="nil"/>
            </w:tcBorders>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tcBorders>
              <w:top w:val="nil"/>
            </w:tcBorders>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tcBorders>
              <w:top w:val="nil"/>
            </w:tcBorders>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tcBorders>
              <w:top w:val="nil"/>
            </w:tcBorders>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tcBorders>
              <w:top w:val="nil"/>
            </w:tcBorders>
            <w:shd w:val="clear" w:color="auto" w:fill="auto"/>
            <w:vAlign w:val="center"/>
          </w:tcPr>
          <w:p w:rsidR="00516A59" w:rsidRDefault="007D3F6A">
            <w:pPr>
              <w:pStyle w:val="Tabletext"/>
              <w:jc w:val="center"/>
            </w:pPr>
            <w:r>
              <w:t>$</w:t>
            </w:r>
            <w:r w:rsidR="00845E21">
              <w:rPr>
                <w:noProof/>
                <w:color w:val="000000"/>
                <w:highlight w:val="black"/>
              </w:rPr>
              <w:t>''''''''''''''''''''''''''''</w:t>
            </w:r>
          </w:p>
        </w:tc>
      </w:tr>
      <w:tr w:rsidR="00516A59">
        <w:trPr>
          <w:tblHeader/>
        </w:trPr>
        <w:tc>
          <w:tcPr>
            <w:tcW w:w="5000" w:type="pct"/>
            <w:gridSpan w:val="7"/>
            <w:shd w:val="clear" w:color="auto" w:fill="auto"/>
            <w:vAlign w:val="center"/>
          </w:tcPr>
          <w:p w:rsidR="00516A59" w:rsidRDefault="007D3F6A">
            <w:pPr>
              <w:pStyle w:val="Tabletext"/>
              <w:rPr>
                <w:b/>
                <w:bCs/>
                <w:color w:val="000000"/>
              </w:rPr>
            </w:pPr>
            <w:r>
              <w:rPr>
                <w:b/>
                <w:bCs/>
                <w:color w:val="000000"/>
              </w:rPr>
              <w:t>Net financial implications</w:t>
            </w:r>
          </w:p>
        </w:tc>
      </w:tr>
      <w:tr w:rsidR="00516A59">
        <w:trPr>
          <w:tblHeader/>
        </w:trPr>
        <w:tc>
          <w:tcPr>
            <w:tcW w:w="1106" w:type="pct"/>
            <w:tcBorders>
              <w:top w:val="nil"/>
            </w:tcBorders>
            <w:shd w:val="clear" w:color="auto" w:fill="auto"/>
            <w:vAlign w:val="center"/>
          </w:tcPr>
          <w:p w:rsidR="00516A59" w:rsidRDefault="007D3F6A">
            <w:pPr>
              <w:pStyle w:val="Tabletext"/>
              <w:rPr>
                <w:sz w:val="19"/>
                <w:szCs w:val="19"/>
              </w:rPr>
            </w:pPr>
            <w:r>
              <w:rPr>
                <w:sz w:val="19"/>
                <w:szCs w:val="19"/>
              </w:rPr>
              <w:t xml:space="preserve"> Net cost to PBS/RPBS</w:t>
            </w:r>
            <w:r>
              <w:rPr>
                <w:vertAlign w:val="superscript"/>
              </w:rPr>
              <w:t>c</w:t>
            </w:r>
          </w:p>
        </w:tc>
        <w:tc>
          <w:tcPr>
            <w:tcW w:w="649" w:type="pct"/>
            <w:tcBorders>
              <w:top w:val="nil"/>
            </w:tcBorders>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tcBorders>
              <w:top w:val="nil"/>
            </w:tcBorders>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tcBorders>
              <w:top w:val="nil"/>
            </w:tcBorders>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tcBorders>
              <w:top w:val="nil"/>
            </w:tcBorders>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tcBorders>
              <w:top w:val="nil"/>
            </w:tcBorders>
            <w:shd w:val="clear" w:color="auto" w:fill="auto"/>
            <w:vAlign w:val="center"/>
          </w:tcPr>
          <w:p w:rsidR="00516A59" w:rsidRDefault="007D3F6A">
            <w:pPr>
              <w:pStyle w:val="Tabletext"/>
              <w:jc w:val="center"/>
            </w:pPr>
            <w:r>
              <w:t>$</w:t>
            </w:r>
            <w:r w:rsidR="00845E21">
              <w:rPr>
                <w:noProof/>
                <w:color w:val="000000"/>
                <w:highlight w:val="black"/>
              </w:rPr>
              <w:t>'''''''''''''''''''''''''''''</w:t>
            </w:r>
          </w:p>
        </w:tc>
        <w:tc>
          <w:tcPr>
            <w:tcW w:w="649" w:type="pct"/>
            <w:tcBorders>
              <w:top w:val="nil"/>
            </w:tcBorders>
            <w:shd w:val="clear" w:color="auto" w:fill="auto"/>
            <w:vAlign w:val="center"/>
          </w:tcPr>
          <w:p w:rsidR="00516A59" w:rsidRDefault="007D3F6A">
            <w:pPr>
              <w:pStyle w:val="Tabletext"/>
              <w:jc w:val="center"/>
            </w:pPr>
            <w:r>
              <w:t>$</w:t>
            </w:r>
            <w:r w:rsidR="00845E21">
              <w:rPr>
                <w:noProof/>
                <w:color w:val="000000"/>
                <w:highlight w:val="black"/>
              </w:rPr>
              <w:t>'''''''''''''''''''''''</w:t>
            </w:r>
          </w:p>
        </w:tc>
      </w:tr>
    </w:tbl>
    <w:p w:rsidR="00516A59" w:rsidRDefault="007D3F6A">
      <w:pPr>
        <w:pStyle w:val="TableFooter"/>
        <w:widowControl/>
      </w:pPr>
      <w:r>
        <w:rPr>
          <w:vertAlign w:val="superscript"/>
        </w:rPr>
        <w:t xml:space="preserve">a </w:t>
      </w:r>
      <w:r>
        <w:t>Includes 100 grandfathered patients in year 1.</w:t>
      </w:r>
    </w:p>
    <w:p w:rsidR="00516A59" w:rsidRDefault="007D3F6A">
      <w:pPr>
        <w:pStyle w:val="TableFooter"/>
        <w:widowControl/>
      </w:pPr>
      <w:r>
        <w:rPr>
          <w:vertAlign w:val="superscript"/>
        </w:rPr>
        <w:t xml:space="preserve">b </w:t>
      </w:r>
      <w:r>
        <w:t xml:space="preserve">Assuming 10.75 administrations of pembrolizumab in year 1 and 5.61 administrations in year 2, based on the Time on Treatment curve from KN189. </w:t>
      </w:r>
    </w:p>
    <w:p w:rsidR="00516A59" w:rsidRDefault="007D3F6A">
      <w:pPr>
        <w:pStyle w:val="TableFooter"/>
        <w:widowControl/>
      </w:pPr>
      <w:r>
        <w:rPr>
          <w:vertAlign w:val="superscript"/>
        </w:rPr>
        <w:t>c</w:t>
      </w:r>
      <w:r>
        <w:t xml:space="preserve"> Revised to incorporate statutory price reduction of pemetrexed that occurred on 1 April 2019 that reduced the effective price of pemetrexed from $9.24 per 100 mg vial to $7.67 per 100 mg vial. </w:t>
      </w:r>
    </w:p>
    <w:p w:rsidR="00516A59" w:rsidRDefault="007D3F6A">
      <w:pPr>
        <w:pStyle w:val="TableFooter"/>
        <w:widowControl/>
      </w:pPr>
      <w:r>
        <w:t xml:space="preserve">Source: compiled during the evaluation based on information presented in Section 4. </w:t>
      </w:r>
    </w:p>
    <w:p w:rsidR="00516A59" w:rsidRDefault="007D3F6A">
      <w:pPr>
        <w:rPr>
          <w:rFonts w:ascii="Arial Narrow" w:hAnsi="Arial Narrow"/>
          <w:sz w:val="18"/>
          <w:szCs w:val="18"/>
        </w:rPr>
      </w:pPr>
      <w:r>
        <w:rPr>
          <w:rFonts w:ascii="Arial Narrow" w:hAnsi="Arial Narrow"/>
          <w:sz w:val="18"/>
          <w:szCs w:val="18"/>
        </w:rPr>
        <w:t>* Using a confidential effective price</w:t>
      </w:r>
    </w:p>
    <w:p w:rsidR="00516A59" w:rsidRDefault="00516A59">
      <w:pPr>
        <w:pStyle w:val="ListParagraph"/>
        <w:keepLines/>
        <w:widowControl/>
        <w:numPr>
          <w:ilvl w:val="0"/>
          <w:numId w:val="0"/>
        </w:numPr>
        <w:ind w:left="720"/>
        <w:rPr>
          <w:rFonts w:ascii="Arial Narrow" w:hAnsi="Arial Narrow"/>
          <w:sz w:val="18"/>
          <w:szCs w:val="18"/>
        </w:rPr>
      </w:pPr>
    </w:p>
    <w:p w:rsidR="00516A59" w:rsidRDefault="007D3F6A">
      <w:pPr>
        <w:pStyle w:val="ListParagraph"/>
        <w:keepLines/>
        <w:widowControl/>
        <w:spacing w:after="120"/>
      </w:pPr>
      <w:r>
        <w:t xml:space="preserve">The updated budget impact model provided with the PSCR also incorporated the revised drug price for the TPS ≥50% population, and some other minor adjustments. The ESC noted the updated budget impact model was not evaluated. </w:t>
      </w:r>
    </w:p>
    <w:p w:rsidR="00516A59" w:rsidRDefault="007D3F6A">
      <w:pPr>
        <w:pStyle w:val="ListParagraph"/>
        <w:spacing w:after="120"/>
      </w:pPr>
      <w:r>
        <w:t>The ESC noted the estimates provided in the resubmission were based on the previous consideration of pembrolizumab in this setting and did not take account of the approach agreed in the context of the post-PBAC negotiations for pembrolizumab monotherapy NSCLC listing (which took place in parallel with the previous PBAC submission for combination therapy).</w:t>
      </w:r>
    </w:p>
    <w:p w:rsidR="00516A59" w:rsidRDefault="007D3F6A">
      <w:pPr>
        <w:pStyle w:val="ListParagraph"/>
        <w:spacing w:after="120"/>
      </w:pPr>
      <w:r>
        <w:t xml:space="preserve">The ESC noted revised estimates provided by the Department of Health, based on a similar approach as that used during the pembrolizumab monotherapy negotiations (Table </w:t>
      </w:r>
      <w:r>
        <w:rPr>
          <w:noProof/>
        </w:rPr>
        <w:t>19</w:t>
      </w:r>
      <w:r>
        <w:t xml:space="preserve"> and Table </w:t>
      </w:r>
      <w:r>
        <w:rPr>
          <w:noProof/>
        </w:rPr>
        <w:t>20</w:t>
      </w:r>
      <w:r>
        <w:t xml:space="preserve">). The ESC noted that these estimates were based on PD-(L)1 </w:t>
      </w:r>
      <w:r>
        <w:lastRenderedPageBreak/>
        <w:t xml:space="preserve">costs only and resulted in a net incremental cost of approximately $20 </w:t>
      </w:r>
      <w:r w:rsidR="00CA269B">
        <w:t xml:space="preserve">- $30 </w:t>
      </w:r>
      <w:r>
        <w:t xml:space="preserve">million per year. The estimated incremental PD-(L)1 cost applying the patient estimates in the resubmission are presented in Table </w:t>
      </w:r>
      <w:r>
        <w:rPr>
          <w:noProof/>
        </w:rPr>
        <w:t>21</w:t>
      </w:r>
      <w:r>
        <w:t xml:space="preserve">. </w:t>
      </w:r>
      <w:r>
        <w:rPr>
          <w:rFonts w:asciiTheme="minorHAnsi" w:hAnsiTheme="minorHAnsi"/>
          <w:bCs/>
          <w:lang w:val="en-GB"/>
        </w:rPr>
        <w:t xml:space="preserve">The PBAC noted there was a substantial difference in the number of new patients not offset by post-progression PD-(L) inhibitor use with the sponsor estimating </w:t>
      </w:r>
      <w:r w:rsidR="00CA269B">
        <w:rPr>
          <w:rFonts w:asciiTheme="minorHAnsi" w:hAnsiTheme="minorHAnsi"/>
          <w:bCs/>
          <w:lang w:val="en-GB"/>
        </w:rPr>
        <w:t xml:space="preserve">less than 10,000 </w:t>
      </w:r>
      <w:r w:rsidR="00845E21">
        <w:rPr>
          <w:rFonts w:asciiTheme="minorHAnsi" w:hAnsiTheme="minorHAnsi"/>
          <w:bCs/>
          <w:noProof/>
          <w:color w:val="000000"/>
          <w:highlight w:val="black"/>
          <w:lang w:val="en-GB"/>
        </w:rPr>
        <w:t>'''''''</w:t>
      </w:r>
      <w:r>
        <w:rPr>
          <w:rFonts w:asciiTheme="minorHAnsi" w:hAnsiTheme="minorHAnsi"/>
          <w:bCs/>
          <w:lang w:val="en-GB"/>
        </w:rPr>
        <w:t xml:space="preserve"> per year and DoH estimating </w:t>
      </w:r>
      <w:r w:rsidR="00CA269B">
        <w:rPr>
          <w:rFonts w:asciiTheme="minorHAnsi" w:hAnsiTheme="minorHAnsi"/>
          <w:bCs/>
          <w:lang w:val="en-GB"/>
        </w:rPr>
        <w:t xml:space="preserve">less than 10,000 </w:t>
      </w:r>
      <w:r>
        <w:rPr>
          <w:rFonts w:asciiTheme="minorHAnsi" w:hAnsiTheme="minorHAnsi"/>
          <w:bCs/>
          <w:lang w:val="en-GB"/>
        </w:rPr>
        <w:t xml:space="preserve"> per year.</w:t>
      </w:r>
    </w:p>
    <w:p w:rsidR="00516A59" w:rsidRDefault="007D3F6A">
      <w:pPr>
        <w:pStyle w:val="ListParagraph"/>
        <w:spacing w:after="120"/>
      </w:pPr>
      <w:r>
        <w:t xml:space="preserve">The Pre-PBAC response  stated that the sponsor is prepared to work with the Department of Health to determine the appropriate financial estimates. However, it highlighted that the calculations in Table 20 did not account for the number of patients diagnosed at Stage III that progressed to Stage IV. The Pre-PBAC response also requested grandfathering of an additional 400 (total 500) patients enrolled in the product familiarisation program. </w:t>
      </w:r>
    </w:p>
    <w:p w:rsidR="00516A59" w:rsidRDefault="007D3F6A">
      <w:pPr>
        <w:pStyle w:val="ListParagraph"/>
        <w:spacing w:after="120"/>
      </w:pPr>
      <w:r>
        <w:rPr>
          <w:rFonts w:asciiTheme="minorHAnsi" w:hAnsiTheme="minorHAnsi"/>
          <w:bCs/>
          <w:lang w:val="en-GB"/>
        </w:rPr>
        <w:t>The PBAC noted the comments in the pre-PBAC response regarding the progression of patients from Stage III to Stage IV. However, t</w:t>
      </w:r>
      <w:r>
        <w:t xml:space="preserve">he PBAC considered the patient numbers in Table 20 correctly account for patients diagnosed at stage III who progress to Stage IV and are consistent with the approach accepted by the sponsor for the pembrolizumab monotherapy listing. The PBAC considered the estimates presented in Table 15 and Table 16, Item 6.06 Pembrolizumab of the November 2018 PBAC Meeting Minutes inadvertently double counted patients diagnosed at Stage III, noting these patients were already included in the currently agreed patient numbers (for pembrolizumab, nivolumab and atezolizumab in NSCLC). </w:t>
      </w:r>
    </w:p>
    <w:p w:rsidR="00516A59" w:rsidRDefault="007D3F6A">
      <w:pPr>
        <w:pStyle w:val="ListParagraph"/>
        <w:spacing w:after="120"/>
      </w:pPr>
      <w:r>
        <w:rPr>
          <w:rFonts w:asciiTheme="minorHAnsi" w:hAnsiTheme="minorHAnsi"/>
          <w:bCs/>
          <w:lang w:val="en-GB"/>
        </w:rPr>
        <w:t xml:space="preserve">The PBAC noted the sponsor had revised the number of patients who would require grandfathering onto PBS therapy from </w:t>
      </w:r>
      <w:r w:rsidR="00CA269B">
        <w:rPr>
          <w:rFonts w:asciiTheme="minorHAnsi" w:hAnsiTheme="minorHAnsi"/>
          <w:bCs/>
          <w:lang w:val="en-GB"/>
        </w:rPr>
        <w:t xml:space="preserve">less than 10,000 </w:t>
      </w:r>
      <w:r>
        <w:rPr>
          <w:rFonts w:asciiTheme="minorHAnsi" w:hAnsiTheme="minorHAnsi"/>
          <w:bCs/>
          <w:lang w:val="en-GB"/>
        </w:rPr>
        <w:t xml:space="preserve">in its resubmission (March 2019) to </w:t>
      </w:r>
      <w:r w:rsidR="00CA269B">
        <w:rPr>
          <w:rFonts w:asciiTheme="minorHAnsi" w:hAnsiTheme="minorHAnsi"/>
          <w:bCs/>
          <w:lang w:val="en-GB"/>
        </w:rPr>
        <w:t xml:space="preserve">less than </w:t>
      </w:r>
      <w:r w:rsidR="00E25F3D">
        <w:rPr>
          <w:rFonts w:asciiTheme="minorHAnsi" w:hAnsiTheme="minorHAnsi"/>
          <w:bCs/>
          <w:lang w:val="en-GB"/>
        </w:rPr>
        <w:t>10,000 in</w:t>
      </w:r>
      <w:r>
        <w:rPr>
          <w:rFonts w:asciiTheme="minorHAnsi" w:hAnsiTheme="minorHAnsi"/>
          <w:bCs/>
          <w:lang w:val="en-GB"/>
        </w:rPr>
        <w:t xml:space="preserve"> its pre-PBAC response (June 2019). The PBAC did not consider it appropriate for Government to meet the entire cost of the sponsor’s early access program. The PBAC considered that any increase in the year 1 cap to allow for the cost of treating patients who commenced treatment prior to PBS listing should share the cost of treating grandfathered patients with the sponsor and should also take into consideration that some of these</w:t>
      </w:r>
      <w:r w:rsidR="00CA269B">
        <w:rPr>
          <w:rFonts w:asciiTheme="minorHAnsi" w:hAnsiTheme="minorHAnsi"/>
          <w:bCs/>
          <w:lang w:val="en-GB"/>
        </w:rPr>
        <w:t xml:space="preserve"> less than 10,000</w:t>
      </w:r>
      <w:r>
        <w:rPr>
          <w:rFonts w:asciiTheme="minorHAnsi" w:hAnsiTheme="minorHAnsi"/>
          <w:bCs/>
          <w:lang w:val="en-GB"/>
        </w:rPr>
        <w:t xml:space="preserve">  patients are already accounted for in the patient number estimates. The PBAC considered it was reasonable to assume </w:t>
      </w:r>
      <w:r w:rsidR="00CA269B">
        <w:rPr>
          <w:rFonts w:asciiTheme="minorHAnsi" w:hAnsiTheme="minorHAnsi"/>
          <w:bCs/>
          <w:lang w:val="en-GB"/>
        </w:rPr>
        <w:t xml:space="preserve">less than </w:t>
      </w:r>
      <w:r w:rsidR="00E25F3D">
        <w:rPr>
          <w:rFonts w:asciiTheme="minorHAnsi" w:hAnsiTheme="minorHAnsi"/>
          <w:bCs/>
          <w:lang w:val="en-GB"/>
        </w:rPr>
        <w:t>10,000 patients</w:t>
      </w:r>
      <w:r>
        <w:rPr>
          <w:rFonts w:asciiTheme="minorHAnsi" w:hAnsiTheme="minorHAnsi"/>
          <w:bCs/>
          <w:lang w:val="en-GB"/>
        </w:rPr>
        <w:t xml:space="preserve"> are already included in the financial estimates (calculated as 1/12 of annual patient numbers). The PBAC further considered that it would be appropriate to assume the remaining</w:t>
      </w:r>
      <w:r w:rsidR="00CA269B">
        <w:rPr>
          <w:rFonts w:asciiTheme="minorHAnsi" w:hAnsiTheme="minorHAnsi"/>
          <w:bCs/>
          <w:lang w:val="en-GB"/>
        </w:rPr>
        <w:t xml:space="preserve"> less than 10,000</w:t>
      </w:r>
      <w:r>
        <w:rPr>
          <w:rFonts w:asciiTheme="minorHAnsi" w:hAnsiTheme="minorHAnsi"/>
          <w:bCs/>
          <w:lang w:val="en-GB"/>
        </w:rPr>
        <w:t xml:space="preserve"> patients had already received 50% of their treatment course and that all would have received second line treatment with a PD-(L)1 inhibitor and should be offset. </w:t>
      </w:r>
    </w:p>
    <w:p w:rsidR="00516A59" w:rsidRDefault="00516A59">
      <w:pPr>
        <w:widowControl/>
        <w:jc w:val="left"/>
      </w:pPr>
    </w:p>
    <w:p w:rsidR="00516A59" w:rsidRDefault="00516A59">
      <w:pPr>
        <w:widowControl/>
        <w:jc w:val="left"/>
        <w:sectPr w:rsidR="00516A59">
          <w:headerReference w:type="even" r:id="rId13"/>
          <w:headerReference w:type="default" r:id="rId14"/>
          <w:footerReference w:type="even" r:id="rId15"/>
          <w:footerReference w:type="default" r:id="rId16"/>
          <w:headerReference w:type="first" r:id="rId17"/>
          <w:footerReference w:type="first" r:id="rId18"/>
          <w:footnotePr>
            <w:numFmt w:val="lowerLetter"/>
          </w:footnotePr>
          <w:pgSz w:w="11907" w:h="16840" w:code="9"/>
          <w:pgMar w:top="1440" w:right="1440" w:bottom="1440" w:left="1440" w:header="1440" w:footer="1440" w:gutter="0"/>
          <w:cols w:space="708"/>
          <w:docGrid w:linePitch="360"/>
        </w:sectPr>
      </w:pPr>
    </w:p>
    <w:p w:rsidR="0093515B" w:rsidRDefault="0093515B" w:rsidP="0093515B">
      <w:pPr>
        <w:pStyle w:val="Caption"/>
        <w:keepNext/>
      </w:pPr>
      <w:r>
        <w:lastRenderedPageBreak/>
        <w:t xml:space="preserve">Table </w:t>
      </w:r>
      <w:r>
        <w:rPr>
          <w:noProof/>
        </w:rPr>
        <w:t>19</w:t>
      </w:r>
      <w:r w:rsidRPr="007152CB">
        <w:t>: Assumptions and costs applied</w:t>
      </w:r>
    </w:p>
    <w:tbl>
      <w:tblPr>
        <w:tblStyle w:val="TableGrid"/>
        <w:tblW w:w="5000" w:type="pct"/>
        <w:tblCellMar>
          <w:top w:w="28" w:type="dxa"/>
          <w:left w:w="28" w:type="dxa"/>
          <w:bottom w:w="28" w:type="dxa"/>
          <w:right w:w="28" w:type="dxa"/>
        </w:tblCellMar>
        <w:tblLook w:val="04A0" w:firstRow="1" w:lastRow="0" w:firstColumn="1" w:lastColumn="0" w:noHBand="0" w:noVBand="1"/>
        <w:tblCaption w:val="Table 19: Assumptions and costs applied "/>
      </w:tblPr>
      <w:tblGrid>
        <w:gridCol w:w="279"/>
        <w:gridCol w:w="5103"/>
        <w:gridCol w:w="1417"/>
        <w:gridCol w:w="7151"/>
      </w:tblGrid>
      <w:tr w:rsidR="00516A59">
        <w:trPr>
          <w:trHeight w:val="20"/>
        </w:trPr>
        <w:tc>
          <w:tcPr>
            <w:tcW w:w="279" w:type="dxa"/>
          </w:tcPr>
          <w:p w:rsidR="00516A59" w:rsidRDefault="00516A59">
            <w:pPr>
              <w:keepLines/>
              <w:widowControl/>
              <w:rPr>
                <w:rFonts w:ascii="Arial Narrow" w:hAnsi="Arial Narrow" w:cs="Calibri"/>
                <w:b/>
                <w:sz w:val="20"/>
                <w:szCs w:val="20"/>
              </w:rPr>
            </w:pPr>
          </w:p>
        </w:tc>
        <w:tc>
          <w:tcPr>
            <w:tcW w:w="5103" w:type="dxa"/>
            <w:vAlign w:val="center"/>
          </w:tcPr>
          <w:p w:rsidR="00516A59" w:rsidRDefault="007D3F6A">
            <w:pPr>
              <w:keepLines/>
              <w:widowControl/>
              <w:rPr>
                <w:rFonts w:ascii="Arial Narrow" w:hAnsi="Arial Narrow" w:cs="Calibri"/>
                <w:b/>
                <w:sz w:val="20"/>
                <w:szCs w:val="20"/>
              </w:rPr>
            </w:pPr>
            <w:r>
              <w:rPr>
                <w:rFonts w:ascii="Arial Narrow" w:hAnsi="Arial Narrow" w:cs="Calibri"/>
                <w:b/>
                <w:sz w:val="20"/>
                <w:szCs w:val="20"/>
              </w:rPr>
              <w:t>Variable</w:t>
            </w:r>
          </w:p>
        </w:tc>
        <w:tc>
          <w:tcPr>
            <w:tcW w:w="1417" w:type="dxa"/>
            <w:vAlign w:val="center"/>
          </w:tcPr>
          <w:p w:rsidR="00516A59" w:rsidRDefault="007D3F6A">
            <w:pPr>
              <w:keepLines/>
              <w:widowControl/>
              <w:rPr>
                <w:rFonts w:ascii="Arial Narrow" w:hAnsi="Arial Narrow" w:cs="Calibri"/>
                <w:b/>
                <w:sz w:val="20"/>
                <w:szCs w:val="20"/>
              </w:rPr>
            </w:pPr>
            <w:r>
              <w:rPr>
                <w:rFonts w:ascii="Arial Narrow" w:hAnsi="Arial Narrow" w:cs="Calibri"/>
                <w:b/>
                <w:sz w:val="20"/>
                <w:szCs w:val="20"/>
              </w:rPr>
              <w:t>Value</w:t>
            </w:r>
          </w:p>
        </w:tc>
        <w:tc>
          <w:tcPr>
            <w:tcW w:w="7151" w:type="dxa"/>
            <w:vAlign w:val="center"/>
          </w:tcPr>
          <w:p w:rsidR="00516A59" w:rsidRDefault="007D3F6A">
            <w:pPr>
              <w:keepLines/>
              <w:widowControl/>
              <w:rPr>
                <w:rFonts w:ascii="Arial Narrow" w:hAnsi="Arial Narrow" w:cs="Calibri"/>
                <w:b/>
                <w:sz w:val="20"/>
                <w:szCs w:val="20"/>
              </w:rPr>
            </w:pPr>
            <w:r>
              <w:rPr>
                <w:rFonts w:ascii="Arial Narrow" w:hAnsi="Arial Narrow" w:cs="Calibri"/>
                <w:b/>
                <w:sz w:val="20"/>
                <w:szCs w:val="20"/>
              </w:rPr>
              <w:t>Source</w:t>
            </w:r>
          </w:p>
        </w:tc>
      </w:tr>
      <w:tr w:rsidR="00516A59">
        <w:trPr>
          <w:trHeight w:val="20"/>
        </w:trPr>
        <w:tc>
          <w:tcPr>
            <w:tcW w:w="279" w:type="dxa"/>
          </w:tcPr>
          <w:p w:rsidR="00516A59" w:rsidRDefault="007D3F6A">
            <w:pPr>
              <w:keepLines/>
              <w:widowControl/>
              <w:rPr>
                <w:rFonts w:ascii="Arial Narrow" w:hAnsi="Arial Narrow" w:cs="Calibri"/>
                <w:sz w:val="20"/>
                <w:szCs w:val="20"/>
              </w:rPr>
            </w:pPr>
            <w:r>
              <w:rPr>
                <w:rFonts w:ascii="Arial Narrow" w:hAnsi="Arial Narrow" w:cs="Calibri"/>
                <w:sz w:val="20"/>
                <w:szCs w:val="20"/>
              </w:rPr>
              <w:t>A.</w:t>
            </w:r>
          </w:p>
        </w:tc>
        <w:tc>
          <w:tcPr>
            <w:tcW w:w="5103" w:type="dxa"/>
            <w:vAlign w:val="center"/>
          </w:tcPr>
          <w:p w:rsidR="00516A59" w:rsidRDefault="007D3F6A">
            <w:pPr>
              <w:keepLines/>
              <w:widowControl/>
              <w:ind w:right="114"/>
              <w:rPr>
                <w:rFonts w:ascii="Arial Narrow" w:hAnsi="Arial Narrow" w:cs="Calibri"/>
                <w:sz w:val="20"/>
                <w:szCs w:val="20"/>
              </w:rPr>
            </w:pPr>
            <w:r>
              <w:rPr>
                <w:rFonts w:ascii="Arial Narrow" w:hAnsi="Arial Narrow" w:cs="Calibri"/>
                <w:sz w:val="20"/>
                <w:szCs w:val="20"/>
              </w:rPr>
              <w:t>Proportion of Stage IV patients of all Stage IIIB/IV patients</w:t>
            </w:r>
          </w:p>
        </w:tc>
        <w:tc>
          <w:tcPr>
            <w:tcW w:w="1417" w:type="dxa"/>
            <w:vAlign w:val="center"/>
          </w:tcPr>
          <w:p w:rsidR="00516A59" w:rsidRDefault="007D3F6A">
            <w:pPr>
              <w:keepLines/>
              <w:widowControl/>
              <w:rPr>
                <w:rFonts w:ascii="Arial Narrow" w:hAnsi="Arial Narrow" w:cs="Calibri"/>
                <w:sz w:val="20"/>
                <w:szCs w:val="20"/>
              </w:rPr>
            </w:pPr>
            <w:r>
              <w:rPr>
                <w:rFonts w:ascii="Arial Narrow" w:hAnsi="Arial Narrow" w:cs="Calibri"/>
                <w:sz w:val="20"/>
                <w:szCs w:val="20"/>
              </w:rPr>
              <w:t>78.6%</w:t>
            </w:r>
          </w:p>
        </w:tc>
        <w:tc>
          <w:tcPr>
            <w:tcW w:w="7151" w:type="dxa"/>
            <w:vAlign w:val="center"/>
          </w:tcPr>
          <w:p w:rsidR="00516A59" w:rsidRDefault="007D3F6A">
            <w:pPr>
              <w:keepLines/>
              <w:widowControl/>
              <w:rPr>
                <w:rFonts w:ascii="Arial Narrow" w:hAnsi="Arial Narrow" w:cs="Calibri"/>
                <w:sz w:val="20"/>
                <w:szCs w:val="20"/>
              </w:rPr>
            </w:pPr>
            <w:r>
              <w:rPr>
                <w:rFonts w:ascii="Arial Narrow" w:hAnsi="Arial Narrow" w:cs="Calibri"/>
                <w:color w:val="000000"/>
                <w:sz w:val="20"/>
                <w:szCs w:val="20"/>
              </w:rPr>
              <w:t>Mitchell et al. Lung cancer in Victoria: are we making progress? MJA 199 (10)·18 November 2013.</w:t>
            </w:r>
          </w:p>
        </w:tc>
      </w:tr>
      <w:tr w:rsidR="00516A59">
        <w:trPr>
          <w:trHeight w:val="20"/>
        </w:trPr>
        <w:tc>
          <w:tcPr>
            <w:tcW w:w="279" w:type="dxa"/>
          </w:tcPr>
          <w:p w:rsidR="00516A59" w:rsidRDefault="007D3F6A">
            <w:pPr>
              <w:keepLines/>
              <w:widowControl/>
              <w:rPr>
                <w:rFonts w:ascii="Arial Narrow" w:hAnsi="Arial Narrow" w:cs="Calibri"/>
                <w:sz w:val="20"/>
                <w:szCs w:val="20"/>
              </w:rPr>
            </w:pPr>
            <w:r>
              <w:rPr>
                <w:rFonts w:ascii="Arial Narrow" w:hAnsi="Arial Narrow" w:cs="Calibri"/>
                <w:sz w:val="20"/>
                <w:szCs w:val="20"/>
              </w:rPr>
              <w:t>B.</w:t>
            </w:r>
          </w:p>
        </w:tc>
        <w:tc>
          <w:tcPr>
            <w:tcW w:w="5103" w:type="dxa"/>
            <w:vAlign w:val="center"/>
          </w:tcPr>
          <w:p w:rsidR="00516A59" w:rsidRDefault="007D3F6A">
            <w:pPr>
              <w:keepLines/>
              <w:widowControl/>
              <w:ind w:right="114"/>
              <w:rPr>
                <w:rFonts w:ascii="Arial Narrow" w:hAnsi="Arial Narrow" w:cs="Calibri"/>
                <w:sz w:val="20"/>
                <w:szCs w:val="20"/>
              </w:rPr>
            </w:pPr>
            <w:r>
              <w:rPr>
                <w:rFonts w:ascii="Arial Narrow" w:hAnsi="Arial Narrow" w:cs="Calibri"/>
                <w:sz w:val="20"/>
                <w:szCs w:val="20"/>
              </w:rPr>
              <w:t>Proportion of NSCLC patients with non-squamous histology</w:t>
            </w:r>
          </w:p>
        </w:tc>
        <w:tc>
          <w:tcPr>
            <w:tcW w:w="1417" w:type="dxa"/>
            <w:vAlign w:val="center"/>
          </w:tcPr>
          <w:p w:rsidR="00516A59" w:rsidRDefault="007D3F6A">
            <w:pPr>
              <w:keepLines/>
              <w:widowControl/>
              <w:rPr>
                <w:rFonts w:ascii="Arial Narrow" w:hAnsi="Arial Narrow" w:cs="Calibri"/>
                <w:sz w:val="20"/>
                <w:szCs w:val="20"/>
              </w:rPr>
            </w:pPr>
            <w:r>
              <w:rPr>
                <w:rFonts w:ascii="Arial Narrow" w:hAnsi="Arial Narrow" w:cs="Calibri"/>
                <w:sz w:val="20"/>
                <w:szCs w:val="20"/>
              </w:rPr>
              <w:t xml:space="preserve">77.6% </w:t>
            </w:r>
          </w:p>
        </w:tc>
        <w:tc>
          <w:tcPr>
            <w:tcW w:w="7151" w:type="dxa"/>
            <w:vAlign w:val="center"/>
          </w:tcPr>
          <w:p w:rsidR="00516A59" w:rsidRDefault="007D3F6A">
            <w:pPr>
              <w:keepLines/>
              <w:widowControl/>
              <w:rPr>
                <w:rFonts w:ascii="Arial Narrow" w:hAnsi="Arial Narrow" w:cs="Calibri"/>
                <w:sz w:val="20"/>
                <w:szCs w:val="20"/>
              </w:rPr>
            </w:pPr>
            <w:r>
              <w:rPr>
                <w:rFonts w:ascii="Arial Narrow" w:hAnsi="Arial Narrow" w:cs="Calibri"/>
                <w:color w:val="000000"/>
                <w:sz w:val="20"/>
                <w:szCs w:val="20"/>
              </w:rPr>
              <w:t>Systemic therapy treatment patterns in patients with advanced non-small cell lung cancer (NSCLC): PIvOTAL study. European Journal of Cancer Care, February 2017.</w:t>
            </w:r>
          </w:p>
        </w:tc>
      </w:tr>
      <w:tr w:rsidR="00516A59">
        <w:trPr>
          <w:trHeight w:val="20"/>
        </w:trPr>
        <w:tc>
          <w:tcPr>
            <w:tcW w:w="279" w:type="dxa"/>
            <w:tcBorders>
              <w:bottom w:val="single" w:sz="4" w:space="0" w:color="auto"/>
            </w:tcBorders>
          </w:tcPr>
          <w:p w:rsidR="00516A59" w:rsidRDefault="007D3F6A">
            <w:pPr>
              <w:keepLines/>
              <w:widowControl/>
              <w:rPr>
                <w:rFonts w:ascii="Arial Narrow" w:hAnsi="Arial Narrow" w:cs="Calibri"/>
                <w:sz w:val="20"/>
                <w:szCs w:val="20"/>
              </w:rPr>
            </w:pPr>
            <w:r>
              <w:rPr>
                <w:rFonts w:ascii="Arial Narrow" w:hAnsi="Arial Narrow" w:cs="Calibri"/>
                <w:sz w:val="20"/>
                <w:szCs w:val="20"/>
              </w:rPr>
              <w:t>C.</w:t>
            </w:r>
          </w:p>
        </w:tc>
        <w:tc>
          <w:tcPr>
            <w:tcW w:w="5103" w:type="dxa"/>
            <w:tcBorders>
              <w:bottom w:val="single" w:sz="4" w:space="0" w:color="auto"/>
            </w:tcBorders>
            <w:vAlign w:val="center"/>
          </w:tcPr>
          <w:p w:rsidR="00516A59" w:rsidRDefault="007D3F6A">
            <w:pPr>
              <w:keepLines/>
              <w:widowControl/>
              <w:ind w:right="114"/>
              <w:rPr>
                <w:rFonts w:ascii="Arial Narrow" w:hAnsi="Arial Narrow" w:cs="Calibri"/>
                <w:sz w:val="20"/>
                <w:szCs w:val="20"/>
              </w:rPr>
            </w:pPr>
            <w:r>
              <w:rPr>
                <w:rFonts w:ascii="Arial Narrow" w:hAnsi="Arial Narrow" w:cs="Calibri"/>
                <w:sz w:val="20"/>
                <w:szCs w:val="20"/>
              </w:rPr>
              <w:t>Proportion of non-squamous NSCLC patients who are EGFR, ROS or ALK negative</w:t>
            </w:r>
          </w:p>
        </w:tc>
        <w:tc>
          <w:tcPr>
            <w:tcW w:w="1417" w:type="dxa"/>
            <w:tcBorders>
              <w:bottom w:val="single" w:sz="4" w:space="0" w:color="auto"/>
            </w:tcBorders>
            <w:vAlign w:val="center"/>
          </w:tcPr>
          <w:p w:rsidR="00516A59" w:rsidRDefault="007D3F6A">
            <w:pPr>
              <w:keepLines/>
              <w:widowControl/>
              <w:jc w:val="left"/>
              <w:rPr>
                <w:rFonts w:ascii="Arial Narrow" w:hAnsi="Arial Narrow" w:cs="Calibri"/>
                <w:sz w:val="20"/>
                <w:szCs w:val="20"/>
              </w:rPr>
            </w:pPr>
            <w:r>
              <w:rPr>
                <w:rFonts w:ascii="Arial Narrow" w:hAnsi="Arial Narrow" w:cs="Calibri"/>
                <w:sz w:val="20"/>
                <w:szCs w:val="20"/>
              </w:rPr>
              <w:t xml:space="preserve">= 12.5% + 4% + 1.6% = 18.1% </w:t>
            </w:r>
          </w:p>
        </w:tc>
        <w:tc>
          <w:tcPr>
            <w:tcW w:w="7151" w:type="dxa"/>
            <w:tcBorders>
              <w:bottom w:val="single" w:sz="4" w:space="0" w:color="auto"/>
            </w:tcBorders>
            <w:vAlign w:val="center"/>
          </w:tcPr>
          <w:p w:rsidR="00516A59" w:rsidRDefault="007D3F6A">
            <w:pPr>
              <w:keepLines/>
              <w:widowControl/>
              <w:rPr>
                <w:rFonts w:ascii="Arial Narrow" w:hAnsi="Arial Narrow" w:cs="Calibri"/>
                <w:color w:val="000000"/>
                <w:sz w:val="20"/>
                <w:szCs w:val="20"/>
              </w:rPr>
            </w:pPr>
            <w:r>
              <w:rPr>
                <w:rFonts w:ascii="Arial Narrow" w:hAnsi="Arial Narrow" w:cs="Calibri"/>
                <w:color w:val="000000"/>
                <w:sz w:val="20"/>
                <w:szCs w:val="20"/>
              </w:rPr>
              <w:t>EGFR and ROS previously agreed (</w:t>
            </w:r>
            <w:r>
              <w:rPr>
                <w:rFonts w:ascii="Arial Narrow" w:hAnsi="Arial Narrow" w:cs="Calibri"/>
                <w:sz w:val="20"/>
                <w:szCs w:val="20"/>
              </w:rPr>
              <w:t>July 2018 PBAC, item 7.17)</w:t>
            </w:r>
          </w:p>
          <w:p w:rsidR="00516A59" w:rsidRDefault="007D3F6A">
            <w:pPr>
              <w:keepLines/>
              <w:widowControl/>
              <w:rPr>
                <w:rFonts w:ascii="Arial Narrow" w:hAnsi="Arial Narrow" w:cs="Calibri"/>
                <w:color w:val="000000"/>
                <w:sz w:val="20"/>
                <w:szCs w:val="20"/>
              </w:rPr>
            </w:pPr>
            <w:r>
              <w:rPr>
                <w:rFonts w:ascii="Arial Narrow" w:hAnsi="Arial Narrow" w:cs="Calibri"/>
                <w:color w:val="000000"/>
                <w:sz w:val="20"/>
                <w:szCs w:val="20"/>
              </w:rPr>
              <w:t>1.6% of NSCLC patients are estimated to be ROS positive [Crizotinib PSD, July 2018]</w:t>
            </w:r>
          </w:p>
        </w:tc>
      </w:tr>
      <w:tr w:rsidR="00516A59">
        <w:trPr>
          <w:trHeight w:val="20"/>
        </w:trPr>
        <w:tc>
          <w:tcPr>
            <w:tcW w:w="279" w:type="dxa"/>
            <w:tcBorders>
              <w:bottom w:val="single" w:sz="4" w:space="0" w:color="auto"/>
            </w:tcBorders>
          </w:tcPr>
          <w:p w:rsidR="00516A59" w:rsidRDefault="007D3F6A">
            <w:pPr>
              <w:keepLines/>
              <w:widowControl/>
              <w:rPr>
                <w:rFonts w:ascii="Arial Narrow" w:hAnsi="Arial Narrow" w:cs="Calibri"/>
                <w:sz w:val="20"/>
                <w:szCs w:val="20"/>
              </w:rPr>
            </w:pPr>
            <w:r>
              <w:rPr>
                <w:rFonts w:ascii="Arial Narrow" w:hAnsi="Arial Narrow" w:cs="Calibri"/>
                <w:sz w:val="20"/>
                <w:szCs w:val="20"/>
              </w:rPr>
              <w:t>D.</w:t>
            </w:r>
          </w:p>
        </w:tc>
        <w:tc>
          <w:tcPr>
            <w:tcW w:w="5103" w:type="dxa"/>
            <w:tcBorders>
              <w:bottom w:val="single" w:sz="4" w:space="0" w:color="auto"/>
            </w:tcBorders>
            <w:vAlign w:val="center"/>
          </w:tcPr>
          <w:p w:rsidR="00516A59" w:rsidRDefault="007D3F6A">
            <w:pPr>
              <w:keepLines/>
              <w:widowControl/>
              <w:ind w:right="114"/>
              <w:rPr>
                <w:rFonts w:ascii="Arial Narrow" w:hAnsi="Arial Narrow" w:cs="Calibri"/>
                <w:sz w:val="20"/>
                <w:szCs w:val="20"/>
              </w:rPr>
            </w:pPr>
            <w:r>
              <w:rPr>
                <w:rFonts w:ascii="Arial Narrow" w:hAnsi="Arial Narrow" w:cs="Calibri"/>
                <w:sz w:val="20"/>
                <w:szCs w:val="20"/>
              </w:rPr>
              <w:t>2L nivolumab market potentially replaced by 1L pembrolizumab (either in combination with platinum-based chemotherapy and pemetrexed or as monotherapy)</w:t>
            </w:r>
          </w:p>
        </w:tc>
        <w:tc>
          <w:tcPr>
            <w:tcW w:w="1417" w:type="dxa"/>
            <w:tcBorders>
              <w:bottom w:val="single" w:sz="4" w:space="0" w:color="auto"/>
            </w:tcBorders>
            <w:vAlign w:val="center"/>
          </w:tcPr>
          <w:p w:rsidR="00516A59" w:rsidRDefault="007D3F6A">
            <w:pPr>
              <w:keepLines/>
              <w:widowControl/>
              <w:rPr>
                <w:rFonts w:ascii="Arial Narrow" w:hAnsi="Arial Narrow" w:cs="Calibri"/>
                <w:sz w:val="20"/>
                <w:szCs w:val="20"/>
              </w:rPr>
            </w:pPr>
            <w:r>
              <w:rPr>
                <w:rFonts w:ascii="Arial Narrow" w:hAnsi="Arial Narrow" w:cs="Calibri"/>
                <w:sz w:val="20"/>
                <w:szCs w:val="20"/>
              </w:rPr>
              <w:t>49.95%</w:t>
            </w:r>
          </w:p>
        </w:tc>
        <w:tc>
          <w:tcPr>
            <w:tcW w:w="7151" w:type="dxa"/>
            <w:tcBorders>
              <w:bottom w:val="single" w:sz="4" w:space="0" w:color="auto"/>
            </w:tcBorders>
            <w:vAlign w:val="center"/>
          </w:tcPr>
          <w:p w:rsidR="00516A59" w:rsidRDefault="007D3F6A">
            <w:pPr>
              <w:keepLines/>
              <w:widowControl/>
              <w:rPr>
                <w:rFonts w:ascii="Arial Narrow" w:hAnsi="Arial Narrow" w:cs="Calibri"/>
                <w:sz w:val="20"/>
                <w:szCs w:val="20"/>
              </w:rPr>
            </w:pPr>
            <w:r>
              <w:rPr>
                <w:rFonts w:ascii="Arial Narrow" w:hAnsi="Arial Narrow" w:cs="Calibri"/>
                <w:sz w:val="20"/>
                <w:szCs w:val="20"/>
              </w:rPr>
              <w:t xml:space="preserve">Calculated: A. x B. x (100-C.) </w:t>
            </w:r>
          </w:p>
        </w:tc>
      </w:tr>
      <w:tr w:rsidR="00516A59">
        <w:trPr>
          <w:trHeight w:val="20"/>
        </w:trPr>
        <w:tc>
          <w:tcPr>
            <w:tcW w:w="279" w:type="dxa"/>
            <w:tcBorders>
              <w:top w:val="single" w:sz="4" w:space="0" w:color="auto"/>
            </w:tcBorders>
          </w:tcPr>
          <w:p w:rsidR="00516A59" w:rsidRDefault="007D3F6A">
            <w:pPr>
              <w:keepLines/>
              <w:widowControl/>
              <w:rPr>
                <w:rFonts w:ascii="Arial Narrow" w:hAnsi="Arial Narrow" w:cs="Calibri"/>
                <w:sz w:val="20"/>
                <w:szCs w:val="20"/>
              </w:rPr>
            </w:pPr>
            <w:r>
              <w:rPr>
                <w:rFonts w:ascii="Arial Narrow" w:hAnsi="Arial Narrow" w:cs="Calibri"/>
                <w:sz w:val="20"/>
                <w:szCs w:val="20"/>
              </w:rPr>
              <w:t>E.</w:t>
            </w:r>
          </w:p>
        </w:tc>
        <w:tc>
          <w:tcPr>
            <w:tcW w:w="5103" w:type="dxa"/>
            <w:tcBorders>
              <w:top w:val="single" w:sz="4" w:space="0" w:color="auto"/>
            </w:tcBorders>
            <w:vAlign w:val="center"/>
          </w:tcPr>
          <w:p w:rsidR="00516A59" w:rsidRDefault="007D3F6A">
            <w:pPr>
              <w:keepLines/>
              <w:widowControl/>
              <w:ind w:right="114"/>
              <w:rPr>
                <w:rFonts w:ascii="Arial Narrow" w:hAnsi="Arial Narrow" w:cs="Calibri"/>
                <w:sz w:val="20"/>
                <w:szCs w:val="20"/>
              </w:rPr>
            </w:pPr>
            <w:r>
              <w:rPr>
                <w:rFonts w:ascii="Arial Narrow" w:hAnsi="Arial Narrow" w:cs="Calibri"/>
                <w:sz w:val="20"/>
                <w:szCs w:val="20"/>
              </w:rPr>
              <w:t>2L NSQ and SQ nivolumab market potentially replaced by pembrolizumab monotherapy</w:t>
            </w:r>
          </w:p>
        </w:tc>
        <w:tc>
          <w:tcPr>
            <w:tcW w:w="1417" w:type="dxa"/>
            <w:tcBorders>
              <w:top w:val="single" w:sz="4" w:space="0" w:color="auto"/>
            </w:tcBorders>
            <w:vAlign w:val="center"/>
          </w:tcPr>
          <w:p w:rsidR="00516A59" w:rsidRDefault="007D3F6A">
            <w:pPr>
              <w:keepLines/>
              <w:widowControl/>
              <w:rPr>
                <w:rFonts w:ascii="Arial Narrow" w:hAnsi="Arial Narrow" w:cs="Calibri"/>
                <w:sz w:val="20"/>
                <w:szCs w:val="20"/>
              </w:rPr>
            </w:pPr>
            <w:r>
              <w:rPr>
                <w:rFonts w:ascii="Arial Narrow" w:hAnsi="Arial Narrow" w:cs="Calibri"/>
                <w:sz w:val="20"/>
                <w:szCs w:val="20"/>
              </w:rPr>
              <w:t>19.53%</w:t>
            </w:r>
          </w:p>
        </w:tc>
        <w:tc>
          <w:tcPr>
            <w:tcW w:w="7151" w:type="dxa"/>
            <w:tcBorders>
              <w:top w:val="single" w:sz="4" w:space="0" w:color="auto"/>
            </w:tcBorders>
            <w:vAlign w:val="center"/>
          </w:tcPr>
          <w:p w:rsidR="00516A59" w:rsidRDefault="007D3F6A">
            <w:pPr>
              <w:keepLines/>
              <w:widowControl/>
              <w:rPr>
                <w:rFonts w:ascii="Arial Narrow" w:hAnsi="Arial Narrow" w:cs="Calibri"/>
                <w:sz w:val="20"/>
                <w:szCs w:val="20"/>
              </w:rPr>
            </w:pPr>
            <w:r>
              <w:rPr>
                <w:rFonts w:ascii="Arial Narrow" w:hAnsi="Arial Narrow" w:cs="Calibri"/>
                <w:sz w:val="20"/>
                <w:szCs w:val="20"/>
              </w:rPr>
              <w:t>July 2018 PBAC, item 7.17</w:t>
            </w:r>
          </w:p>
        </w:tc>
      </w:tr>
      <w:tr w:rsidR="00516A59">
        <w:trPr>
          <w:trHeight w:val="20"/>
        </w:trPr>
        <w:tc>
          <w:tcPr>
            <w:tcW w:w="279" w:type="dxa"/>
            <w:tcBorders>
              <w:top w:val="single" w:sz="4" w:space="0" w:color="auto"/>
            </w:tcBorders>
          </w:tcPr>
          <w:p w:rsidR="00516A59" w:rsidRDefault="007D3F6A">
            <w:pPr>
              <w:keepLines/>
              <w:widowControl/>
              <w:rPr>
                <w:rFonts w:ascii="Arial Narrow" w:hAnsi="Arial Narrow" w:cs="Calibri"/>
                <w:sz w:val="20"/>
                <w:szCs w:val="20"/>
              </w:rPr>
            </w:pPr>
            <w:r>
              <w:rPr>
                <w:rFonts w:ascii="Arial Narrow" w:hAnsi="Arial Narrow" w:cs="Calibri"/>
                <w:sz w:val="20"/>
                <w:szCs w:val="20"/>
              </w:rPr>
              <w:t>F.</w:t>
            </w:r>
          </w:p>
        </w:tc>
        <w:tc>
          <w:tcPr>
            <w:tcW w:w="5103" w:type="dxa"/>
            <w:tcBorders>
              <w:top w:val="single" w:sz="4" w:space="0" w:color="auto"/>
            </w:tcBorders>
            <w:vAlign w:val="center"/>
          </w:tcPr>
          <w:p w:rsidR="00516A59" w:rsidRDefault="007D3F6A">
            <w:pPr>
              <w:keepLines/>
              <w:widowControl/>
              <w:ind w:right="114"/>
              <w:rPr>
                <w:rFonts w:ascii="Arial Narrow" w:hAnsi="Arial Narrow" w:cs="Calibri"/>
                <w:b/>
                <w:sz w:val="20"/>
                <w:szCs w:val="20"/>
              </w:rPr>
            </w:pPr>
            <w:r>
              <w:rPr>
                <w:rFonts w:ascii="Arial Narrow" w:hAnsi="Arial Narrow" w:cs="Calibri"/>
                <w:sz w:val="20"/>
                <w:szCs w:val="20"/>
              </w:rPr>
              <w:t>2L NSQ  nivolumab market potentially replaced by pembrolizumab monotherapy</w:t>
            </w:r>
          </w:p>
        </w:tc>
        <w:tc>
          <w:tcPr>
            <w:tcW w:w="1417" w:type="dxa"/>
            <w:tcBorders>
              <w:top w:val="single" w:sz="4" w:space="0" w:color="auto"/>
            </w:tcBorders>
            <w:vAlign w:val="center"/>
          </w:tcPr>
          <w:p w:rsidR="00516A59" w:rsidRDefault="007D3F6A">
            <w:pPr>
              <w:keepLines/>
              <w:widowControl/>
              <w:rPr>
                <w:rFonts w:ascii="Arial Narrow" w:hAnsi="Arial Narrow" w:cs="Calibri"/>
                <w:b/>
                <w:sz w:val="20"/>
                <w:szCs w:val="20"/>
              </w:rPr>
            </w:pPr>
            <w:r>
              <w:rPr>
                <w:rFonts w:ascii="Arial Narrow" w:hAnsi="Arial Narrow" w:cs="Calibri"/>
                <w:sz w:val="20"/>
                <w:szCs w:val="20"/>
              </w:rPr>
              <w:t>15.15%</w:t>
            </w:r>
          </w:p>
        </w:tc>
        <w:tc>
          <w:tcPr>
            <w:tcW w:w="7151" w:type="dxa"/>
            <w:tcBorders>
              <w:top w:val="single" w:sz="4" w:space="0" w:color="auto"/>
            </w:tcBorders>
            <w:vAlign w:val="center"/>
          </w:tcPr>
          <w:p w:rsidR="00516A59" w:rsidRDefault="007D3F6A">
            <w:pPr>
              <w:keepLines/>
              <w:widowControl/>
              <w:rPr>
                <w:rFonts w:ascii="Arial Narrow" w:hAnsi="Arial Narrow" w:cs="Calibri"/>
                <w:sz w:val="20"/>
                <w:szCs w:val="20"/>
              </w:rPr>
            </w:pPr>
            <w:r>
              <w:rPr>
                <w:rFonts w:ascii="Arial Narrow" w:hAnsi="Arial Narrow" w:cs="Calibri"/>
                <w:sz w:val="20"/>
                <w:szCs w:val="20"/>
              </w:rPr>
              <w:t>Calculated: E.x B.</w:t>
            </w:r>
          </w:p>
        </w:tc>
      </w:tr>
      <w:tr w:rsidR="00516A59">
        <w:trPr>
          <w:trHeight w:val="20"/>
        </w:trPr>
        <w:tc>
          <w:tcPr>
            <w:tcW w:w="279" w:type="dxa"/>
            <w:tcBorders>
              <w:top w:val="single" w:sz="4" w:space="0" w:color="auto"/>
              <w:bottom w:val="single" w:sz="4" w:space="0" w:color="auto"/>
            </w:tcBorders>
          </w:tcPr>
          <w:p w:rsidR="00516A59" w:rsidRDefault="007D3F6A">
            <w:pPr>
              <w:keepLines/>
              <w:widowControl/>
              <w:rPr>
                <w:rFonts w:ascii="Arial Narrow" w:hAnsi="Arial Narrow" w:cs="Calibri"/>
                <w:sz w:val="20"/>
                <w:szCs w:val="20"/>
              </w:rPr>
            </w:pPr>
            <w:r>
              <w:rPr>
                <w:rFonts w:ascii="Arial Narrow" w:hAnsi="Arial Narrow" w:cs="Calibri"/>
                <w:sz w:val="20"/>
                <w:szCs w:val="20"/>
              </w:rPr>
              <w:t>G.</w:t>
            </w:r>
          </w:p>
        </w:tc>
        <w:tc>
          <w:tcPr>
            <w:tcW w:w="5103" w:type="dxa"/>
            <w:tcBorders>
              <w:top w:val="single" w:sz="4" w:space="0" w:color="auto"/>
              <w:bottom w:val="single" w:sz="4" w:space="0" w:color="auto"/>
            </w:tcBorders>
            <w:vAlign w:val="center"/>
          </w:tcPr>
          <w:p w:rsidR="00516A59" w:rsidRDefault="007D3F6A">
            <w:pPr>
              <w:keepLines/>
              <w:widowControl/>
              <w:ind w:right="114"/>
              <w:rPr>
                <w:rFonts w:ascii="Arial Narrow" w:hAnsi="Arial Narrow" w:cs="Calibri"/>
                <w:sz w:val="20"/>
                <w:szCs w:val="20"/>
              </w:rPr>
            </w:pPr>
            <w:r>
              <w:rPr>
                <w:rFonts w:ascii="Arial Narrow" w:hAnsi="Arial Narrow" w:cs="Calibri"/>
                <w:sz w:val="20"/>
                <w:szCs w:val="20"/>
              </w:rPr>
              <w:t>1st line pembrolizumab monotherapy replaced by 1st line pembrolizumab combination therapy</w:t>
            </w:r>
          </w:p>
        </w:tc>
        <w:tc>
          <w:tcPr>
            <w:tcW w:w="1417" w:type="dxa"/>
            <w:tcBorders>
              <w:top w:val="single" w:sz="4" w:space="0" w:color="auto"/>
              <w:bottom w:val="single" w:sz="4" w:space="0" w:color="auto"/>
            </w:tcBorders>
            <w:vAlign w:val="center"/>
          </w:tcPr>
          <w:p w:rsidR="00516A59" w:rsidRDefault="007D3F6A">
            <w:pPr>
              <w:keepLines/>
              <w:widowControl/>
              <w:rPr>
                <w:rFonts w:ascii="Arial Narrow" w:hAnsi="Arial Narrow" w:cs="Calibri"/>
                <w:sz w:val="20"/>
                <w:szCs w:val="20"/>
              </w:rPr>
            </w:pPr>
            <w:r>
              <w:rPr>
                <w:rFonts w:ascii="Arial Narrow" w:hAnsi="Arial Narrow" w:cs="Calibri"/>
                <w:sz w:val="20"/>
                <w:szCs w:val="20"/>
              </w:rPr>
              <w:t>30%</w:t>
            </w:r>
          </w:p>
        </w:tc>
        <w:tc>
          <w:tcPr>
            <w:tcW w:w="7151" w:type="dxa"/>
            <w:tcBorders>
              <w:top w:val="single" w:sz="4" w:space="0" w:color="auto"/>
              <w:bottom w:val="single" w:sz="4" w:space="0" w:color="auto"/>
            </w:tcBorders>
            <w:vAlign w:val="center"/>
          </w:tcPr>
          <w:p w:rsidR="00516A59" w:rsidRDefault="007D3F6A">
            <w:pPr>
              <w:keepLines/>
              <w:widowControl/>
              <w:rPr>
                <w:rFonts w:ascii="Arial Narrow" w:hAnsi="Arial Narrow" w:cs="Calibri"/>
                <w:sz w:val="20"/>
                <w:szCs w:val="20"/>
              </w:rPr>
            </w:pPr>
            <w:r>
              <w:rPr>
                <w:rFonts w:ascii="Arial Narrow" w:hAnsi="Arial Narrow" w:cs="Calibri"/>
                <w:sz w:val="20"/>
                <w:szCs w:val="20"/>
              </w:rPr>
              <w:t xml:space="preserve">Section 4 workbook </w:t>
            </w:r>
          </w:p>
        </w:tc>
      </w:tr>
      <w:tr w:rsidR="00516A59">
        <w:trPr>
          <w:trHeight w:val="20"/>
        </w:trPr>
        <w:tc>
          <w:tcPr>
            <w:tcW w:w="279" w:type="dxa"/>
            <w:tcBorders>
              <w:top w:val="single" w:sz="4" w:space="0" w:color="auto"/>
              <w:bottom w:val="single" w:sz="4" w:space="0" w:color="auto"/>
            </w:tcBorders>
          </w:tcPr>
          <w:p w:rsidR="00516A59" w:rsidRDefault="007D3F6A">
            <w:pPr>
              <w:keepLines/>
              <w:widowControl/>
              <w:rPr>
                <w:rFonts w:ascii="Arial Narrow" w:hAnsi="Arial Narrow" w:cs="Calibri"/>
                <w:sz w:val="20"/>
                <w:szCs w:val="20"/>
              </w:rPr>
            </w:pPr>
            <w:r>
              <w:rPr>
                <w:rFonts w:ascii="Arial Narrow" w:hAnsi="Arial Narrow" w:cs="Calibri"/>
                <w:sz w:val="20"/>
                <w:szCs w:val="20"/>
              </w:rPr>
              <w:t>H.</w:t>
            </w:r>
          </w:p>
        </w:tc>
        <w:tc>
          <w:tcPr>
            <w:tcW w:w="5103" w:type="dxa"/>
            <w:tcBorders>
              <w:top w:val="single" w:sz="4" w:space="0" w:color="auto"/>
              <w:bottom w:val="single" w:sz="4" w:space="0" w:color="auto"/>
            </w:tcBorders>
            <w:vAlign w:val="center"/>
          </w:tcPr>
          <w:p w:rsidR="00516A59" w:rsidRDefault="007D3F6A">
            <w:pPr>
              <w:keepLines/>
              <w:widowControl/>
              <w:ind w:right="114"/>
              <w:rPr>
                <w:rFonts w:ascii="Arial Narrow" w:hAnsi="Arial Narrow" w:cs="Calibri"/>
                <w:sz w:val="20"/>
                <w:szCs w:val="20"/>
              </w:rPr>
            </w:pPr>
            <w:r>
              <w:rPr>
                <w:rFonts w:ascii="Arial Narrow" w:hAnsi="Arial Narrow" w:cs="Calibri"/>
                <w:sz w:val="20"/>
                <w:szCs w:val="20"/>
              </w:rPr>
              <w:t>New 1</w:t>
            </w:r>
            <w:r>
              <w:rPr>
                <w:rFonts w:ascii="Arial Narrow" w:hAnsi="Arial Narrow" w:cs="Calibri"/>
                <w:sz w:val="20"/>
                <w:szCs w:val="20"/>
                <w:vertAlign w:val="superscript"/>
              </w:rPr>
              <w:t>st</w:t>
            </w:r>
            <w:r>
              <w:rPr>
                <w:rFonts w:ascii="Arial Narrow" w:hAnsi="Arial Narrow" w:cs="Calibri"/>
                <w:sz w:val="20"/>
                <w:szCs w:val="20"/>
              </w:rPr>
              <w:t xml:space="preserve"> line patients</w:t>
            </w:r>
          </w:p>
        </w:tc>
        <w:tc>
          <w:tcPr>
            <w:tcW w:w="1417" w:type="dxa"/>
            <w:tcBorders>
              <w:top w:val="single" w:sz="4" w:space="0" w:color="auto"/>
              <w:bottom w:val="single" w:sz="4" w:space="0" w:color="auto"/>
            </w:tcBorders>
            <w:vAlign w:val="center"/>
          </w:tcPr>
          <w:p w:rsidR="00516A59" w:rsidRDefault="007D3F6A">
            <w:pPr>
              <w:keepLines/>
              <w:widowControl/>
              <w:rPr>
                <w:rFonts w:ascii="Arial Narrow" w:hAnsi="Arial Narrow" w:cs="Calibri"/>
                <w:sz w:val="20"/>
                <w:szCs w:val="20"/>
              </w:rPr>
            </w:pPr>
            <w:r>
              <w:rPr>
                <w:rFonts w:ascii="Arial Narrow" w:hAnsi="Arial Narrow" w:cs="Calibri"/>
                <w:sz w:val="20"/>
                <w:szCs w:val="20"/>
              </w:rPr>
              <w:t>5%</w:t>
            </w:r>
          </w:p>
        </w:tc>
        <w:tc>
          <w:tcPr>
            <w:tcW w:w="7151" w:type="dxa"/>
            <w:tcBorders>
              <w:top w:val="single" w:sz="4" w:space="0" w:color="auto"/>
              <w:bottom w:val="single" w:sz="4" w:space="0" w:color="auto"/>
            </w:tcBorders>
            <w:vAlign w:val="center"/>
          </w:tcPr>
          <w:p w:rsidR="00516A59" w:rsidRDefault="007D3F6A">
            <w:pPr>
              <w:keepLines/>
              <w:widowControl/>
              <w:rPr>
                <w:rFonts w:ascii="Arial Narrow" w:hAnsi="Arial Narrow" w:cs="Calibri"/>
                <w:sz w:val="20"/>
                <w:szCs w:val="20"/>
              </w:rPr>
            </w:pPr>
            <w:r>
              <w:rPr>
                <w:rFonts w:ascii="Arial Narrow" w:hAnsi="Arial Narrow" w:cs="Calibri"/>
                <w:sz w:val="20"/>
                <w:szCs w:val="20"/>
              </w:rPr>
              <w:t>July 2018 PBAC, item 7.17</w:t>
            </w:r>
          </w:p>
        </w:tc>
      </w:tr>
      <w:tr w:rsidR="00516A59">
        <w:trPr>
          <w:trHeight w:val="20"/>
        </w:trPr>
        <w:tc>
          <w:tcPr>
            <w:tcW w:w="279" w:type="dxa"/>
            <w:tcBorders>
              <w:top w:val="single" w:sz="4" w:space="0" w:color="auto"/>
              <w:bottom w:val="single" w:sz="4" w:space="0" w:color="auto"/>
            </w:tcBorders>
          </w:tcPr>
          <w:p w:rsidR="00516A59" w:rsidRDefault="007D3F6A">
            <w:pPr>
              <w:keepLines/>
              <w:widowControl/>
              <w:rPr>
                <w:rFonts w:ascii="Arial Narrow" w:hAnsi="Arial Narrow" w:cs="Calibri"/>
                <w:sz w:val="20"/>
                <w:szCs w:val="20"/>
              </w:rPr>
            </w:pPr>
            <w:r>
              <w:rPr>
                <w:rFonts w:ascii="Arial Narrow" w:hAnsi="Arial Narrow" w:cs="Calibri"/>
                <w:sz w:val="20"/>
                <w:szCs w:val="20"/>
              </w:rPr>
              <w:t>I.</w:t>
            </w:r>
          </w:p>
        </w:tc>
        <w:tc>
          <w:tcPr>
            <w:tcW w:w="5103" w:type="dxa"/>
            <w:tcBorders>
              <w:top w:val="single" w:sz="4" w:space="0" w:color="auto"/>
              <w:bottom w:val="single" w:sz="4" w:space="0" w:color="auto"/>
            </w:tcBorders>
            <w:vAlign w:val="center"/>
          </w:tcPr>
          <w:p w:rsidR="00516A59" w:rsidRDefault="007D3F6A">
            <w:pPr>
              <w:keepLines/>
              <w:widowControl/>
              <w:ind w:right="114"/>
              <w:rPr>
                <w:rFonts w:ascii="Arial Narrow" w:hAnsi="Arial Narrow" w:cs="Calibri"/>
                <w:sz w:val="20"/>
                <w:szCs w:val="20"/>
              </w:rPr>
            </w:pPr>
            <w:r>
              <w:rPr>
                <w:rFonts w:ascii="Arial Narrow" w:hAnsi="Arial Narrow" w:cs="Calibri"/>
                <w:sz w:val="20"/>
                <w:szCs w:val="20"/>
              </w:rPr>
              <w:t xml:space="preserve">Incremental cost of replacing second line nivolumab </w:t>
            </w:r>
          </w:p>
        </w:tc>
        <w:tc>
          <w:tcPr>
            <w:tcW w:w="1417" w:type="dxa"/>
            <w:tcBorders>
              <w:top w:val="single" w:sz="4" w:space="0" w:color="auto"/>
              <w:bottom w:val="single" w:sz="4" w:space="0" w:color="auto"/>
            </w:tcBorders>
            <w:vAlign w:val="center"/>
          </w:tcPr>
          <w:p w:rsidR="00516A59" w:rsidRDefault="007D3F6A">
            <w:pPr>
              <w:keepLines/>
              <w:widowControl/>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7151" w:type="dxa"/>
            <w:tcBorders>
              <w:top w:val="single" w:sz="4" w:space="0" w:color="auto"/>
              <w:bottom w:val="single" w:sz="4" w:space="0" w:color="auto"/>
            </w:tcBorders>
            <w:vAlign w:val="center"/>
          </w:tcPr>
          <w:p w:rsidR="00516A59" w:rsidRDefault="007D3F6A">
            <w:pPr>
              <w:keepLines/>
              <w:widowControl/>
              <w:rPr>
                <w:rFonts w:ascii="Arial Narrow" w:hAnsi="Arial Narrow" w:cs="Calibri"/>
                <w:sz w:val="20"/>
                <w:szCs w:val="20"/>
              </w:rPr>
            </w:pPr>
            <w:r>
              <w:rPr>
                <w:rFonts w:ascii="Arial Narrow" w:hAnsi="Arial Narrow" w:cs="Calibri"/>
                <w:sz w:val="20"/>
                <w:szCs w:val="20"/>
              </w:rPr>
              <w:t>Cost of a treatment course of pembrolizumab+ platinum + pemetrexed ($</w:t>
            </w:r>
            <w:r w:rsidR="00845E21">
              <w:rPr>
                <w:rFonts w:ascii="Arial Narrow" w:hAnsi="Arial Narrow" w:cs="Calibri"/>
                <w:noProof/>
                <w:color w:val="000000"/>
                <w:sz w:val="20"/>
                <w:szCs w:val="20"/>
                <w:highlight w:val="black"/>
              </w:rPr>
              <w:t>''''''''''''''''</w:t>
            </w:r>
            <w:r>
              <w:rPr>
                <w:rFonts w:ascii="Arial Narrow" w:hAnsi="Arial Narrow" w:cs="Calibri"/>
                <w:sz w:val="20"/>
                <w:szCs w:val="20"/>
              </w:rPr>
              <w:t>) less the cost of a treatment course with nivolumab ($</w:t>
            </w:r>
            <w:r w:rsidR="00845E21">
              <w:rPr>
                <w:rFonts w:ascii="Arial Narrow" w:hAnsi="Arial Narrow" w:cs="Calibri"/>
                <w:noProof/>
                <w:color w:val="000000"/>
                <w:sz w:val="20"/>
                <w:szCs w:val="20"/>
                <w:highlight w:val="black"/>
              </w:rPr>
              <w:t>''''''''''''''''</w:t>
            </w:r>
            <w:r>
              <w:rPr>
                <w:rFonts w:ascii="Arial Narrow" w:hAnsi="Arial Narrow" w:cs="Calibri"/>
                <w:sz w:val="20"/>
                <w:szCs w:val="20"/>
              </w:rPr>
              <w:t xml:space="preserve">)  </w:t>
            </w:r>
          </w:p>
        </w:tc>
      </w:tr>
      <w:tr w:rsidR="00516A59">
        <w:trPr>
          <w:trHeight w:val="20"/>
        </w:trPr>
        <w:tc>
          <w:tcPr>
            <w:tcW w:w="279" w:type="dxa"/>
            <w:tcBorders>
              <w:top w:val="single" w:sz="4" w:space="0" w:color="auto"/>
              <w:bottom w:val="single" w:sz="4" w:space="0" w:color="auto"/>
            </w:tcBorders>
          </w:tcPr>
          <w:p w:rsidR="00516A59" w:rsidRDefault="007D3F6A">
            <w:pPr>
              <w:keepLines/>
              <w:widowControl/>
              <w:rPr>
                <w:rFonts w:ascii="Arial Narrow" w:hAnsi="Arial Narrow" w:cs="Calibri"/>
                <w:sz w:val="20"/>
                <w:szCs w:val="20"/>
              </w:rPr>
            </w:pPr>
            <w:r>
              <w:rPr>
                <w:rFonts w:ascii="Arial Narrow" w:hAnsi="Arial Narrow" w:cs="Calibri"/>
                <w:sz w:val="20"/>
                <w:szCs w:val="20"/>
              </w:rPr>
              <w:t>J.</w:t>
            </w:r>
          </w:p>
        </w:tc>
        <w:tc>
          <w:tcPr>
            <w:tcW w:w="5103" w:type="dxa"/>
            <w:tcBorders>
              <w:top w:val="single" w:sz="4" w:space="0" w:color="auto"/>
              <w:bottom w:val="single" w:sz="4" w:space="0" w:color="auto"/>
            </w:tcBorders>
            <w:vAlign w:val="center"/>
          </w:tcPr>
          <w:p w:rsidR="00516A59" w:rsidRDefault="007D3F6A">
            <w:pPr>
              <w:keepLines/>
              <w:widowControl/>
              <w:ind w:right="114"/>
              <w:rPr>
                <w:rFonts w:ascii="Arial Narrow" w:hAnsi="Arial Narrow" w:cs="Calibri"/>
                <w:sz w:val="20"/>
                <w:szCs w:val="20"/>
              </w:rPr>
            </w:pPr>
            <w:r>
              <w:rPr>
                <w:rFonts w:ascii="Arial Narrow" w:hAnsi="Arial Narrow" w:cs="Calibri"/>
                <w:sz w:val="20"/>
                <w:szCs w:val="20"/>
              </w:rPr>
              <w:t>Incremental cost of new first line</w:t>
            </w:r>
          </w:p>
        </w:tc>
        <w:tc>
          <w:tcPr>
            <w:tcW w:w="1417" w:type="dxa"/>
            <w:tcBorders>
              <w:top w:val="single" w:sz="4" w:space="0" w:color="auto"/>
              <w:bottom w:val="single" w:sz="4" w:space="0" w:color="auto"/>
            </w:tcBorders>
            <w:vAlign w:val="center"/>
          </w:tcPr>
          <w:p w:rsidR="00516A59" w:rsidRDefault="007D3F6A">
            <w:pPr>
              <w:keepLines/>
              <w:widowControl/>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7151" w:type="dxa"/>
            <w:tcBorders>
              <w:top w:val="single" w:sz="4" w:space="0" w:color="auto"/>
              <w:bottom w:val="single" w:sz="4" w:space="0" w:color="auto"/>
            </w:tcBorders>
            <w:vAlign w:val="center"/>
          </w:tcPr>
          <w:p w:rsidR="00516A59" w:rsidRDefault="007D3F6A">
            <w:pPr>
              <w:keepLines/>
              <w:widowControl/>
              <w:rPr>
                <w:rFonts w:ascii="Arial Narrow" w:hAnsi="Arial Narrow" w:cs="Calibri"/>
                <w:sz w:val="20"/>
                <w:szCs w:val="20"/>
                <w:highlight w:val="yellow"/>
              </w:rPr>
            </w:pPr>
            <w:r>
              <w:rPr>
                <w:rFonts w:ascii="Arial Narrow" w:hAnsi="Arial Narrow" w:cs="Calibri"/>
                <w:sz w:val="20"/>
                <w:szCs w:val="20"/>
              </w:rPr>
              <w:t>Paragraph 6.56</w:t>
            </w:r>
          </w:p>
        </w:tc>
      </w:tr>
      <w:tr w:rsidR="00516A59">
        <w:trPr>
          <w:trHeight w:val="20"/>
        </w:trPr>
        <w:tc>
          <w:tcPr>
            <w:tcW w:w="279" w:type="dxa"/>
            <w:tcBorders>
              <w:top w:val="single" w:sz="4" w:space="0" w:color="auto"/>
            </w:tcBorders>
          </w:tcPr>
          <w:p w:rsidR="00516A59" w:rsidRDefault="007D3F6A">
            <w:pPr>
              <w:keepLines/>
              <w:widowControl/>
              <w:rPr>
                <w:rFonts w:ascii="Arial Narrow" w:hAnsi="Arial Narrow" w:cs="Calibri"/>
                <w:sz w:val="20"/>
                <w:szCs w:val="20"/>
              </w:rPr>
            </w:pPr>
            <w:r>
              <w:rPr>
                <w:rFonts w:ascii="Arial Narrow" w:hAnsi="Arial Narrow" w:cs="Calibri"/>
                <w:sz w:val="20"/>
                <w:szCs w:val="20"/>
              </w:rPr>
              <w:t>K.</w:t>
            </w:r>
          </w:p>
        </w:tc>
        <w:tc>
          <w:tcPr>
            <w:tcW w:w="5103" w:type="dxa"/>
            <w:tcBorders>
              <w:top w:val="single" w:sz="4" w:space="0" w:color="auto"/>
            </w:tcBorders>
            <w:vAlign w:val="center"/>
          </w:tcPr>
          <w:p w:rsidR="00516A59" w:rsidRDefault="007D3F6A">
            <w:pPr>
              <w:keepLines/>
              <w:widowControl/>
              <w:ind w:right="114"/>
              <w:rPr>
                <w:rFonts w:ascii="Arial Narrow" w:hAnsi="Arial Narrow" w:cs="Calibri"/>
                <w:sz w:val="20"/>
                <w:szCs w:val="20"/>
              </w:rPr>
            </w:pPr>
            <w:r>
              <w:rPr>
                <w:rFonts w:ascii="Arial Narrow" w:hAnsi="Arial Narrow" w:cs="Calibri"/>
                <w:sz w:val="20"/>
                <w:szCs w:val="20"/>
              </w:rPr>
              <w:t>Incremental cost of pembrolizumab+platinum+pemetrexed  replacing pembrolizumab monotherapy</w:t>
            </w:r>
          </w:p>
        </w:tc>
        <w:tc>
          <w:tcPr>
            <w:tcW w:w="1417" w:type="dxa"/>
            <w:tcBorders>
              <w:top w:val="single" w:sz="4" w:space="0" w:color="auto"/>
            </w:tcBorders>
            <w:vAlign w:val="center"/>
          </w:tcPr>
          <w:p w:rsidR="00516A59" w:rsidRDefault="007D3F6A">
            <w:pPr>
              <w:keepLines/>
              <w:widowControl/>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7151" w:type="dxa"/>
            <w:tcBorders>
              <w:top w:val="single" w:sz="4" w:space="0" w:color="auto"/>
            </w:tcBorders>
            <w:vAlign w:val="center"/>
          </w:tcPr>
          <w:p w:rsidR="00516A59" w:rsidRDefault="007D3F6A">
            <w:pPr>
              <w:keepLines/>
              <w:widowControl/>
              <w:rPr>
                <w:rFonts w:ascii="Arial Narrow" w:hAnsi="Arial Narrow" w:cs="Calibri"/>
                <w:sz w:val="20"/>
                <w:szCs w:val="20"/>
              </w:rPr>
            </w:pPr>
            <w:r>
              <w:rPr>
                <w:rFonts w:ascii="Arial Narrow" w:hAnsi="Arial Narrow" w:cs="Calibri"/>
                <w:sz w:val="20"/>
                <w:szCs w:val="20"/>
              </w:rPr>
              <w:t>Cost of a treatment course of pembrolizumab+ platinum+pemetrexed  ($</w:t>
            </w:r>
            <w:r w:rsidR="00845E21">
              <w:rPr>
                <w:rFonts w:ascii="Arial Narrow" w:hAnsi="Arial Narrow" w:cs="Calibri"/>
                <w:noProof/>
                <w:color w:val="000000"/>
                <w:sz w:val="20"/>
                <w:szCs w:val="20"/>
                <w:highlight w:val="black"/>
              </w:rPr>
              <w:t>'''''''''''''''''</w:t>
            </w:r>
            <w:r>
              <w:rPr>
                <w:rFonts w:ascii="Arial Narrow" w:hAnsi="Arial Narrow" w:cs="Calibri"/>
                <w:sz w:val="20"/>
                <w:szCs w:val="20"/>
              </w:rPr>
              <w:t>) less the cost of a treatment course with pembrolizumab monotherapy ($</w:t>
            </w:r>
            <w:r w:rsidR="00845E21">
              <w:rPr>
                <w:rFonts w:ascii="Arial Narrow" w:hAnsi="Arial Narrow" w:cs="Calibri"/>
                <w:noProof/>
                <w:color w:val="000000"/>
                <w:sz w:val="20"/>
                <w:szCs w:val="20"/>
                <w:highlight w:val="black"/>
              </w:rPr>
              <w:t>'''''''''''''''</w:t>
            </w:r>
            <w:r>
              <w:rPr>
                <w:rFonts w:ascii="Arial Narrow" w:hAnsi="Arial Narrow" w:cs="Calibri"/>
                <w:sz w:val="20"/>
                <w:szCs w:val="20"/>
              </w:rPr>
              <w:t xml:space="preserve">) </w:t>
            </w:r>
          </w:p>
        </w:tc>
      </w:tr>
    </w:tbl>
    <w:p w:rsidR="00516A59" w:rsidRDefault="00516A59">
      <w:pPr>
        <w:pStyle w:val="TableHeading0"/>
        <w:keepLines/>
      </w:pPr>
    </w:p>
    <w:p w:rsidR="00516A59" w:rsidRDefault="00516A59">
      <w:pPr>
        <w:pStyle w:val="TableHeading0"/>
        <w:keepLines/>
        <w:sectPr w:rsidR="00516A59">
          <w:footnotePr>
            <w:numFmt w:val="lowerLetter"/>
          </w:footnotePr>
          <w:pgSz w:w="16840" w:h="11907" w:orient="landscape" w:code="9"/>
          <w:pgMar w:top="1440" w:right="1440" w:bottom="1440" w:left="1440" w:header="1440" w:footer="1440" w:gutter="0"/>
          <w:cols w:space="708"/>
          <w:docGrid w:linePitch="360"/>
        </w:sectPr>
      </w:pPr>
    </w:p>
    <w:p w:rsidR="0093515B" w:rsidRDefault="0093515B" w:rsidP="0093515B">
      <w:pPr>
        <w:pStyle w:val="Caption"/>
        <w:keepNext/>
      </w:pPr>
      <w:r>
        <w:lastRenderedPageBreak/>
        <w:t xml:space="preserve">Table </w:t>
      </w:r>
      <w:r>
        <w:rPr>
          <w:noProof/>
        </w:rPr>
        <w:t>20</w:t>
      </w:r>
      <w:r w:rsidRPr="00454D8C">
        <w:t>: Estimated use and financial implications: patient numbers and incremental cost: Department of Health calculations</w:t>
      </w:r>
    </w:p>
    <w:tbl>
      <w:tblPr>
        <w:tblStyle w:val="ASDTable1"/>
        <w:tblW w:w="5000" w:type="pct"/>
        <w:tblLayout w:type="fixed"/>
        <w:tblLook w:val="04A0" w:firstRow="1" w:lastRow="0" w:firstColumn="1" w:lastColumn="0" w:noHBand="0" w:noVBand="1"/>
        <w:tblCaption w:val="Table 20: Estimated use and financial implications: patient numbers and incremental cost: Department of Health calculations"/>
      </w:tblPr>
      <w:tblGrid>
        <w:gridCol w:w="421"/>
        <w:gridCol w:w="6520"/>
        <w:gridCol w:w="1557"/>
        <w:gridCol w:w="1278"/>
        <w:gridCol w:w="1699"/>
        <w:gridCol w:w="1278"/>
        <w:gridCol w:w="1197"/>
      </w:tblGrid>
      <w:tr w:rsidR="00516A59">
        <w:tc>
          <w:tcPr>
            <w:tcW w:w="151" w:type="pct"/>
          </w:tcPr>
          <w:p w:rsidR="00516A59" w:rsidRDefault="00516A59">
            <w:pPr>
              <w:keepLines/>
              <w:widowControl/>
            </w:pPr>
          </w:p>
        </w:tc>
        <w:tc>
          <w:tcPr>
            <w:tcW w:w="2337" w:type="pct"/>
          </w:tcPr>
          <w:p w:rsidR="00516A59" w:rsidRDefault="00516A59">
            <w:pPr>
              <w:pStyle w:val="Tabletext"/>
              <w:keepLines/>
            </w:pPr>
          </w:p>
        </w:tc>
        <w:tc>
          <w:tcPr>
            <w:tcW w:w="558" w:type="pct"/>
          </w:tcPr>
          <w:p w:rsidR="00516A59" w:rsidRDefault="007D3F6A">
            <w:pPr>
              <w:pStyle w:val="Tabletext"/>
              <w:keepLines/>
              <w:jc w:val="center"/>
              <w:rPr>
                <w:b/>
              </w:rPr>
            </w:pPr>
            <w:r>
              <w:rPr>
                <w:b/>
              </w:rPr>
              <w:t>2020</w:t>
            </w:r>
          </w:p>
        </w:tc>
        <w:tc>
          <w:tcPr>
            <w:tcW w:w="458" w:type="pct"/>
          </w:tcPr>
          <w:p w:rsidR="00516A59" w:rsidRDefault="007D3F6A">
            <w:pPr>
              <w:pStyle w:val="Tabletext"/>
              <w:keepLines/>
              <w:jc w:val="center"/>
              <w:rPr>
                <w:b/>
              </w:rPr>
            </w:pPr>
            <w:r>
              <w:rPr>
                <w:b/>
              </w:rPr>
              <w:t>2021</w:t>
            </w:r>
          </w:p>
        </w:tc>
        <w:tc>
          <w:tcPr>
            <w:tcW w:w="609" w:type="pct"/>
          </w:tcPr>
          <w:p w:rsidR="00516A59" w:rsidRDefault="007D3F6A">
            <w:pPr>
              <w:pStyle w:val="Tabletext"/>
              <w:keepLines/>
              <w:jc w:val="center"/>
              <w:rPr>
                <w:b/>
              </w:rPr>
            </w:pPr>
            <w:r>
              <w:rPr>
                <w:b/>
              </w:rPr>
              <w:t>2022</w:t>
            </w:r>
          </w:p>
        </w:tc>
        <w:tc>
          <w:tcPr>
            <w:tcW w:w="458" w:type="pct"/>
          </w:tcPr>
          <w:p w:rsidR="00516A59" w:rsidRDefault="007D3F6A">
            <w:pPr>
              <w:pStyle w:val="Tabletext"/>
              <w:keepLines/>
              <w:jc w:val="center"/>
              <w:rPr>
                <w:b/>
              </w:rPr>
            </w:pPr>
            <w:r>
              <w:rPr>
                <w:b/>
              </w:rPr>
              <w:t>2023</w:t>
            </w:r>
          </w:p>
        </w:tc>
        <w:tc>
          <w:tcPr>
            <w:tcW w:w="429" w:type="pct"/>
          </w:tcPr>
          <w:p w:rsidR="00516A59" w:rsidRDefault="007D3F6A">
            <w:pPr>
              <w:pStyle w:val="Tabletext"/>
              <w:keepLines/>
              <w:rPr>
                <w:b/>
              </w:rPr>
            </w:pPr>
            <w:r>
              <w:rPr>
                <w:b/>
              </w:rPr>
              <w:t>Calculation</w:t>
            </w:r>
          </w:p>
        </w:tc>
      </w:tr>
      <w:tr w:rsidR="00516A59">
        <w:tc>
          <w:tcPr>
            <w:tcW w:w="151" w:type="pct"/>
          </w:tcPr>
          <w:p w:rsidR="00516A59" w:rsidRDefault="00516A59">
            <w:pPr>
              <w:pStyle w:val="Tabletext"/>
              <w:keepLines/>
            </w:pPr>
          </w:p>
        </w:tc>
        <w:tc>
          <w:tcPr>
            <w:tcW w:w="2337" w:type="pct"/>
          </w:tcPr>
          <w:p w:rsidR="00516A59" w:rsidRDefault="007D3F6A">
            <w:pPr>
              <w:pStyle w:val="Tabletext"/>
              <w:keepLines/>
            </w:pPr>
            <w:r>
              <w:rPr>
                <w:b/>
              </w:rPr>
              <w:t>Patients</w:t>
            </w:r>
          </w:p>
        </w:tc>
        <w:tc>
          <w:tcPr>
            <w:tcW w:w="2512" w:type="pct"/>
            <w:gridSpan w:val="5"/>
          </w:tcPr>
          <w:p w:rsidR="00516A59" w:rsidRDefault="00516A59">
            <w:pPr>
              <w:pStyle w:val="Tabletext"/>
              <w:keepLines/>
            </w:pPr>
          </w:p>
        </w:tc>
      </w:tr>
      <w:tr w:rsidR="00516A59">
        <w:tc>
          <w:tcPr>
            <w:tcW w:w="151" w:type="pct"/>
          </w:tcPr>
          <w:p w:rsidR="00516A59" w:rsidRDefault="007D3F6A">
            <w:pPr>
              <w:pStyle w:val="Tabletext"/>
              <w:keepLines/>
            </w:pPr>
            <w:r>
              <w:t>1.</w:t>
            </w:r>
          </w:p>
        </w:tc>
        <w:tc>
          <w:tcPr>
            <w:tcW w:w="2337" w:type="pct"/>
          </w:tcPr>
          <w:p w:rsidR="00516A59" w:rsidRDefault="007D3F6A">
            <w:pPr>
              <w:pStyle w:val="Tabletext"/>
              <w:keepLines/>
              <w:rPr>
                <w:rFonts w:ascii="Times" w:hAnsi="Times"/>
              </w:rPr>
            </w:pPr>
            <w:r>
              <w:t>Agreed second line nivolumab patients</w:t>
            </w:r>
          </w:p>
        </w:tc>
        <w:tc>
          <w:tcPr>
            <w:tcW w:w="558" w:type="pct"/>
            <w:vAlign w:val="center"/>
          </w:tcPr>
          <w:p w:rsidR="00516A59" w:rsidRPr="00845E21" w:rsidRDefault="00845E21">
            <w:pPr>
              <w:pStyle w:val="Tabletext"/>
              <w:keepLines/>
              <w:jc w:val="center"/>
              <w:rPr>
                <w:bCs/>
                <w:color w:val="000000"/>
                <w:highlight w:val="black"/>
              </w:rPr>
            </w:pPr>
            <w:r>
              <w:rPr>
                <w:noProof/>
                <w:color w:val="000000"/>
                <w:highlight w:val="black"/>
              </w:rPr>
              <w:t>''''''''''''''</w:t>
            </w:r>
          </w:p>
        </w:tc>
        <w:tc>
          <w:tcPr>
            <w:tcW w:w="458" w:type="pct"/>
            <w:vAlign w:val="center"/>
          </w:tcPr>
          <w:p w:rsidR="00516A59" w:rsidRPr="00845E21" w:rsidRDefault="00845E21">
            <w:pPr>
              <w:pStyle w:val="Tabletext"/>
              <w:keepLines/>
              <w:jc w:val="center"/>
              <w:rPr>
                <w:bCs/>
                <w:color w:val="000000"/>
                <w:highlight w:val="black"/>
              </w:rPr>
            </w:pPr>
            <w:r>
              <w:rPr>
                <w:noProof/>
                <w:color w:val="000000"/>
                <w:highlight w:val="black"/>
              </w:rPr>
              <w:t>'''''''''''''</w:t>
            </w:r>
          </w:p>
        </w:tc>
        <w:tc>
          <w:tcPr>
            <w:tcW w:w="609" w:type="pct"/>
            <w:vAlign w:val="center"/>
          </w:tcPr>
          <w:p w:rsidR="00516A59" w:rsidRPr="00845E21" w:rsidRDefault="00845E21">
            <w:pPr>
              <w:pStyle w:val="Tabletext"/>
              <w:keepLines/>
              <w:jc w:val="center"/>
              <w:rPr>
                <w:bCs/>
                <w:color w:val="000000"/>
                <w:highlight w:val="black"/>
              </w:rPr>
            </w:pPr>
            <w:r>
              <w:rPr>
                <w:noProof/>
                <w:color w:val="000000"/>
                <w:highlight w:val="black"/>
              </w:rPr>
              <w:t>'''''''''''''</w:t>
            </w:r>
          </w:p>
        </w:tc>
        <w:tc>
          <w:tcPr>
            <w:tcW w:w="458" w:type="pct"/>
            <w:vAlign w:val="center"/>
          </w:tcPr>
          <w:p w:rsidR="00516A59" w:rsidRPr="00845E21" w:rsidRDefault="00845E21">
            <w:pPr>
              <w:pStyle w:val="Tabletext"/>
              <w:keepLines/>
              <w:jc w:val="center"/>
              <w:rPr>
                <w:bCs/>
                <w:color w:val="000000"/>
                <w:highlight w:val="black"/>
              </w:rPr>
            </w:pPr>
            <w:r>
              <w:rPr>
                <w:noProof/>
                <w:color w:val="000000"/>
                <w:highlight w:val="black"/>
              </w:rPr>
              <w:t>''''''''''''</w:t>
            </w:r>
          </w:p>
        </w:tc>
        <w:tc>
          <w:tcPr>
            <w:tcW w:w="429" w:type="pct"/>
          </w:tcPr>
          <w:p w:rsidR="00516A59" w:rsidRDefault="007D3F6A">
            <w:pPr>
              <w:pStyle w:val="Tabletext"/>
              <w:keepLines/>
            </w:pPr>
            <w:r>
              <w:t>Deed</w:t>
            </w:r>
          </w:p>
        </w:tc>
      </w:tr>
      <w:tr w:rsidR="00516A59">
        <w:tc>
          <w:tcPr>
            <w:tcW w:w="151" w:type="pct"/>
          </w:tcPr>
          <w:p w:rsidR="00516A59" w:rsidRDefault="007D3F6A">
            <w:pPr>
              <w:pStyle w:val="Tabletext"/>
              <w:keepLines/>
            </w:pPr>
            <w:r>
              <w:t>2.</w:t>
            </w:r>
          </w:p>
        </w:tc>
        <w:tc>
          <w:tcPr>
            <w:tcW w:w="2337" w:type="pct"/>
          </w:tcPr>
          <w:p w:rsidR="00516A59" w:rsidRDefault="007D3F6A">
            <w:pPr>
              <w:pStyle w:val="Tabletext"/>
              <w:keepLines/>
            </w:pPr>
            <w:r>
              <w:t>NSQ, EGFR ALK ROS negative</w:t>
            </w:r>
          </w:p>
        </w:tc>
        <w:tc>
          <w:tcPr>
            <w:tcW w:w="558" w:type="pct"/>
            <w:vAlign w:val="center"/>
          </w:tcPr>
          <w:p w:rsidR="00516A59" w:rsidRPr="00845E21" w:rsidRDefault="00845E21">
            <w:pPr>
              <w:pStyle w:val="Tabletext"/>
              <w:keepLines/>
              <w:jc w:val="center"/>
              <w:rPr>
                <w:highlight w:val="black"/>
              </w:rPr>
            </w:pPr>
            <w:r>
              <w:rPr>
                <w:noProof/>
                <w:color w:val="000000"/>
                <w:highlight w:val="black"/>
              </w:rPr>
              <w:t>''''''''''''</w:t>
            </w:r>
          </w:p>
        </w:tc>
        <w:tc>
          <w:tcPr>
            <w:tcW w:w="458" w:type="pct"/>
            <w:vAlign w:val="center"/>
          </w:tcPr>
          <w:p w:rsidR="00516A59" w:rsidRPr="00845E21" w:rsidRDefault="00845E21">
            <w:pPr>
              <w:pStyle w:val="Tabletext"/>
              <w:keepLines/>
              <w:jc w:val="center"/>
              <w:rPr>
                <w:highlight w:val="black"/>
              </w:rPr>
            </w:pPr>
            <w:r>
              <w:rPr>
                <w:noProof/>
                <w:color w:val="000000"/>
                <w:highlight w:val="black"/>
              </w:rPr>
              <w:t>'''''''''''''</w:t>
            </w:r>
          </w:p>
        </w:tc>
        <w:tc>
          <w:tcPr>
            <w:tcW w:w="609" w:type="pct"/>
            <w:vAlign w:val="center"/>
          </w:tcPr>
          <w:p w:rsidR="00516A59" w:rsidRPr="00845E21" w:rsidRDefault="00845E21">
            <w:pPr>
              <w:pStyle w:val="Tabletext"/>
              <w:keepLines/>
              <w:jc w:val="center"/>
              <w:rPr>
                <w:highlight w:val="black"/>
              </w:rPr>
            </w:pPr>
            <w:r>
              <w:rPr>
                <w:noProof/>
                <w:color w:val="000000"/>
                <w:highlight w:val="black"/>
              </w:rPr>
              <w:t>'''''''''''''</w:t>
            </w:r>
          </w:p>
        </w:tc>
        <w:tc>
          <w:tcPr>
            <w:tcW w:w="458" w:type="pct"/>
            <w:vAlign w:val="center"/>
          </w:tcPr>
          <w:p w:rsidR="00516A59" w:rsidRPr="00845E21" w:rsidRDefault="00845E21">
            <w:pPr>
              <w:pStyle w:val="Tabletext"/>
              <w:keepLines/>
              <w:jc w:val="center"/>
              <w:rPr>
                <w:highlight w:val="black"/>
              </w:rPr>
            </w:pPr>
            <w:r>
              <w:rPr>
                <w:noProof/>
                <w:color w:val="000000"/>
                <w:highlight w:val="black"/>
              </w:rPr>
              <w:t>''''''''''''''</w:t>
            </w:r>
          </w:p>
        </w:tc>
        <w:tc>
          <w:tcPr>
            <w:tcW w:w="429" w:type="pct"/>
          </w:tcPr>
          <w:p w:rsidR="00516A59" w:rsidRDefault="007D3F6A">
            <w:pPr>
              <w:pStyle w:val="Tabletext"/>
              <w:keepLines/>
            </w:pPr>
            <w:r>
              <w:t>1.x D.</w:t>
            </w:r>
          </w:p>
        </w:tc>
      </w:tr>
      <w:tr w:rsidR="00516A59">
        <w:tc>
          <w:tcPr>
            <w:tcW w:w="151" w:type="pct"/>
          </w:tcPr>
          <w:p w:rsidR="00516A59" w:rsidRDefault="007D3F6A">
            <w:pPr>
              <w:pStyle w:val="Tabletext"/>
              <w:keepLines/>
            </w:pPr>
            <w:r>
              <w:t>3.</w:t>
            </w:r>
          </w:p>
        </w:tc>
        <w:tc>
          <w:tcPr>
            <w:tcW w:w="2337" w:type="pct"/>
          </w:tcPr>
          <w:p w:rsidR="00516A59" w:rsidRDefault="007D3F6A">
            <w:pPr>
              <w:pStyle w:val="Tabletext"/>
              <w:keepLines/>
            </w:pPr>
            <w:r>
              <w:t>PD-L1 &gt; 50%, NSQ, EGFR ALK</w:t>
            </w:r>
          </w:p>
        </w:tc>
        <w:tc>
          <w:tcPr>
            <w:tcW w:w="558" w:type="pct"/>
            <w:vAlign w:val="center"/>
          </w:tcPr>
          <w:p w:rsidR="00516A59" w:rsidRPr="00845E21" w:rsidRDefault="00845E21">
            <w:pPr>
              <w:pStyle w:val="Tabletext"/>
              <w:keepLines/>
              <w:jc w:val="center"/>
              <w:rPr>
                <w:highlight w:val="black"/>
              </w:rPr>
            </w:pPr>
            <w:r>
              <w:rPr>
                <w:noProof/>
                <w:color w:val="000000"/>
                <w:highlight w:val="black"/>
              </w:rPr>
              <w:t>'''''''''</w:t>
            </w:r>
          </w:p>
        </w:tc>
        <w:tc>
          <w:tcPr>
            <w:tcW w:w="458" w:type="pct"/>
            <w:vAlign w:val="center"/>
          </w:tcPr>
          <w:p w:rsidR="00516A59" w:rsidRPr="00845E21" w:rsidRDefault="00845E21">
            <w:pPr>
              <w:pStyle w:val="Tabletext"/>
              <w:keepLines/>
              <w:jc w:val="center"/>
              <w:rPr>
                <w:highlight w:val="black"/>
              </w:rPr>
            </w:pPr>
            <w:r>
              <w:rPr>
                <w:noProof/>
                <w:color w:val="000000"/>
                <w:highlight w:val="black"/>
              </w:rPr>
              <w:t>'''''''''</w:t>
            </w:r>
          </w:p>
        </w:tc>
        <w:tc>
          <w:tcPr>
            <w:tcW w:w="609" w:type="pct"/>
            <w:vAlign w:val="center"/>
          </w:tcPr>
          <w:p w:rsidR="00516A59" w:rsidRPr="00845E21" w:rsidRDefault="00845E21">
            <w:pPr>
              <w:pStyle w:val="Tabletext"/>
              <w:keepLines/>
              <w:jc w:val="center"/>
              <w:rPr>
                <w:highlight w:val="black"/>
              </w:rPr>
            </w:pPr>
            <w:r>
              <w:rPr>
                <w:noProof/>
                <w:color w:val="000000"/>
                <w:highlight w:val="black"/>
              </w:rPr>
              <w:t>'''''''''</w:t>
            </w:r>
          </w:p>
        </w:tc>
        <w:tc>
          <w:tcPr>
            <w:tcW w:w="458" w:type="pct"/>
            <w:vAlign w:val="center"/>
          </w:tcPr>
          <w:p w:rsidR="00516A59" w:rsidRPr="00845E21" w:rsidRDefault="00845E21">
            <w:pPr>
              <w:pStyle w:val="Tabletext"/>
              <w:keepLines/>
              <w:jc w:val="center"/>
              <w:rPr>
                <w:highlight w:val="black"/>
              </w:rPr>
            </w:pPr>
            <w:r>
              <w:rPr>
                <w:noProof/>
                <w:color w:val="000000"/>
                <w:highlight w:val="black"/>
              </w:rPr>
              <w:t>''''''''''</w:t>
            </w:r>
          </w:p>
        </w:tc>
        <w:tc>
          <w:tcPr>
            <w:tcW w:w="429" w:type="pct"/>
          </w:tcPr>
          <w:p w:rsidR="00516A59" w:rsidRDefault="007D3F6A">
            <w:pPr>
              <w:pStyle w:val="Tabletext"/>
              <w:keepLines/>
            </w:pPr>
            <w:r>
              <w:t>1.x F.</w:t>
            </w:r>
          </w:p>
        </w:tc>
      </w:tr>
      <w:tr w:rsidR="00516A59">
        <w:tc>
          <w:tcPr>
            <w:tcW w:w="151" w:type="pct"/>
          </w:tcPr>
          <w:p w:rsidR="00516A59" w:rsidRDefault="007D3F6A">
            <w:pPr>
              <w:pStyle w:val="Tabletext"/>
              <w:keepLines/>
            </w:pPr>
            <w:r>
              <w:t>4.</w:t>
            </w:r>
          </w:p>
        </w:tc>
        <w:tc>
          <w:tcPr>
            <w:tcW w:w="2337" w:type="pct"/>
          </w:tcPr>
          <w:p w:rsidR="00516A59" w:rsidRDefault="007D3F6A">
            <w:pPr>
              <w:pStyle w:val="Tabletext"/>
              <w:keepLines/>
            </w:pPr>
            <w:r>
              <w:t>Second line nivolumab replacements</w:t>
            </w:r>
          </w:p>
        </w:tc>
        <w:tc>
          <w:tcPr>
            <w:tcW w:w="558" w:type="pct"/>
            <w:vAlign w:val="center"/>
          </w:tcPr>
          <w:p w:rsidR="00516A59" w:rsidRPr="00845E21" w:rsidRDefault="00845E21">
            <w:pPr>
              <w:pStyle w:val="Tabletext"/>
              <w:keepLines/>
              <w:jc w:val="center"/>
              <w:rPr>
                <w:highlight w:val="black"/>
              </w:rPr>
            </w:pPr>
            <w:r>
              <w:rPr>
                <w:noProof/>
                <w:color w:val="000000"/>
                <w:highlight w:val="black"/>
              </w:rPr>
              <w:t>'''''''''''''</w:t>
            </w:r>
          </w:p>
        </w:tc>
        <w:tc>
          <w:tcPr>
            <w:tcW w:w="458" w:type="pct"/>
            <w:vAlign w:val="center"/>
          </w:tcPr>
          <w:p w:rsidR="00516A59" w:rsidRPr="00845E21" w:rsidRDefault="00845E21">
            <w:pPr>
              <w:pStyle w:val="Tabletext"/>
              <w:keepLines/>
              <w:jc w:val="center"/>
              <w:rPr>
                <w:highlight w:val="black"/>
              </w:rPr>
            </w:pPr>
            <w:r>
              <w:rPr>
                <w:noProof/>
                <w:color w:val="000000"/>
                <w:highlight w:val="black"/>
              </w:rPr>
              <w:t>'''''''''''''</w:t>
            </w:r>
          </w:p>
        </w:tc>
        <w:tc>
          <w:tcPr>
            <w:tcW w:w="609" w:type="pct"/>
            <w:vAlign w:val="center"/>
          </w:tcPr>
          <w:p w:rsidR="00516A59" w:rsidRPr="00845E21" w:rsidRDefault="00845E21">
            <w:pPr>
              <w:pStyle w:val="Tabletext"/>
              <w:keepLines/>
              <w:jc w:val="center"/>
              <w:rPr>
                <w:highlight w:val="black"/>
              </w:rPr>
            </w:pPr>
            <w:r>
              <w:rPr>
                <w:noProof/>
                <w:color w:val="000000"/>
                <w:highlight w:val="black"/>
              </w:rPr>
              <w:t>'''''''''''''</w:t>
            </w:r>
          </w:p>
        </w:tc>
        <w:tc>
          <w:tcPr>
            <w:tcW w:w="458" w:type="pct"/>
            <w:vAlign w:val="center"/>
          </w:tcPr>
          <w:p w:rsidR="00516A59" w:rsidRPr="00845E21" w:rsidRDefault="00845E21">
            <w:pPr>
              <w:pStyle w:val="Tabletext"/>
              <w:keepLines/>
              <w:jc w:val="center"/>
              <w:rPr>
                <w:highlight w:val="black"/>
              </w:rPr>
            </w:pPr>
            <w:r>
              <w:rPr>
                <w:noProof/>
                <w:color w:val="000000"/>
                <w:highlight w:val="black"/>
              </w:rPr>
              <w:t>'''''''''''''''</w:t>
            </w:r>
          </w:p>
        </w:tc>
        <w:tc>
          <w:tcPr>
            <w:tcW w:w="429" w:type="pct"/>
          </w:tcPr>
          <w:p w:rsidR="00516A59" w:rsidRDefault="007D3F6A">
            <w:pPr>
              <w:pStyle w:val="Tabletext"/>
              <w:keepLines/>
            </w:pPr>
            <w:r>
              <w:t>2. – 3.</w:t>
            </w:r>
          </w:p>
        </w:tc>
      </w:tr>
      <w:tr w:rsidR="00516A59">
        <w:tc>
          <w:tcPr>
            <w:tcW w:w="151" w:type="pct"/>
          </w:tcPr>
          <w:p w:rsidR="00516A59" w:rsidRDefault="007D3F6A">
            <w:pPr>
              <w:pStyle w:val="Tabletext"/>
              <w:keepLines/>
            </w:pPr>
            <w:r>
              <w:t>5.</w:t>
            </w:r>
          </w:p>
        </w:tc>
        <w:tc>
          <w:tcPr>
            <w:tcW w:w="2337" w:type="pct"/>
          </w:tcPr>
          <w:p w:rsidR="00516A59" w:rsidRDefault="007D3F6A">
            <w:pPr>
              <w:pStyle w:val="Tabletext"/>
              <w:keepLines/>
            </w:pPr>
            <w:r>
              <w:t xml:space="preserve">New first line patients </w:t>
            </w:r>
          </w:p>
        </w:tc>
        <w:tc>
          <w:tcPr>
            <w:tcW w:w="558" w:type="pct"/>
            <w:vAlign w:val="center"/>
          </w:tcPr>
          <w:p w:rsidR="00516A59" w:rsidRPr="00845E21" w:rsidRDefault="00845E21">
            <w:pPr>
              <w:pStyle w:val="Tabletext"/>
              <w:keepLines/>
              <w:jc w:val="center"/>
              <w:rPr>
                <w:highlight w:val="black"/>
              </w:rPr>
            </w:pPr>
            <w:r>
              <w:rPr>
                <w:noProof/>
                <w:color w:val="000000"/>
                <w:highlight w:val="black"/>
              </w:rPr>
              <w:t>''''''</w:t>
            </w:r>
          </w:p>
        </w:tc>
        <w:tc>
          <w:tcPr>
            <w:tcW w:w="458" w:type="pct"/>
            <w:vAlign w:val="center"/>
          </w:tcPr>
          <w:p w:rsidR="00516A59" w:rsidRPr="00845E21" w:rsidRDefault="00845E21">
            <w:pPr>
              <w:pStyle w:val="Tabletext"/>
              <w:keepLines/>
              <w:jc w:val="center"/>
              <w:rPr>
                <w:highlight w:val="black"/>
              </w:rPr>
            </w:pPr>
            <w:r>
              <w:rPr>
                <w:noProof/>
                <w:color w:val="000000"/>
                <w:highlight w:val="black"/>
              </w:rPr>
              <w:t>''''''</w:t>
            </w:r>
          </w:p>
        </w:tc>
        <w:tc>
          <w:tcPr>
            <w:tcW w:w="609" w:type="pct"/>
            <w:vAlign w:val="center"/>
          </w:tcPr>
          <w:p w:rsidR="00516A59" w:rsidRPr="00845E21" w:rsidRDefault="00845E21">
            <w:pPr>
              <w:pStyle w:val="Tabletext"/>
              <w:keepLines/>
              <w:jc w:val="center"/>
              <w:rPr>
                <w:highlight w:val="black"/>
              </w:rPr>
            </w:pPr>
            <w:r>
              <w:rPr>
                <w:noProof/>
                <w:color w:val="000000"/>
                <w:highlight w:val="black"/>
              </w:rPr>
              <w:t>''''''</w:t>
            </w:r>
          </w:p>
        </w:tc>
        <w:tc>
          <w:tcPr>
            <w:tcW w:w="458" w:type="pct"/>
            <w:vAlign w:val="center"/>
          </w:tcPr>
          <w:p w:rsidR="00516A59" w:rsidRPr="00845E21" w:rsidRDefault="00845E21">
            <w:pPr>
              <w:pStyle w:val="Tabletext"/>
              <w:keepLines/>
              <w:jc w:val="center"/>
              <w:rPr>
                <w:highlight w:val="black"/>
              </w:rPr>
            </w:pPr>
            <w:r>
              <w:rPr>
                <w:noProof/>
                <w:color w:val="000000"/>
                <w:highlight w:val="black"/>
              </w:rPr>
              <w:t>'''''</w:t>
            </w:r>
          </w:p>
        </w:tc>
        <w:tc>
          <w:tcPr>
            <w:tcW w:w="429" w:type="pct"/>
          </w:tcPr>
          <w:p w:rsidR="00516A59" w:rsidRDefault="007D3F6A">
            <w:pPr>
              <w:pStyle w:val="Tabletext"/>
              <w:keepLines/>
            </w:pPr>
            <w:r>
              <w:t>4. x H.</w:t>
            </w:r>
          </w:p>
        </w:tc>
      </w:tr>
      <w:tr w:rsidR="00516A59">
        <w:tc>
          <w:tcPr>
            <w:tcW w:w="151" w:type="pct"/>
          </w:tcPr>
          <w:p w:rsidR="00516A59" w:rsidRDefault="007D3F6A">
            <w:pPr>
              <w:pStyle w:val="Tabletext"/>
              <w:keepLines/>
            </w:pPr>
            <w:r>
              <w:t>6.</w:t>
            </w:r>
          </w:p>
        </w:tc>
        <w:tc>
          <w:tcPr>
            <w:tcW w:w="2337" w:type="pct"/>
          </w:tcPr>
          <w:p w:rsidR="00516A59" w:rsidRDefault="007D3F6A">
            <w:pPr>
              <w:pStyle w:val="Tabletext"/>
              <w:keepLines/>
              <w:rPr>
                <w:rFonts w:ascii="Times" w:hAnsi="Times"/>
              </w:rPr>
            </w:pPr>
            <w:r>
              <w:t xml:space="preserve">Pembrolizumab+ platinum +pemetrexed+ replacing pembrolizumab monotherapy </w:t>
            </w:r>
          </w:p>
        </w:tc>
        <w:tc>
          <w:tcPr>
            <w:tcW w:w="558" w:type="pct"/>
            <w:vAlign w:val="center"/>
          </w:tcPr>
          <w:p w:rsidR="00516A59" w:rsidRPr="00845E21" w:rsidRDefault="00845E21">
            <w:pPr>
              <w:pStyle w:val="Tabletext"/>
              <w:keepLines/>
              <w:jc w:val="center"/>
              <w:rPr>
                <w:bCs/>
                <w:color w:val="000000"/>
                <w:highlight w:val="black"/>
              </w:rPr>
            </w:pPr>
            <w:r>
              <w:rPr>
                <w:noProof/>
                <w:color w:val="000000"/>
                <w:highlight w:val="black"/>
              </w:rPr>
              <w:t>'''''''''</w:t>
            </w:r>
          </w:p>
        </w:tc>
        <w:tc>
          <w:tcPr>
            <w:tcW w:w="458" w:type="pct"/>
            <w:vAlign w:val="center"/>
          </w:tcPr>
          <w:p w:rsidR="00516A59" w:rsidRPr="00845E21" w:rsidRDefault="00845E21">
            <w:pPr>
              <w:pStyle w:val="Tabletext"/>
              <w:keepLines/>
              <w:jc w:val="center"/>
              <w:rPr>
                <w:bCs/>
                <w:color w:val="000000"/>
                <w:highlight w:val="black"/>
              </w:rPr>
            </w:pPr>
            <w:r>
              <w:rPr>
                <w:noProof/>
                <w:color w:val="000000"/>
                <w:highlight w:val="black"/>
              </w:rPr>
              <w:t>'''''''''</w:t>
            </w:r>
          </w:p>
        </w:tc>
        <w:tc>
          <w:tcPr>
            <w:tcW w:w="609" w:type="pct"/>
            <w:vAlign w:val="center"/>
          </w:tcPr>
          <w:p w:rsidR="00516A59" w:rsidRPr="00845E21" w:rsidRDefault="00845E21">
            <w:pPr>
              <w:pStyle w:val="Tabletext"/>
              <w:keepLines/>
              <w:jc w:val="center"/>
              <w:rPr>
                <w:bCs/>
                <w:color w:val="000000"/>
                <w:highlight w:val="black"/>
              </w:rPr>
            </w:pPr>
            <w:r>
              <w:rPr>
                <w:noProof/>
                <w:color w:val="000000"/>
                <w:highlight w:val="black"/>
              </w:rPr>
              <w:t>''''''''</w:t>
            </w:r>
          </w:p>
        </w:tc>
        <w:tc>
          <w:tcPr>
            <w:tcW w:w="458" w:type="pct"/>
            <w:vAlign w:val="center"/>
          </w:tcPr>
          <w:p w:rsidR="00516A59" w:rsidRPr="00845E21" w:rsidRDefault="00845E21">
            <w:pPr>
              <w:pStyle w:val="Tabletext"/>
              <w:keepLines/>
              <w:jc w:val="center"/>
              <w:rPr>
                <w:bCs/>
                <w:color w:val="000000"/>
                <w:highlight w:val="black"/>
              </w:rPr>
            </w:pPr>
            <w:r>
              <w:rPr>
                <w:noProof/>
                <w:color w:val="000000"/>
                <w:highlight w:val="black"/>
              </w:rPr>
              <w:t>''''''''</w:t>
            </w:r>
          </w:p>
        </w:tc>
        <w:tc>
          <w:tcPr>
            <w:tcW w:w="429" w:type="pct"/>
          </w:tcPr>
          <w:p w:rsidR="00516A59" w:rsidRDefault="007D3F6A">
            <w:pPr>
              <w:pStyle w:val="Tabletext"/>
              <w:keepLines/>
            </w:pPr>
            <w:r>
              <w:t>3. x G. x H.</w:t>
            </w:r>
          </w:p>
        </w:tc>
      </w:tr>
      <w:tr w:rsidR="00516A59">
        <w:tc>
          <w:tcPr>
            <w:tcW w:w="151" w:type="pct"/>
          </w:tcPr>
          <w:p w:rsidR="00516A59" w:rsidRDefault="00516A59">
            <w:pPr>
              <w:pStyle w:val="Tabletext"/>
              <w:keepLines/>
            </w:pPr>
          </w:p>
        </w:tc>
        <w:tc>
          <w:tcPr>
            <w:tcW w:w="2337" w:type="pct"/>
          </w:tcPr>
          <w:p w:rsidR="00516A59" w:rsidRDefault="007D3F6A">
            <w:pPr>
              <w:pStyle w:val="Tabletext"/>
              <w:keepLines/>
            </w:pPr>
            <w:r>
              <w:t>Total treated patients</w:t>
            </w:r>
          </w:p>
        </w:tc>
        <w:tc>
          <w:tcPr>
            <w:tcW w:w="558" w:type="pct"/>
            <w:vAlign w:val="center"/>
          </w:tcPr>
          <w:p w:rsidR="00516A59" w:rsidRPr="00845E21" w:rsidRDefault="00845E21">
            <w:pPr>
              <w:pStyle w:val="Tabletext"/>
              <w:keepLines/>
              <w:jc w:val="center"/>
              <w:rPr>
                <w:highlight w:val="black"/>
              </w:rPr>
            </w:pPr>
            <w:r>
              <w:rPr>
                <w:noProof/>
                <w:color w:val="000000"/>
                <w:highlight w:val="black"/>
              </w:rPr>
              <w:t>''''''''''''''</w:t>
            </w:r>
          </w:p>
        </w:tc>
        <w:tc>
          <w:tcPr>
            <w:tcW w:w="458" w:type="pct"/>
            <w:vAlign w:val="center"/>
          </w:tcPr>
          <w:p w:rsidR="00516A59" w:rsidRPr="00845E21" w:rsidRDefault="00845E21">
            <w:pPr>
              <w:pStyle w:val="Tabletext"/>
              <w:keepLines/>
              <w:jc w:val="center"/>
              <w:rPr>
                <w:highlight w:val="black"/>
              </w:rPr>
            </w:pPr>
            <w:r>
              <w:rPr>
                <w:noProof/>
                <w:color w:val="000000"/>
                <w:highlight w:val="black"/>
              </w:rPr>
              <w:t>'''''''''''''</w:t>
            </w:r>
          </w:p>
        </w:tc>
        <w:tc>
          <w:tcPr>
            <w:tcW w:w="609" w:type="pct"/>
            <w:vAlign w:val="center"/>
          </w:tcPr>
          <w:p w:rsidR="00516A59" w:rsidRPr="00845E21" w:rsidRDefault="00845E21">
            <w:pPr>
              <w:pStyle w:val="Tabletext"/>
              <w:keepLines/>
              <w:jc w:val="center"/>
              <w:rPr>
                <w:highlight w:val="black"/>
              </w:rPr>
            </w:pPr>
            <w:r>
              <w:rPr>
                <w:noProof/>
                <w:color w:val="000000"/>
                <w:highlight w:val="black"/>
              </w:rPr>
              <w:t>'''''''''''''</w:t>
            </w:r>
          </w:p>
        </w:tc>
        <w:tc>
          <w:tcPr>
            <w:tcW w:w="458" w:type="pct"/>
            <w:vAlign w:val="center"/>
          </w:tcPr>
          <w:p w:rsidR="00516A59" w:rsidRPr="00845E21" w:rsidRDefault="00845E21">
            <w:pPr>
              <w:pStyle w:val="Tabletext"/>
              <w:keepLines/>
              <w:jc w:val="center"/>
              <w:rPr>
                <w:highlight w:val="black"/>
              </w:rPr>
            </w:pPr>
            <w:r>
              <w:rPr>
                <w:noProof/>
                <w:color w:val="000000"/>
                <w:highlight w:val="black"/>
              </w:rPr>
              <w:t>'''''''''''''</w:t>
            </w:r>
          </w:p>
        </w:tc>
        <w:tc>
          <w:tcPr>
            <w:tcW w:w="429" w:type="pct"/>
          </w:tcPr>
          <w:p w:rsidR="00516A59" w:rsidRDefault="007D3F6A">
            <w:pPr>
              <w:pStyle w:val="Tabletext"/>
              <w:keepLines/>
            </w:pPr>
            <w:r>
              <w:t>4.+5.+6.</w:t>
            </w:r>
          </w:p>
        </w:tc>
      </w:tr>
      <w:tr w:rsidR="00516A59">
        <w:tc>
          <w:tcPr>
            <w:tcW w:w="151" w:type="pct"/>
          </w:tcPr>
          <w:p w:rsidR="00516A59" w:rsidRDefault="00516A59">
            <w:pPr>
              <w:pStyle w:val="Tabletext"/>
              <w:keepLines/>
            </w:pPr>
          </w:p>
        </w:tc>
        <w:tc>
          <w:tcPr>
            <w:tcW w:w="2337" w:type="pct"/>
          </w:tcPr>
          <w:p w:rsidR="00516A59" w:rsidRDefault="007D3F6A">
            <w:pPr>
              <w:pStyle w:val="Tabletext"/>
              <w:keepLines/>
              <w:ind w:left="116"/>
            </w:pPr>
            <w:r>
              <w:rPr>
                <w:b/>
              </w:rPr>
              <w:t>Incremental cost</w:t>
            </w:r>
          </w:p>
        </w:tc>
        <w:tc>
          <w:tcPr>
            <w:tcW w:w="2512" w:type="pct"/>
            <w:gridSpan w:val="5"/>
            <w:vAlign w:val="center"/>
          </w:tcPr>
          <w:p w:rsidR="00516A59" w:rsidRDefault="00516A59">
            <w:pPr>
              <w:pStyle w:val="Tabletext"/>
              <w:keepLines/>
              <w:ind w:left="116"/>
              <w:jc w:val="center"/>
            </w:pPr>
          </w:p>
        </w:tc>
      </w:tr>
      <w:tr w:rsidR="00516A59">
        <w:tc>
          <w:tcPr>
            <w:tcW w:w="151" w:type="pct"/>
          </w:tcPr>
          <w:p w:rsidR="00516A59" w:rsidRDefault="007D3F6A">
            <w:pPr>
              <w:pStyle w:val="Tabletext"/>
              <w:keepLines/>
            </w:pPr>
            <w:r>
              <w:t>7.</w:t>
            </w:r>
          </w:p>
        </w:tc>
        <w:tc>
          <w:tcPr>
            <w:tcW w:w="2337" w:type="pct"/>
          </w:tcPr>
          <w:p w:rsidR="00516A59" w:rsidRDefault="007D3F6A">
            <w:pPr>
              <w:pStyle w:val="Tabletext"/>
              <w:keepLines/>
            </w:pPr>
            <w:r>
              <w:t>Second line nivolumab replacements</w:t>
            </w:r>
          </w:p>
        </w:tc>
        <w:tc>
          <w:tcPr>
            <w:tcW w:w="558" w:type="pct"/>
            <w:vAlign w:val="center"/>
          </w:tcPr>
          <w:p w:rsidR="00516A59" w:rsidRDefault="007D3F6A">
            <w:pPr>
              <w:pStyle w:val="Tabletext"/>
              <w:keepLines/>
              <w:jc w:val="center"/>
              <w:rPr>
                <w:szCs w:val="20"/>
              </w:rPr>
            </w:pPr>
            <w:r>
              <w:rPr>
                <w:rFonts w:cs="Calibri"/>
                <w:color w:val="000000"/>
                <w:szCs w:val="20"/>
              </w:rPr>
              <w:t>$</w:t>
            </w:r>
            <w:r w:rsidR="00845E21">
              <w:rPr>
                <w:rFonts w:cs="Calibri"/>
                <w:noProof/>
                <w:color w:val="000000"/>
                <w:szCs w:val="20"/>
                <w:highlight w:val="black"/>
              </w:rPr>
              <w:t>'''''''''''''''''''''''''''</w:t>
            </w:r>
          </w:p>
        </w:tc>
        <w:tc>
          <w:tcPr>
            <w:tcW w:w="458" w:type="pct"/>
            <w:vAlign w:val="center"/>
          </w:tcPr>
          <w:p w:rsidR="00516A59" w:rsidRDefault="007D3F6A">
            <w:pPr>
              <w:pStyle w:val="Tabletext"/>
              <w:keepLines/>
              <w:jc w:val="center"/>
              <w:rPr>
                <w:szCs w:val="20"/>
              </w:rPr>
            </w:pPr>
            <w:r>
              <w:rPr>
                <w:rFonts w:cs="Calibri"/>
                <w:color w:val="000000"/>
                <w:szCs w:val="20"/>
              </w:rPr>
              <w:t>$</w:t>
            </w:r>
            <w:r w:rsidR="00845E21">
              <w:rPr>
                <w:rFonts w:cs="Calibri"/>
                <w:noProof/>
                <w:color w:val="000000"/>
                <w:szCs w:val="20"/>
                <w:highlight w:val="black"/>
              </w:rPr>
              <w:t>'''''''''''''''''''''''''''</w:t>
            </w:r>
          </w:p>
        </w:tc>
        <w:tc>
          <w:tcPr>
            <w:tcW w:w="609" w:type="pct"/>
            <w:vAlign w:val="center"/>
          </w:tcPr>
          <w:p w:rsidR="00516A59" w:rsidRDefault="007D3F6A">
            <w:pPr>
              <w:pStyle w:val="Tabletext"/>
              <w:keepLines/>
              <w:jc w:val="center"/>
              <w:rPr>
                <w:szCs w:val="20"/>
              </w:rPr>
            </w:pPr>
            <w:r>
              <w:rPr>
                <w:rFonts w:cs="Calibri"/>
                <w:color w:val="000000"/>
                <w:szCs w:val="20"/>
              </w:rPr>
              <w:t>$</w:t>
            </w:r>
            <w:r w:rsidR="00845E21">
              <w:rPr>
                <w:rFonts w:cs="Calibri"/>
                <w:noProof/>
                <w:color w:val="000000"/>
                <w:szCs w:val="20"/>
                <w:highlight w:val="black"/>
              </w:rPr>
              <w:t>''''''''''''''''''''''''</w:t>
            </w:r>
          </w:p>
        </w:tc>
        <w:tc>
          <w:tcPr>
            <w:tcW w:w="458" w:type="pct"/>
            <w:vAlign w:val="center"/>
          </w:tcPr>
          <w:p w:rsidR="00516A59" w:rsidRDefault="007D3F6A">
            <w:pPr>
              <w:pStyle w:val="Tabletext"/>
              <w:keepLines/>
              <w:jc w:val="center"/>
              <w:rPr>
                <w:szCs w:val="20"/>
              </w:rPr>
            </w:pPr>
            <w:r>
              <w:rPr>
                <w:rFonts w:cs="Calibri"/>
                <w:color w:val="000000"/>
                <w:szCs w:val="20"/>
              </w:rPr>
              <w:t xml:space="preserve">$ </w:t>
            </w:r>
            <w:r w:rsidR="00845E21">
              <w:rPr>
                <w:rFonts w:cs="Calibri"/>
                <w:noProof/>
                <w:color w:val="000000"/>
                <w:szCs w:val="20"/>
                <w:highlight w:val="black"/>
              </w:rPr>
              <w:t>''''''''''''''''''''''''</w:t>
            </w:r>
          </w:p>
        </w:tc>
        <w:tc>
          <w:tcPr>
            <w:tcW w:w="429" w:type="pct"/>
          </w:tcPr>
          <w:p w:rsidR="00516A59" w:rsidRDefault="007D3F6A">
            <w:pPr>
              <w:pStyle w:val="Tabletext"/>
              <w:keepLines/>
            </w:pPr>
            <w:r>
              <w:t>4.x I</w:t>
            </w:r>
          </w:p>
        </w:tc>
      </w:tr>
      <w:tr w:rsidR="00516A59">
        <w:tc>
          <w:tcPr>
            <w:tcW w:w="151" w:type="pct"/>
          </w:tcPr>
          <w:p w:rsidR="00516A59" w:rsidRDefault="007D3F6A">
            <w:pPr>
              <w:pStyle w:val="Tabletext"/>
              <w:keepLines/>
            </w:pPr>
            <w:r>
              <w:t>8.</w:t>
            </w:r>
          </w:p>
        </w:tc>
        <w:tc>
          <w:tcPr>
            <w:tcW w:w="2337" w:type="pct"/>
          </w:tcPr>
          <w:p w:rsidR="00516A59" w:rsidRDefault="007D3F6A">
            <w:pPr>
              <w:pStyle w:val="Tabletext"/>
              <w:keepLines/>
            </w:pPr>
            <w:r>
              <w:t>New first line patients</w:t>
            </w:r>
          </w:p>
        </w:tc>
        <w:tc>
          <w:tcPr>
            <w:tcW w:w="558" w:type="pct"/>
            <w:vAlign w:val="center"/>
          </w:tcPr>
          <w:p w:rsidR="00516A59" w:rsidRDefault="007D3F6A">
            <w:pPr>
              <w:pStyle w:val="Tabletext"/>
              <w:keepLines/>
              <w:jc w:val="center"/>
              <w:rPr>
                <w:szCs w:val="20"/>
              </w:rPr>
            </w:pPr>
            <w:r>
              <w:rPr>
                <w:rFonts w:cs="Calibri"/>
                <w:color w:val="000000"/>
                <w:szCs w:val="20"/>
              </w:rPr>
              <w:t>$</w:t>
            </w:r>
            <w:r w:rsidR="00845E21">
              <w:rPr>
                <w:rFonts w:cs="Calibri"/>
                <w:noProof/>
                <w:color w:val="000000"/>
                <w:szCs w:val="20"/>
                <w:highlight w:val="black"/>
              </w:rPr>
              <w:t>'''''''''''''''''''''''''</w:t>
            </w:r>
          </w:p>
        </w:tc>
        <w:tc>
          <w:tcPr>
            <w:tcW w:w="458" w:type="pct"/>
            <w:vAlign w:val="center"/>
          </w:tcPr>
          <w:p w:rsidR="00516A59" w:rsidRDefault="007D3F6A">
            <w:pPr>
              <w:pStyle w:val="Tabletext"/>
              <w:keepLines/>
              <w:jc w:val="center"/>
              <w:rPr>
                <w:szCs w:val="20"/>
              </w:rPr>
            </w:pPr>
            <w:r>
              <w:rPr>
                <w:rFonts w:cs="Calibri"/>
                <w:color w:val="000000"/>
                <w:szCs w:val="20"/>
              </w:rPr>
              <w:t>$</w:t>
            </w:r>
            <w:r w:rsidR="00845E21">
              <w:rPr>
                <w:rFonts w:cs="Calibri"/>
                <w:noProof/>
                <w:color w:val="000000"/>
                <w:szCs w:val="20"/>
                <w:highlight w:val="black"/>
              </w:rPr>
              <w:t>'''''''''''''''''''''''''</w:t>
            </w:r>
          </w:p>
        </w:tc>
        <w:tc>
          <w:tcPr>
            <w:tcW w:w="609" w:type="pct"/>
            <w:vAlign w:val="center"/>
          </w:tcPr>
          <w:p w:rsidR="00516A59" w:rsidRDefault="007D3F6A">
            <w:pPr>
              <w:pStyle w:val="Tabletext"/>
              <w:keepLines/>
              <w:jc w:val="center"/>
              <w:rPr>
                <w:szCs w:val="20"/>
              </w:rPr>
            </w:pPr>
            <w:r>
              <w:rPr>
                <w:rFonts w:cs="Calibri"/>
                <w:color w:val="000000"/>
                <w:szCs w:val="20"/>
              </w:rPr>
              <w:t>$</w:t>
            </w:r>
            <w:r w:rsidR="00845E21">
              <w:rPr>
                <w:rFonts w:cs="Calibri"/>
                <w:noProof/>
                <w:color w:val="000000"/>
                <w:szCs w:val="20"/>
                <w:highlight w:val="black"/>
              </w:rPr>
              <w:t>'''''''''''''''''''''''''</w:t>
            </w:r>
          </w:p>
        </w:tc>
        <w:tc>
          <w:tcPr>
            <w:tcW w:w="458" w:type="pct"/>
            <w:vAlign w:val="center"/>
          </w:tcPr>
          <w:p w:rsidR="00516A59" w:rsidRDefault="007D3F6A">
            <w:pPr>
              <w:pStyle w:val="Tabletext"/>
              <w:keepLines/>
              <w:jc w:val="center"/>
              <w:rPr>
                <w:szCs w:val="20"/>
              </w:rPr>
            </w:pPr>
            <w:r>
              <w:rPr>
                <w:rFonts w:cs="Calibri"/>
                <w:color w:val="000000"/>
                <w:szCs w:val="20"/>
              </w:rPr>
              <w:t xml:space="preserve">$ </w:t>
            </w:r>
            <w:r w:rsidR="00845E21">
              <w:rPr>
                <w:rFonts w:cs="Calibri"/>
                <w:noProof/>
                <w:color w:val="000000"/>
                <w:szCs w:val="20"/>
                <w:highlight w:val="black"/>
              </w:rPr>
              <w:t>'''''''''''''''''''''''''</w:t>
            </w:r>
          </w:p>
        </w:tc>
        <w:tc>
          <w:tcPr>
            <w:tcW w:w="429" w:type="pct"/>
          </w:tcPr>
          <w:p w:rsidR="00516A59" w:rsidRDefault="007D3F6A">
            <w:pPr>
              <w:pStyle w:val="Tabletext"/>
              <w:keepLines/>
            </w:pPr>
            <w:r>
              <w:t>5. x J.</w:t>
            </w:r>
          </w:p>
        </w:tc>
      </w:tr>
      <w:tr w:rsidR="00516A59">
        <w:tc>
          <w:tcPr>
            <w:tcW w:w="151" w:type="pct"/>
          </w:tcPr>
          <w:p w:rsidR="00516A59" w:rsidRDefault="007D3F6A">
            <w:pPr>
              <w:pStyle w:val="Tabletext"/>
              <w:keepLines/>
            </w:pPr>
            <w:r>
              <w:t>9.</w:t>
            </w:r>
          </w:p>
        </w:tc>
        <w:tc>
          <w:tcPr>
            <w:tcW w:w="2337" w:type="pct"/>
          </w:tcPr>
          <w:p w:rsidR="00516A59" w:rsidRDefault="007D3F6A">
            <w:pPr>
              <w:pStyle w:val="Tabletext"/>
              <w:keepLines/>
            </w:pPr>
            <w:r>
              <w:t>Pembrolizumab+ platinum +pemetrexed replacing pembrolizumab monotherapy</w:t>
            </w:r>
          </w:p>
        </w:tc>
        <w:tc>
          <w:tcPr>
            <w:tcW w:w="558" w:type="pct"/>
            <w:vAlign w:val="center"/>
          </w:tcPr>
          <w:p w:rsidR="00516A59" w:rsidRDefault="007D3F6A">
            <w:pPr>
              <w:pStyle w:val="Tabletext"/>
              <w:keepLines/>
              <w:jc w:val="center"/>
              <w:rPr>
                <w:szCs w:val="20"/>
              </w:rPr>
            </w:pPr>
            <w:r>
              <w:rPr>
                <w:rFonts w:cs="Calibri"/>
                <w:color w:val="000000"/>
                <w:szCs w:val="20"/>
              </w:rPr>
              <w:t>-$</w:t>
            </w:r>
            <w:r w:rsidR="00845E21">
              <w:rPr>
                <w:rFonts w:cs="Calibri"/>
                <w:noProof/>
                <w:color w:val="000000"/>
                <w:szCs w:val="20"/>
                <w:highlight w:val="black"/>
              </w:rPr>
              <w:t>'''''''''''''''''''''''</w:t>
            </w:r>
          </w:p>
        </w:tc>
        <w:tc>
          <w:tcPr>
            <w:tcW w:w="458" w:type="pct"/>
            <w:vAlign w:val="center"/>
          </w:tcPr>
          <w:p w:rsidR="00516A59" w:rsidRDefault="007D3F6A">
            <w:pPr>
              <w:pStyle w:val="Tabletext"/>
              <w:keepLines/>
              <w:jc w:val="center"/>
              <w:rPr>
                <w:szCs w:val="20"/>
              </w:rPr>
            </w:pPr>
            <w:r>
              <w:rPr>
                <w:rFonts w:cs="Calibri"/>
                <w:color w:val="000000"/>
                <w:szCs w:val="20"/>
              </w:rPr>
              <w:t>-$</w:t>
            </w:r>
            <w:r w:rsidR="00845E21">
              <w:rPr>
                <w:rFonts w:cs="Calibri"/>
                <w:noProof/>
                <w:color w:val="000000"/>
                <w:szCs w:val="20"/>
                <w:highlight w:val="black"/>
              </w:rPr>
              <w:t>'''''''''''''''''''''''</w:t>
            </w:r>
          </w:p>
        </w:tc>
        <w:tc>
          <w:tcPr>
            <w:tcW w:w="609" w:type="pct"/>
            <w:vAlign w:val="center"/>
          </w:tcPr>
          <w:p w:rsidR="00516A59" w:rsidRDefault="007D3F6A">
            <w:pPr>
              <w:pStyle w:val="Tabletext"/>
              <w:keepLines/>
              <w:jc w:val="center"/>
              <w:rPr>
                <w:szCs w:val="20"/>
              </w:rPr>
            </w:pPr>
            <w:r>
              <w:rPr>
                <w:rFonts w:cs="Calibri"/>
                <w:color w:val="000000"/>
                <w:szCs w:val="20"/>
              </w:rPr>
              <w:t>-$</w:t>
            </w:r>
            <w:r w:rsidR="00845E21">
              <w:rPr>
                <w:rFonts w:cs="Calibri"/>
                <w:noProof/>
                <w:color w:val="000000"/>
                <w:szCs w:val="20"/>
                <w:highlight w:val="black"/>
              </w:rPr>
              <w:t>'''''''''''''''''''''</w:t>
            </w:r>
          </w:p>
        </w:tc>
        <w:tc>
          <w:tcPr>
            <w:tcW w:w="458" w:type="pct"/>
            <w:vAlign w:val="center"/>
          </w:tcPr>
          <w:p w:rsidR="00516A59" w:rsidRDefault="007D3F6A">
            <w:pPr>
              <w:pStyle w:val="Tabletext"/>
              <w:keepLines/>
              <w:jc w:val="center"/>
              <w:rPr>
                <w:szCs w:val="20"/>
              </w:rPr>
            </w:pPr>
            <w:r>
              <w:rPr>
                <w:rFonts w:cs="Calibri"/>
                <w:color w:val="000000"/>
                <w:szCs w:val="20"/>
              </w:rPr>
              <w:t>-$</w:t>
            </w:r>
            <w:r w:rsidR="00845E21">
              <w:rPr>
                <w:rFonts w:cs="Calibri"/>
                <w:noProof/>
                <w:color w:val="000000"/>
                <w:szCs w:val="20"/>
                <w:highlight w:val="black"/>
              </w:rPr>
              <w:t>''''''''''''''''''''''</w:t>
            </w:r>
          </w:p>
        </w:tc>
        <w:tc>
          <w:tcPr>
            <w:tcW w:w="429" w:type="pct"/>
          </w:tcPr>
          <w:p w:rsidR="00516A59" w:rsidRDefault="007D3F6A">
            <w:pPr>
              <w:pStyle w:val="Tabletext"/>
              <w:keepLines/>
            </w:pPr>
            <w:r>
              <w:t>6.x K</w:t>
            </w:r>
          </w:p>
        </w:tc>
      </w:tr>
      <w:tr w:rsidR="00516A59">
        <w:tc>
          <w:tcPr>
            <w:tcW w:w="151" w:type="pct"/>
          </w:tcPr>
          <w:p w:rsidR="00516A59" w:rsidRDefault="00516A59">
            <w:pPr>
              <w:pStyle w:val="Tabletext"/>
              <w:keepLines/>
            </w:pPr>
          </w:p>
        </w:tc>
        <w:tc>
          <w:tcPr>
            <w:tcW w:w="2337" w:type="pct"/>
          </w:tcPr>
          <w:p w:rsidR="00516A59" w:rsidRDefault="007D3F6A">
            <w:pPr>
              <w:pStyle w:val="Tabletext"/>
              <w:keepLines/>
            </w:pPr>
            <w:r>
              <w:t>Total incremental cost</w:t>
            </w:r>
          </w:p>
        </w:tc>
        <w:tc>
          <w:tcPr>
            <w:tcW w:w="558" w:type="pct"/>
            <w:vAlign w:val="center"/>
          </w:tcPr>
          <w:p w:rsidR="00516A59" w:rsidRDefault="007D3F6A">
            <w:pPr>
              <w:pStyle w:val="Tabletext"/>
              <w:keepLines/>
              <w:jc w:val="center"/>
              <w:rPr>
                <w:rFonts w:cs="Calibri"/>
                <w:color w:val="000000"/>
                <w:szCs w:val="20"/>
              </w:rPr>
            </w:pPr>
            <w:r>
              <w:rPr>
                <w:rFonts w:cs="Calibri"/>
                <w:color w:val="000000"/>
                <w:szCs w:val="20"/>
              </w:rPr>
              <w:t xml:space="preserve">$ </w:t>
            </w:r>
            <w:r w:rsidR="00845E21">
              <w:rPr>
                <w:rFonts w:cs="Calibri"/>
                <w:noProof/>
                <w:color w:val="000000"/>
                <w:szCs w:val="20"/>
                <w:highlight w:val="black"/>
              </w:rPr>
              <w:t>''''''''''''''''''''''''''''</w:t>
            </w:r>
          </w:p>
        </w:tc>
        <w:tc>
          <w:tcPr>
            <w:tcW w:w="458" w:type="pct"/>
            <w:vAlign w:val="center"/>
          </w:tcPr>
          <w:p w:rsidR="00516A59" w:rsidRDefault="007D3F6A">
            <w:pPr>
              <w:pStyle w:val="Tabletext"/>
              <w:keepLines/>
              <w:jc w:val="center"/>
              <w:rPr>
                <w:rFonts w:cs="Calibri"/>
                <w:color w:val="000000"/>
                <w:szCs w:val="20"/>
              </w:rPr>
            </w:pPr>
            <w:r>
              <w:rPr>
                <w:rFonts w:cs="Calibri"/>
                <w:color w:val="000000"/>
                <w:szCs w:val="20"/>
              </w:rPr>
              <w:t>$</w:t>
            </w:r>
            <w:r w:rsidR="00845E21">
              <w:rPr>
                <w:rFonts w:cs="Calibri"/>
                <w:noProof/>
                <w:color w:val="000000"/>
                <w:szCs w:val="20"/>
                <w:highlight w:val="black"/>
              </w:rPr>
              <w:t>'''''''''''''''''''''''''''</w:t>
            </w:r>
          </w:p>
        </w:tc>
        <w:tc>
          <w:tcPr>
            <w:tcW w:w="609" w:type="pct"/>
            <w:vAlign w:val="center"/>
          </w:tcPr>
          <w:p w:rsidR="00516A59" w:rsidRDefault="007D3F6A">
            <w:pPr>
              <w:pStyle w:val="Tabletext"/>
              <w:keepLines/>
              <w:jc w:val="center"/>
              <w:rPr>
                <w:rFonts w:cs="Calibri"/>
                <w:color w:val="000000"/>
                <w:szCs w:val="20"/>
              </w:rPr>
            </w:pPr>
            <w:r>
              <w:rPr>
                <w:rFonts w:cs="Calibri"/>
                <w:color w:val="000000"/>
                <w:szCs w:val="20"/>
              </w:rPr>
              <w:t>$</w:t>
            </w:r>
            <w:r w:rsidR="00845E21">
              <w:rPr>
                <w:rFonts w:cs="Calibri"/>
                <w:noProof/>
                <w:color w:val="000000"/>
                <w:szCs w:val="20"/>
                <w:highlight w:val="black"/>
              </w:rPr>
              <w:t>'''''''''''''''''''''''''''</w:t>
            </w:r>
          </w:p>
        </w:tc>
        <w:tc>
          <w:tcPr>
            <w:tcW w:w="458" w:type="pct"/>
            <w:vAlign w:val="center"/>
          </w:tcPr>
          <w:p w:rsidR="00516A59" w:rsidRDefault="007D3F6A">
            <w:pPr>
              <w:pStyle w:val="Tabletext"/>
              <w:keepLines/>
              <w:jc w:val="center"/>
              <w:rPr>
                <w:rFonts w:cs="Calibri"/>
                <w:color w:val="000000"/>
                <w:szCs w:val="20"/>
              </w:rPr>
            </w:pPr>
            <w:r>
              <w:rPr>
                <w:rFonts w:cs="Calibri"/>
                <w:color w:val="000000"/>
                <w:szCs w:val="20"/>
              </w:rPr>
              <w:t>$</w:t>
            </w:r>
            <w:r w:rsidR="00845E21">
              <w:rPr>
                <w:rFonts w:cs="Calibri"/>
                <w:noProof/>
                <w:color w:val="000000"/>
                <w:szCs w:val="20"/>
                <w:highlight w:val="black"/>
              </w:rPr>
              <w:t>'''''''''''''''''''''''''''</w:t>
            </w:r>
          </w:p>
        </w:tc>
        <w:tc>
          <w:tcPr>
            <w:tcW w:w="429" w:type="pct"/>
          </w:tcPr>
          <w:p w:rsidR="00516A59" w:rsidRDefault="00516A59">
            <w:pPr>
              <w:pStyle w:val="Tabletext"/>
              <w:keepLines/>
              <w:ind w:left="116"/>
            </w:pPr>
          </w:p>
        </w:tc>
      </w:tr>
    </w:tbl>
    <w:p w:rsidR="00516A59" w:rsidRDefault="007D3F6A">
      <w:pPr>
        <w:keepLines/>
        <w:widowControl/>
        <w:rPr>
          <w:rFonts w:ascii="Arial Narrow" w:hAnsi="Arial Narrow"/>
          <w:sz w:val="20"/>
        </w:rPr>
      </w:pPr>
      <w:r>
        <w:rPr>
          <w:rFonts w:ascii="Arial Narrow" w:hAnsi="Arial Narrow"/>
          <w:sz w:val="18"/>
        </w:rPr>
        <w:t>Source: Department of Health</w:t>
      </w:r>
    </w:p>
    <w:p w:rsidR="00516A59" w:rsidRDefault="00516A59">
      <w:pPr>
        <w:keepLines/>
        <w:widowControl/>
      </w:pPr>
    </w:p>
    <w:p w:rsidR="00516A59" w:rsidRDefault="00894D44">
      <w:pPr>
        <w:keepLines/>
        <w:widowControl/>
        <w:jc w:val="left"/>
        <w:rPr>
          <w:b/>
          <w:sz w:val="32"/>
        </w:rPr>
      </w:pPr>
      <w:r>
        <w:t>The redacted table shows that the estimated number of patients by 2023 would be less than 10,000 and ICERS would in the range of more than $200,000/QALY.</w:t>
      </w:r>
    </w:p>
    <w:p w:rsidR="00516A59" w:rsidRDefault="00516A59">
      <w:pPr>
        <w:pStyle w:val="TableHeading0"/>
        <w:keepLines/>
      </w:pPr>
    </w:p>
    <w:p w:rsidR="0093515B" w:rsidRDefault="0093515B" w:rsidP="0093515B">
      <w:pPr>
        <w:pStyle w:val="Caption"/>
        <w:keepNext/>
      </w:pPr>
      <w:r>
        <w:t xml:space="preserve">Table </w:t>
      </w:r>
      <w:r>
        <w:rPr>
          <w:noProof/>
        </w:rPr>
        <w:t>21</w:t>
      </w:r>
      <w:r w:rsidRPr="00EB0779">
        <w:t>: Estimated use and financial implications: patient numbers and incremental cost: resubmission patient numbers</w:t>
      </w:r>
    </w:p>
    <w:tbl>
      <w:tblPr>
        <w:tblStyle w:val="TableGrid"/>
        <w:tblW w:w="0" w:type="auto"/>
        <w:tblLook w:val="04A0" w:firstRow="1" w:lastRow="0" w:firstColumn="1" w:lastColumn="0" w:noHBand="0" w:noVBand="1"/>
        <w:tblCaption w:val="Table 21: Estimated use and financial implications: patient numbers and incremental cost: resubmission patient numbers"/>
      </w:tblPr>
      <w:tblGrid>
        <w:gridCol w:w="420"/>
        <w:gridCol w:w="3390"/>
        <w:gridCol w:w="1261"/>
        <w:gridCol w:w="1262"/>
        <w:gridCol w:w="1261"/>
        <w:gridCol w:w="1262"/>
        <w:gridCol w:w="1261"/>
        <w:gridCol w:w="1262"/>
        <w:gridCol w:w="2569"/>
      </w:tblGrid>
      <w:tr w:rsidR="00516A59">
        <w:tc>
          <w:tcPr>
            <w:tcW w:w="420" w:type="dxa"/>
          </w:tcPr>
          <w:p w:rsidR="00516A59" w:rsidRDefault="00516A59">
            <w:pPr>
              <w:keepLines/>
              <w:widowControl/>
              <w:rPr>
                <w:rFonts w:asciiTheme="majorHAnsi" w:hAnsiTheme="majorHAnsi" w:cstheme="majorHAnsi"/>
              </w:rPr>
            </w:pPr>
          </w:p>
        </w:tc>
        <w:tc>
          <w:tcPr>
            <w:tcW w:w="3390" w:type="dxa"/>
          </w:tcPr>
          <w:p w:rsidR="00516A59" w:rsidRDefault="00516A59">
            <w:pPr>
              <w:keepLines/>
              <w:widowControl/>
              <w:rPr>
                <w:rFonts w:asciiTheme="majorHAnsi" w:hAnsiTheme="majorHAnsi" w:cstheme="majorHAnsi"/>
              </w:rPr>
            </w:pPr>
          </w:p>
        </w:tc>
        <w:tc>
          <w:tcPr>
            <w:tcW w:w="1261" w:type="dxa"/>
          </w:tcPr>
          <w:p w:rsidR="00516A59" w:rsidRDefault="007D3F6A">
            <w:pPr>
              <w:keepLines/>
              <w:widowControl/>
              <w:jc w:val="center"/>
              <w:rPr>
                <w:rFonts w:ascii="Arial Narrow" w:hAnsi="Arial Narrow" w:cstheme="majorHAnsi"/>
                <w:b/>
                <w:sz w:val="20"/>
                <w:szCs w:val="20"/>
              </w:rPr>
            </w:pPr>
            <w:r>
              <w:rPr>
                <w:rFonts w:ascii="Arial Narrow" w:hAnsi="Arial Narrow" w:cstheme="majorHAnsi"/>
                <w:b/>
                <w:sz w:val="20"/>
                <w:szCs w:val="20"/>
              </w:rPr>
              <w:t>Year 1</w:t>
            </w:r>
          </w:p>
        </w:tc>
        <w:tc>
          <w:tcPr>
            <w:tcW w:w="1262" w:type="dxa"/>
          </w:tcPr>
          <w:p w:rsidR="00516A59" w:rsidRDefault="007D3F6A">
            <w:pPr>
              <w:keepLines/>
              <w:widowControl/>
              <w:jc w:val="center"/>
              <w:rPr>
                <w:rFonts w:ascii="Arial Narrow" w:hAnsi="Arial Narrow" w:cstheme="majorHAnsi"/>
                <w:b/>
                <w:sz w:val="20"/>
                <w:szCs w:val="20"/>
              </w:rPr>
            </w:pPr>
            <w:r>
              <w:rPr>
                <w:rFonts w:ascii="Arial Narrow" w:hAnsi="Arial Narrow" w:cstheme="majorHAnsi"/>
                <w:b/>
                <w:sz w:val="20"/>
                <w:szCs w:val="20"/>
              </w:rPr>
              <w:t>Year 2</w:t>
            </w:r>
          </w:p>
        </w:tc>
        <w:tc>
          <w:tcPr>
            <w:tcW w:w="1261" w:type="dxa"/>
          </w:tcPr>
          <w:p w:rsidR="00516A59" w:rsidRDefault="007D3F6A">
            <w:pPr>
              <w:keepLines/>
              <w:widowControl/>
              <w:jc w:val="center"/>
              <w:rPr>
                <w:rFonts w:ascii="Arial Narrow" w:hAnsi="Arial Narrow" w:cstheme="majorHAnsi"/>
                <w:b/>
                <w:sz w:val="20"/>
                <w:szCs w:val="20"/>
              </w:rPr>
            </w:pPr>
            <w:r>
              <w:rPr>
                <w:rFonts w:ascii="Arial Narrow" w:hAnsi="Arial Narrow" w:cstheme="majorHAnsi"/>
                <w:b/>
                <w:sz w:val="20"/>
                <w:szCs w:val="20"/>
              </w:rPr>
              <w:t>Year 3</w:t>
            </w:r>
          </w:p>
        </w:tc>
        <w:tc>
          <w:tcPr>
            <w:tcW w:w="1262" w:type="dxa"/>
          </w:tcPr>
          <w:p w:rsidR="00516A59" w:rsidRDefault="007D3F6A">
            <w:pPr>
              <w:keepLines/>
              <w:widowControl/>
              <w:jc w:val="center"/>
              <w:rPr>
                <w:rFonts w:ascii="Arial Narrow" w:hAnsi="Arial Narrow" w:cstheme="majorHAnsi"/>
                <w:b/>
                <w:sz w:val="20"/>
                <w:szCs w:val="20"/>
              </w:rPr>
            </w:pPr>
            <w:r>
              <w:rPr>
                <w:rFonts w:ascii="Arial Narrow" w:hAnsi="Arial Narrow" w:cstheme="majorHAnsi"/>
                <w:b/>
                <w:sz w:val="20"/>
                <w:szCs w:val="20"/>
              </w:rPr>
              <w:t>Year 4</w:t>
            </w:r>
          </w:p>
        </w:tc>
        <w:tc>
          <w:tcPr>
            <w:tcW w:w="1261" w:type="dxa"/>
          </w:tcPr>
          <w:p w:rsidR="00516A59" w:rsidRDefault="007D3F6A">
            <w:pPr>
              <w:keepLines/>
              <w:widowControl/>
              <w:jc w:val="center"/>
              <w:rPr>
                <w:rFonts w:ascii="Arial Narrow" w:hAnsi="Arial Narrow" w:cstheme="majorHAnsi"/>
                <w:b/>
                <w:sz w:val="20"/>
                <w:szCs w:val="20"/>
              </w:rPr>
            </w:pPr>
            <w:r>
              <w:rPr>
                <w:rFonts w:ascii="Arial Narrow" w:hAnsi="Arial Narrow" w:cstheme="majorHAnsi"/>
                <w:b/>
                <w:sz w:val="20"/>
                <w:szCs w:val="20"/>
              </w:rPr>
              <w:t>Year 5</w:t>
            </w:r>
          </w:p>
        </w:tc>
        <w:tc>
          <w:tcPr>
            <w:tcW w:w="1262" w:type="dxa"/>
          </w:tcPr>
          <w:p w:rsidR="00516A59" w:rsidRDefault="007D3F6A">
            <w:pPr>
              <w:keepLines/>
              <w:widowControl/>
              <w:jc w:val="center"/>
              <w:rPr>
                <w:rFonts w:ascii="Arial Narrow" w:hAnsi="Arial Narrow" w:cstheme="majorHAnsi"/>
                <w:b/>
                <w:sz w:val="20"/>
                <w:szCs w:val="20"/>
              </w:rPr>
            </w:pPr>
            <w:r>
              <w:rPr>
                <w:rFonts w:ascii="Arial Narrow" w:hAnsi="Arial Narrow" w:cstheme="majorHAnsi"/>
                <w:b/>
                <w:sz w:val="20"/>
                <w:szCs w:val="20"/>
              </w:rPr>
              <w:t>Year 6</w:t>
            </w:r>
          </w:p>
        </w:tc>
        <w:tc>
          <w:tcPr>
            <w:tcW w:w="2569" w:type="dxa"/>
          </w:tcPr>
          <w:p w:rsidR="00516A59" w:rsidRDefault="007D3F6A">
            <w:pPr>
              <w:keepLines/>
              <w:widowControl/>
              <w:rPr>
                <w:rFonts w:ascii="Arial Narrow" w:hAnsi="Arial Narrow" w:cstheme="majorHAnsi"/>
                <w:b/>
                <w:sz w:val="20"/>
                <w:szCs w:val="20"/>
              </w:rPr>
            </w:pPr>
            <w:r>
              <w:rPr>
                <w:rFonts w:ascii="Arial Narrow" w:hAnsi="Arial Narrow" w:cstheme="majorHAnsi"/>
                <w:b/>
                <w:sz w:val="20"/>
                <w:szCs w:val="20"/>
              </w:rPr>
              <w:t>Source</w:t>
            </w:r>
          </w:p>
        </w:tc>
      </w:tr>
      <w:tr w:rsidR="00516A59">
        <w:tc>
          <w:tcPr>
            <w:tcW w:w="420" w:type="dxa"/>
          </w:tcPr>
          <w:p w:rsidR="00516A59" w:rsidRDefault="00516A59">
            <w:pPr>
              <w:keepLines/>
              <w:widowControl/>
              <w:rPr>
                <w:rFonts w:ascii="Arial Narrow" w:hAnsi="Arial Narrow"/>
                <w:b/>
                <w:sz w:val="20"/>
              </w:rPr>
            </w:pPr>
          </w:p>
        </w:tc>
        <w:tc>
          <w:tcPr>
            <w:tcW w:w="13528" w:type="dxa"/>
            <w:gridSpan w:val="8"/>
          </w:tcPr>
          <w:p w:rsidR="00516A59" w:rsidRDefault="007D3F6A">
            <w:pPr>
              <w:keepLines/>
              <w:widowControl/>
              <w:rPr>
                <w:rFonts w:ascii="Arial Narrow" w:hAnsi="Arial Narrow" w:cstheme="majorHAnsi"/>
                <w:sz w:val="20"/>
                <w:szCs w:val="20"/>
              </w:rPr>
            </w:pPr>
            <w:r>
              <w:rPr>
                <w:rFonts w:ascii="Arial Narrow" w:hAnsi="Arial Narrow"/>
                <w:b/>
                <w:sz w:val="20"/>
              </w:rPr>
              <w:t>Patients</w:t>
            </w:r>
          </w:p>
        </w:tc>
      </w:tr>
      <w:tr w:rsidR="00516A59">
        <w:tc>
          <w:tcPr>
            <w:tcW w:w="420" w:type="dxa"/>
          </w:tcPr>
          <w:p w:rsidR="00516A59" w:rsidRDefault="007D3F6A">
            <w:pPr>
              <w:keepLines/>
              <w:widowControl/>
              <w:rPr>
                <w:rFonts w:ascii="Arial Narrow" w:hAnsi="Arial Narrow"/>
                <w:sz w:val="20"/>
              </w:rPr>
            </w:pPr>
            <w:r>
              <w:rPr>
                <w:rFonts w:ascii="Arial Narrow" w:hAnsi="Arial Narrow"/>
                <w:sz w:val="20"/>
              </w:rPr>
              <w:t>1.</w:t>
            </w:r>
          </w:p>
        </w:tc>
        <w:tc>
          <w:tcPr>
            <w:tcW w:w="3390" w:type="dxa"/>
          </w:tcPr>
          <w:p w:rsidR="00516A59" w:rsidRDefault="007D3F6A">
            <w:pPr>
              <w:keepLines/>
              <w:widowControl/>
              <w:rPr>
                <w:rFonts w:ascii="Arial Narrow" w:hAnsi="Arial Narrow"/>
                <w:sz w:val="20"/>
              </w:rPr>
            </w:pPr>
            <w:r>
              <w:rPr>
                <w:rFonts w:ascii="Arial Narrow" w:hAnsi="Arial Narrow"/>
                <w:sz w:val="20"/>
              </w:rPr>
              <w:t>Patients that would have been treated with comparator - offset with nivolumab</w:t>
            </w:r>
          </w:p>
        </w:tc>
        <w:tc>
          <w:tcPr>
            <w:tcW w:w="1261"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1262"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1261"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1262"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1261"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1262"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2569" w:type="dxa"/>
          </w:tcPr>
          <w:p w:rsidR="00516A59" w:rsidRDefault="007D3F6A">
            <w:pPr>
              <w:keepLines/>
              <w:widowControl/>
              <w:rPr>
                <w:rFonts w:ascii="Arial Narrow" w:hAnsi="Arial Narrow" w:cstheme="majorHAnsi"/>
                <w:sz w:val="20"/>
                <w:szCs w:val="20"/>
              </w:rPr>
            </w:pPr>
            <w:r>
              <w:rPr>
                <w:rFonts w:ascii="Arial Narrow" w:hAnsi="Arial Narrow" w:cstheme="majorHAnsi"/>
                <w:sz w:val="20"/>
                <w:szCs w:val="20"/>
              </w:rPr>
              <w:t>B51 to G51, Net Cost to PBS worksheet</w:t>
            </w:r>
          </w:p>
        </w:tc>
      </w:tr>
      <w:tr w:rsidR="00516A59">
        <w:tc>
          <w:tcPr>
            <w:tcW w:w="420" w:type="dxa"/>
          </w:tcPr>
          <w:p w:rsidR="00516A59" w:rsidRDefault="007D3F6A">
            <w:pPr>
              <w:keepLines/>
              <w:widowControl/>
              <w:rPr>
                <w:rFonts w:ascii="Arial Narrow" w:hAnsi="Arial Narrow"/>
                <w:sz w:val="20"/>
              </w:rPr>
            </w:pPr>
            <w:r>
              <w:rPr>
                <w:rFonts w:ascii="Arial Narrow" w:hAnsi="Arial Narrow"/>
                <w:sz w:val="20"/>
              </w:rPr>
              <w:t>2.</w:t>
            </w:r>
          </w:p>
        </w:tc>
        <w:tc>
          <w:tcPr>
            <w:tcW w:w="3390" w:type="dxa"/>
          </w:tcPr>
          <w:p w:rsidR="00516A59" w:rsidRDefault="007D3F6A">
            <w:pPr>
              <w:keepLines/>
              <w:widowControl/>
              <w:rPr>
                <w:rFonts w:ascii="Arial Narrow" w:hAnsi="Arial Narrow"/>
                <w:sz w:val="20"/>
              </w:rPr>
            </w:pPr>
            <w:r>
              <w:rPr>
                <w:rFonts w:ascii="Arial Narrow" w:hAnsi="Arial Narrow"/>
                <w:sz w:val="20"/>
              </w:rPr>
              <w:t>Patients that would have been treated with comparator - not offset</w:t>
            </w:r>
          </w:p>
        </w:tc>
        <w:tc>
          <w:tcPr>
            <w:tcW w:w="1261"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1262" w:type="dxa"/>
            <w:vAlign w:val="center"/>
          </w:tcPr>
          <w:p w:rsidR="00516A59" w:rsidRPr="00DA013C" w:rsidRDefault="00DA013C">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1261"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1262"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1261"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1262"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2569" w:type="dxa"/>
          </w:tcPr>
          <w:p w:rsidR="00516A59" w:rsidRDefault="007D3F6A">
            <w:pPr>
              <w:keepLines/>
              <w:widowControl/>
              <w:rPr>
                <w:rFonts w:ascii="Arial Narrow" w:hAnsi="Arial Narrow" w:cstheme="majorHAnsi"/>
                <w:sz w:val="20"/>
                <w:szCs w:val="20"/>
              </w:rPr>
            </w:pPr>
            <w:r>
              <w:rPr>
                <w:rFonts w:ascii="Arial Narrow" w:hAnsi="Arial Narrow" w:cstheme="majorHAnsi"/>
                <w:sz w:val="20"/>
                <w:szCs w:val="20"/>
              </w:rPr>
              <w:t xml:space="preserve">B49 to G49 </w:t>
            </w:r>
            <w:r>
              <w:rPr>
                <w:rFonts w:ascii="Arial Narrow" w:hAnsi="Arial Narrow" w:cstheme="majorHAnsi"/>
                <w:sz w:val="20"/>
                <w:szCs w:val="20"/>
                <w:u w:val="single"/>
              </w:rPr>
              <w:t>minus</w:t>
            </w:r>
            <w:r>
              <w:rPr>
                <w:rFonts w:ascii="Arial Narrow" w:hAnsi="Arial Narrow" w:cstheme="majorHAnsi"/>
                <w:sz w:val="20"/>
                <w:szCs w:val="20"/>
              </w:rPr>
              <w:t xml:space="preserve"> B51 to G51, Net Cost to PBS worksheet</w:t>
            </w:r>
          </w:p>
        </w:tc>
      </w:tr>
      <w:tr w:rsidR="00516A59">
        <w:tc>
          <w:tcPr>
            <w:tcW w:w="420" w:type="dxa"/>
          </w:tcPr>
          <w:p w:rsidR="00516A59" w:rsidRDefault="007D3F6A">
            <w:pPr>
              <w:keepLines/>
              <w:widowControl/>
              <w:rPr>
                <w:rFonts w:ascii="Arial Narrow" w:hAnsi="Arial Narrow"/>
                <w:sz w:val="20"/>
              </w:rPr>
            </w:pPr>
            <w:r>
              <w:rPr>
                <w:rFonts w:ascii="Arial Narrow" w:hAnsi="Arial Narrow"/>
                <w:sz w:val="20"/>
              </w:rPr>
              <w:t>3.</w:t>
            </w:r>
          </w:p>
        </w:tc>
        <w:tc>
          <w:tcPr>
            <w:tcW w:w="3390" w:type="dxa"/>
          </w:tcPr>
          <w:p w:rsidR="00516A59" w:rsidRDefault="007D3F6A">
            <w:pPr>
              <w:keepLines/>
              <w:widowControl/>
              <w:rPr>
                <w:rFonts w:ascii="Arial Narrow" w:hAnsi="Arial Narrow"/>
                <w:sz w:val="20"/>
              </w:rPr>
            </w:pPr>
            <w:r>
              <w:rPr>
                <w:rFonts w:ascii="Arial Narrow" w:hAnsi="Arial Narrow"/>
                <w:sz w:val="20"/>
              </w:rPr>
              <w:t>Patients that would not have been treated with comparator (i.e., new patients) - not offset</w:t>
            </w:r>
          </w:p>
        </w:tc>
        <w:tc>
          <w:tcPr>
            <w:tcW w:w="1261"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1262"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1261"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1262"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1261"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1262"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2569" w:type="dxa"/>
          </w:tcPr>
          <w:p w:rsidR="00516A59" w:rsidRDefault="007D3F6A">
            <w:pPr>
              <w:keepLines/>
              <w:widowControl/>
              <w:rPr>
                <w:rFonts w:ascii="Arial Narrow" w:hAnsi="Arial Narrow" w:cstheme="majorHAnsi"/>
                <w:sz w:val="20"/>
                <w:szCs w:val="20"/>
              </w:rPr>
            </w:pPr>
            <w:r>
              <w:rPr>
                <w:rFonts w:ascii="Arial Narrow" w:hAnsi="Arial Narrow" w:cstheme="majorHAnsi"/>
                <w:sz w:val="20"/>
                <w:szCs w:val="20"/>
              </w:rPr>
              <w:t>B25 to G365, Epidemiology and Patient Number worksheet</w:t>
            </w:r>
          </w:p>
        </w:tc>
      </w:tr>
      <w:tr w:rsidR="00516A59">
        <w:tc>
          <w:tcPr>
            <w:tcW w:w="420" w:type="dxa"/>
          </w:tcPr>
          <w:p w:rsidR="00516A59" w:rsidRDefault="007D3F6A">
            <w:pPr>
              <w:pStyle w:val="Tabletext"/>
              <w:keepLines/>
            </w:pPr>
            <w:r>
              <w:lastRenderedPageBreak/>
              <w:t>4.</w:t>
            </w:r>
          </w:p>
        </w:tc>
        <w:tc>
          <w:tcPr>
            <w:tcW w:w="3390" w:type="dxa"/>
          </w:tcPr>
          <w:p w:rsidR="00516A59" w:rsidRDefault="007D3F6A">
            <w:pPr>
              <w:pStyle w:val="Tabletext"/>
              <w:keepLines/>
              <w:rPr>
                <w:rFonts w:ascii="Times" w:hAnsi="Times"/>
              </w:rPr>
            </w:pPr>
            <w:r>
              <w:t xml:space="preserve">Patients that would have been treated with pembrolizumab monotherapy </w:t>
            </w:r>
          </w:p>
        </w:tc>
        <w:tc>
          <w:tcPr>
            <w:tcW w:w="1261"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1262"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1261"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1262"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1261"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1262"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2569" w:type="dxa"/>
          </w:tcPr>
          <w:p w:rsidR="00516A59" w:rsidRDefault="007D3F6A">
            <w:pPr>
              <w:keepLines/>
              <w:widowControl/>
              <w:rPr>
                <w:rFonts w:ascii="Arial Narrow" w:hAnsi="Arial Narrow" w:cstheme="majorHAnsi"/>
                <w:sz w:val="20"/>
                <w:szCs w:val="20"/>
              </w:rPr>
            </w:pPr>
            <w:r>
              <w:rPr>
                <w:rFonts w:ascii="Arial Narrow" w:hAnsi="Arial Narrow" w:cstheme="majorHAnsi"/>
                <w:sz w:val="20"/>
                <w:szCs w:val="20"/>
              </w:rPr>
              <w:t>J25 to O25, Epidemiology and Patient Number worksheet</w:t>
            </w:r>
          </w:p>
        </w:tc>
      </w:tr>
      <w:tr w:rsidR="00516A59">
        <w:tc>
          <w:tcPr>
            <w:tcW w:w="420" w:type="dxa"/>
          </w:tcPr>
          <w:p w:rsidR="00516A59" w:rsidRDefault="007D3F6A">
            <w:pPr>
              <w:pStyle w:val="Tabletext"/>
              <w:keepLines/>
            </w:pPr>
            <w:r>
              <w:t>5.</w:t>
            </w:r>
          </w:p>
        </w:tc>
        <w:tc>
          <w:tcPr>
            <w:tcW w:w="3390" w:type="dxa"/>
          </w:tcPr>
          <w:p w:rsidR="00516A59" w:rsidRDefault="007D3F6A">
            <w:pPr>
              <w:pStyle w:val="Tabletext"/>
              <w:keepLines/>
            </w:pPr>
            <w:r>
              <w:t>Total treated patients</w:t>
            </w:r>
          </w:p>
        </w:tc>
        <w:tc>
          <w:tcPr>
            <w:tcW w:w="1261"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1262"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1261"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1262"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1261"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1262" w:type="dxa"/>
            <w:vAlign w:val="center"/>
          </w:tcPr>
          <w:p w:rsidR="00516A59" w:rsidRPr="00845E21" w:rsidRDefault="00845E21">
            <w:pPr>
              <w:keepLines/>
              <w:widowControl/>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w:t>
            </w:r>
          </w:p>
        </w:tc>
        <w:tc>
          <w:tcPr>
            <w:tcW w:w="2569" w:type="dxa"/>
          </w:tcPr>
          <w:p w:rsidR="00516A59" w:rsidRDefault="007D3F6A">
            <w:pPr>
              <w:keepLines/>
              <w:widowControl/>
              <w:rPr>
                <w:rFonts w:ascii="Arial Narrow" w:hAnsi="Arial Narrow" w:cstheme="majorHAnsi"/>
                <w:sz w:val="20"/>
                <w:szCs w:val="20"/>
              </w:rPr>
            </w:pPr>
            <w:r>
              <w:rPr>
                <w:rFonts w:ascii="Arial Narrow" w:hAnsi="Arial Narrow" w:cstheme="majorHAnsi"/>
                <w:sz w:val="20"/>
                <w:szCs w:val="20"/>
              </w:rPr>
              <w:t>B45 to G45, Epidemiology and Patient Number worksheet</w:t>
            </w:r>
          </w:p>
        </w:tc>
      </w:tr>
      <w:tr w:rsidR="00516A59">
        <w:tc>
          <w:tcPr>
            <w:tcW w:w="420" w:type="dxa"/>
          </w:tcPr>
          <w:p w:rsidR="00516A59" w:rsidRDefault="00516A59">
            <w:pPr>
              <w:keepLines/>
              <w:widowControl/>
              <w:rPr>
                <w:rFonts w:ascii="Arial Narrow" w:hAnsi="Arial Narrow"/>
                <w:b/>
                <w:sz w:val="20"/>
              </w:rPr>
            </w:pPr>
          </w:p>
        </w:tc>
        <w:tc>
          <w:tcPr>
            <w:tcW w:w="13528" w:type="dxa"/>
            <w:gridSpan w:val="8"/>
          </w:tcPr>
          <w:p w:rsidR="00516A59" w:rsidRDefault="007D3F6A">
            <w:pPr>
              <w:keepLines/>
              <w:widowControl/>
              <w:rPr>
                <w:rFonts w:ascii="Arial Narrow" w:hAnsi="Arial Narrow" w:cstheme="majorHAnsi"/>
                <w:sz w:val="20"/>
                <w:szCs w:val="20"/>
              </w:rPr>
            </w:pPr>
            <w:r>
              <w:rPr>
                <w:rFonts w:ascii="Arial Narrow" w:hAnsi="Arial Narrow"/>
                <w:b/>
                <w:sz w:val="20"/>
              </w:rPr>
              <w:t>Incremental cost</w:t>
            </w:r>
          </w:p>
        </w:tc>
      </w:tr>
      <w:tr w:rsidR="00516A59">
        <w:tc>
          <w:tcPr>
            <w:tcW w:w="420" w:type="dxa"/>
          </w:tcPr>
          <w:p w:rsidR="00516A59" w:rsidRDefault="00516A59">
            <w:pPr>
              <w:keepLines/>
              <w:widowControl/>
              <w:rPr>
                <w:rFonts w:ascii="Arial Narrow" w:hAnsi="Arial Narrow"/>
                <w:sz w:val="20"/>
              </w:rPr>
            </w:pPr>
          </w:p>
        </w:tc>
        <w:tc>
          <w:tcPr>
            <w:tcW w:w="3390" w:type="dxa"/>
          </w:tcPr>
          <w:p w:rsidR="00516A59" w:rsidRDefault="007D3F6A">
            <w:pPr>
              <w:keepLines/>
              <w:widowControl/>
              <w:rPr>
                <w:rFonts w:ascii="Arial Narrow" w:hAnsi="Arial Narrow"/>
                <w:sz w:val="20"/>
              </w:rPr>
            </w:pPr>
            <w:r>
              <w:rPr>
                <w:rFonts w:ascii="Arial Narrow" w:hAnsi="Arial Narrow"/>
                <w:sz w:val="20"/>
              </w:rPr>
              <w:t>Patients that would have been treated with comparator - offset with nivolumab</w:t>
            </w:r>
          </w:p>
        </w:tc>
        <w:tc>
          <w:tcPr>
            <w:tcW w:w="1261"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1262"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1261"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1262"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1261"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1262"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2569" w:type="dxa"/>
          </w:tcPr>
          <w:p w:rsidR="00516A59" w:rsidRDefault="007D3F6A">
            <w:pPr>
              <w:keepLines/>
              <w:widowControl/>
              <w:rPr>
                <w:rFonts w:ascii="Arial Narrow" w:hAnsi="Arial Narrow" w:cstheme="majorHAnsi"/>
                <w:sz w:val="20"/>
                <w:szCs w:val="20"/>
              </w:rPr>
            </w:pPr>
            <w:r>
              <w:rPr>
                <w:rFonts w:ascii="Arial Narrow" w:hAnsi="Arial Narrow" w:cstheme="majorHAnsi"/>
                <w:sz w:val="20"/>
                <w:szCs w:val="20"/>
              </w:rPr>
              <w:t>1. x I in Table 19</w:t>
            </w:r>
          </w:p>
        </w:tc>
      </w:tr>
      <w:tr w:rsidR="00516A59">
        <w:tc>
          <w:tcPr>
            <w:tcW w:w="420" w:type="dxa"/>
          </w:tcPr>
          <w:p w:rsidR="00516A59" w:rsidRDefault="00516A59">
            <w:pPr>
              <w:keepLines/>
              <w:widowControl/>
              <w:rPr>
                <w:rFonts w:ascii="Arial Narrow" w:hAnsi="Arial Narrow"/>
                <w:sz w:val="20"/>
              </w:rPr>
            </w:pPr>
          </w:p>
        </w:tc>
        <w:tc>
          <w:tcPr>
            <w:tcW w:w="3390" w:type="dxa"/>
          </w:tcPr>
          <w:p w:rsidR="00516A59" w:rsidRDefault="007D3F6A">
            <w:pPr>
              <w:keepLines/>
              <w:widowControl/>
              <w:rPr>
                <w:rFonts w:ascii="Arial Narrow" w:hAnsi="Arial Narrow"/>
                <w:sz w:val="20"/>
              </w:rPr>
            </w:pPr>
            <w:r>
              <w:rPr>
                <w:rFonts w:ascii="Arial Narrow" w:hAnsi="Arial Narrow"/>
                <w:sz w:val="20"/>
              </w:rPr>
              <w:t>Patients that would have been treated with comparator - not offset</w:t>
            </w:r>
          </w:p>
        </w:tc>
        <w:tc>
          <w:tcPr>
            <w:tcW w:w="1261"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1262"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1261"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1262"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1261"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1262"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2569" w:type="dxa"/>
          </w:tcPr>
          <w:p w:rsidR="00516A59" w:rsidRDefault="007D3F6A">
            <w:pPr>
              <w:keepLines/>
              <w:widowControl/>
              <w:rPr>
                <w:rFonts w:ascii="Arial Narrow" w:hAnsi="Arial Narrow" w:cstheme="majorHAnsi"/>
                <w:sz w:val="20"/>
                <w:szCs w:val="20"/>
              </w:rPr>
            </w:pPr>
            <w:r>
              <w:rPr>
                <w:rFonts w:ascii="Arial Narrow" w:hAnsi="Arial Narrow" w:cstheme="majorHAnsi"/>
                <w:sz w:val="20"/>
                <w:szCs w:val="20"/>
              </w:rPr>
              <w:t>2. x J in Table 19</w:t>
            </w:r>
          </w:p>
        </w:tc>
      </w:tr>
      <w:tr w:rsidR="00516A59">
        <w:tc>
          <w:tcPr>
            <w:tcW w:w="420" w:type="dxa"/>
          </w:tcPr>
          <w:p w:rsidR="00516A59" w:rsidRDefault="00516A59">
            <w:pPr>
              <w:keepLines/>
              <w:widowControl/>
              <w:rPr>
                <w:rFonts w:ascii="Arial Narrow" w:hAnsi="Arial Narrow"/>
                <w:sz w:val="20"/>
              </w:rPr>
            </w:pPr>
          </w:p>
        </w:tc>
        <w:tc>
          <w:tcPr>
            <w:tcW w:w="3390" w:type="dxa"/>
          </w:tcPr>
          <w:p w:rsidR="00516A59" w:rsidRDefault="007D3F6A">
            <w:pPr>
              <w:keepLines/>
              <w:widowControl/>
              <w:rPr>
                <w:rFonts w:ascii="Arial Narrow" w:hAnsi="Arial Narrow"/>
                <w:sz w:val="20"/>
              </w:rPr>
            </w:pPr>
            <w:r>
              <w:rPr>
                <w:rFonts w:ascii="Arial Narrow" w:hAnsi="Arial Narrow"/>
                <w:sz w:val="20"/>
              </w:rPr>
              <w:t>Patients that would not have been treated with comparator (i.e., new patients) - not offset</w:t>
            </w:r>
          </w:p>
        </w:tc>
        <w:tc>
          <w:tcPr>
            <w:tcW w:w="1261"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1262"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1261"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1262"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1261"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1262"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2569" w:type="dxa"/>
          </w:tcPr>
          <w:p w:rsidR="00516A59" w:rsidRDefault="007D3F6A">
            <w:pPr>
              <w:keepLines/>
              <w:widowControl/>
              <w:rPr>
                <w:rFonts w:ascii="Arial Narrow" w:hAnsi="Arial Narrow" w:cstheme="majorHAnsi"/>
                <w:sz w:val="20"/>
                <w:szCs w:val="20"/>
              </w:rPr>
            </w:pPr>
            <w:r>
              <w:rPr>
                <w:rFonts w:ascii="Arial Narrow" w:hAnsi="Arial Narrow" w:cstheme="majorHAnsi"/>
                <w:sz w:val="20"/>
                <w:szCs w:val="20"/>
              </w:rPr>
              <w:t>3. x J in Table 19</w:t>
            </w:r>
          </w:p>
        </w:tc>
      </w:tr>
      <w:tr w:rsidR="00516A59">
        <w:tc>
          <w:tcPr>
            <w:tcW w:w="420" w:type="dxa"/>
          </w:tcPr>
          <w:p w:rsidR="00516A59" w:rsidRDefault="00516A59">
            <w:pPr>
              <w:pStyle w:val="Tabletext"/>
              <w:keepLines/>
            </w:pPr>
          </w:p>
        </w:tc>
        <w:tc>
          <w:tcPr>
            <w:tcW w:w="3390" w:type="dxa"/>
          </w:tcPr>
          <w:p w:rsidR="00516A59" w:rsidRDefault="007D3F6A">
            <w:pPr>
              <w:pStyle w:val="Tabletext"/>
              <w:keepLines/>
              <w:rPr>
                <w:rFonts w:ascii="Times" w:hAnsi="Times"/>
              </w:rPr>
            </w:pPr>
            <w:r>
              <w:t xml:space="preserve">Patients that would have been treated with pembrolizumab monotherapy </w:t>
            </w:r>
          </w:p>
        </w:tc>
        <w:tc>
          <w:tcPr>
            <w:tcW w:w="1261"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1262"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1261"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1262"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1261"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1262"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2569" w:type="dxa"/>
          </w:tcPr>
          <w:p w:rsidR="00516A59" w:rsidRDefault="007D3F6A">
            <w:pPr>
              <w:keepLines/>
              <w:widowControl/>
              <w:rPr>
                <w:rFonts w:ascii="Arial Narrow" w:hAnsi="Arial Narrow" w:cstheme="majorHAnsi"/>
                <w:sz w:val="20"/>
                <w:szCs w:val="20"/>
              </w:rPr>
            </w:pPr>
            <w:r>
              <w:rPr>
                <w:rFonts w:ascii="Arial Narrow" w:hAnsi="Arial Narrow" w:cstheme="majorHAnsi"/>
                <w:sz w:val="20"/>
                <w:szCs w:val="20"/>
              </w:rPr>
              <w:t>4. x K in Table 19</w:t>
            </w:r>
          </w:p>
        </w:tc>
      </w:tr>
      <w:tr w:rsidR="00516A59">
        <w:tc>
          <w:tcPr>
            <w:tcW w:w="420" w:type="dxa"/>
          </w:tcPr>
          <w:p w:rsidR="00516A59" w:rsidRDefault="00516A59">
            <w:pPr>
              <w:pStyle w:val="Tabletext"/>
              <w:keepLines/>
              <w:rPr>
                <w:b/>
              </w:rPr>
            </w:pPr>
          </w:p>
        </w:tc>
        <w:tc>
          <w:tcPr>
            <w:tcW w:w="3390" w:type="dxa"/>
          </w:tcPr>
          <w:p w:rsidR="00516A59" w:rsidRDefault="007D3F6A">
            <w:pPr>
              <w:pStyle w:val="Tabletext"/>
              <w:keepLines/>
              <w:rPr>
                <w:b/>
              </w:rPr>
            </w:pPr>
            <w:r>
              <w:rPr>
                <w:b/>
              </w:rPr>
              <w:t>Total incremental cost</w:t>
            </w:r>
          </w:p>
        </w:tc>
        <w:tc>
          <w:tcPr>
            <w:tcW w:w="1261"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1262"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1261"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1262"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1261"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1262" w:type="dxa"/>
            <w:vAlign w:val="center"/>
          </w:tcPr>
          <w:p w:rsidR="00516A59" w:rsidRDefault="007D3F6A">
            <w:pPr>
              <w:keepLines/>
              <w:widowControl/>
              <w:jc w:val="center"/>
              <w:rPr>
                <w:rFonts w:ascii="Arial Narrow" w:hAnsi="Arial Narrow" w:cs="Calibri"/>
                <w:sz w:val="20"/>
                <w:szCs w:val="20"/>
              </w:rPr>
            </w:pPr>
            <w:r>
              <w:rPr>
                <w:rFonts w:ascii="Arial Narrow" w:hAnsi="Arial Narrow" w:cs="Calibri"/>
                <w:sz w:val="20"/>
                <w:szCs w:val="20"/>
              </w:rPr>
              <w:t>$</w:t>
            </w:r>
            <w:r w:rsidR="00845E21">
              <w:rPr>
                <w:rFonts w:ascii="Arial Narrow" w:hAnsi="Arial Narrow" w:cs="Calibri"/>
                <w:noProof/>
                <w:color w:val="000000"/>
                <w:sz w:val="20"/>
                <w:szCs w:val="20"/>
                <w:highlight w:val="black"/>
              </w:rPr>
              <w:t>'''''''''''''''''''''''''''''</w:t>
            </w:r>
          </w:p>
        </w:tc>
        <w:tc>
          <w:tcPr>
            <w:tcW w:w="2569" w:type="dxa"/>
          </w:tcPr>
          <w:p w:rsidR="00516A59" w:rsidRDefault="00516A59">
            <w:pPr>
              <w:keepLines/>
              <w:widowControl/>
              <w:rPr>
                <w:rFonts w:ascii="Arial Narrow" w:hAnsi="Arial Narrow" w:cstheme="majorHAnsi"/>
                <w:sz w:val="20"/>
                <w:szCs w:val="20"/>
              </w:rPr>
            </w:pPr>
          </w:p>
        </w:tc>
      </w:tr>
    </w:tbl>
    <w:p w:rsidR="00516A59" w:rsidRDefault="007D3F6A">
      <w:pPr>
        <w:keepLines/>
        <w:widowControl/>
        <w:rPr>
          <w:rFonts w:ascii="Arial Narrow" w:hAnsi="Arial Narrow"/>
          <w:sz w:val="18"/>
          <w:szCs w:val="20"/>
        </w:rPr>
      </w:pPr>
      <w:r>
        <w:rPr>
          <w:rFonts w:ascii="Arial Narrow" w:hAnsi="Arial Narrow"/>
          <w:sz w:val="18"/>
          <w:szCs w:val="20"/>
        </w:rPr>
        <w:t xml:space="preserve">* The resubmission included </w:t>
      </w:r>
      <w:r w:rsidR="00894D44">
        <w:rPr>
          <w:rFonts w:ascii="Arial Narrow" w:hAnsi="Arial Narrow"/>
          <w:sz w:val="18"/>
          <w:szCs w:val="20"/>
        </w:rPr>
        <w:t xml:space="preserve">less than </w:t>
      </w:r>
      <w:r>
        <w:rPr>
          <w:rFonts w:ascii="Arial Narrow" w:hAnsi="Arial Narrow"/>
          <w:sz w:val="18"/>
          <w:szCs w:val="20"/>
        </w:rPr>
        <w:t>10</w:t>
      </w:r>
      <w:r w:rsidR="00894D44">
        <w:rPr>
          <w:rFonts w:ascii="Arial Narrow" w:hAnsi="Arial Narrow"/>
          <w:sz w:val="18"/>
          <w:szCs w:val="20"/>
        </w:rPr>
        <w:t>,</w:t>
      </w:r>
      <w:r>
        <w:rPr>
          <w:rFonts w:ascii="Arial Narrow" w:hAnsi="Arial Narrow"/>
          <w:sz w:val="18"/>
          <w:szCs w:val="20"/>
        </w:rPr>
        <w:t>0</w:t>
      </w:r>
      <w:r w:rsidR="00894D44">
        <w:rPr>
          <w:rFonts w:ascii="Arial Narrow" w:hAnsi="Arial Narrow"/>
          <w:sz w:val="18"/>
          <w:szCs w:val="20"/>
        </w:rPr>
        <w:t>00</w:t>
      </w:r>
      <w:r>
        <w:rPr>
          <w:rFonts w:ascii="Arial Narrow" w:hAnsi="Arial Narrow"/>
          <w:sz w:val="18"/>
          <w:szCs w:val="20"/>
        </w:rPr>
        <w:t xml:space="preserve"> grandfathered patients in Year 1</w:t>
      </w:r>
    </w:p>
    <w:p w:rsidR="00516A59" w:rsidRDefault="007D3F6A">
      <w:pPr>
        <w:keepLines/>
        <w:widowControl/>
        <w:rPr>
          <w:rFonts w:ascii="Arial Narrow" w:hAnsi="Arial Narrow"/>
          <w:sz w:val="18"/>
          <w:szCs w:val="20"/>
        </w:rPr>
      </w:pPr>
      <w:r>
        <w:rPr>
          <w:rFonts w:ascii="Arial Narrow" w:hAnsi="Arial Narrow"/>
          <w:sz w:val="18"/>
          <w:szCs w:val="20"/>
        </w:rPr>
        <w:t>Source: Pembrolizumab_1L NSCLC KN-189_Budget Impact Model_March 2019.xls provide with the resubmission</w:t>
      </w:r>
    </w:p>
    <w:p w:rsidR="00894D44" w:rsidRDefault="00894D44">
      <w:pPr>
        <w:keepLines/>
        <w:widowControl/>
        <w:jc w:val="left"/>
      </w:pPr>
    </w:p>
    <w:p w:rsidR="00516A59" w:rsidRDefault="00894D44">
      <w:pPr>
        <w:keepLines/>
        <w:widowControl/>
        <w:jc w:val="left"/>
        <w:rPr>
          <w:b/>
          <w:sz w:val="32"/>
        </w:rPr>
      </w:pPr>
      <w:r>
        <w:t xml:space="preserve">The redacted table shows that the estimated number of patients at year 6 would be less than 10,000, and ICERs would be in the range of </w:t>
      </w:r>
      <w:r w:rsidR="00DC0902">
        <w:t>$15,000/QALY - $45,000/QALY.</w:t>
      </w:r>
    </w:p>
    <w:p w:rsidR="00516A59" w:rsidRDefault="00516A59">
      <w:pPr>
        <w:pStyle w:val="PBACHeading1"/>
        <w:keepLines/>
        <w:numPr>
          <w:ilvl w:val="0"/>
          <w:numId w:val="0"/>
        </w:numPr>
        <w:ind w:left="720" w:hanging="720"/>
        <w:sectPr w:rsidR="00516A59">
          <w:headerReference w:type="default" r:id="rId19"/>
          <w:footnotePr>
            <w:numFmt w:val="lowerLetter"/>
          </w:footnotePr>
          <w:pgSz w:w="16840" w:h="11907" w:orient="landscape" w:code="9"/>
          <w:pgMar w:top="1440" w:right="1440" w:bottom="1440" w:left="1440" w:header="1440" w:footer="1440" w:gutter="0"/>
          <w:cols w:space="708"/>
          <w:docGrid w:linePitch="360"/>
        </w:sectPr>
      </w:pPr>
    </w:p>
    <w:p w:rsidR="00516A59" w:rsidRDefault="007D3F6A">
      <w:pPr>
        <w:pStyle w:val="Heading2"/>
      </w:pPr>
      <w:bookmarkStart w:id="33" w:name="_Toc371170714"/>
      <w:bookmarkStart w:id="34" w:name="_Toc9436249"/>
      <w:r>
        <w:lastRenderedPageBreak/>
        <w:t>Financial Management – Risk Sharing Arrangements</w:t>
      </w:r>
      <w:bookmarkEnd w:id="33"/>
      <w:bookmarkEnd w:id="34"/>
    </w:p>
    <w:p w:rsidR="00516A59" w:rsidRDefault="007D3F6A">
      <w:pPr>
        <w:pStyle w:val="ListParagraph"/>
        <w:keepLines/>
        <w:widowControl/>
      </w:pPr>
      <w:r>
        <w:t>The resubmission stated that the sponsor agrees to enter into an agreement on sharing the costs of the Commonwealth subsidy for supply of pembrolizumab in combination with pemetrexed and carboplatin/cisplatin for the treatment of NSCLC in patients whose tumours are non-squamous, EGFR wildtype and ALK translocation and ROS-1 negative. The agreement proposed included a SPA for pembrolizumab as well as annual subsidisation caps where the sponsor agrees to reimburse a proportion of any costs above the subsidisation caps to the Commonwealth.</w:t>
      </w:r>
      <w:bookmarkEnd w:id="26"/>
    </w:p>
    <w:p w:rsidR="00516A59" w:rsidRDefault="007D3F6A">
      <w:pPr>
        <w:pStyle w:val="ListParagraph"/>
        <w:keepLines/>
        <w:widowControl/>
        <w:numPr>
          <w:ilvl w:val="0"/>
          <w:numId w:val="0"/>
        </w:numPr>
        <w:spacing w:after="240"/>
        <w:ind w:left="720"/>
        <w:rPr>
          <w:i/>
        </w:rPr>
      </w:pPr>
      <w:r>
        <w:rPr>
          <w:i/>
        </w:rPr>
        <w:t>For more detail on PBAC’s view, see section 7 PBAC outcome.</w:t>
      </w:r>
    </w:p>
    <w:p w:rsidR="00516A59" w:rsidRDefault="007D3F6A">
      <w:pPr>
        <w:pStyle w:val="PBACHeading1"/>
        <w:keepLines/>
      </w:pPr>
      <w:r>
        <w:t>PBAC Outcome</w:t>
      </w:r>
    </w:p>
    <w:p w:rsidR="00516A59" w:rsidRDefault="007D3F6A">
      <w:pPr>
        <w:pStyle w:val="ListParagraph"/>
        <w:spacing w:after="120"/>
        <w:rPr>
          <w:rFonts w:asciiTheme="minorHAnsi" w:hAnsiTheme="minorHAnsi"/>
          <w:bCs/>
          <w:lang w:val="en-GB"/>
        </w:rPr>
      </w:pPr>
      <w:r>
        <w:rPr>
          <w:lang w:val="en-GB"/>
        </w:rPr>
        <w:t xml:space="preserve">The PBAC recommended the listing of pembrolizumab, to be used in combination with platinum chemotherapy and pemetrexed, on the basis that it should be available only under special arrangements under section 100 – Efficient Funding of Chemotherapy. </w:t>
      </w:r>
      <w:r>
        <w:rPr>
          <w:rFonts w:asciiTheme="minorHAnsi" w:hAnsiTheme="minorHAnsi"/>
          <w:bCs/>
          <w:lang w:val="en-GB"/>
        </w:rPr>
        <w:t>The PBAC recommended the listing be made available for the treatment of patients with Stage IV NSQ NSCLC, who are EGFR wild type, and negative for ALK or ROS1 gene rearrangements, under the circumstances shown in the table in Section 8 below. The PBAC considered a small (around 5%) reduction in the weighted price proposed in the PSCR was required to address the outstanding uncertainties regarding the cost effectiveness of pembrolizumab+platinum+pemetrexed, regardless of PD-L1 status.</w:t>
      </w:r>
    </w:p>
    <w:p w:rsidR="00516A59" w:rsidRDefault="007D3F6A">
      <w:pPr>
        <w:pStyle w:val="ListParagraph"/>
        <w:spacing w:after="120"/>
        <w:rPr>
          <w:color w:val="FF0000"/>
          <w:lang w:val="en-GB"/>
        </w:rPr>
      </w:pPr>
      <w:r>
        <w:rPr>
          <w:lang w:val="en-GB"/>
        </w:rPr>
        <w:t xml:space="preserve">For patients with PD-L1 TPS&lt;50%, the PBAC is satisfied that pembrolizumab used in combination with platinum chemotherapy and pemetrexed provides, for some patients, a significant improvement in efficacy over </w:t>
      </w:r>
      <w:r>
        <w:rPr>
          <w:rFonts w:asciiTheme="minorHAnsi" w:hAnsiTheme="minorHAnsi"/>
          <w:bCs/>
          <w:lang w:val="en-GB"/>
        </w:rPr>
        <w:t xml:space="preserve">platinum doublet chemotherapy followed by a PD-(L)1 inhibitor. </w:t>
      </w:r>
    </w:p>
    <w:p w:rsidR="00516A59" w:rsidRDefault="007D3F6A">
      <w:pPr>
        <w:pStyle w:val="ListParagraph"/>
        <w:spacing w:after="120"/>
        <w:rPr>
          <w:lang w:val="en-GB"/>
        </w:rPr>
      </w:pPr>
      <w:r>
        <w:rPr>
          <w:rFonts w:asciiTheme="minorHAnsi" w:hAnsiTheme="minorHAnsi"/>
          <w:bCs/>
          <w:lang w:val="en-GB"/>
        </w:rPr>
        <w:t xml:space="preserve">For patients with </w:t>
      </w:r>
      <w:r>
        <w:rPr>
          <w:lang w:val="en-GB"/>
        </w:rPr>
        <w:t>PD-L1 TPS</w:t>
      </w:r>
      <w:r>
        <w:rPr>
          <w:rFonts w:cstheme="minorHAnsi"/>
          <w:lang w:val="en-GB"/>
        </w:rPr>
        <w:t>≥</w:t>
      </w:r>
      <w:r>
        <w:rPr>
          <w:lang w:val="en-GB"/>
        </w:rPr>
        <w:t>50%, the PBAC’s recommendation for listing was based on, among other matters, its assessment that the cost-effectiveness of pembrolizumab used in combination with platinum chemotherapy and pemetrexed would be acceptable at the pembrolizumab price proposed in the PSCR for this population, noting that the cost per patient per treatment course was similar to that of alternative therapies including pembrolizumab monotherapy. However, the PBAC considered there was some residual uncertainty which could be addressed by a further small reduction in the weighted price.</w:t>
      </w:r>
    </w:p>
    <w:p w:rsidR="00516A59" w:rsidRDefault="007D3F6A">
      <w:pPr>
        <w:pStyle w:val="ListParagraph"/>
        <w:spacing w:after="120"/>
        <w:rPr>
          <w:rFonts w:asciiTheme="minorHAnsi" w:hAnsiTheme="minorHAnsi"/>
          <w:bCs/>
          <w:lang w:val="en-GB"/>
        </w:rPr>
      </w:pPr>
      <w:r>
        <w:rPr>
          <w:lang w:val="en-GB"/>
        </w:rPr>
        <w:t>The PBAC considered the resubmission’s nominated comparators for the PD-L1 TPS&lt;50% population and the PD-L1 TPS</w:t>
      </w:r>
      <w:r>
        <w:rPr>
          <w:rFonts w:cstheme="minorHAnsi"/>
          <w:lang w:val="en-GB"/>
        </w:rPr>
        <w:t>≥</w:t>
      </w:r>
      <w:r>
        <w:rPr>
          <w:lang w:val="en-GB"/>
        </w:rPr>
        <w:t>50% population were appropriate (</w:t>
      </w:r>
      <w:r>
        <w:t>paragraph 5.1)</w:t>
      </w:r>
      <w:r>
        <w:rPr>
          <w:lang w:val="en-GB"/>
        </w:rPr>
        <w:t xml:space="preserve">. </w:t>
      </w:r>
      <w:r>
        <w:rPr>
          <w:rFonts w:asciiTheme="minorHAnsi" w:hAnsiTheme="minorHAnsi"/>
          <w:bCs/>
          <w:lang w:val="en-GB"/>
        </w:rPr>
        <w:t>The PBAC also recalled that it had recommended the listing of ABCP at its March 2019 meeting and the resubmission appropriately nominated it as a near-term comparator. The PBAC noted that ABCP was not listed on the PBS at the time of its consideration.</w:t>
      </w:r>
    </w:p>
    <w:p w:rsidR="00516A59" w:rsidRDefault="007D3F6A">
      <w:pPr>
        <w:pStyle w:val="ListParagraph"/>
        <w:spacing w:after="120"/>
        <w:rPr>
          <w:lang w:val="en-GB"/>
        </w:rPr>
      </w:pPr>
      <w:r>
        <w:rPr>
          <w:lang w:val="en-GB"/>
        </w:rPr>
        <w:t xml:space="preserve">For patients with </w:t>
      </w:r>
      <w:r>
        <w:t>PD-L1 TPS &lt;50%, t</w:t>
      </w:r>
      <w:r>
        <w:rPr>
          <w:lang w:val="en-GB"/>
        </w:rPr>
        <w:t xml:space="preserve">he PBAC considered the subgroup analysis of </w:t>
      </w:r>
      <w:r>
        <w:rPr>
          <w:lang w:val="en-GB"/>
        </w:rPr>
        <w:lastRenderedPageBreak/>
        <w:t xml:space="preserve">KN189 was reasonable and supported the clinical claim. The PBAC agreed with the resubmission’s claim, noting the substantial and clinically relevant improvement shown in the more mature data presented in the resubmission (Table 7), as well as the new information about </w:t>
      </w:r>
      <w:r>
        <w:t>the extent of subsequent PD-(L)1 inhibitor use post-progression, which addressed its previous concerns (see paragraph 6.30).</w:t>
      </w:r>
    </w:p>
    <w:p w:rsidR="00516A59" w:rsidRDefault="007D3F6A">
      <w:pPr>
        <w:pStyle w:val="ListParagraph"/>
        <w:spacing w:after="120"/>
        <w:rPr>
          <w:lang w:val="en-GB"/>
        </w:rPr>
      </w:pPr>
      <w:r>
        <w:rPr>
          <w:lang w:val="en-GB"/>
        </w:rPr>
        <w:t>For patients with PD</w:t>
      </w:r>
      <w:r>
        <w:t xml:space="preserve">-L1 TPS ≥50%, the indirect comparison presented </w:t>
      </w:r>
      <w:r>
        <w:rPr>
          <w:lang w:val="en-GB"/>
        </w:rPr>
        <w:t xml:space="preserve">relied on the use of multiple subgroups to ensure a comparison based on similar patients. </w:t>
      </w:r>
      <w:r>
        <w:t xml:space="preserve">The PBAC noted that the PFS HR, but not the OS HR, was statistically significant in favour of pembrolizumab+platinum+pemetrexed over pembrolizumab monotherapy. </w:t>
      </w:r>
      <w:r>
        <w:rPr>
          <w:lang w:val="en-GB"/>
        </w:rPr>
        <w:t xml:space="preserve">Moreover, the PBAC recalled its previous view that an indirect comparison relying upon subgroups from each trial was inherently uncertain, and it </w:t>
      </w:r>
      <w:r>
        <w:t xml:space="preserve">considered the resubmission did not adequately address the range of transitivity and methodological issues introduced with this comparison (see paragraphs 6.34 and 6.35). Overall, the PBAC considered that the evidence did not support a conclusion of superiority. However, the PBAC further considered that from the evidence provided it was unlikely that pembrolizumab+platinum+pemetrexed was inferior to pembrolizumab monotherapy in terms of effectiveness. </w:t>
      </w:r>
    </w:p>
    <w:p w:rsidR="00516A59" w:rsidRDefault="007D3F6A">
      <w:pPr>
        <w:pStyle w:val="ListParagraph"/>
        <w:spacing w:after="120"/>
      </w:pPr>
      <w:r>
        <w:t>The PBAC reaffirmed its view that a claim of inferior safety to the nominated comparators in paragraph 5.1 was reasonable.</w:t>
      </w:r>
    </w:p>
    <w:p w:rsidR="00516A59" w:rsidRDefault="007D3F6A">
      <w:pPr>
        <w:pStyle w:val="ListParagraph"/>
        <w:spacing w:after="120"/>
      </w:pPr>
      <w:r>
        <w:t>The PBAC considered that, in patients with PD-L1 TPS≥50%, pembrolizumab used in combination with platinum chemotherapy and pemetrexed may provide, for a small group of patients, an improvement in efficacy that outweighs the additional toxicity compared with pembrolizumab monotherapy.</w:t>
      </w:r>
    </w:p>
    <w:p w:rsidR="00516A59" w:rsidRDefault="007D3F6A">
      <w:pPr>
        <w:pStyle w:val="ListParagraph"/>
        <w:spacing w:after="120"/>
      </w:pPr>
      <w:r>
        <w:t xml:space="preserve">The PBAC also noted the naïve indirect comparison between pembrolizumab+platinum+pemetrexed and ABCP (KN189 and IMpower 150), and the NMA presented in support of this comparison. The PBAC considered this comparison largely uninformative given: the naïve nature of the analysis; the fact that the resubmission did not assess the range of potential differences between the trials; and that substantial new information regarding the NMA was provided with the PSCR and was unable to be evaluated. </w:t>
      </w:r>
    </w:p>
    <w:p w:rsidR="00516A59" w:rsidRDefault="007D3F6A">
      <w:pPr>
        <w:pStyle w:val="ListParagraph"/>
        <w:spacing w:after="120"/>
      </w:pPr>
      <w:r>
        <w:t>For the PD-L1 TPS &lt;50% subgroup, the PBAC considered that the updates to the economic model largely addressed its major concerns with the previous model (paragraph 6.45). However, the PBAC agreed with the ESC concerning the validity and appropriateness of the utilities (paragraph 6.51) and considered the ICER was likely to be higher than the base case presented in the resubmission.</w:t>
      </w:r>
    </w:p>
    <w:p w:rsidR="00516A59" w:rsidRDefault="007D3F6A">
      <w:pPr>
        <w:pStyle w:val="ListParagraph"/>
        <w:spacing w:after="120"/>
      </w:pPr>
      <w:r>
        <w:t>For the PD-L1 TPS</w:t>
      </w:r>
      <w:r>
        <w:rPr>
          <w:rFonts w:cs="Calibri"/>
        </w:rPr>
        <w:t>≥</w:t>
      </w:r>
      <w:r>
        <w:t>50% subgroup, the PBAC maintained that a cost utility analysis was not appropriate given the issues discussed in paragraph 7.6. However, the PBAC noted that with the price reduction offered in the PSCR for this subgroup, the cost per patient per treatment course for pembrolizumab+platinum+pemetrexed ($</w:t>
      </w:r>
      <w:r w:rsidR="00845E21">
        <w:rPr>
          <w:noProof/>
          <w:color w:val="000000"/>
          <w:highlight w:val="black"/>
        </w:rPr>
        <w:t>''''''''''''''</w:t>
      </w:r>
      <w:r>
        <w:t>) and pembrolizumab monotherapy ($</w:t>
      </w:r>
      <w:r w:rsidR="00845E21">
        <w:rPr>
          <w:noProof/>
          <w:color w:val="000000"/>
          <w:highlight w:val="black"/>
        </w:rPr>
        <w:t>'''''''''''''</w:t>
      </w:r>
      <w:r>
        <w:t xml:space="preserve">) were similar, albeit remained higher for the </w:t>
      </w:r>
      <w:r>
        <w:lastRenderedPageBreak/>
        <w:t>combination treatment.</w:t>
      </w:r>
    </w:p>
    <w:p w:rsidR="00516A59" w:rsidRDefault="007D3F6A">
      <w:pPr>
        <w:pStyle w:val="ListParagraph"/>
        <w:spacing w:after="120"/>
      </w:pPr>
      <w:r>
        <w:t xml:space="preserve">The PBAC advised that a small (around </w:t>
      </w:r>
      <w:r w:rsidR="00845E21">
        <w:rPr>
          <w:noProof/>
          <w:color w:val="000000"/>
          <w:highlight w:val="black"/>
        </w:rPr>
        <w:t>''</w:t>
      </w:r>
      <w:r>
        <w:t xml:space="preserve">%) price reduction in the pembrolizumab weighted price per vial would address the outstanding uncertainties raised in paragraph 7.10 and 7.11. </w:t>
      </w:r>
    </w:p>
    <w:p w:rsidR="00516A59" w:rsidRDefault="007D3F6A">
      <w:pPr>
        <w:pStyle w:val="ListParagraph"/>
        <w:spacing w:after="120"/>
        <w:rPr>
          <w:rFonts w:asciiTheme="minorHAnsi" w:hAnsiTheme="minorHAnsi"/>
          <w:bCs/>
          <w:lang w:val="en-GB"/>
        </w:rPr>
      </w:pPr>
      <w:r>
        <w:rPr>
          <w:rFonts w:asciiTheme="minorHAnsi" w:hAnsiTheme="minorHAnsi"/>
          <w:bCs/>
          <w:lang w:val="en-GB"/>
        </w:rPr>
        <w:t xml:space="preserve">The PBAC considered the financial estimates provided in the resubmission would need to be revised to incorporate (i) the net financial implications for the health budget (including costs to MBS and the Department of Human Services) (ii) revised patients numbers as discussed in paragraph 7.14 and iii) costs for grandfathered patients using the approach outlined in paragraph 6.67. The PBAC noted the revised financial estimates should be in the format required by Section 4 of the PBAC Guidelines. </w:t>
      </w:r>
    </w:p>
    <w:p w:rsidR="00516A59" w:rsidRDefault="007D3F6A">
      <w:pPr>
        <w:pStyle w:val="ListParagraph"/>
        <w:spacing w:after="120"/>
        <w:rPr>
          <w:rFonts w:asciiTheme="minorHAnsi" w:hAnsiTheme="minorHAnsi"/>
          <w:bCs/>
          <w:lang w:val="en-GB"/>
        </w:rPr>
      </w:pPr>
      <w:r>
        <w:rPr>
          <w:rFonts w:asciiTheme="minorHAnsi" w:hAnsiTheme="minorHAnsi"/>
          <w:bCs/>
          <w:lang w:val="en-GB"/>
        </w:rPr>
        <w:t>The PBAC considered the listing would require a modest expansion of the existing risk sharing arrangements (RSA) for PD-(L)1 inhibitors. The PBAC noted the Department of Health methodology for determining the incremental cost of pembrolizumab was consistent with that previously accepted by the sponsor and considered it was appropriate to use this methodology for determining the proposed expansion of the RSA. T</w:t>
      </w:r>
      <w:r>
        <w:t xml:space="preserve">he PBAC also considered the Department’s approach to estimating patient numbers should be used to progress this listing in line with Table 20, and that this was consistent with previous advice. </w:t>
      </w:r>
      <w:r>
        <w:rPr>
          <w:rFonts w:asciiTheme="minorHAnsi" w:hAnsiTheme="minorHAnsi"/>
          <w:bCs/>
          <w:lang w:val="en-GB"/>
        </w:rPr>
        <w:t xml:space="preserve">The PBAC noted the financial implications should ABCP or any other PD-(L)1 inhibitor be listed on the PBS for NSCLC before the expenditure caps are finalised will need to be considered. </w:t>
      </w:r>
    </w:p>
    <w:p w:rsidR="00516A59" w:rsidRDefault="007D3F6A">
      <w:pPr>
        <w:pStyle w:val="ListParagraph"/>
        <w:keepLines/>
        <w:widowControl/>
        <w:spacing w:after="120"/>
      </w:pPr>
      <w:r>
        <w:rPr>
          <w:rFonts w:asciiTheme="minorHAnsi" w:hAnsiTheme="minorHAnsi"/>
          <w:bCs/>
          <w:lang w:val="en-GB"/>
        </w:rPr>
        <w:t>The PBAC noted the following regarding the restriction criteria:</w:t>
      </w:r>
    </w:p>
    <w:p w:rsidR="00516A59" w:rsidRDefault="007D3F6A">
      <w:pPr>
        <w:pStyle w:val="ListParagraph"/>
        <w:keepLines/>
        <w:widowControl/>
        <w:numPr>
          <w:ilvl w:val="0"/>
          <w:numId w:val="38"/>
        </w:numPr>
        <w:spacing w:after="120"/>
      </w:pPr>
      <w:r>
        <w:rPr>
          <w:rFonts w:asciiTheme="minorHAnsi" w:hAnsiTheme="minorHAnsi"/>
          <w:bCs/>
          <w:lang w:val="en-GB"/>
        </w:rPr>
        <w:t xml:space="preserve">The requested continuation listing required patients to continue pembrolizumab in combination with pemetrexed. However, the PBAC noted that the KN-189 protocol allowed discontinuation of chemotherapy (or pembrolizumab) if there was unacceptable toxicity. Therefore, the PBAC considered it appropriate that the PBS continuing criteria allow patients to discontinue pemetrexed if there was unacceptable toxicity. </w:t>
      </w:r>
    </w:p>
    <w:p w:rsidR="00516A59" w:rsidRDefault="007D3F6A">
      <w:pPr>
        <w:pStyle w:val="ListParagraph"/>
        <w:keepLines/>
        <w:widowControl/>
        <w:numPr>
          <w:ilvl w:val="0"/>
          <w:numId w:val="38"/>
        </w:numPr>
        <w:spacing w:after="120"/>
      </w:pPr>
      <w:r>
        <w:rPr>
          <w:rFonts w:asciiTheme="minorHAnsi" w:hAnsiTheme="minorHAnsi"/>
          <w:bCs/>
          <w:lang w:val="en-GB"/>
        </w:rPr>
        <w:t xml:space="preserve">The initial criteria included “The patient must not have received prior systemic treatment for this condition in the metastatic setting” which is different to the wording currently included for the pembrolizumab monotherapy setting which states, “The patient must not have previously been treated for this condition in the metastatic setting”. The PBAC considered the restriction wording should be consistent with the wording that is currently included in the pembrolizumab monotherapy listing. </w:t>
      </w:r>
    </w:p>
    <w:p w:rsidR="00516A59" w:rsidRDefault="007D3F6A">
      <w:pPr>
        <w:pStyle w:val="ListParagraph"/>
        <w:keepLines/>
        <w:widowControl/>
        <w:numPr>
          <w:ilvl w:val="0"/>
          <w:numId w:val="38"/>
        </w:numPr>
        <w:spacing w:after="120"/>
        <w:rPr>
          <w:rFonts w:asciiTheme="minorHAnsi" w:hAnsiTheme="minorHAnsi"/>
          <w:bCs/>
          <w:lang w:val="en-GB"/>
        </w:rPr>
      </w:pPr>
      <w:r>
        <w:rPr>
          <w:rFonts w:asciiTheme="minorHAnsi" w:hAnsiTheme="minorHAnsi"/>
          <w:bCs/>
          <w:lang w:val="en-GB"/>
        </w:rPr>
        <w:lastRenderedPageBreak/>
        <w:t>The criteria included “The patient may only receive one course of anti-PD-(L)1 treatment in their lifetime for this condition”. The PBAC recalled it had previously advised that the proposed restriction of pembrolizumab monotherapy as a first-line therapy for metastatic NSCLC and the restriction of nivolumab and atezolizumab as second-line therapies for the same indication included sufficient provisions to ensure that the PBS does not subsidise sequential immunotherapy for NSCLC (paragraph 6.10, pembrolizumab PSD, July 2018 PBAC meeting). The PBAC noted that should any PD-(L)1 inhibitors be listed in an earlier disease stage, additional restriction wording for all PD-(L)1 inhibitors may be warranted.</w:t>
      </w:r>
    </w:p>
    <w:p w:rsidR="00516A59" w:rsidRDefault="007D3F6A">
      <w:pPr>
        <w:pStyle w:val="ListParagraph"/>
        <w:spacing w:after="120"/>
        <w:rPr>
          <w:rFonts w:asciiTheme="minorHAnsi" w:hAnsiTheme="minorHAnsi"/>
          <w:bCs/>
          <w:snapToGrid/>
          <w:sz w:val="22"/>
          <w:lang w:val="en-GB"/>
        </w:rPr>
      </w:pPr>
      <w:r>
        <w:rPr>
          <w:rFonts w:asciiTheme="minorHAnsi" w:hAnsiTheme="minorHAnsi"/>
          <w:bCs/>
          <w:lang w:val="en-GB"/>
        </w:rPr>
        <w:t xml:space="preserve">The PBAC found that the criteria prescribed by the </w:t>
      </w:r>
      <w:r>
        <w:rPr>
          <w:rFonts w:asciiTheme="minorHAnsi" w:hAnsiTheme="minorHAnsi"/>
          <w:bCs/>
          <w:i/>
          <w:lang w:val="en-GB"/>
        </w:rPr>
        <w:t>National Health (Pharmaceutical and Vaccines – Cost Recovery) Regulations 2009</w:t>
      </w:r>
      <w:r>
        <w:rPr>
          <w:rFonts w:asciiTheme="minorHAnsi" w:hAnsiTheme="minorHAnsi"/>
          <w:bCs/>
          <w:lang w:val="en-GB"/>
        </w:rPr>
        <w:t xml:space="preserve"> for Pricing Pathway A were met. Specifically, the PBAC found that in the circumstances of its recommendation for pembrolizumab in combination with platinum chemotherapy and pemetrexed:</w:t>
      </w:r>
    </w:p>
    <w:p w:rsidR="00516A59" w:rsidRDefault="007D3F6A">
      <w:pPr>
        <w:pStyle w:val="ListParagraph"/>
        <w:numPr>
          <w:ilvl w:val="0"/>
          <w:numId w:val="32"/>
        </w:numPr>
        <w:snapToGrid w:val="0"/>
        <w:spacing w:after="120"/>
        <w:ind w:left="1077" w:hanging="357"/>
        <w:contextualSpacing/>
        <w:rPr>
          <w:rFonts w:asciiTheme="minorHAnsi" w:hAnsiTheme="minorHAnsi"/>
          <w:bCs/>
          <w:lang w:val="en-GB"/>
        </w:rPr>
      </w:pPr>
      <w:r>
        <w:rPr>
          <w:rFonts w:asciiTheme="minorHAnsi" w:hAnsiTheme="minorHAnsi"/>
          <w:bCs/>
          <w:lang w:val="en-GB"/>
        </w:rPr>
        <w:t>The treatment is expected to provide a substantial and clinically relevant improvement in efficacy over the nominated comparators in terms of overall survival in the PD-L1 TPS &lt;50% patient population;</w:t>
      </w:r>
    </w:p>
    <w:p w:rsidR="00516A59" w:rsidRDefault="007D3F6A">
      <w:pPr>
        <w:pStyle w:val="ListParagraph"/>
        <w:numPr>
          <w:ilvl w:val="0"/>
          <w:numId w:val="32"/>
        </w:numPr>
        <w:snapToGrid w:val="0"/>
        <w:spacing w:after="120"/>
        <w:ind w:left="1077" w:hanging="357"/>
        <w:contextualSpacing/>
        <w:rPr>
          <w:rFonts w:asciiTheme="minorHAnsi" w:hAnsiTheme="minorHAnsi"/>
          <w:bCs/>
          <w:lang w:val="en-GB"/>
        </w:rPr>
      </w:pPr>
      <w:r>
        <w:rPr>
          <w:rFonts w:asciiTheme="minorHAnsi" w:hAnsiTheme="minorHAnsi"/>
          <w:bCs/>
          <w:lang w:val="en-GB"/>
        </w:rPr>
        <w:t>The treatment is expected to address a high and urgent unmet clinical need as there are currently no immunotherapies listed on the PBS for the first-line treatment of NSCLC patients with TPS</w:t>
      </w:r>
      <w:r>
        <w:rPr>
          <w:rFonts w:asciiTheme="minorHAnsi" w:hAnsiTheme="minorHAnsi" w:cstheme="minorHAnsi"/>
          <w:bCs/>
          <w:lang w:val="en-GB"/>
        </w:rPr>
        <w:t>&lt;</w:t>
      </w:r>
      <w:r>
        <w:rPr>
          <w:rFonts w:asciiTheme="minorHAnsi" w:hAnsiTheme="minorHAnsi"/>
          <w:bCs/>
          <w:lang w:val="en-GB"/>
        </w:rPr>
        <w:t xml:space="preserve">50%; and </w:t>
      </w:r>
    </w:p>
    <w:p w:rsidR="00516A59" w:rsidRDefault="007D3F6A">
      <w:pPr>
        <w:pStyle w:val="ListParagraph"/>
        <w:numPr>
          <w:ilvl w:val="0"/>
          <w:numId w:val="32"/>
        </w:numPr>
        <w:snapToGrid w:val="0"/>
        <w:spacing w:after="120"/>
        <w:ind w:left="1077" w:hanging="357"/>
        <w:contextualSpacing/>
        <w:rPr>
          <w:rFonts w:asciiTheme="minorHAnsi" w:hAnsiTheme="minorHAnsi"/>
          <w:bCs/>
          <w:lang w:val="en-GB"/>
        </w:rPr>
      </w:pPr>
      <w:r>
        <w:rPr>
          <w:rFonts w:asciiTheme="minorHAnsi" w:hAnsiTheme="minorHAnsi"/>
          <w:bCs/>
          <w:lang w:val="en-GB"/>
        </w:rPr>
        <w:t>It would be in the public interest for the subsequent pricing application to be progressed under Pricing Pathway A on the basis of the preceding findings.</w:t>
      </w:r>
    </w:p>
    <w:p w:rsidR="00516A59" w:rsidRDefault="00516A59">
      <w:pPr>
        <w:pStyle w:val="ListParagraph"/>
        <w:numPr>
          <w:ilvl w:val="0"/>
          <w:numId w:val="0"/>
        </w:numPr>
        <w:snapToGrid w:val="0"/>
        <w:spacing w:after="120"/>
        <w:ind w:left="1077"/>
        <w:contextualSpacing/>
        <w:rPr>
          <w:rFonts w:asciiTheme="minorHAnsi" w:hAnsiTheme="minorHAnsi"/>
          <w:bCs/>
          <w:lang w:val="en-GB"/>
        </w:rPr>
      </w:pPr>
    </w:p>
    <w:p w:rsidR="00516A59" w:rsidRDefault="007D3F6A">
      <w:pPr>
        <w:pStyle w:val="ListParagraph"/>
        <w:spacing w:after="120"/>
        <w:rPr>
          <w:rFonts w:asciiTheme="minorHAnsi" w:hAnsiTheme="minorHAnsi"/>
          <w:bCs/>
          <w:lang w:val="en-GB"/>
        </w:rPr>
      </w:pPr>
      <w:r>
        <w:rPr>
          <w:lang w:val="en-GB"/>
        </w:rPr>
        <w:t>The PBAC advised</w:t>
      </w:r>
      <w:r>
        <w:rPr>
          <w:rFonts w:asciiTheme="minorHAnsi" w:hAnsiTheme="minorHAnsi"/>
          <w:bCs/>
          <w:lang w:val="en-GB"/>
        </w:rPr>
        <w:t xml:space="preserve"> that, under subsection 101(3BA) of the </w:t>
      </w:r>
      <w:r>
        <w:rPr>
          <w:rFonts w:asciiTheme="minorHAnsi" w:hAnsiTheme="minorHAnsi"/>
          <w:bCs/>
          <w:i/>
          <w:lang w:val="en-GB"/>
        </w:rPr>
        <w:t>National Health Act 1953</w:t>
      </w:r>
      <w:r>
        <w:rPr>
          <w:rFonts w:asciiTheme="minorHAnsi" w:hAnsiTheme="minorHAnsi"/>
          <w:bCs/>
          <w:lang w:val="en-GB"/>
        </w:rPr>
        <w:t>, this listing for pembrolizumab should not be treated as interchangeable on an individual patient basis with any other drugs.</w:t>
      </w:r>
    </w:p>
    <w:p w:rsidR="00516A59" w:rsidRDefault="007D3F6A">
      <w:pPr>
        <w:pStyle w:val="ListParagraph"/>
        <w:keepLines/>
        <w:widowControl/>
        <w:spacing w:after="120"/>
        <w:rPr>
          <w:rFonts w:asciiTheme="minorHAnsi" w:hAnsiTheme="minorHAnsi"/>
          <w:bCs/>
          <w:lang w:val="en-GB"/>
        </w:rPr>
      </w:pPr>
      <w:r>
        <w:rPr>
          <w:rFonts w:asciiTheme="minorHAnsi" w:hAnsiTheme="minorHAnsi"/>
          <w:bCs/>
          <w:lang w:val="en-GB"/>
        </w:rPr>
        <w:t xml:space="preserve">The PBAC reaffirmed its advice that pembrolizumab for NSCLC is not suitable for prescribing by nurse practitioners (paragraph 6.13, 7.17 pembrolizumab PSD, July 2018). </w:t>
      </w:r>
    </w:p>
    <w:p w:rsidR="00516A59" w:rsidRDefault="007D3F6A">
      <w:pPr>
        <w:pStyle w:val="ListParagraph"/>
        <w:keepLines/>
        <w:widowControl/>
        <w:spacing w:after="120"/>
        <w:rPr>
          <w:rFonts w:asciiTheme="minorHAnsi" w:hAnsiTheme="minorHAnsi"/>
          <w:bCs/>
          <w:color w:val="0070C0"/>
          <w:lang w:val="en-GB"/>
        </w:rPr>
      </w:pPr>
      <w:r>
        <w:rPr>
          <w:rFonts w:asciiTheme="minorHAnsi" w:hAnsiTheme="minorHAnsi"/>
          <w:bCs/>
          <w:lang w:val="en-GB"/>
        </w:rPr>
        <w:t>The PBAC advised that the Early Supply Rule should not apply to this listing of pembrolizumab.</w:t>
      </w:r>
    </w:p>
    <w:p w:rsidR="00516A59" w:rsidRDefault="007D3F6A">
      <w:pPr>
        <w:keepLines/>
        <w:widowControl/>
        <w:numPr>
          <w:ilvl w:val="1"/>
          <w:numId w:val="1"/>
        </w:numPr>
        <w:spacing w:after="120"/>
        <w:contextualSpacing/>
        <w:rPr>
          <w:rFonts w:asciiTheme="minorHAnsi" w:hAnsiTheme="minorHAnsi"/>
          <w:bCs/>
          <w:i/>
          <w:lang w:val="en-GB"/>
        </w:rPr>
      </w:pPr>
      <w:r>
        <w:rPr>
          <w:rFonts w:asciiTheme="minorHAnsi" w:hAnsiTheme="minorHAnsi"/>
          <w:bCs/>
          <w:lang w:val="en-GB"/>
        </w:rPr>
        <w:t>The PBAC noted that this submission is not eligible for an Independent Review as it received a positive recommendation.</w:t>
      </w:r>
    </w:p>
    <w:p w:rsidR="00516A59" w:rsidRDefault="00516A59">
      <w:pPr>
        <w:keepLines/>
        <w:widowControl/>
        <w:ind w:left="720"/>
        <w:contextualSpacing/>
        <w:rPr>
          <w:rFonts w:asciiTheme="minorHAnsi" w:hAnsiTheme="minorHAnsi"/>
          <w:bCs/>
          <w:i/>
          <w:color w:val="0070C0"/>
          <w:lang w:val="en-GB"/>
        </w:rPr>
      </w:pPr>
    </w:p>
    <w:p w:rsidR="00516A59" w:rsidRDefault="007D3F6A">
      <w:pPr>
        <w:keepLines/>
        <w:widowControl/>
        <w:rPr>
          <w:rFonts w:asciiTheme="minorHAnsi" w:hAnsiTheme="minorHAnsi"/>
          <w:b/>
          <w:bCs/>
          <w:lang w:val="en-GB"/>
        </w:rPr>
      </w:pPr>
      <w:r>
        <w:rPr>
          <w:rFonts w:asciiTheme="minorHAnsi" w:hAnsiTheme="minorHAnsi"/>
          <w:b/>
          <w:bCs/>
          <w:lang w:val="en-GB"/>
        </w:rPr>
        <w:t>Outcome:</w:t>
      </w:r>
    </w:p>
    <w:p w:rsidR="00516A59" w:rsidRDefault="007D3F6A">
      <w:pPr>
        <w:keepLines/>
        <w:widowControl/>
        <w:rPr>
          <w:rFonts w:asciiTheme="minorHAnsi" w:hAnsiTheme="minorHAnsi"/>
          <w:bCs/>
          <w:lang w:val="en-GB"/>
        </w:rPr>
      </w:pPr>
      <w:r>
        <w:rPr>
          <w:rFonts w:asciiTheme="minorHAnsi" w:hAnsiTheme="minorHAnsi"/>
          <w:bCs/>
          <w:lang w:val="en-GB"/>
        </w:rPr>
        <w:t xml:space="preserve">Recommended </w:t>
      </w:r>
    </w:p>
    <w:p w:rsidR="00516A59" w:rsidRDefault="00516A59">
      <w:pPr>
        <w:keepLines/>
        <w:widowControl/>
        <w:rPr>
          <w:rFonts w:asciiTheme="minorHAnsi" w:hAnsiTheme="minorHAnsi"/>
          <w:bCs/>
          <w:lang w:val="en-GB"/>
        </w:rPr>
      </w:pPr>
    </w:p>
    <w:p w:rsidR="00516A59" w:rsidRDefault="007D3F6A">
      <w:pPr>
        <w:widowControl/>
        <w:jc w:val="left"/>
        <w:rPr>
          <w:rFonts w:asciiTheme="minorHAnsi" w:hAnsiTheme="minorHAnsi" w:cstheme="minorHAnsi"/>
          <w:bCs/>
          <w:szCs w:val="24"/>
          <w:lang w:val="en-GB"/>
        </w:rPr>
      </w:pPr>
      <w:r>
        <w:rPr>
          <w:rFonts w:asciiTheme="minorHAnsi" w:hAnsiTheme="minorHAnsi" w:cstheme="minorHAnsi"/>
          <w:bCs/>
          <w:szCs w:val="24"/>
          <w:lang w:val="en-GB"/>
        </w:rPr>
        <w:br w:type="page"/>
      </w:r>
    </w:p>
    <w:p w:rsidR="00516A59" w:rsidRDefault="007D3F6A">
      <w:pPr>
        <w:pStyle w:val="PBACHeading1"/>
        <w:keepLines/>
      </w:pPr>
      <w:r>
        <w:lastRenderedPageBreak/>
        <w:t>Recommended listing</w:t>
      </w:r>
    </w:p>
    <w:p w:rsidR="00516A59" w:rsidRDefault="00516A59">
      <w:pPr>
        <w:keepLines/>
        <w:widowControl/>
        <w:rPr>
          <w:rFonts w:asciiTheme="minorHAnsi" w:hAnsiTheme="minorHAnsi"/>
          <w:b/>
          <w:bCs/>
          <w:lang w:val="en-GB"/>
        </w:rPr>
      </w:pPr>
    </w:p>
    <w:p w:rsidR="00516A59" w:rsidRDefault="007D3F6A">
      <w:pPr>
        <w:keepLines/>
        <w:widowControl/>
        <w:numPr>
          <w:ilvl w:val="1"/>
          <w:numId w:val="1"/>
        </w:numPr>
        <w:contextualSpacing/>
        <w:rPr>
          <w:rFonts w:asciiTheme="minorHAnsi" w:hAnsiTheme="minorHAnsi"/>
          <w:bCs/>
        </w:rPr>
      </w:pPr>
      <w:r>
        <w:rPr>
          <w:rFonts w:asciiTheme="minorHAnsi" w:hAnsiTheme="minorHAnsi"/>
          <w:bCs/>
        </w:rPr>
        <w:t>Amend existing listing as follows:</w:t>
      </w:r>
    </w:p>
    <w:p w:rsidR="00516A59" w:rsidRDefault="00516A59">
      <w:pPr>
        <w:keepLines/>
        <w:widowControl/>
      </w:pPr>
    </w:p>
    <w:tbl>
      <w:tblPr>
        <w:tblW w:w="9214" w:type="dxa"/>
        <w:tblInd w:w="108" w:type="dxa"/>
        <w:tblLayout w:type="fixed"/>
        <w:tblLook w:val="0000" w:firstRow="0" w:lastRow="0" w:firstColumn="0" w:lastColumn="0" w:noHBand="0" w:noVBand="0"/>
      </w:tblPr>
      <w:tblGrid>
        <w:gridCol w:w="2410"/>
        <w:gridCol w:w="459"/>
        <w:gridCol w:w="959"/>
        <w:gridCol w:w="850"/>
        <w:gridCol w:w="1559"/>
        <w:gridCol w:w="1276"/>
        <w:gridCol w:w="1701"/>
      </w:tblGrid>
      <w:tr w:rsidR="00516A59">
        <w:trPr>
          <w:gridAfter w:val="1"/>
          <w:wAfter w:w="1701" w:type="dxa"/>
          <w:cantSplit/>
          <w:trHeight w:val="20"/>
        </w:trPr>
        <w:tc>
          <w:tcPr>
            <w:tcW w:w="2869" w:type="dxa"/>
            <w:gridSpan w:val="2"/>
            <w:tcBorders>
              <w:bottom w:val="single" w:sz="4" w:space="0" w:color="auto"/>
            </w:tcBorders>
          </w:tcPr>
          <w:p w:rsidR="00516A59" w:rsidRDefault="007D3F6A">
            <w:pPr>
              <w:keepLines/>
              <w:widowControl/>
              <w:ind w:left="-108"/>
              <w:rPr>
                <w:rFonts w:ascii="Arial Narrow" w:eastAsia="Calibri" w:hAnsi="Arial Narrow"/>
                <w:snapToGrid/>
                <w:sz w:val="20"/>
                <w:szCs w:val="20"/>
              </w:rPr>
            </w:pPr>
            <w:r>
              <w:rPr>
                <w:rFonts w:ascii="Arial Narrow" w:eastAsia="Calibri" w:hAnsi="Arial Narrow"/>
                <w:snapToGrid/>
                <w:sz w:val="20"/>
                <w:szCs w:val="20"/>
              </w:rPr>
              <w:t>Name, Restriction,</w:t>
            </w:r>
          </w:p>
          <w:p w:rsidR="00516A59" w:rsidRDefault="007D3F6A">
            <w:pPr>
              <w:keepLines/>
              <w:widowControl/>
              <w:ind w:left="-108"/>
              <w:rPr>
                <w:rFonts w:ascii="Arial Narrow" w:eastAsia="Calibri" w:hAnsi="Arial Narrow"/>
                <w:snapToGrid/>
                <w:sz w:val="20"/>
                <w:szCs w:val="20"/>
              </w:rPr>
            </w:pPr>
            <w:r>
              <w:rPr>
                <w:rFonts w:ascii="Arial Narrow" w:eastAsia="Calibri" w:hAnsi="Arial Narrow"/>
                <w:snapToGrid/>
                <w:sz w:val="20"/>
                <w:szCs w:val="20"/>
              </w:rPr>
              <w:t>Manner of administration and form</w:t>
            </w:r>
          </w:p>
        </w:tc>
        <w:tc>
          <w:tcPr>
            <w:tcW w:w="959" w:type="dxa"/>
            <w:tcBorders>
              <w:bottom w:val="single" w:sz="4" w:space="0" w:color="auto"/>
            </w:tcBorders>
          </w:tcPr>
          <w:p w:rsidR="00516A59" w:rsidRDefault="007D3F6A">
            <w:pPr>
              <w:keepLines/>
              <w:widowControl/>
              <w:ind w:left="-108"/>
              <w:rPr>
                <w:rFonts w:ascii="Arial Narrow" w:eastAsia="Calibri" w:hAnsi="Arial Narrow"/>
                <w:snapToGrid/>
                <w:sz w:val="20"/>
                <w:szCs w:val="20"/>
              </w:rPr>
            </w:pPr>
            <w:r>
              <w:rPr>
                <w:rFonts w:ascii="Arial Narrow" w:eastAsia="Calibri" w:hAnsi="Arial Narrow"/>
                <w:snapToGrid/>
                <w:sz w:val="20"/>
                <w:szCs w:val="20"/>
              </w:rPr>
              <w:t>Max.</w:t>
            </w:r>
          </w:p>
          <w:p w:rsidR="00516A59" w:rsidRDefault="007D3F6A">
            <w:pPr>
              <w:keepLines/>
              <w:widowControl/>
              <w:ind w:left="-108"/>
              <w:rPr>
                <w:rFonts w:ascii="Arial Narrow" w:eastAsia="Calibri" w:hAnsi="Arial Narrow"/>
                <w:snapToGrid/>
                <w:sz w:val="20"/>
                <w:szCs w:val="20"/>
              </w:rPr>
            </w:pPr>
            <w:r>
              <w:rPr>
                <w:rFonts w:ascii="Arial Narrow" w:eastAsia="Calibri" w:hAnsi="Arial Narrow"/>
                <w:snapToGrid/>
                <w:sz w:val="20"/>
                <w:szCs w:val="20"/>
              </w:rPr>
              <w:t>Amt</w:t>
            </w:r>
          </w:p>
        </w:tc>
        <w:tc>
          <w:tcPr>
            <w:tcW w:w="850" w:type="dxa"/>
            <w:tcBorders>
              <w:bottom w:val="single" w:sz="4" w:space="0" w:color="auto"/>
            </w:tcBorders>
          </w:tcPr>
          <w:p w:rsidR="00516A59" w:rsidRDefault="007D3F6A">
            <w:pPr>
              <w:keepLines/>
              <w:widowControl/>
              <w:ind w:left="-108"/>
              <w:rPr>
                <w:rFonts w:ascii="Arial Narrow" w:eastAsia="Calibri" w:hAnsi="Arial Narrow"/>
                <w:snapToGrid/>
                <w:sz w:val="20"/>
                <w:szCs w:val="20"/>
              </w:rPr>
            </w:pPr>
            <w:r>
              <w:rPr>
                <w:rFonts w:ascii="Arial Narrow" w:eastAsia="Calibri" w:hAnsi="Arial Narrow"/>
                <w:snapToGrid/>
                <w:sz w:val="20"/>
                <w:szCs w:val="20"/>
              </w:rPr>
              <w:t>№.of</w:t>
            </w:r>
          </w:p>
          <w:p w:rsidR="00516A59" w:rsidRDefault="007D3F6A">
            <w:pPr>
              <w:keepLines/>
              <w:widowControl/>
              <w:ind w:left="-108"/>
              <w:rPr>
                <w:rFonts w:ascii="Arial Narrow" w:eastAsia="Calibri" w:hAnsi="Arial Narrow"/>
                <w:snapToGrid/>
                <w:sz w:val="20"/>
                <w:szCs w:val="20"/>
              </w:rPr>
            </w:pPr>
            <w:r>
              <w:rPr>
                <w:rFonts w:ascii="Arial Narrow" w:eastAsia="Calibri" w:hAnsi="Arial Narrow"/>
                <w:snapToGrid/>
                <w:sz w:val="20"/>
                <w:szCs w:val="20"/>
              </w:rPr>
              <w:t>Rpts</w:t>
            </w:r>
          </w:p>
        </w:tc>
        <w:tc>
          <w:tcPr>
            <w:tcW w:w="2835" w:type="dxa"/>
            <w:gridSpan w:val="2"/>
            <w:tcBorders>
              <w:bottom w:val="single" w:sz="4" w:space="0" w:color="auto"/>
            </w:tcBorders>
          </w:tcPr>
          <w:p w:rsidR="00516A59" w:rsidRDefault="007D3F6A">
            <w:pPr>
              <w:keepLines/>
              <w:widowControl/>
              <w:rPr>
                <w:rFonts w:ascii="Arial Narrow" w:eastAsia="Calibri" w:hAnsi="Arial Narrow"/>
                <w:snapToGrid/>
                <w:sz w:val="20"/>
                <w:szCs w:val="20"/>
                <w:lang w:val="fr-FR"/>
              </w:rPr>
            </w:pPr>
            <w:r>
              <w:rPr>
                <w:rFonts w:ascii="Arial Narrow" w:eastAsia="Calibri" w:hAnsi="Arial Narrow"/>
                <w:snapToGrid/>
                <w:sz w:val="20"/>
                <w:szCs w:val="20"/>
              </w:rPr>
              <w:t>Proprietary Name and Manufacturer</w:t>
            </w:r>
          </w:p>
        </w:tc>
      </w:tr>
      <w:tr w:rsidR="00516A59">
        <w:trPr>
          <w:gridAfter w:val="1"/>
          <w:wAfter w:w="1701" w:type="dxa"/>
          <w:cantSplit/>
          <w:trHeight w:val="20"/>
        </w:trPr>
        <w:tc>
          <w:tcPr>
            <w:tcW w:w="2869" w:type="dxa"/>
            <w:gridSpan w:val="2"/>
          </w:tcPr>
          <w:p w:rsidR="00516A59" w:rsidRDefault="007D3F6A">
            <w:pPr>
              <w:keepLines/>
              <w:widowControl/>
              <w:ind w:left="-108"/>
              <w:rPr>
                <w:rFonts w:ascii="Arial Narrow" w:eastAsia="Calibri" w:hAnsi="Arial Narrow"/>
                <w:snapToGrid/>
                <w:sz w:val="20"/>
                <w:szCs w:val="20"/>
              </w:rPr>
            </w:pPr>
            <w:r>
              <w:rPr>
                <w:rFonts w:ascii="Arial Narrow" w:eastAsia="Calibri" w:hAnsi="Arial Narrow"/>
                <w:smallCaps/>
                <w:snapToGrid/>
                <w:sz w:val="20"/>
                <w:szCs w:val="20"/>
              </w:rPr>
              <w:t>Pembrolizumab</w:t>
            </w:r>
          </w:p>
          <w:p w:rsidR="00516A59" w:rsidRDefault="007D3F6A">
            <w:pPr>
              <w:keepLines/>
              <w:widowControl/>
              <w:ind w:left="-108"/>
              <w:rPr>
                <w:rFonts w:ascii="Arial Narrow" w:eastAsia="Calibri" w:hAnsi="Arial Narrow"/>
                <w:snapToGrid/>
                <w:color w:val="FF0000"/>
                <w:sz w:val="20"/>
                <w:szCs w:val="20"/>
              </w:rPr>
            </w:pPr>
            <w:r>
              <w:rPr>
                <w:rFonts w:ascii="Arial Narrow" w:eastAsia="Calibri" w:hAnsi="Arial Narrow"/>
                <w:snapToGrid/>
                <w:sz w:val="20"/>
                <w:szCs w:val="20"/>
              </w:rPr>
              <w:t>100 mg/4 mL injection, 4 mL vial</w:t>
            </w:r>
          </w:p>
        </w:tc>
        <w:tc>
          <w:tcPr>
            <w:tcW w:w="959" w:type="dxa"/>
          </w:tcPr>
          <w:p w:rsidR="00516A59" w:rsidRDefault="00516A59">
            <w:pPr>
              <w:keepLines/>
              <w:widowControl/>
              <w:ind w:left="-108"/>
              <w:rPr>
                <w:rFonts w:ascii="Arial Narrow" w:eastAsia="Calibri" w:hAnsi="Arial Narrow"/>
                <w:snapToGrid/>
                <w:sz w:val="20"/>
                <w:szCs w:val="20"/>
              </w:rPr>
            </w:pPr>
          </w:p>
          <w:p w:rsidR="00516A59" w:rsidRDefault="007D3F6A">
            <w:pPr>
              <w:keepLines/>
              <w:widowControl/>
              <w:ind w:left="-108"/>
              <w:rPr>
                <w:rFonts w:ascii="Arial Narrow" w:eastAsia="Calibri" w:hAnsi="Arial Narrow"/>
                <w:snapToGrid/>
                <w:sz w:val="20"/>
                <w:szCs w:val="20"/>
              </w:rPr>
            </w:pPr>
            <w:r>
              <w:rPr>
                <w:rFonts w:ascii="Arial Narrow" w:eastAsia="Calibri" w:hAnsi="Arial Narrow"/>
                <w:snapToGrid/>
                <w:sz w:val="20"/>
                <w:szCs w:val="20"/>
              </w:rPr>
              <w:t>200 mg</w:t>
            </w:r>
          </w:p>
        </w:tc>
        <w:tc>
          <w:tcPr>
            <w:tcW w:w="850" w:type="dxa"/>
          </w:tcPr>
          <w:p w:rsidR="00516A59" w:rsidRDefault="00516A59">
            <w:pPr>
              <w:keepLines/>
              <w:widowControl/>
              <w:ind w:left="-108"/>
              <w:rPr>
                <w:rFonts w:ascii="Arial Narrow" w:eastAsia="Calibri" w:hAnsi="Arial Narrow"/>
                <w:snapToGrid/>
                <w:sz w:val="20"/>
                <w:szCs w:val="20"/>
              </w:rPr>
            </w:pPr>
          </w:p>
          <w:p w:rsidR="00516A59" w:rsidRDefault="007D3F6A">
            <w:pPr>
              <w:keepLines/>
              <w:widowControl/>
              <w:ind w:left="-108"/>
              <w:rPr>
                <w:rFonts w:ascii="Arial Narrow" w:eastAsia="Calibri" w:hAnsi="Arial Narrow"/>
                <w:snapToGrid/>
                <w:sz w:val="20"/>
                <w:szCs w:val="20"/>
              </w:rPr>
            </w:pPr>
            <w:r>
              <w:rPr>
                <w:rFonts w:ascii="Arial Narrow" w:eastAsia="Calibri" w:hAnsi="Arial Narrow"/>
                <w:snapToGrid/>
                <w:sz w:val="20"/>
                <w:szCs w:val="20"/>
              </w:rPr>
              <w:t>3</w:t>
            </w:r>
          </w:p>
        </w:tc>
        <w:tc>
          <w:tcPr>
            <w:tcW w:w="1559" w:type="dxa"/>
          </w:tcPr>
          <w:p w:rsidR="00516A59" w:rsidRDefault="00516A59">
            <w:pPr>
              <w:keepLines/>
              <w:widowControl/>
              <w:rPr>
                <w:rFonts w:ascii="Arial Narrow" w:eastAsia="Calibri" w:hAnsi="Arial Narrow"/>
                <w:snapToGrid/>
                <w:sz w:val="20"/>
                <w:szCs w:val="20"/>
              </w:rPr>
            </w:pPr>
          </w:p>
          <w:p w:rsidR="00516A59" w:rsidRDefault="007D3F6A">
            <w:pPr>
              <w:keepLines/>
              <w:widowControl/>
              <w:rPr>
                <w:rFonts w:ascii="Arial Narrow" w:eastAsia="Calibri" w:hAnsi="Arial Narrow"/>
                <w:snapToGrid/>
                <w:sz w:val="20"/>
                <w:szCs w:val="20"/>
              </w:rPr>
            </w:pPr>
            <w:r>
              <w:rPr>
                <w:rFonts w:ascii="Arial Narrow" w:eastAsia="Calibri" w:hAnsi="Arial Narrow"/>
                <w:snapToGrid/>
                <w:sz w:val="20"/>
                <w:szCs w:val="20"/>
              </w:rPr>
              <w:t>Keytruda®</w:t>
            </w:r>
          </w:p>
        </w:tc>
        <w:tc>
          <w:tcPr>
            <w:tcW w:w="1276" w:type="dxa"/>
          </w:tcPr>
          <w:p w:rsidR="00516A59" w:rsidRDefault="00516A59">
            <w:pPr>
              <w:keepLines/>
              <w:widowControl/>
              <w:rPr>
                <w:rFonts w:ascii="Arial Narrow" w:eastAsia="Calibri" w:hAnsi="Arial Narrow"/>
                <w:snapToGrid/>
                <w:sz w:val="20"/>
                <w:szCs w:val="20"/>
              </w:rPr>
            </w:pPr>
          </w:p>
          <w:p w:rsidR="00516A59" w:rsidRDefault="007D3F6A">
            <w:pPr>
              <w:keepLines/>
              <w:widowControl/>
              <w:rPr>
                <w:rFonts w:ascii="Arial Narrow" w:eastAsia="Calibri" w:hAnsi="Arial Narrow"/>
                <w:snapToGrid/>
                <w:sz w:val="20"/>
                <w:szCs w:val="20"/>
              </w:rPr>
            </w:pPr>
            <w:r>
              <w:rPr>
                <w:rFonts w:ascii="Arial Narrow" w:eastAsia="Calibri" w:hAnsi="Arial Narrow"/>
                <w:snapToGrid/>
                <w:sz w:val="20"/>
                <w:szCs w:val="20"/>
              </w:rPr>
              <w:t>MK</w:t>
            </w:r>
          </w:p>
        </w:tc>
      </w:tr>
      <w:tr w:rsidR="00516A59">
        <w:trPr>
          <w:cantSplit/>
          <w:trHeight w:val="20"/>
        </w:trPr>
        <w:tc>
          <w:tcPr>
            <w:tcW w:w="9214" w:type="dxa"/>
            <w:gridSpan w:val="7"/>
            <w:tcBorders>
              <w:bottom w:val="single" w:sz="4" w:space="0" w:color="auto"/>
            </w:tcBorders>
          </w:tcPr>
          <w:p w:rsidR="00516A59" w:rsidRDefault="00516A59">
            <w:pPr>
              <w:keepLines/>
              <w:widowControl/>
              <w:rPr>
                <w:rFonts w:ascii="Arial Narrow" w:eastAsia="Calibri" w:hAnsi="Arial Narrow"/>
                <w:snapToGrid/>
                <w:sz w:val="20"/>
                <w:szCs w:val="20"/>
              </w:rPr>
            </w:pP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Lines/>
              <w:widowControl/>
              <w:rPr>
                <w:rFonts w:ascii="Arial Narrow" w:eastAsia="Calibri" w:hAnsi="Arial Narrow"/>
                <w:b/>
                <w:snapToGrid/>
                <w:sz w:val="20"/>
                <w:szCs w:val="20"/>
              </w:rPr>
            </w:pPr>
            <w:r>
              <w:rPr>
                <w:rFonts w:ascii="Arial Narrow" w:eastAsia="Calibri" w:hAnsi="Arial Narrow"/>
                <w:b/>
                <w:snapToGrid/>
                <w:sz w:val="20"/>
                <w:szCs w:val="20"/>
              </w:rPr>
              <w:t>Category / Program:</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 xml:space="preserve">Section 100 – Efficient Funding of Chemotherapy </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Lines/>
              <w:widowControl/>
              <w:rPr>
                <w:rFonts w:ascii="Arial Narrow" w:eastAsia="Calibri" w:hAnsi="Arial Narrow"/>
                <w:b/>
                <w:snapToGrid/>
                <w:sz w:val="20"/>
                <w:szCs w:val="20"/>
              </w:rPr>
            </w:pPr>
            <w:r>
              <w:rPr>
                <w:rFonts w:ascii="Arial Narrow" w:eastAsia="Calibri" w:hAnsi="Arial Narrow"/>
                <w:b/>
                <w:snapToGrid/>
                <w:sz w:val="20"/>
                <w:szCs w:val="20"/>
              </w:rPr>
              <w:t>Prescriber type:</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fldChar w:fldCharType="begin">
                <w:ffData>
                  <w:name w:val="Check1"/>
                  <w:enabled/>
                  <w:calcOnExit w:val="0"/>
                  <w:checkBox>
                    <w:sizeAuto/>
                    <w:default w:val="0"/>
                  </w:checkBox>
                </w:ffData>
              </w:fldChar>
            </w:r>
            <w:r>
              <w:rPr>
                <w:rFonts w:ascii="Arial Narrow" w:eastAsia="Calibri" w:hAnsi="Arial Narrow"/>
                <w:snapToGrid/>
                <w:sz w:val="20"/>
                <w:szCs w:val="20"/>
              </w:rPr>
              <w:instrText xml:space="preserve"> FORMCHECKBOX </w:instrText>
            </w:r>
            <w:r w:rsidR="00CE6F54">
              <w:rPr>
                <w:rFonts w:ascii="Arial Narrow" w:eastAsia="Calibri" w:hAnsi="Arial Narrow"/>
                <w:snapToGrid/>
                <w:sz w:val="20"/>
                <w:szCs w:val="20"/>
              </w:rPr>
            </w:r>
            <w:r w:rsidR="00CE6F54">
              <w:rPr>
                <w:rFonts w:ascii="Arial Narrow" w:eastAsia="Calibri" w:hAnsi="Arial Narrow"/>
                <w:snapToGrid/>
                <w:sz w:val="20"/>
                <w:szCs w:val="20"/>
              </w:rPr>
              <w:fldChar w:fldCharType="separate"/>
            </w:r>
            <w:r>
              <w:rPr>
                <w:rFonts w:ascii="Arial Narrow" w:eastAsia="Calibri" w:hAnsi="Arial Narrow"/>
                <w:snapToGrid/>
                <w:sz w:val="20"/>
                <w:szCs w:val="20"/>
              </w:rPr>
              <w:fldChar w:fldCharType="end"/>
            </w:r>
            <w:r>
              <w:rPr>
                <w:rFonts w:ascii="Arial Narrow" w:eastAsia="Calibri" w:hAnsi="Arial Narrow"/>
                <w:snapToGrid/>
                <w:sz w:val="20"/>
                <w:szCs w:val="20"/>
              </w:rPr>
              <w:t xml:space="preserve">Dental  </w:t>
            </w:r>
            <w:r>
              <w:rPr>
                <w:rFonts w:ascii="Arial Narrow" w:eastAsia="Calibri" w:hAnsi="Arial Narrow"/>
                <w:snapToGrid/>
                <w:sz w:val="20"/>
                <w:szCs w:val="20"/>
              </w:rPr>
              <w:fldChar w:fldCharType="begin">
                <w:ffData>
                  <w:name w:val=""/>
                  <w:enabled/>
                  <w:calcOnExit w:val="0"/>
                  <w:checkBox>
                    <w:sizeAuto/>
                    <w:default w:val="1"/>
                  </w:checkBox>
                </w:ffData>
              </w:fldChar>
            </w:r>
            <w:r>
              <w:rPr>
                <w:rFonts w:ascii="Arial Narrow" w:eastAsia="Calibri" w:hAnsi="Arial Narrow"/>
                <w:snapToGrid/>
                <w:sz w:val="20"/>
                <w:szCs w:val="20"/>
              </w:rPr>
              <w:instrText xml:space="preserve"> FORMCHECKBOX </w:instrText>
            </w:r>
            <w:r w:rsidR="00CE6F54">
              <w:rPr>
                <w:rFonts w:ascii="Arial Narrow" w:eastAsia="Calibri" w:hAnsi="Arial Narrow"/>
                <w:snapToGrid/>
                <w:sz w:val="20"/>
                <w:szCs w:val="20"/>
              </w:rPr>
            </w:r>
            <w:r w:rsidR="00CE6F54">
              <w:rPr>
                <w:rFonts w:ascii="Arial Narrow" w:eastAsia="Calibri" w:hAnsi="Arial Narrow"/>
                <w:snapToGrid/>
                <w:sz w:val="20"/>
                <w:szCs w:val="20"/>
              </w:rPr>
              <w:fldChar w:fldCharType="separate"/>
            </w:r>
            <w:r>
              <w:rPr>
                <w:rFonts w:ascii="Arial Narrow" w:eastAsia="Calibri" w:hAnsi="Arial Narrow"/>
                <w:snapToGrid/>
                <w:sz w:val="20"/>
                <w:szCs w:val="20"/>
              </w:rPr>
              <w:fldChar w:fldCharType="end"/>
            </w:r>
            <w:r>
              <w:rPr>
                <w:rFonts w:ascii="Arial Narrow" w:eastAsia="Calibri" w:hAnsi="Arial Narrow"/>
                <w:snapToGrid/>
                <w:sz w:val="20"/>
                <w:szCs w:val="20"/>
              </w:rPr>
              <w:t xml:space="preserve">Medical Practitioners  </w:t>
            </w:r>
            <w:r>
              <w:rPr>
                <w:rFonts w:ascii="Arial Narrow" w:eastAsia="Calibri" w:hAnsi="Arial Narrow"/>
                <w:snapToGrid/>
                <w:sz w:val="20"/>
                <w:szCs w:val="20"/>
              </w:rPr>
              <w:fldChar w:fldCharType="begin">
                <w:ffData>
                  <w:name w:val="Check3"/>
                  <w:enabled/>
                  <w:calcOnExit w:val="0"/>
                  <w:checkBox>
                    <w:sizeAuto/>
                    <w:default w:val="0"/>
                  </w:checkBox>
                </w:ffData>
              </w:fldChar>
            </w:r>
            <w:r>
              <w:rPr>
                <w:rFonts w:ascii="Arial Narrow" w:eastAsia="Calibri" w:hAnsi="Arial Narrow"/>
                <w:snapToGrid/>
                <w:sz w:val="20"/>
                <w:szCs w:val="20"/>
              </w:rPr>
              <w:instrText xml:space="preserve"> FORMCHECKBOX </w:instrText>
            </w:r>
            <w:r w:rsidR="00CE6F54">
              <w:rPr>
                <w:rFonts w:ascii="Arial Narrow" w:eastAsia="Calibri" w:hAnsi="Arial Narrow"/>
                <w:snapToGrid/>
                <w:sz w:val="20"/>
                <w:szCs w:val="20"/>
              </w:rPr>
            </w:r>
            <w:r w:rsidR="00CE6F54">
              <w:rPr>
                <w:rFonts w:ascii="Arial Narrow" w:eastAsia="Calibri" w:hAnsi="Arial Narrow"/>
                <w:snapToGrid/>
                <w:sz w:val="20"/>
                <w:szCs w:val="20"/>
              </w:rPr>
              <w:fldChar w:fldCharType="separate"/>
            </w:r>
            <w:r>
              <w:rPr>
                <w:rFonts w:ascii="Arial Narrow" w:eastAsia="Calibri" w:hAnsi="Arial Narrow"/>
                <w:snapToGrid/>
                <w:sz w:val="20"/>
                <w:szCs w:val="20"/>
              </w:rPr>
              <w:fldChar w:fldCharType="end"/>
            </w:r>
            <w:r>
              <w:rPr>
                <w:rFonts w:ascii="Arial Narrow" w:eastAsia="Calibri" w:hAnsi="Arial Narrow"/>
                <w:snapToGrid/>
                <w:sz w:val="20"/>
                <w:szCs w:val="20"/>
              </w:rPr>
              <w:t xml:space="preserve">Nurse practitioners  </w:t>
            </w:r>
            <w:r>
              <w:rPr>
                <w:rFonts w:ascii="Arial Narrow" w:eastAsia="Calibri" w:hAnsi="Arial Narrow"/>
                <w:snapToGrid/>
                <w:sz w:val="20"/>
                <w:szCs w:val="20"/>
              </w:rPr>
              <w:fldChar w:fldCharType="begin">
                <w:ffData>
                  <w:name w:val=""/>
                  <w:enabled/>
                  <w:calcOnExit w:val="0"/>
                  <w:checkBox>
                    <w:sizeAuto/>
                    <w:default w:val="0"/>
                  </w:checkBox>
                </w:ffData>
              </w:fldChar>
            </w:r>
            <w:r>
              <w:rPr>
                <w:rFonts w:ascii="Arial Narrow" w:eastAsia="Calibri" w:hAnsi="Arial Narrow"/>
                <w:snapToGrid/>
                <w:sz w:val="20"/>
                <w:szCs w:val="20"/>
              </w:rPr>
              <w:instrText xml:space="preserve"> FORMCHECKBOX </w:instrText>
            </w:r>
            <w:r w:rsidR="00CE6F54">
              <w:rPr>
                <w:rFonts w:ascii="Arial Narrow" w:eastAsia="Calibri" w:hAnsi="Arial Narrow"/>
                <w:snapToGrid/>
                <w:sz w:val="20"/>
                <w:szCs w:val="20"/>
              </w:rPr>
            </w:r>
            <w:r w:rsidR="00CE6F54">
              <w:rPr>
                <w:rFonts w:ascii="Arial Narrow" w:eastAsia="Calibri" w:hAnsi="Arial Narrow"/>
                <w:snapToGrid/>
                <w:sz w:val="20"/>
                <w:szCs w:val="20"/>
              </w:rPr>
              <w:fldChar w:fldCharType="separate"/>
            </w:r>
            <w:r>
              <w:rPr>
                <w:rFonts w:ascii="Arial Narrow" w:eastAsia="Calibri" w:hAnsi="Arial Narrow"/>
                <w:snapToGrid/>
                <w:sz w:val="20"/>
                <w:szCs w:val="20"/>
              </w:rPr>
              <w:fldChar w:fldCharType="end"/>
            </w:r>
            <w:r>
              <w:rPr>
                <w:rFonts w:ascii="Arial Narrow" w:eastAsia="Calibri" w:hAnsi="Arial Narrow"/>
                <w:snapToGrid/>
                <w:sz w:val="20"/>
                <w:szCs w:val="20"/>
              </w:rPr>
              <w:t xml:space="preserve">Optometrists </w:t>
            </w:r>
            <w:r>
              <w:rPr>
                <w:rFonts w:ascii="Arial Narrow" w:eastAsia="Calibri" w:hAnsi="Arial Narrow"/>
                <w:snapToGrid/>
                <w:sz w:val="20"/>
                <w:szCs w:val="20"/>
              </w:rPr>
              <w:fldChar w:fldCharType="begin">
                <w:ffData>
                  <w:name w:val="Check5"/>
                  <w:enabled/>
                  <w:calcOnExit w:val="0"/>
                  <w:checkBox>
                    <w:sizeAuto/>
                    <w:default w:val="0"/>
                  </w:checkBox>
                </w:ffData>
              </w:fldChar>
            </w:r>
            <w:r>
              <w:rPr>
                <w:rFonts w:ascii="Arial Narrow" w:eastAsia="Calibri" w:hAnsi="Arial Narrow"/>
                <w:snapToGrid/>
                <w:sz w:val="20"/>
                <w:szCs w:val="20"/>
              </w:rPr>
              <w:instrText xml:space="preserve"> FORMCHECKBOX </w:instrText>
            </w:r>
            <w:r w:rsidR="00CE6F54">
              <w:rPr>
                <w:rFonts w:ascii="Arial Narrow" w:eastAsia="Calibri" w:hAnsi="Arial Narrow"/>
                <w:snapToGrid/>
                <w:sz w:val="20"/>
                <w:szCs w:val="20"/>
              </w:rPr>
            </w:r>
            <w:r w:rsidR="00CE6F54">
              <w:rPr>
                <w:rFonts w:ascii="Arial Narrow" w:eastAsia="Calibri" w:hAnsi="Arial Narrow"/>
                <w:snapToGrid/>
                <w:sz w:val="20"/>
                <w:szCs w:val="20"/>
              </w:rPr>
              <w:fldChar w:fldCharType="separate"/>
            </w:r>
            <w:r>
              <w:rPr>
                <w:rFonts w:ascii="Arial Narrow" w:eastAsia="Calibri" w:hAnsi="Arial Narrow"/>
                <w:snapToGrid/>
                <w:sz w:val="20"/>
                <w:szCs w:val="20"/>
              </w:rPr>
              <w:fldChar w:fldCharType="end"/>
            </w:r>
            <w:r>
              <w:rPr>
                <w:rFonts w:ascii="Arial Narrow" w:eastAsia="Calibri" w:hAnsi="Arial Narrow"/>
                <w:snapToGrid/>
                <w:sz w:val="20"/>
                <w:szCs w:val="20"/>
              </w:rPr>
              <w:t>Midwives</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Lines/>
              <w:widowControl/>
              <w:rPr>
                <w:rFonts w:ascii="Arial Narrow" w:eastAsia="Calibri" w:hAnsi="Arial Narrow"/>
                <w:b/>
                <w:snapToGrid/>
                <w:sz w:val="20"/>
                <w:szCs w:val="20"/>
              </w:rPr>
            </w:pPr>
            <w:r>
              <w:rPr>
                <w:rFonts w:ascii="Arial Narrow" w:eastAsia="Calibri" w:hAnsi="Arial Narrow"/>
                <w:b/>
                <w:snapToGrid/>
                <w:sz w:val="20"/>
                <w:szCs w:val="20"/>
              </w:rPr>
              <w:t>Episodicity:</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Lines/>
              <w:widowControl/>
              <w:rPr>
                <w:rFonts w:ascii="Arial Narrow" w:eastAsia="Calibri" w:hAnsi="Arial Narrow"/>
                <w:b/>
                <w:snapToGrid/>
                <w:sz w:val="20"/>
                <w:szCs w:val="20"/>
              </w:rPr>
            </w:pPr>
            <w:r>
              <w:rPr>
                <w:rFonts w:ascii="Arial Narrow" w:eastAsia="Calibri" w:hAnsi="Arial Narrow"/>
                <w:b/>
                <w:snapToGrid/>
                <w:sz w:val="20"/>
                <w:szCs w:val="20"/>
              </w:rPr>
              <w:t>Severity:</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Stage IV (metastatic)</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Lines/>
              <w:widowControl/>
              <w:rPr>
                <w:rFonts w:ascii="Arial Narrow" w:eastAsia="Calibri" w:hAnsi="Arial Narrow"/>
                <w:b/>
                <w:snapToGrid/>
                <w:sz w:val="20"/>
                <w:szCs w:val="20"/>
              </w:rPr>
            </w:pPr>
            <w:r>
              <w:rPr>
                <w:rFonts w:ascii="Arial Narrow" w:eastAsia="Calibri" w:hAnsi="Arial Narrow"/>
                <w:b/>
                <w:snapToGrid/>
                <w:sz w:val="20"/>
                <w:szCs w:val="20"/>
              </w:rPr>
              <w:t>Condition:</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non-small cell lung cancer</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Lines/>
              <w:widowControl/>
              <w:rPr>
                <w:rFonts w:ascii="Arial Narrow" w:eastAsia="Calibri" w:hAnsi="Arial Narrow"/>
                <w:b/>
                <w:snapToGrid/>
                <w:sz w:val="20"/>
                <w:szCs w:val="20"/>
              </w:rPr>
            </w:pPr>
            <w:r>
              <w:rPr>
                <w:rFonts w:ascii="Arial Narrow" w:eastAsia="Calibri" w:hAnsi="Arial Narrow"/>
                <w:b/>
                <w:snapToGrid/>
                <w:sz w:val="20"/>
                <w:szCs w:val="20"/>
              </w:rPr>
              <w:t>PBS Indication:</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Stage IV (metastatic) non-small cell lung cancer</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Lines/>
              <w:widowControl/>
              <w:rPr>
                <w:rFonts w:ascii="Arial Narrow" w:eastAsia="Calibri" w:hAnsi="Arial Narrow"/>
                <w:b/>
                <w:snapToGrid/>
                <w:sz w:val="20"/>
                <w:szCs w:val="20"/>
              </w:rPr>
            </w:pPr>
            <w:r>
              <w:rPr>
                <w:rFonts w:ascii="Arial Narrow" w:eastAsia="Calibri" w:hAnsi="Arial Narrow"/>
                <w:b/>
                <w:snapToGrid/>
                <w:sz w:val="20"/>
                <w:szCs w:val="20"/>
              </w:rPr>
              <w:t>Treatment phase:</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Initial</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Lines/>
              <w:widowControl/>
              <w:rPr>
                <w:rFonts w:ascii="Arial Narrow" w:eastAsia="Calibri" w:hAnsi="Arial Narrow"/>
                <w:b/>
                <w:snapToGrid/>
                <w:sz w:val="20"/>
                <w:szCs w:val="20"/>
              </w:rPr>
            </w:pPr>
            <w:r>
              <w:rPr>
                <w:rFonts w:ascii="Arial Narrow" w:eastAsia="Calibri" w:hAnsi="Arial Narrow"/>
                <w:b/>
                <w:snapToGrid/>
                <w:sz w:val="20"/>
                <w:szCs w:val="20"/>
              </w:rPr>
              <w:t>Restriction Level / Method:</w:t>
            </w:r>
          </w:p>
          <w:p w:rsidR="00516A59" w:rsidRDefault="00516A59">
            <w:pPr>
              <w:keepLines/>
              <w:widowControl/>
              <w:jc w:val="left"/>
              <w:rPr>
                <w:rFonts w:ascii="Arial Narrow" w:eastAsia="Calibri" w:hAnsi="Arial Narrow"/>
                <w:i/>
                <w:snapToGrid/>
                <w:sz w:val="20"/>
                <w:szCs w:val="20"/>
              </w:rPr>
            </w:pPr>
          </w:p>
          <w:p w:rsidR="00516A59" w:rsidRDefault="00516A59">
            <w:pPr>
              <w:keepLines/>
              <w:widowControl/>
              <w:jc w:val="left"/>
              <w:rPr>
                <w:rFonts w:ascii="Arial Narrow" w:eastAsia="Calibri" w:hAnsi="Arial Narrow"/>
                <w:i/>
                <w:snapToGrid/>
                <w:sz w:val="20"/>
                <w:szCs w:val="20"/>
              </w:rPr>
            </w:pPr>
          </w:p>
          <w:p w:rsidR="00516A59" w:rsidRDefault="00516A59">
            <w:pPr>
              <w:keepLines/>
              <w:widowControl/>
              <w:jc w:val="left"/>
              <w:rPr>
                <w:rFonts w:ascii="Arial Narrow" w:eastAsia="Calibri" w:hAnsi="Arial Narrow"/>
                <w:i/>
                <w:snapToGrid/>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fldChar w:fldCharType="begin">
                <w:ffData>
                  <w:name w:val="Check1"/>
                  <w:enabled/>
                  <w:calcOnExit w:val="0"/>
                  <w:checkBox>
                    <w:sizeAuto/>
                    <w:default w:val="0"/>
                  </w:checkBox>
                </w:ffData>
              </w:fldChar>
            </w:r>
            <w:r>
              <w:rPr>
                <w:rFonts w:ascii="Arial Narrow" w:eastAsia="Calibri" w:hAnsi="Arial Narrow"/>
                <w:snapToGrid/>
                <w:sz w:val="20"/>
                <w:szCs w:val="20"/>
              </w:rPr>
              <w:instrText xml:space="preserve"> FORMCHECKBOX </w:instrText>
            </w:r>
            <w:r w:rsidR="00CE6F54">
              <w:rPr>
                <w:rFonts w:ascii="Arial Narrow" w:eastAsia="Calibri" w:hAnsi="Arial Narrow"/>
                <w:snapToGrid/>
                <w:sz w:val="20"/>
                <w:szCs w:val="20"/>
              </w:rPr>
            </w:r>
            <w:r w:rsidR="00CE6F54">
              <w:rPr>
                <w:rFonts w:ascii="Arial Narrow" w:eastAsia="Calibri" w:hAnsi="Arial Narrow"/>
                <w:snapToGrid/>
                <w:sz w:val="20"/>
                <w:szCs w:val="20"/>
              </w:rPr>
              <w:fldChar w:fldCharType="separate"/>
            </w:r>
            <w:r>
              <w:rPr>
                <w:rFonts w:ascii="Arial Narrow" w:eastAsia="Calibri" w:hAnsi="Arial Narrow"/>
                <w:snapToGrid/>
                <w:sz w:val="20"/>
                <w:szCs w:val="20"/>
              </w:rPr>
              <w:fldChar w:fldCharType="end"/>
            </w:r>
            <w:r>
              <w:rPr>
                <w:rFonts w:ascii="Arial Narrow" w:eastAsia="Calibri" w:hAnsi="Arial Narrow"/>
                <w:snapToGrid/>
                <w:sz w:val="20"/>
                <w:szCs w:val="20"/>
              </w:rPr>
              <w:t>Restricted benefit</w:t>
            </w:r>
          </w:p>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fldChar w:fldCharType="begin">
                <w:ffData>
                  <w:name w:val=""/>
                  <w:enabled/>
                  <w:calcOnExit w:val="0"/>
                  <w:checkBox>
                    <w:sizeAuto/>
                    <w:default w:val="0"/>
                  </w:checkBox>
                </w:ffData>
              </w:fldChar>
            </w:r>
            <w:r>
              <w:rPr>
                <w:rFonts w:ascii="Arial Narrow" w:eastAsia="Calibri" w:hAnsi="Arial Narrow"/>
                <w:snapToGrid/>
                <w:sz w:val="20"/>
                <w:szCs w:val="20"/>
              </w:rPr>
              <w:instrText xml:space="preserve"> FORMCHECKBOX </w:instrText>
            </w:r>
            <w:r w:rsidR="00CE6F54">
              <w:rPr>
                <w:rFonts w:ascii="Arial Narrow" w:eastAsia="Calibri" w:hAnsi="Arial Narrow"/>
                <w:snapToGrid/>
                <w:sz w:val="20"/>
                <w:szCs w:val="20"/>
              </w:rPr>
            </w:r>
            <w:r w:rsidR="00CE6F54">
              <w:rPr>
                <w:rFonts w:ascii="Arial Narrow" w:eastAsia="Calibri" w:hAnsi="Arial Narrow"/>
                <w:snapToGrid/>
                <w:sz w:val="20"/>
                <w:szCs w:val="20"/>
              </w:rPr>
              <w:fldChar w:fldCharType="separate"/>
            </w:r>
            <w:r>
              <w:rPr>
                <w:rFonts w:ascii="Arial Narrow" w:eastAsia="Calibri" w:hAnsi="Arial Narrow"/>
                <w:snapToGrid/>
                <w:sz w:val="20"/>
                <w:szCs w:val="20"/>
              </w:rPr>
              <w:fldChar w:fldCharType="end"/>
            </w:r>
            <w:r>
              <w:rPr>
                <w:rFonts w:ascii="Arial Narrow" w:eastAsia="Calibri" w:hAnsi="Arial Narrow"/>
                <w:snapToGrid/>
                <w:sz w:val="20"/>
                <w:szCs w:val="20"/>
              </w:rPr>
              <w:t>Authority Required – In Writing</w:t>
            </w:r>
          </w:p>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fldChar w:fldCharType="begin">
                <w:ffData>
                  <w:name w:val="Check3"/>
                  <w:enabled/>
                  <w:calcOnExit w:val="0"/>
                  <w:checkBox>
                    <w:sizeAuto/>
                    <w:default w:val="0"/>
                  </w:checkBox>
                </w:ffData>
              </w:fldChar>
            </w:r>
            <w:r>
              <w:rPr>
                <w:rFonts w:ascii="Arial Narrow" w:eastAsia="Calibri" w:hAnsi="Arial Narrow"/>
                <w:snapToGrid/>
                <w:sz w:val="20"/>
                <w:szCs w:val="20"/>
              </w:rPr>
              <w:instrText xml:space="preserve"> FORMCHECKBOX </w:instrText>
            </w:r>
            <w:r w:rsidR="00CE6F54">
              <w:rPr>
                <w:rFonts w:ascii="Arial Narrow" w:eastAsia="Calibri" w:hAnsi="Arial Narrow"/>
                <w:snapToGrid/>
                <w:sz w:val="20"/>
                <w:szCs w:val="20"/>
              </w:rPr>
            </w:r>
            <w:r w:rsidR="00CE6F54">
              <w:rPr>
                <w:rFonts w:ascii="Arial Narrow" w:eastAsia="Calibri" w:hAnsi="Arial Narrow"/>
                <w:snapToGrid/>
                <w:sz w:val="20"/>
                <w:szCs w:val="20"/>
              </w:rPr>
              <w:fldChar w:fldCharType="separate"/>
            </w:r>
            <w:r>
              <w:rPr>
                <w:rFonts w:ascii="Arial Narrow" w:eastAsia="Calibri" w:hAnsi="Arial Narrow"/>
                <w:snapToGrid/>
                <w:sz w:val="20"/>
                <w:szCs w:val="20"/>
              </w:rPr>
              <w:fldChar w:fldCharType="end"/>
            </w:r>
            <w:r>
              <w:rPr>
                <w:rFonts w:ascii="Arial Narrow" w:eastAsia="Calibri" w:hAnsi="Arial Narrow"/>
                <w:snapToGrid/>
                <w:sz w:val="20"/>
                <w:szCs w:val="20"/>
              </w:rPr>
              <w:t>Authority Required – Telephone/Electronic/Emergency</w:t>
            </w:r>
          </w:p>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fldChar w:fldCharType="begin">
                <w:ffData>
                  <w:name w:val="Check5"/>
                  <w:enabled/>
                  <w:calcOnExit w:val="0"/>
                  <w:checkBox>
                    <w:sizeAuto/>
                    <w:default w:val="1"/>
                  </w:checkBox>
                </w:ffData>
              </w:fldChar>
            </w:r>
            <w:r>
              <w:rPr>
                <w:rFonts w:ascii="Arial Narrow" w:eastAsia="Calibri" w:hAnsi="Arial Narrow"/>
                <w:snapToGrid/>
                <w:sz w:val="20"/>
                <w:szCs w:val="20"/>
              </w:rPr>
              <w:instrText xml:space="preserve"> FORMCHECKBOX </w:instrText>
            </w:r>
            <w:r w:rsidR="00CE6F54">
              <w:rPr>
                <w:rFonts w:ascii="Arial Narrow" w:eastAsia="Calibri" w:hAnsi="Arial Narrow"/>
                <w:snapToGrid/>
                <w:sz w:val="20"/>
                <w:szCs w:val="20"/>
              </w:rPr>
            </w:r>
            <w:r w:rsidR="00CE6F54">
              <w:rPr>
                <w:rFonts w:ascii="Arial Narrow" w:eastAsia="Calibri" w:hAnsi="Arial Narrow"/>
                <w:snapToGrid/>
                <w:sz w:val="20"/>
                <w:szCs w:val="20"/>
              </w:rPr>
              <w:fldChar w:fldCharType="separate"/>
            </w:r>
            <w:r>
              <w:rPr>
                <w:rFonts w:ascii="Arial Narrow" w:eastAsia="Calibri" w:hAnsi="Arial Narrow"/>
                <w:snapToGrid/>
                <w:sz w:val="20"/>
                <w:szCs w:val="20"/>
              </w:rPr>
              <w:fldChar w:fldCharType="end"/>
            </w:r>
            <w:r>
              <w:rPr>
                <w:rFonts w:ascii="Arial Narrow" w:eastAsia="Calibri" w:hAnsi="Arial Narrow"/>
                <w:snapToGrid/>
                <w:sz w:val="20"/>
                <w:szCs w:val="20"/>
              </w:rPr>
              <w:t>Streamlined</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Lines/>
              <w:widowControl/>
              <w:jc w:val="left"/>
              <w:rPr>
                <w:rFonts w:ascii="Arial Narrow" w:eastAsia="Calibri" w:hAnsi="Arial Narrow"/>
                <w:b/>
                <w:snapToGrid/>
                <w:sz w:val="20"/>
                <w:szCs w:val="20"/>
              </w:rPr>
            </w:pPr>
            <w:r>
              <w:rPr>
                <w:rFonts w:ascii="Arial Narrow" w:eastAsia="Calibri" w:hAnsi="Arial Narrow"/>
                <w:b/>
                <w:snapToGrid/>
                <w:sz w:val="20"/>
                <w:szCs w:val="20"/>
              </w:rPr>
              <w:t>Treatment criteria:</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Lines/>
              <w:widowControl/>
              <w:rPr>
                <w:rFonts w:ascii="Arial Narrow" w:eastAsia="Calibri" w:hAnsi="Arial Narrow"/>
                <w:b/>
                <w:snapToGrid/>
                <w:sz w:val="20"/>
                <w:szCs w:val="20"/>
              </w:rPr>
            </w:pPr>
            <w:r>
              <w:rPr>
                <w:rFonts w:ascii="Arial Narrow" w:eastAsia="Calibri" w:hAnsi="Arial Narrow"/>
                <w:b/>
                <w:snapToGrid/>
                <w:sz w:val="20"/>
                <w:szCs w:val="20"/>
              </w:rPr>
              <w:t>Clinical criteria:</w:t>
            </w:r>
          </w:p>
          <w:p w:rsidR="00516A59" w:rsidRDefault="00516A59">
            <w:pPr>
              <w:keepLines/>
              <w:widowControl/>
              <w:rPr>
                <w:rFonts w:ascii="Arial Narrow" w:eastAsia="Calibri" w:hAnsi="Arial Narrow"/>
                <w:b/>
                <w:snapToGrid/>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Patient must not have previously been treated for this condition in the metastatic setting,</w:t>
            </w:r>
          </w:p>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 xml:space="preserve">AND </w:t>
            </w:r>
          </w:p>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The condition must be non-squamous type non-small cell lung cancer,</w:t>
            </w:r>
          </w:p>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AND</w:t>
            </w:r>
          </w:p>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The treatment must be in combination with pemetrexed,</w:t>
            </w:r>
          </w:p>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AND</w:t>
            </w:r>
          </w:p>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The treatment must be in combination with carboplatin; OR</w:t>
            </w:r>
          </w:p>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The treatment must be in combination with cisplatin</w:t>
            </w:r>
          </w:p>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 xml:space="preserve">AND </w:t>
            </w:r>
          </w:p>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t>The condition must not have evidence of an activating epidermal growth factor receptor (EGFR) gene or an anaplastic lymphoma kinase (ALK) gene rearrangement or a c-ROS proto-oncogene 1 (ROS1) gene rearrangement in tumour material</w:t>
            </w:r>
          </w:p>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AND</w:t>
            </w:r>
          </w:p>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Patient must have a WHO performance status score of 0 or 1.</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Lines/>
              <w:widowControl/>
              <w:rPr>
                <w:rFonts w:ascii="Arial Narrow" w:eastAsia="Calibri" w:hAnsi="Arial Narrow"/>
                <w:snapToGrid/>
                <w:sz w:val="20"/>
                <w:szCs w:val="20"/>
              </w:rPr>
            </w:pPr>
            <w:r>
              <w:rPr>
                <w:rFonts w:ascii="Arial Narrow" w:eastAsia="Calibri" w:hAnsi="Arial Narrow"/>
                <w:b/>
                <w:snapToGrid/>
                <w:sz w:val="20"/>
                <w:szCs w:val="20"/>
              </w:rPr>
              <w:t>Population criteria:</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Lines/>
              <w:widowControl/>
              <w:jc w:val="left"/>
              <w:rPr>
                <w:rFonts w:ascii="Arial Narrow" w:eastAsia="Calibri" w:hAnsi="Arial Narrow"/>
                <w:snapToGrid/>
                <w:sz w:val="20"/>
                <w:szCs w:val="20"/>
              </w:rPr>
            </w:pPr>
            <w:r>
              <w:rPr>
                <w:rFonts w:ascii="Arial Narrow" w:eastAsia="Calibri" w:hAnsi="Arial Narrow"/>
                <w:strike/>
                <w:snapToGrid/>
                <w:sz w:val="20"/>
                <w:szCs w:val="20"/>
              </w:rPr>
              <w:t>-</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Lines/>
              <w:widowControl/>
              <w:rPr>
                <w:rFonts w:ascii="Arial Narrow" w:eastAsia="Calibri" w:hAnsi="Arial Narrow"/>
                <w:snapToGrid/>
                <w:sz w:val="20"/>
                <w:szCs w:val="20"/>
              </w:rPr>
            </w:pPr>
            <w:r>
              <w:rPr>
                <w:rFonts w:ascii="Arial Narrow" w:eastAsia="Calibri" w:hAnsi="Arial Narrow"/>
                <w:b/>
                <w:snapToGrid/>
                <w:sz w:val="20"/>
                <w:szCs w:val="20"/>
              </w:rPr>
              <w:t>Prescriber Instructions:</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Lines/>
              <w:widowControl/>
              <w:rPr>
                <w:rFonts w:ascii="Arial Narrow" w:eastAsia="Calibri" w:hAnsi="Arial Narrow"/>
                <w:b/>
                <w:snapToGrid/>
                <w:sz w:val="20"/>
                <w:szCs w:val="20"/>
              </w:rPr>
            </w:pPr>
            <w:r>
              <w:rPr>
                <w:rFonts w:ascii="Arial Narrow" w:eastAsia="Calibri" w:hAnsi="Arial Narrow"/>
                <w:b/>
                <w:snapToGrid/>
                <w:sz w:val="20"/>
                <w:szCs w:val="20"/>
              </w:rPr>
              <w:t>Administrative Advice:</w:t>
            </w:r>
          </w:p>
          <w:p w:rsidR="00516A59" w:rsidRDefault="00516A59">
            <w:pPr>
              <w:keepLines/>
              <w:widowControl/>
              <w:rPr>
                <w:rFonts w:ascii="Arial Narrow" w:eastAsia="Calibri" w:hAnsi="Arial Narrow"/>
                <w:i/>
                <w:snapToGrid/>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No increase in the maximum number of repeats will be authorised.</w:t>
            </w:r>
          </w:p>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No increase in the maximum quantity or number of units may be authorised</w:t>
            </w:r>
          </w:p>
          <w:p w:rsidR="00516A59" w:rsidRDefault="00516A59">
            <w:pPr>
              <w:keepLines/>
              <w:widowControl/>
              <w:jc w:val="left"/>
              <w:rPr>
                <w:rFonts w:ascii="Arial Narrow" w:eastAsia="Calibri" w:hAnsi="Arial Narrow"/>
                <w:snapToGrid/>
                <w:sz w:val="20"/>
                <w:szCs w:val="20"/>
              </w:rPr>
            </w:pPr>
          </w:p>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 xml:space="preserve">In the first few months after start of immunotherapy, some patients can have a transient tumour flare with subsequent disease response. When progression is suspected, this should be confirmed through a confirmatory scan, taken at least 4 weeks later. </w:t>
            </w:r>
          </w:p>
          <w:p w:rsidR="00516A59" w:rsidRDefault="00516A59">
            <w:pPr>
              <w:keepLines/>
              <w:widowControl/>
              <w:jc w:val="left"/>
              <w:rPr>
                <w:rFonts w:ascii="Arial Narrow" w:eastAsia="Calibri" w:hAnsi="Arial Narrow"/>
                <w:snapToGrid/>
                <w:sz w:val="20"/>
                <w:szCs w:val="20"/>
              </w:rPr>
            </w:pPr>
          </w:p>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Special pricing arrangements apply</w:t>
            </w:r>
          </w:p>
        </w:tc>
      </w:tr>
    </w:tbl>
    <w:p w:rsidR="00516A59" w:rsidRDefault="007D3F6A">
      <w:pPr>
        <w:keepLines/>
        <w:widowControl/>
        <w:spacing w:after="160" w:line="259" w:lineRule="auto"/>
        <w:jc w:val="left"/>
        <w:rPr>
          <w:rFonts w:eastAsia="Calibri" w:cs="Calibri"/>
          <w:snapToGrid/>
          <w:color w:val="0070C0"/>
          <w:szCs w:val="24"/>
        </w:rPr>
      </w:pPr>
      <w:r>
        <w:rPr>
          <w:rFonts w:eastAsia="Calibri" w:cs="Calibri"/>
          <w:snapToGrid/>
          <w:color w:val="0070C0"/>
          <w:szCs w:val="24"/>
        </w:rPr>
        <w:t xml:space="preserve"> </w:t>
      </w:r>
    </w:p>
    <w:p w:rsidR="00516A59" w:rsidRDefault="007D3F6A">
      <w:pPr>
        <w:widowControl/>
        <w:jc w:val="left"/>
        <w:rPr>
          <w:rFonts w:eastAsia="Calibri" w:cs="Calibri"/>
          <w:snapToGrid/>
          <w:color w:val="0070C0"/>
          <w:szCs w:val="24"/>
        </w:rPr>
      </w:pPr>
      <w:r>
        <w:rPr>
          <w:rFonts w:eastAsia="Calibri" w:cs="Calibri"/>
          <w:snapToGrid/>
          <w:color w:val="0070C0"/>
          <w:szCs w:val="24"/>
        </w:rPr>
        <w:br w:type="page"/>
      </w:r>
    </w:p>
    <w:tbl>
      <w:tblPr>
        <w:tblW w:w="9214" w:type="dxa"/>
        <w:tblInd w:w="108" w:type="dxa"/>
        <w:tblLayout w:type="fixed"/>
        <w:tblLook w:val="0000" w:firstRow="0" w:lastRow="0" w:firstColumn="0" w:lastColumn="0" w:noHBand="0" w:noVBand="0"/>
      </w:tblPr>
      <w:tblGrid>
        <w:gridCol w:w="2410"/>
        <w:gridCol w:w="459"/>
        <w:gridCol w:w="959"/>
        <w:gridCol w:w="850"/>
        <w:gridCol w:w="1559"/>
        <w:gridCol w:w="1276"/>
        <w:gridCol w:w="1701"/>
      </w:tblGrid>
      <w:tr w:rsidR="00516A59">
        <w:trPr>
          <w:gridAfter w:val="1"/>
          <w:wAfter w:w="1701" w:type="dxa"/>
          <w:cantSplit/>
          <w:trHeight w:val="20"/>
        </w:trPr>
        <w:tc>
          <w:tcPr>
            <w:tcW w:w="2869" w:type="dxa"/>
            <w:gridSpan w:val="2"/>
            <w:tcBorders>
              <w:bottom w:val="single" w:sz="4" w:space="0" w:color="auto"/>
            </w:tcBorders>
          </w:tcPr>
          <w:p w:rsidR="00516A59" w:rsidRDefault="007D3F6A">
            <w:pPr>
              <w:keepLines/>
              <w:widowControl/>
              <w:ind w:left="-108"/>
              <w:rPr>
                <w:rFonts w:ascii="Arial Narrow" w:eastAsia="Calibri" w:hAnsi="Arial Narrow"/>
                <w:snapToGrid/>
                <w:sz w:val="20"/>
                <w:szCs w:val="20"/>
              </w:rPr>
            </w:pPr>
            <w:r>
              <w:rPr>
                <w:rFonts w:ascii="Arial Narrow" w:eastAsia="Calibri" w:hAnsi="Arial Narrow"/>
                <w:snapToGrid/>
                <w:sz w:val="20"/>
                <w:szCs w:val="20"/>
              </w:rPr>
              <w:lastRenderedPageBreak/>
              <w:t>Name, Restriction,</w:t>
            </w:r>
          </w:p>
          <w:p w:rsidR="00516A59" w:rsidRDefault="007D3F6A">
            <w:pPr>
              <w:keepLines/>
              <w:widowControl/>
              <w:ind w:left="-108"/>
              <w:rPr>
                <w:rFonts w:ascii="Arial Narrow" w:eastAsia="Calibri" w:hAnsi="Arial Narrow"/>
                <w:snapToGrid/>
                <w:sz w:val="20"/>
                <w:szCs w:val="20"/>
              </w:rPr>
            </w:pPr>
            <w:r>
              <w:rPr>
                <w:rFonts w:ascii="Arial Narrow" w:eastAsia="Calibri" w:hAnsi="Arial Narrow"/>
                <w:snapToGrid/>
                <w:sz w:val="20"/>
                <w:szCs w:val="20"/>
              </w:rPr>
              <w:t>Manner of administration and form</w:t>
            </w:r>
          </w:p>
        </w:tc>
        <w:tc>
          <w:tcPr>
            <w:tcW w:w="959" w:type="dxa"/>
            <w:tcBorders>
              <w:bottom w:val="single" w:sz="4" w:space="0" w:color="auto"/>
            </w:tcBorders>
          </w:tcPr>
          <w:p w:rsidR="00516A59" w:rsidRDefault="007D3F6A">
            <w:pPr>
              <w:keepLines/>
              <w:widowControl/>
              <w:ind w:left="-108"/>
              <w:rPr>
                <w:rFonts w:ascii="Arial Narrow" w:eastAsia="Calibri" w:hAnsi="Arial Narrow"/>
                <w:snapToGrid/>
                <w:sz w:val="20"/>
                <w:szCs w:val="20"/>
              </w:rPr>
            </w:pPr>
            <w:r>
              <w:rPr>
                <w:rFonts w:ascii="Arial Narrow" w:eastAsia="Calibri" w:hAnsi="Arial Narrow"/>
                <w:snapToGrid/>
                <w:sz w:val="20"/>
                <w:szCs w:val="20"/>
              </w:rPr>
              <w:t>Max.</w:t>
            </w:r>
          </w:p>
          <w:p w:rsidR="00516A59" w:rsidRDefault="007D3F6A">
            <w:pPr>
              <w:keepLines/>
              <w:widowControl/>
              <w:ind w:left="-108"/>
              <w:rPr>
                <w:rFonts w:ascii="Arial Narrow" w:eastAsia="Calibri" w:hAnsi="Arial Narrow"/>
                <w:snapToGrid/>
                <w:sz w:val="20"/>
                <w:szCs w:val="20"/>
              </w:rPr>
            </w:pPr>
            <w:r>
              <w:rPr>
                <w:rFonts w:ascii="Arial Narrow" w:eastAsia="Calibri" w:hAnsi="Arial Narrow"/>
                <w:snapToGrid/>
                <w:sz w:val="20"/>
                <w:szCs w:val="20"/>
              </w:rPr>
              <w:t>Amt</w:t>
            </w:r>
          </w:p>
        </w:tc>
        <w:tc>
          <w:tcPr>
            <w:tcW w:w="850" w:type="dxa"/>
            <w:tcBorders>
              <w:bottom w:val="single" w:sz="4" w:space="0" w:color="auto"/>
            </w:tcBorders>
          </w:tcPr>
          <w:p w:rsidR="00516A59" w:rsidRDefault="007D3F6A">
            <w:pPr>
              <w:keepLines/>
              <w:widowControl/>
              <w:ind w:left="-108"/>
              <w:rPr>
                <w:rFonts w:ascii="Arial Narrow" w:eastAsia="Calibri" w:hAnsi="Arial Narrow"/>
                <w:snapToGrid/>
                <w:sz w:val="20"/>
                <w:szCs w:val="20"/>
              </w:rPr>
            </w:pPr>
            <w:r>
              <w:rPr>
                <w:rFonts w:ascii="Arial Narrow" w:eastAsia="Calibri" w:hAnsi="Arial Narrow"/>
                <w:snapToGrid/>
                <w:sz w:val="20"/>
                <w:szCs w:val="20"/>
              </w:rPr>
              <w:t>№.of</w:t>
            </w:r>
          </w:p>
          <w:p w:rsidR="00516A59" w:rsidRDefault="007D3F6A">
            <w:pPr>
              <w:keepLines/>
              <w:widowControl/>
              <w:ind w:left="-108"/>
              <w:rPr>
                <w:rFonts w:ascii="Arial Narrow" w:eastAsia="Calibri" w:hAnsi="Arial Narrow"/>
                <w:snapToGrid/>
                <w:sz w:val="20"/>
                <w:szCs w:val="20"/>
              </w:rPr>
            </w:pPr>
            <w:r>
              <w:rPr>
                <w:rFonts w:ascii="Arial Narrow" w:eastAsia="Calibri" w:hAnsi="Arial Narrow"/>
                <w:snapToGrid/>
                <w:sz w:val="20"/>
                <w:szCs w:val="20"/>
              </w:rPr>
              <w:t>Rpts</w:t>
            </w:r>
          </w:p>
        </w:tc>
        <w:tc>
          <w:tcPr>
            <w:tcW w:w="2835" w:type="dxa"/>
            <w:gridSpan w:val="2"/>
            <w:tcBorders>
              <w:bottom w:val="single" w:sz="4" w:space="0" w:color="auto"/>
            </w:tcBorders>
          </w:tcPr>
          <w:p w:rsidR="00516A59" w:rsidRDefault="007D3F6A">
            <w:pPr>
              <w:keepLines/>
              <w:widowControl/>
              <w:rPr>
                <w:rFonts w:ascii="Arial Narrow" w:eastAsia="Calibri" w:hAnsi="Arial Narrow"/>
                <w:snapToGrid/>
                <w:sz w:val="20"/>
                <w:szCs w:val="20"/>
                <w:lang w:val="fr-FR"/>
              </w:rPr>
            </w:pPr>
            <w:r>
              <w:rPr>
                <w:rFonts w:ascii="Arial Narrow" w:eastAsia="Calibri" w:hAnsi="Arial Narrow"/>
                <w:snapToGrid/>
                <w:sz w:val="20"/>
                <w:szCs w:val="20"/>
              </w:rPr>
              <w:t>Proprietary Name and Manufacturer</w:t>
            </w:r>
          </w:p>
        </w:tc>
      </w:tr>
      <w:tr w:rsidR="00516A59">
        <w:trPr>
          <w:gridAfter w:val="1"/>
          <w:wAfter w:w="1701" w:type="dxa"/>
          <w:cantSplit/>
          <w:trHeight w:val="20"/>
        </w:trPr>
        <w:tc>
          <w:tcPr>
            <w:tcW w:w="2869" w:type="dxa"/>
            <w:gridSpan w:val="2"/>
          </w:tcPr>
          <w:p w:rsidR="00516A59" w:rsidRDefault="007D3F6A">
            <w:pPr>
              <w:keepLines/>
              <w:widowControl/>
              <w:ind w:left="-108"/>
              <w:rPr>
                <w:rFonts w:ascii="Arial Narrow" w:eastAsia="Calibri" w:hAnsi="Arial Narrow"/>
                <w:snapToGrid/>
                <w:sz w:val="20"/>
                <w:szCs w:val="20"/>
              </w:rPr>
            </w:pPr>
            <w:r>
              <w:rPr>
                <w:rFonts w:ascii="Arial Narrow" w:eastAsia="Calibri" w:hAnsi="Arial Narrow"/>
                <w:smallCaps/>
                <w:snapToGrid/>
                <w:sz w:val="20"/>
                <w:szCs w:val="20"/>
              </w:rPr>
              <w:t>Pembrolizumab</w:t>
            </w:r>
          </w:p>
          <w:p w:rsidR="00516A59" w:rsidRDefault="007D3F6A">
            <w:pPr>
              <w:keepLines/>
              <w:widowControl/>
              <w:ind w:left="-108"/>
              <w:rPr>
                <w:rFonts w:ascii="Arial Narrow" w:eastAsia="Calibri" w:hAnsi="Arial Narrow"/>
                <w:snapToGrid/>
                <w:color w:val="FF0000"/>
                <w:sz w:val="20"/>
                <w:szCs w:val="20"/>
              </w:rPr>
            </w:pPr>
            <w:r>
              <w:rPr>
                <w:rFonts w:ascii="Arial Narrow" w:eastAsia="Calibri" w:hAnsi="Arial Narrow"/>
                <w:snapToGrid/>
                <w:sz w:val="20"/>
                <w:szCs w:val="20"/>
              </w:rPr>
              <w:t>100 mg/4 mL injection, 4 mL vial</w:t>
            </w:r>
          </w:p>
        </w:tc>
        <w:tc>
          <w:tcPr>
            <w:tcW w:w="959" w:type="dxa"/>
          </w:tcPr>
          <w:p w:rsidR="00516A59" w:rsidRDefault="00516A59">
            <w:pPr>
              <w:keepLines/>
              <w:widowControl/>
              <w:ind w:left="-108"/>
              <w:rPr>
                <w:rFonts w:ascii="Arial Narrow" w:eastAsia="Calibri" w:hAnsi="Arial Narrow"/>
                <w:snapToGrid/>
                <w:sz w:val="20"/>
                <w:szCs w:val="20"/>
              </w:rPr>
            </w:pPr>
          </w:p>
          <w:p w:rsidR="00516A59" w:rsidRDefault="007D3F6A">
            <w:pPr>
              <w:keepLines/>
              <w:widowControl/>
              <w:ind w:left="-108"/>
              <w:rPr>
                <w:rFonts w:ascii="Arial Narrow" w:eastAsia="Calibri" w:hAnsi="Arial Narrow"/>
                <w:snapToGrid/>
                <w:sz w:val="20"/>
                <w:szCs w:val="20"/>
              </w:rPr>
            </w:pPr>
            <w:r>
              <w:rPr>
                <w:rFonts w:ascii="Arial Narrow" w:eastAsia="Calibri" w:hAnsi="Arial Narrow"/>
                <w:snapToGrid/>
                <w:sz w:val="20"/>
                <w:szCs w:val="20"/>
              </w:rPr>
              <w:t>200 mg</w:t>
            </w:r>
          </w:p>
        </w:tc>
        <w:tc>
          <w:tcPr>
            <w:tcW w:w="850" w:type="dxa"/>
          </w:tcPr>
          <w:p w:rsidR="00516A59" w:rsidRDefault="00516A59">
            <w:pPr>
              <w:keepLines/>
              <w:widowControl/>
              <w:ind w:left="-108"/>
              <w:rPr>
                <w:rFonts w:ascii="Arial Narrow" w:eastAsia="Calibri" w:hAnsi="Arial Narrow"/>
                <w:snapToGrid/>
                <w:sz w:val="20"/>
                <w:szCs w:val="20"/>
              </w:rPr>
            </w:pPr>
          </w:p>
          <w:p w:rsidR="00516A59" w:rsidRDefault="007D3F6A">
            <w:pPr>
              <w:keepLines/>
              <w:widowControl/>
              <w:ind w:left="-108"/>
              <w:rPr>
                <w:rFonts w:ascii="Arial Narrow" w:eastAsia="Calibri" w:hAnsi="Arial Narrow"/>
                <w:snapToGrid/>
                <w:sz w:val="20"/>
                <w:szCs w:val="20"/>
              </w:rPr>
            </w:pPr>
            <w:r>
              <w:rPr>
                <w:rFonts w:ascii="Arial Narrow" w:eastAsia="Calibri" w:hAnsi="Arial Narrow"/>
                <w:snapToGrid/>
                <w:sz w:val="20"/>
                <w:szCs w:val="20"/>
              </w:rPr>
              <w:t>6</w:t>
            </w:r>
          </w:p>
        </w:tc>
        <w:tc>
          <w:tcPr>
            <w:tcW w:w="1559" w:type="dxa"/>
          </w:tcPr>
          <w:p w:rsidR="00516A59" w:rsidRDefault="00516A59">
            <w:pPr>
              <w:keepLines/>
              <w:widowControl/>
              <w:rPr>
                <w:rFonts w:ascii="Arial Narrow" w:eastAsia="Calibri" w:hAnsi="Arial Narrow"/>
                <w:snapToGrid/>
                <w:sz w:val="20"/>
                <w:szCs w:val="20"/>
              </w:rPr>
            </w:pPr>
          </w:p>
          <w:p w:rsidR="00516A59" w:rsidRDefault="007D3F6A">
            <w:pPr>
              <w:keepLines/>
              <w:widowControl/>
              <w:rPr>
                <w:rFonts w:ascii="Arial Narrow" w:eastAsia="Calibri" w:hAnsi="Arial Narrow"/>
                <w:snapToGrid/>
                <w:sz w:val="20"/>
                <w:szCs w:val="20"/>
              </w:rPr>
            </w:pPr>
            <w:r>
              <w:rPr>
                <w:rFonts w:ascii="Arial Narrow" w:eastAsia="Calibri" w:hAnsi="Arial Narrow"/>
                <w:snapToGrid/>
                <w:sz w:val="20"/>
                <w:szCs w:val="20"/>
              </w:rPr>
              <w:t>Keytruda®</w:t>
            </w:r>
          </w:p>
        </w:tc>
        <w:tc>
          <w:tcPr>
            <w:tcW w:w="1276" w:type="dxa"/>
          </w:tcPr>
          <w:p w:rsidR="00516A59" w:rsidRDefault="00516A59">
            <w:pPr>
              <w:keepLines/>
              <w:widowControl/>
              <w:rPr>
                <w:rFonts w:ascii="Arial Narrow" w:eastAsia="Calibri" w:hAnsi="Arial Narrow"/>
                <w:snapToGrid/>
                <w:sz w:val="20"/>
                <w:szCs w:val="20"/>
              </w:rPr>
            </w:pPr>
          </w:p>
          <w:p w:rsidR="00516A59" w:rsidRDefault="007D3F6A">
            <w:pPr>
              <w:keepLines/>
              <w:widowControl/>
              <w:rPr>
                <w:rFonts w:ascii="Arial Narrow" w:eastAsia="Calibri" w:hAnsi="Arial Narrow"/>
                <w:snapToGrid/>
                <w:sz w:val="20"/>
                <w:szCs w:val="20"/>
              </w:rPr>
            </w:pPr>
            <w:r>
              <w:rPr>
                <w:rFonts w:ascii="Arial Narrow" w:eastAsia="Calibri" w:hAnsi="Arial Narrow"/>
                <w:snapToGrid/>
                <w:sz w:val="20"/>
                <w:szCs w:val="20"/>
              </w:rPr>
              <w:t>MK</w:t>
            </w:r>
          </w:p>
        </w:tc>
      </w:tr>
      <w:tr w:rsidR="00516A59">
        <w:trPr>
          <w:cantSplit/>
          <w:trHeight w:val="20"/>
        </w:trPr>
        <w:tc>
          <w:tcPr>
            <w:tcW w:w="9214" w:type="dxa"/>
            <w:gridSpan w:val="7"/>
            <w:tcBorders>
              <w:bottom w:val="single" w:sz="4" w:space="0" w:color="auto"/>
            </w:tcBorders>
          </w:tcPr>
          <w:p w:rsidR="00516A59" w:rsidRDefault="00516A59">
            <w:pPr>
              <w:keepLines/>
              <w:widowControl/>
              <w:rPr>
                <w:rFonts w:ascii="Arial Narrow" w:eastAsia="Calibri" w:hAnsi="Arial Narrow"/>
                <w:snapToGrid/>
                <w:sz w:val="20"/>
                <w:szCs w:val="20"/>
              </w:rPr>
            </w:pP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Lines/>
              <w:widowControl/>
              <w:rPr>
                <w:rFonts w:ascii="Arial Narrow" w:eastAsia="Calibri" w:hAnsi="Arial Narrow"/>
                <w:b/>
                <w:snapToGrid/>
                <w:sz w:val="20"/>
                <w:szCs w:val="20"/>
              </w:rPr>
            </w:pPr>
            <w:r>
              <w:rPr>
                <w:rFonts w:ascii="Arial Narrow" w:eastAsia="Calibri" w:hAnsi="Arial Narrow"/>
                <w:b/>
                <w:snapToGrid/>
                <w:sz w:val="20"/>
                <w:szCs w:val="20"/>
              </w:rPr>
              <w:t>Category / Program:</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 xml:space="preserve">Section 100 – Efficient Funding of Chemotherapy </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Lines/>
              <w:widowControl/>
              <w:rPr>
                <w:rFonts w:ascii="Arial Narrow" w:eastAsia="Calibri" w:hAnsi="Arial Narrow"/>
                <w:b/>
                <w:snapToGrid/>
                <w:sz w:val="20"/>
                <w:szCs w:val="20"/>
              </w:rPr>
            </w:pPr>
            <w:r>
              <w:rPr>
                <w:rFonts w:ascii="Arial Narrow" w:eastAsia="Calibri" w:hAnsi="Arial Narrow"/>
                <w:b/>
                <w:snapToGrid/>
                <w:sz w:val="20"/>
                <w:szCs w:val="20"/>
              </w:rPr>
              <w:t>Prescriber type:</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fldChar w:fldCharType="begin">
                <w:ffData>
                  <w:name w:val="Check1"/>
                  <w:enabled/>
                  <w:calcOnExit w:val="0"/>
                  <w:checkBox>
                    <w:sizeAuto/>
                    <w:default w:val="0"/>
                  </w:checkBox>
                </w:ffData>
              </w:fldChar>
            </w:r>
            <w:r>
              <w:rPr>
                <w:rFonts w:ascii="Arial Narrow" w:eastAsia="Calibri" w:hAnsi="Arial Narrow"/>
                <w:snapToGrid/>
                <w:sz w:val="20"/>
                <w:szCs w:val="20"/>
              </w:rPr>
              <w:instrText xml:space="preserve"> FORMCHECKBOX </w:instrText>
            </w:r>
            <w:r w:rsidR="00CE6F54">
              <w:rPr>
                <w:rFonts w:ascii="Arial Narrow" w:eastAsia="Calibri" w:hAnsi="Arial Narrow"/>
                <w:snapToGrid/>
                <w:sz w:val="20"/>
                <w:szCs w:val="20"/>
              </w:rPr>
            </w:r>
            <w:r w:rsidR="00CE6F54">
              <w:rPr>
                <w:rFonts w:ascii="Arial Narrow" w:eastAsia="Calibri" w:hAnsi="Arial Narrow"/>
                <w:snapToGrid/>
                <w:sz w:val="20"/>
                <w:szCs w:val="20"/>
              </w:rPr>
              <w:fldChar w:fldCharType="separate"/>
            </w:r>
            <w:r>
              <w:rPr>
                <w:rFonts w:ascii="Arial Narrow" w:eastAsia="Calibri" w:hAnsi="Arial Narrow"/>
                <w:snapToGrid/>
                <w:sz w:val="20"/>
                <w:szCs w:val="20"/>
              </w:rPr>
              <w:fldChar w:fldCharType="end"/>
            </w:r>
            <w:r>
              <w:rPr>
                <w:rFonts w:ascii="Arial Narrow" w:eastAsia="Calibri" w:hAnsi="Arial Narrow"/>
                <w:snapToGrid/>
                <w:sz w:val="20"/>
                <w:szCs w:val="20"/>
              </w:rPr>
              <w:t xml:space="preserve">Dental  </w:t>
            </w:r>
            <w:r>
              <w:rPr>
                <w:rFonts w:ascii="Arial Narrow" w:eastAsia="Calibri" w:hAnsi="Arial Narrow"/>
                <w:snapToGrid/>
                <w:sz w:val="20"/>
                <w:szCs w:val="20"/>
              </w:rPr>
              <w:fldChar w:fldCharType="begin">
                <w:ffData>
                  <w:name w:val=""/>
                  <w:enabled/>
                  <w:calcOnExit w:val="0"/>
                  <w:checkBox>
                    <w:sizeAuto/>
                    <w:default w:val="1"/>
                  </w:checkBox>
                </w:ffData>
              </w:fldChar>
            </w:r>
            <w:r>
              <w:rPr>
                <w:rFonts w:ascii="Arial Narrow" w:eastAsia="Calibri" w:hAnsi="Arial Narrow"/>
                <w:snapToGrid/>
                <w:sz w:val="20"/>
                <w:szCs w:val="20"/>
              </w:rPr>
              <w:instrText xml:space="preserve"> FORMCHECKBOX </w:instrText>
            </w:r>
            <w:r w:rsidR="00CE6F54">
              <w:rPr>
                <w:rFonts w:ascii="Arial Narrow" w:eastAsia="Calibri" w:hAnsi="Arial Narrow"/>
                <w:snapToGrid/>
                <w:sz w:val="20"/>
                <w:szCs w:val="20"/>
              </w:rPr>
            </w:r>
            <w:r w:rsidR="00CE6F54">
              <w:rPr>
                <w:rFonts w:ascii="Arial Narrow" w:eastAsia="Calibri" w:hAnsi="Arial Narrow"/>
                <w:snapToGrid/>
                <w:sz w:val="20"/>
                <w:szCs w:val="20"/>
              </w:rPr>
              <w:fldChar w:fldCharType="separate"/>
            </w:r>
            <w:r>
              <w:rPr>
                <w:rFonts w:ascii="Arial Narrow" w:eastAsia="Calibri" w:hAnsi="Arial Narrow"/>
                <w:snapToGrid/>
                <w:sz w:val="20"/>
                <w:szCs w:val="20"/>
              </w:rPr>
              <w:fldChar w:fldCharType="end"/>
            </w:r>
            <w:r>
              <w:rPr>
                <w:rFonts w:ascii="Arial Narrow" w:eastAsia="Calibri" w:hAnsi="Arial Narrow"/>
                <w:snapToGrid/>
                <w:sz w:val="20"/>
                <w:szCs w:val="20"/>
              </w:rPr>
              <w:t xml:space="preserve">Medical Practitioners  </w:t>
            </w:r>
            <w:r>
              <w:rPr>
                <w:rFonts w:ascii="Arial Narrow" w:eastAsia="Calibri" w:hAnsi="Arial Narrow"/>
                <w:snapToGrid/>
                <w:sz w:val="20"/>
                <w:szCs w:val="20"/>
              </w:rPr>
              <w:fldChar w:fldCharType="begin">
                <w:ffData>
                  <w:name w:val="Check3"/>
                  <w:enabled/>
                  <w:calcOnExit w:val="0"/>
                  <w:checkBox>
                    <w:sizeAuto/>
                    <w:default w:val="0"/>
                  </w:checkBox>
                </w:ffData>
              </w:fldChar>
            </w:r>
            <w:r>
              <w:rPr>
                <w:rFonts w:ascii="Arial Narrow" w:eastAsia="Calibri" w:hAnsi="Arial Narrow"/>
                <w:snapToGrid/>
                <w:sz w:val="20"/>
                <w:szCs w:val="20"/>
              </w:rPr>
              <w:instrText xml:space="preserve"> FORMCHECKBOX </w:instrText>
            </w:r>
            <w:r w:rsidR="00CE6F54">
              <w:rPr>
                <w:rFonts w:ascii="Arial Narrow" w:eastAsia="Calibri" w:hAnsi="Arial Narrow"/>
                <w:snapToGrid/>
                <w:sz w:val="20"/>
                <w:szCs w:val="20"/>
              </w:rPr>
            </w:r>
            <w:r w:rsidR="00CE6F54">
              <w:rPr>
                <w:rFonts w:ascii="Arial Narrow" w:eastAsia="Calibri" w:hAnsi="Arial Narrow"/>
                <w:snapToGrid/>
                <w:sz w:val="20"/>
                <w:szCs w:val="20"/>
              </w:rPr>
              <w:fldChar w:fldCharType="separate"/>
            </w:r>
            <w:r>
              <w:rPr>
                <w:rFonts w:ascii="Arial Narrow" w:eastAsia="Calibri" w:hAnsi="Arial Narrow"/>
                <w:snapToGrid/>
                <w:sz w:val="20"/>
                <w:szCs w:val="20"/>
              </w:rPr>
              <w:fldChar w:fldCharType="end"/>
            </w:r>
            <w:r>
              <w:rPr>
                <w:rFonts w:ascii="Arial Narrow" w:eastAsia="Calibri" w:hAnsi="Arial Narrow"/>
                <w:snapToGrid/>
                <w:sz w:val="20"/>
                <w:szCs w:val="20"/>
              </w:rPr>
              <w:t xml:space="preserve">Nurse practitioners  </w:t>
            </w:r>
            <w:r>
              <w:rPr>
                <w:rFonts w:ascii="Arial Narrow" w:eastAsia="Calibri" w:hAnsi="Arial Narrow"/>
                <w:snapToGrid/>
                <w:sz w:val="20"/>
                <w:szCs w:val="20"/>
              </w:rPr>
              <w:fldChar w:fldCharType="begin">
                <w:ffData>
                  <w:name w:val=""/>
                  <w:enabled/>
                  <w:calcOnExit w:val="0"/>
                  <w:checkBox>
                    <w:sizeAuto/>
                    <w:default w:val="0"/>
                  </w:checkBox>
                </w:ffData>
              </w:fldChar>
            </w:r>
            <w:r>
              <w:rPr>
                <w:rFonts w:ascii="Arial Narrow" w:eastAsia="Calibri" w:hAnsi="Arial Narrow"/>
                <w:snapToGrid/>
                <w:sz w:val="20"/>
                <w:szCs w:val="20"/>
              </w:rPr>
              <w:instrText xml:space="preserve"> FORMCHECKBOX </w:instrText>
            </w:r>
            <w:r w:rsidR="00CE6F54">
              <w:rPr>
                <w:rFonts w:ascii="Arial Narrow" w:eastAsia="Calibri" w:hAnsi="Arial Narrow"/>
                <w:snapToGrid/>
                <w:sz w:val="20"/>
                <w:szCs w:val="20"/>
              </w:rPr>
            </w:r>
            <w:r w:rsidR="00CE6F54">
              <w:rPr>
                <w:rFonts w:ascii="Arial Narrow" w:eastAsia="Calibri" w:hAnsi="Arial Narrow"/>
                <w:snapToGrid/>
                <w:sz w:val="20"/>
                <w:szCs w:val="20"/>
              </w:rPr>
              <w:fldChar w:fldCharType="separate"/>
            </w:r>
            <w:r>
              <w:rPr>
                <w:rFonts w:ascii="Arial Narrow" w:eastAsia="Calibri" w:hAnsi="Arial Narrow"/>
                <w:snapToGrid/>
                <w:sz w:val="20"/>
                <w:szCs w:val="20"/>
              </w:rPr>
              <w:fldChar w:fldCharType="end"/>
            </w:r>
            <w:r>
              <w:rPr>
                <w:rFonts w:ascii="Arial Narrow" w:eastAsia="Calibri" w:hAnsi="Arial Narrow"/>
                <w:snapToGrid/>
                <w:sz w:val="20"/>
                <w:szCs w:val="20"/>
              </w:rPr>
              <w:t xml:space="preserve">Optometrists </w:t>
            </w:r>
            <w:r>
              <w:rPr>
                <w:rFonts w:ascii="Arial Narrow" w:eastAsia="Calibri" w:hAnsi="Arial Narrow"/>
                <w:snapToGrid/>
                <w:sz w:val="20"/>
                <w:szCs w:val="20"/>
              </w:rPr>
              <w:fldChar w:fldCharType="begin">
                <w:ffData>
                  <w:name w:val="Check5"/>
                  <w:enabled/>
                  <w:calcOnExit w:val="0"/>
                  <w:checkBox>
                    <w:sizeAuto/>
                    <w:default w:val="0"/>
                  </w:checkBox>
                </w:ffData>
              </w:fldChar>
            </w:r>
            <w:r>
              <w:rPr>
                <w:rFonts w:ascii="Arial Narrow" w:eastAsia="Calibri" w:hAnsi="Arial Narrow"/>
                <w:snapToGrid/>
                <w:sz w:val="20"/>
                <w:szCs w:val="20"/>
              </w:rPr>
              <w:instrText xml:space="preserve"> FORMCHECKBOX </w:instrText>
            </w:r>
            <w:r w:rsidR="00CE6F54">
              <w:rPr>
                <w:rFonts w:ascii="Arial Narrow" w:eastAsia="Calibri" w:hAnsi="Arial Narrow"/>
                <w:snapToGrid/>
                <w:sz w:val="20"/>
                <w:szCs w:val="20"/>
              </w:rPr>
            </w:r>
            <w:r w:rsidR="00CE6F54">
              <w:rPr>
                <w:rFonts w:ascii="Arial Narrow" w:eastAsia="Calibri" w:hAnsi="Arial Narrow"/>
                <w:snapToGrid/>
                <w:sz w:val="20"/>
                <w:szCs w:val="20"/>
              </w:rPr>
              <w:fldChar w:fldCharType="separate"/>
            </w:r>
            <w:r>
              <w:rPr>
                <w:rFonts w:ascii="Arial Narrow" w:eastAsia="Calibri" w:hAnsi="Arial Narrow"/>
                <w:snapToGrid/>
                <w:sz w:val="20"/>
                <w:szCs w:val="20"/>
              </w:rPr>
              <w:fldChar w:fldCharType="end"/>
            </w:r>
            <w:r>
              <w:rPr>
                <w:rFonts w:ascii="Arial Narrow" w:eastAsia="Calibri" w:hAnsi="Arial Narrow"/>
                <w:snapToGrid/>
                <w:sz w:val="20"/>
                <w:szCs w:val="20"/>
              </w:rPr>
              <w:t>Midwives</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Lines/>
              <w:widowControl/>
              <w:rPr>
                <w:rFonts w:ascii="Arial Narrow" w:eastAsia="Calibri" w:hAnsi="Arial Narrow"/>
                <w:b/>
                <w:snapToGrid/>
                <w:sz w:val="20"/>
                <w:szCs w:val="20"/>
              </w:rPr>
            </w:pPr>
            <w:r>
              <w:rPr>
                <w:rFonts w:ascii="Arial Narrow" w:eastAsia="Calibri" w:hAnsi="Arial Narrow"/>
                <w:b/>
                <w:snapToGrid/>
                <w:sz w:val="20"/>
                <w:szCs w:val="20"/>
              </w:rPr>
              <w:t>Episodicity:</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Lines/>
              <w:widowControl/>
              <w:rPr>
                <w:rFonts w:ascii="Arial Narrow" w:eastAsia="Calibri" w:hAnsi="Arial Narrow"/>
                <w:b/>
                <w:snapToGrid/>
                <w:sz w:val="20"/>
                <w:szCs w:val="20"/>
              </w:rPr>
            </w:pPr>
            <w:r>
              <w:rPr>
                <w:rFonts w:ascii="Arial Narrow" w:eastAsia="Calibri" w:hAnsi="Arial Narrow"/>
                <w:b/>
                <w:snapToGrid/>
                <w:sz w:val="20"/>
                <w:szCs w:val="20"/>
              </w:rPr>
              <w:t>Severity:</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Stage IV (metastatic)</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Lines/>
              <w:widowControl/>
              <w:rPr>
                <w:rFonts w:ascii="Arial Narrow" w:eastAsia="Calibri" w:hAnsi="Arial Narrow"/>
                <w:b/>
                <w:snapToGrid/>
                <w:sz w:val="20"/>
                <w:szCs w:val="20"/>
              </w:rPr>
            </w:pPr>
            <w:r>
              <w:rPr>
                <w:rFonts w:ascii="Arial Narrow" w:eastAsia="Calibri" w:hAnsi="Arial Narrow"/>
                <w:b/>
                <w:snapToGrid/>
                <w:sz w:val="20"/>
                <w:szCs w:val="20"/>
              </w:rPr>
              <w:t>Condition:</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non-small cell lung cancer</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Lines/>
              <w:widowControl/>
              <w:rPr>
                <w:rFonts w:ascii="Arial Narrow" w:eastAsia="Calibri" w:hAnsi="Arial Narrow"/>
                <w:b/>
                <w:snapToGrid/>
                <w:sz w:val="20"/>
                <w:szCs w:val="20"/>
              </w:rPr>
            </w:pPr>
            <w:r>
              <w:rPr>
                <w:rFonts w:ascii="Arial Narrow" w:eastAsia="Calibri" w:hAnsi="Arial Narrow"/>
                <w:b/>
                <w:snapToGrid/>
                <w:sz w:val="20"/>
                <w:szCs w:val="20"/>
              </w:rPr>
              <w:t>PBS Indication:</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Stage IV (metastatic) non-small cell lung cancer</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Lines/>
              <w:widowControl/>
              <w:rPr>
                <w:rFonts w:ascii="Arial Narrow" w:eastAsia="Calibri" w:hAnsi="Arial Narrow"/>
                <w:b/>
                <w:snapToGrid/>
                <w:sz w:val="20"/>
                <w:szCs w:val="20"/>
              </w:rPr>
            </w:pPr>
            <w:r>
              <w:rPr>
                <w:rFonts w:ascii="Arial Narrow" w:eastAsia="Calibri" w:hAnsi="Arial Narrow"/>
                <w:b/>
                <w:snapToGrid/>
                <w:sz w:val="20"/>
                <w:szCs w:val="20"/>
              </w:rPr>
              <w:t>Treatment phase:</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 xml:space="preserve">Continuing </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Lines/>
              <w:widowControl/>
              <w:rPr>
                <w:rFonts w:ascii="Arial Narrow" w:eastAsia="Calibri" w:hAnsi="Arial Narrow"/>
                <w:b/>
                <w:snapToGrid/>
                <w:sz w:val="20"/>
                <w:szCs w:val="20"/>
              </w:rPr>
            </w:pPr>
            <w:r>
              <w:rPr>
                <w:rFonts w:ascii="Arial Narrow" w:eastAsia="Calibri" w:hAnsi="Arial Narrow"/>
                <w:b/>
                <w:snapToGrid/>
                <w:sz w:val="20"/>
                <w:szCs w:val="20"/>
              </w:rPr>
              <w:t>Restriction Level / Method:</w:t>
            </w:r>
          </w:p>
          <w:p w:rsidR="00516A59" w:rsidRDefault="00516A59">
            <w:pPr>
              <w:keepLines/>
              <w:widowControl/>
              <w:jc w:val="left"/>
              <w:rPr>
                <w:rFonts w:ascii="Arial Narrow" w:eastAsia="Calibri" w:hAnsi="Arial Narrow"/>
                <w:i/>
                <w:snapToGrid/>
                <w:sz w:val="20"/>
                <w:szCs w:val="20"/>
              </w:rPr>
            </w:pPr>
          </w:p>
          <w:p w:rsidR="00516A59" w:rsidRDefault="00516A59">
            <w:pPr>
              <w:keepLines/>
              <w:widowControl/>
              <w:jc w:val="left"/>
              <w:rPr>
                <w:rFonts w:ascii="Arial Narrow" w:eastAsia="Calibri" w:hAnsi="Arial Narrow"/>
                <w:i/>
                <w:snapToGrid/>
                <w:sz w:val="20"/>
                <w:szCs w:val="20"/>
              </w:rPr>
            </w:pPr>
          </w:p>
          <w:p w:rsidR="00516A59" w:rsidRDefault="00516A59">
            <w:pPr>
              <w:keepLines/>
              <w:widowControl/>
              <w:jc w:val="left"/>
              <w:rPr>
                <w:rFonts w:ascii="Arial Narrow" w:eastAsia="Calibri" w:hAnsi="Arial Narrow"/>
                <w:i/>
                <w:snapToGrid/>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fldChar w:fldCharType="begin">
                <w:ffData>
                  <w:name w:val="Check1"/>
                  <w:enabled/>
                  <w:calcOnExit w:val="0"/>
                  <w:checkBox>
                    <w:sizeAuto/>
                    <w:default w:val="0"/>
                  </w:checkBox>
                </w:ffData>
              </w:fldChar>
            </w:r>
            <w:r>
              <w:rPr>
                <w:rFonts w:ascii="Arial Narrow" w:eastAsia="Calibri" w:hAnsi="Arial Narrow"/>
                <w:snapToGrid/>
                <w:sz w:val="20"/>
                <w:szCs w:val="20"/>
              </w:rPr>
              <w:instrText xml:space="preserve"> FORMCHECKBOX </w:instrText>
            </w:r>
            <w:r w:rsidR="00CE6F54">
              <w:rPr>
                <w:rFonts w:ascii="Arial Narrow" w:eastAsia="Calibri" w:hAnsi="Arial Narrow"/>
                <w:snapToGrid/>
                <w:sz w:val="20"/>
                <w:szCs w:val="20"/>
              </w:rPr>
            </w:r>
            <w:r w:rsidR="00CE6F54">
              <w:rPr>
                <w:rFonts w:ascii="Arial Narrow" w:eastAsia="Calibri" w:hAnsi="Arial Narrow"/>
                <w:snapToGrid/>
                <w:sz w:val="20"/>
                <w:szCs w:val="20"/>
              </w:rPr>
              <w:fldChar w:fldCharType="separate"/>
            </w:r>
            <w:r>
              <w:rPr>
                <w:rFonts w:ascii="Arial Narrow" w:eastAsia="Calibri" w:hAnsi="Arial Narrow"/>
                <w:snapToGrid/>
                <w:sz w:val="20"/>
                <w:szCs w:val="20"/>
              </w:rPr>
              <w:fldChar w:fldCharType="end"/>
            </w:r>
            <w:r>
              <w:rPr>
                <w:rFonts w:ascii="Arial Narrow" w:eastAsia="Calibri" w:hAnsi="Arial Narrow"/>
                <w:snapToGrid/>
                <w:sz w:val="20"/>
                <w:szCs w:val="20"/>
              </w:rPr>
              <w:t>Restricted benefit</w:t>
            </w:r>
          </w:p>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fldChar w:fldCharType="begin">
                <w:ffData>
                  <w:name w:val=""/>
                  <w:enabled/>
                  <w:calcOnExit w:val="0"/>
                  <w:checkBox>
                    <w:sizeAuto/>
                    <w:default w:val="0"/>
                  </w:checkBox>
                </w:ffData>
              </w:fldChar>
            </w:r>
            <w:r>
              <w:rPr>
                <w:rFonts w:ascii="Arial Narrow" w:eastAsia="Calibri" w:hAnsi="Arial Narrow"/>
                <w:snapToGrid/>
                <w:sz w:val="20"/>
                <w:szCs w:val="20"/>
              </w:rPr>
              <w:instrText xml:space="preserve"> FORMCHECKBOX </w:instrText>
            </w:r>
            <w:r w:rsidR="00CE6F54">
              <w:rPr>
                <w:rFonts w:ascii="Arial Narrow" w:eastAsia="Calibri" w:hAnsi="Arial Narrow"/>
                <w:snapToGrid/>
                <w:sz w:val="20"/>
                <w:szCs w:val="20"/>
              </w:rPr>
            </w:r>
            <w:r w:rsidR="00CE6F54">
              <w:rPr>
                <w:rFonts w:ascii="Arial Narrow" w:eastAsia="Calibri" w:hAnsi="Arial Narrow"/>
                <w:snapToGrid/>
                <w:sz w:val="20"/>
                <w:szCs w:val="20"/>
              </w:rPr>
              <w:fldChar w:fldCharType="separate"/>
            </w:r>
            <w:r>
              <w:rPr>
                <w:rFonts w:ascii="Arial Narrow" w:eastAsia="Calibri" w:hAnsi="Arial Narrow"/>
                <w:snapToGrid/>
                <w:sz w:val="20"/>
                <w:szCs w:val="20"/>
              </w:rPr>
              <w:fldChar w:fldCharType="end"/>
            </w:r>
            <w:r>
              <w:rPr>
                <w:rFonts w:ascii="Arial Narrow" w:eastAsia="Calibri" w:hAnsi="Arial Narrow"/>
                <w:snapToGrid/>
                <w:sz w:val="20"/>
                <w:szCs w:val="20"/>
              </w:rPr>
              <w:t>Authority Required – In Writing</w:t>
            </w:r>
          </w:p>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fldChar w:fldCharType="begin">
                <w:ffData>
                  <w:name w:val="Check3"/>
                  <w:enabled/>
                  <w:calcOnExit w:val="0"/>
                  <w:checkBox>
                    <w:sizeAuto/>
                    <w:default w:val="0"/>
                  </w:checkBox>
                </w:ffData>
              </w:fldChar>
            </w:r>
            <w:r>
              <w:rPr>
                <w:rFonts w:ascii="Arial Narrow" w:eastAsia="Calibri" w:hAnsi="Arial Narrow"/>
                <w:snapToGrid/>
                <w:sz w:val="20"/>
                <w:szCs w:val="20"/>
              </w:rPr>
              <w:instrText xml:space="preserve"> FORMCHECKBOX </w:instrText>
            </w:r>
            <w:r w:rsidR="00CE6F54">
              <w:rPr>
                <w:rFonts w:ascii="Arial Narrow" w:eastAsia="Calibri" w:hAnsi="Arial Narrow"/>
                <w:snapToGrid/>
                <w:sz w:val="20"/>
                <w:szCs w:val="20"/>
              </w:rPr>
            </w:r>
            <w:r w:rsidR="00CE6F54">
              <w:rPr>
                <w:rFonts w:ascii="Arial Narrow" w:eastAsia="Calibri" w:hAnsi="Arial Narrow"/>
                <w:snapToGrid/>
                <w:sz w:val="20"/>
                <w:szCs w:val="20"/>
              </w:rPr>
              <w:fldChar w:fldCharType="separate"/>
            </w:r>
            <w:r>
              <w:rPr>
                <w:rFonts w:ascii="Arial Narrow" w:eastAsia="Calibri" w:hAnsi="Arial Narrow"/>
                <w:snapToGrid/>
                <w:sz w:val="20"/>
                <w:szCs w:val="20"/>
              </w:rPr>
              <w:fldChar w:fldCharType="end"/>
            </w:r>
            <w:r>
              <w:rPr>
                <w:rFonts w:ascii="Arial Narrow" w:eastAsia="Calibri" w:hAnsi="Arial Narrow"/>
                <w:snapToGrid/>
                <w:sz w:val="20"/>
                <w:szCs w:val="20"/>
              </w:rPr>
              <w:t>Authority Required – Telephone/Electronic/Emergency</w:t>
            </w:r>
          </w:p>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fldChar w:fldCharType="begin">
                <w:ffData>
                  <w:name w:val="Check5"/>
                  <w:enabled/>
                  <w:calcOnExit w:val="0"/>
                  <w:checkBox>
                    <w:sizeAuto/>
                    <w:default w:val="1"/>
                  </w:checkBox>
                </w:ffData>
              </w:fldChar>
            </w:r>
            <w:r>
              <w:rPr>
                <w:rFonts w:ascii="Arial Narrow" w:eastAsia="Calibri" w:hAnsi="Arial Narrow"/>
                <w:snapToGrid/>
                <w:sz w:val="20"/>
                <w:szCs w:val="20"/>
              </w:rPr>
              <w:instrText xml:space="preserve"> FORMCHECKBOX </w:instrText>
            </w:r>
            <w:r w:rsidR="00CE6F54">
              <w:rPr>
                <w:rFonts w:ascii="Arial Narrow" w:eastAsia="Calibri" w:hAnsi="Arial Narrow"/>
                <w:snapToGrid/>
                <w:sz w:val="20"/>
                <w:szCs w:val="20"/>
              </w:rPr>
            </w:r>
            <w:r w:rsidR="00CE6F54">
              <w:rPr>
                <w:rFonts w:ascii="Arial Narrow" w:eastAsia="Calibri" w:hAnsi="Arial Narrow"/>
                <w:snapToGrid/>
                <w:sz w:val="20"/>
                <w:szCs w:val="20"/>
              </w:rPr>
              <w:fldChar w:fldCharType="separate"/>
            </w:r>
            <w:r>
              <w:rPr>
                <w:rFonts w:ascii="Arial Narrow" w:eastAsia="Calibri" w:hAnsi="Arial Narrow"/>
                <w:snapToGrid/>
                <w:sz w:val="20"/>
                <w:szCs w:val="20"/>
              </w:rPr>
              <w:fldChar w:fldCharType="end"/>
            </w:r>
            <w:r>
              <w:rPr>
                <w:rFonts w:ascii="Arial Narrow" w:eastAsia="Calibri" w:hAnsi="Arial Narrow"/>
                <w:snapToGrid/>
                <w:sz w:val="20"/>
                <w:szCs w:val="20"/>
              </w:rPr>
              <w:t>Streamlined</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Lines/>
              <w:widowControl/>
              <w:jc w:val="left"/>
              <w:rPr>
                <w:rFonts w:ascii="Arial Narrow" w:eastAsia="Calibri" w:hAnsi="Arial Narrow"/>
                <w:b/>
                <w:snapToGrid/>
                <w:sz w:val="20"/>
                <w:szCs w:val="20"/>
              </w:rPr>
            </w:pPr>
            <w:r>
              <w:rPr>
                <w:rFonts w:ascii="Arial Narrow" w:eastAsia="Calibri" w:hAnsi="Arial Narrow"/>
                <w:b/>
                <w:snapToGrid/>
                <w:sz w:val="20"/>
                <w:szCs w:val="20"/>
              </w:rPr>
              <w:t>Treatment criteria:</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Lines/>
              <w:widowControl/>
              <w:rPr>
                <w:rFonts w:ascii="Arial Narrow" w:eastAsia="Calibri" w:hAnsi="Arial Narrow"/>
                <w:b/>
                <w:snapToGrid/>
                <w:sz w:val="20"/>
                <w:szCs w:val="20"/>
              </w:rPr>
            </w:pPr>
            <w:r>
              <w:rPr>
                <w:rFonts w:ascii="Arial Narrow" w:eastAsia="Calibri" w:hAnsi="Arial Narrow"/>
                <w:b/>
                <w:snapToGrid/>
                <w:sz w:val="20"/>
                <w:szCs w:val="20"/>
              </w:rPr>
              <w:t>Clinical criteria:</w:t>
            </w:r>
          </w:p>
          <w:p w:rsidR="00516A59" w:rsidRDefault="00516A59">
            <w:pPr>
              <w:keepLines/>
              <w:widowControl/>
              <w:rPr>
                <w:rFonts w:ascii="Arial Narrow" w:eastAsia="Calibri" w:hAnsi="Arial Narrow"/>
                <w:b/>
                <w:snapToGrid/>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Lines/>
              <w:widowControl/>
              <w:jc w:val="left"/>
              <w:rPr>
                <w:rFonts w:ascii="Arial Narrow" w:eastAsia="Calibri" w:hAnsi="Arial Narrow"/>
                <w:strike/>
                <w:snapToGrid/>
                <w:sz w:val="20"/>
                <w:szCs w:val="20"/>
              </w:rPr>
            </w:pPr>
            <w:r>
              <w:rPr>
                <w:rFonts w:ascii="Arial Narrow" w:eastAsia="Calibri" w:hAnsi="Arial Narrow"/>
                <w:snapToGrid/>
                <w:sz w:val="20"/>
                <w:szCs w:val="20"/>
              </w:rPr>
              <w:t>Patient must have previously received PBS-subsidised treatment with this drug for this condition</w:t>
            </w:r>
          </w:p>
          <w:p w:rsidR="00516A59" w:rsidRDefault="007D3F6A">
            <w:pPr>
              <w:keepLines/>
              <w:widowControl/>
              <w:tabs>
                <w:tab w:val="left" w:pos="2055"/>
              </w:tabs>
              <w:jc w:val="left"/>
              <w:rPr>
                <w:rFonts w:ascii="Arial Narrow" w:eastAsia="Calibri" w:hAnsi="Arial Narrow"/>
                <w:snapToGrid/>
                <w:sz w:val="20"/>
                <w:szCs w:val="20"/>
              </w:rPr>
            </w:pPr>
            <w:r>
              <w:rPr>
                <w:rFonts w:ascii="Arial Narrow" w:eastAsia="Calibri" w:hAnsi="Arial Narrow"/>
                <w:snapToGrid/>
                <w:sz w:val="20"/>
                <w:szCs w:val="20"/>
              </w:rPr>
              <w:t>AND</w:t>
            </w:r>
            <w:r>
              <w:rPr>
                <w:rFonts w:ascii="Arial Narrow" w:eastAsia="Calibri" w:hAnsi="Arial Narrow"/>
                <w:snapToGrid/>
                <w:sz w:val="20"/>
                <w:szCs w:val="20"/>
              </w:rPr>
              <w:tab/>
            </w:r>
          </w:p>
          <w:p w:rsidR="00516A59" w:rsidRDefault="007D3F6A">
            <w:pPr>
              <w:keepLines/>
              <w:widowControl/>
              <w:jc w:val="left"/>
              <w:rPr>
                <w:rFonts w:ascii="Arial Narrow" w:eastAsia="Calibri" w:hAnsi="Arial Narrow"/>
                <w:strike/>
                <w:snapToGrid/>
                <w:sz w:val="20"/>
                <w:szCs w:val="20"/>
              </w:rPr>
            </w:pPr>
            <w:r>
              <w:rPr>
                <w:rFonts w:ascii="Arial Narrow" w:eastAsia="Calibri" w:hAnsi="Arial Narrow"/>
                <w:snapToGrid/>
                <w:sz w:val="20"/>
                <w:szCs w:val="20"/>
              </w:rPr>
              <w:t>Patient must not have developed disease progression while being treated with this drug for this condition</w:t>
            </w:r>
            <w:r>
              <w:rPr>
                <w:rFonts w:ascii="Arial Narrow" w:eastAsia="Calibri" w:hAnsi="Arial Narrow"/>
                <w:i/>
                <w:snapToGrid/>
                <w:sz w:val="20"/>
                <w:szCs w:val="20"/>
              </w:rPr>
              <w:t>,</w:t>
            </w:r>
          </w:p>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AND</w:t>
            </w:r>
          </w:p>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The treatment must be in combination with pemetrexed, unless the patient has experienced drug toxicity.</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Lines/>
              <w:widowControl/>
              <w:rPr>
                <w:rFonts w:ascii="Arial Narrow" w:eastAsia="Calibri" w:hAnsi="Arial Narrow"/>
                <w:snapToGrid/>
                <w:sz w:val="20"/>
                <w:szCs w:val="20"/>
              </w:rPr>
            </w:pPr>
            <w:r>
              <w:rPr>
                <w:rFonts w:ascii="Arial Narrow" w:eastAsia="Calibri" w:hAnsi="Arial Narrow"/>
                <w:b/>
                <w:snapToGrid/>
                <w:sz w:val="20"/>
                <w:szCs w:val="20"/>
              </w:rPr>
              <w:t>Population criteria:</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Lines/>
              <w:widowControl/>
              <w:rPr>
                <w:rFonts w:ascii="Arial Narrow" w:eastAsia="Calibri" w:hAnsi="Arial Narrow"/>
                <w:strike/>
                <w:snapToGrid/>
                <w:sz w:val="20"/>
                <w:szCs w:val="20"/>
              </w:rPr>
            </w:pPr>
            <w:r>
              <w:rPr>
                <w:rFonts w:ascii="Arial Narrow" w:eastAsia="Calibri" w:hAnsi="Arial Narrow"/>
                <w:strike/>
                <w:snapToGrid/>
                <w:sz w:val="20"/>
                <w:szCs w:val="20"/>
              </w:rPr>
              <w:t>-</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Lines/>
              <w:widowControl/>
              <w:rPr>
                <w:rFonts w:ascii="Arial Narrow" w:eastAsia="Calibri" w:hAnsi="Arial Narrow"/>
                <w:snapToGrid/>
                <w:sz w:val="20"/>
                <w:szCs w:val="20"/>
              </w:rPr>
            </w:pPr>
            <w:r>
              <w:rPr>
                <w:rFonts w:ascii="Arial Narrow" w:eastAsia="Calibri" w:hAnsi="Arial Narrow"/>
                <w:b/>
                <w:snapToGrid/>
                <w:sz w:val="20"/>
                <w:szCs w:val="20"/>
              </w:rPr>
              <w:t>Prescriber Instructions:</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The treatment with this drug must not exceed a lifetime maximum of 24 months’ therapy.</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Lines/>
              <w:widowControl/>
              <w:rPr>
                <w:rFonts w:ascii="Arial Narrow" w:eastAsia="Calibri" w:hAnsi="Arial Narrow"/>
                <w:b/>
                <w:snapToGrid/>
                <w:sz w:val="20"/>
                <w:szCs w:val="20"/>
              </w:rPr>
            </w:pPr>
            <w:r>
              <w:rPr>
                <w:rFonts w:ascii="Arial Narrow" w:eastAsia="Calibri" w:hAnsi="Arial Narrow"/>
                <w:b/>
                <w:snapToGrid/>
                <w:sz w:val="20"/>
                <w:szCs w:val="20"/>
              </w:rPr>
              <w:t>Administrative Advice:</w:t>
            </w:r>
          </w:p>
          <w:p w:rsidR="00516A59" w:rsidRDefault="00516A59">
            <w:pPr>
              <w:keepLines/>
              <w:widowControl/>
              <w:rPr>
                <w:rFonts w:ascii="Arial Narrow" w:eastAsia="Calibri" w:hAnsi="Arial Narrow"/>
                <w:i/>
                <w:snapToGrid/>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No increase in the maximum number of repeats will be authorised.</w:t>
            </w:r>
          </w:p>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No increase in the maximum quantity or number of units may be authorised.</w:t>
            </w:r>
          </w:p>
          <w:p w:rsidR="00516A59" w:rsidRDefault="00516A59">
            <w:pPr>
              <w:keepLines/>
              <w:widowControl/>
              <w:jc w:val="left"/>
              <w:rPr>
                <w:rFonts w:ascii="Arial Narrow" w:eastAsia="Calibri" w:hAnsi="Arial Narrow"/>
                <w:snapToGrid/>
                <w:sz w:val="20"/>
                <w:szCs w:val="20"/>
              </w:rPr>
            </w:pPr>
          </w:p>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 xml:space="preserve">In the first few months after start of immunotherapy, some patients can have a transient tumour flare with subsequent disease response. When progression is suspected, this should be confirmed through a confirmatory scan, taken at least 4 weeks later. </w:t>
            </w:r>
          </w:p>
          <w:p w:rsidR="00516A59" w:rsidRDefault="00516A59">
            <w:pPr>
              <w:keepLines/>
              <w:widowControl/>
              <w:jc w:val="left"/>
              <w:rPr>
                <w:rFonts w:ascii="Arial Narrow" w:eastAsia="Calibri" w:hAnsi="Arial Narrow"/>
                <w:snapToGrid/>
                <w:sz w:val="20"/>
                <w:szCs w:val="20"/>
              </w:rPr>
            </w:pPr>
          </w:p>
          <w:p w:rsidR="00516A59" w:rsidRDefault="007D3F6A">
            <w:pPr>
              <w:keepLines/>
              <w:widowControl/>
              <w:jc w:val="left"/>
              <w:rPr>
                <w:rFonts w:ascii="Arial Narrow" w:eastAsia="Calibri" w:hAnsi="Arial Narrow"/>
                <w:snapToGrid/>
                <w:sz w:val="20"/>
                <w:szCs w:val="20"/>
              </w:rPr>
            </w:pPr>
            <w:r>
              <w:rPr>
                <w:rFonts w:ascii="Arial Narrow" w:eastAsia="Calibri" w:hAnsi="Arial Narrow"/>
                <w:snapToGrid/>
                <w:sz w:val="20"/>
                <w:szCs w:val="20"/>
              </w:rPr>
              <w:t>Special pricing arrangements apply</w:t>
            </w:r>
          </w:p>
        </w:tc>
      </w:tr>
    </w:tbl>
    <w:p w:rsidR="00516A59" w:rsidRDefault="00516A59">
      <w:pPr>
        <w:keepLines/>
        <w:widowControl/>
        <w:spacing w:after="160" w:line="259" w:lineRule="auto"/>
        <w:jc w:val="left"/>
        <w:rPr>
          <w:rFonts w:eastAsia="Calibri" w:cs="Calibri"/>
          <w:snapToGrid/>
          <w:szCs w:val="24"/>
        </w:rPr>
      </w:pPr>
    </w:p>
    <w:tbl>
      <w:tblPr>
        <w:tblW w:w="9214" w:type="dxa"/>
        <w:tblInd w:w="108" w:type="dxa"/>
        <w:tblLayout w:type="fixed"/>
        <w:tblLook w:val="0000" w:firstRow="0" w:lastRow="0" w:firstColumn="0" w:lastColumn="0" w:noHBand="0" w:noVBand="0"/>
      </w:tblPr>
      <w:tblGrid>
        <w:gridCol w:w="2410"/>
        <w:gridCol w:w="459"/>
        <w:gridCol w:w="959"/>
        <w:gridCol w:w="850"/>
        <w:gridCol w:w="1559"/>
        <w:gridCol w:w="1276"/>
        <w:gridCol w:w="1701"/>
      </w:tblGrid>
      <w:tr w:rsidR="00516A59">
        <w:trPr>
          <w:gridAfter w:val="1"/>
          <w:wAfter w:w="1701" w:type="dxa"/>
          <w:cantSplit/>
          <w:trHeight w:val="20"/>
        </w:trPr>
        <w:tc>
          <w:tcPr>
            <w:tcW w:w="2869" w:type="dxa"/>
            <w:gridSpan w:val="2"/>
            <w:tcBorders>
              <w:bottom w:val="single" w:sz="4" w:space="0" w:color="auto"/>
            </w:tcBorders>
          </w:tcPr>
          <w:p w:rsidR="00516A59" w:rsidRDefault="007D3F6A">
            <w:pPr>
              <w:keepNext/>
              <w:widowControl/>
              <w:ind w:left="-108"/>
              <w:rPr>
                <w:rFonts w:ascii="Arial Narrow" w:eastAsia="Calibri" w:hAnsi="Arial Narrow"/>
                <w:snapToGrid/>
                <w:sz w:val="20"/>
                <w:szCs w:val="20"/>
              </w:rPr>
            </w:pPr>
            <w:r>
              <w:rPr>
                <w:rFonts w:ascii="Arial Narrow" w:eastAsia="Calibri" w:hAnsi="Arial Narrow"/>
                <w:snapToGrid/>
                <w:sz w:val="20"/>
                <w:szCs w:val="20"/>
              </w:rPr>
              <w:lastRenderedPageBreak/>
              <w:t>Name, Restriction,</w:t>
            </w:r>
          </w:p>
          <w:p w:rsidR="00516A59" w:rsidRDefault="007D3F6A">
            <w:pPr>
              <w:keepNext/>
              <w:widowControl/>
              <w:ind w:left="-108"/>
              <w:rPr>
                <w:rFonts w:ascii="Arial Narrow" w:eastAsia="Calibri" w:hAnsi="Arial Narrow"/>
                <w:snapToGrid/>
                <w:sz w:val="20"/>
                <w:szCs w:val="20"/>
              </w:rPr>
            </w:pPr>
            <w:r>
              <w:rPr>
                <w:rFonts w:ascii="Arial Narrow" w:eastAsia="Calibri" w:hAnsi="Arial Narrow"/>
                <w:snapToGrid/>
                <w:sz w:val="20"/>
                <w:szCs w:val="20"/>
              </w:rPr>
              <w:t>Manner of administration and form</w:t>
            </w:r>
          </w:p>
        </w:tc>
        <w:tc>
          <w:tcPr>
            <w:tcW w:w="959" w:type="dxa"/>
            <w:tcBorders>
              <w:bottom w:val="single" w:sz="4" w:space="0" w:color="auto"/>
            </w:tcBorders>
          </w:tcPr>
          <w:p w:rsidR="00516A59" w:rsidRDefault="007D3F6A">
            <w:pPr>
              <w:keepNext/>
              <w:widowControl/>
              <w:ind w:left="-108"/>
              <w:rPr>
                <w:rFonts w:ascii="Arial Narrow" w:eastAsia="Calibri" w:hAnsi="Arial Narrow"/>
                <w:snapToGrid/>
                <w:sz w:val="20"/>
                <w:szCs w:val="20"/>
              </w:rPr>
            </w:pPr>
            <w:r>
              <w:rPr>
                <w:rFonts w:ascii="Arial Narrow" w:eastAsia="Calibri" w:hAnsi="Arial Narrow"/>
                <w:snapToGrid/>
                <w:sz w:val="20"/>
                <w:szCs w:val="20"/>
              </w:rPr>
              <w:t>Max.</w:t>
            </w:r>
          </w:p>
          <w:p w:rsidR="00516A59" w:rsidRDefault="007D3F6A">
            <w:pPr>
              <w:keepNext/>
              <w:widowControl/>
              <w:ind w:left="-108"/>
              <w:rPr>
                <w:rFonts w:ascii="Arial Narrow" w:eastAsia="Calibri" w:hAnsi="Arial Narrow"/>
                <w:snapToGrid/>
                <w:sz w:val="20"/>
                <w:szCs w:val="20"/>
              </w:rPr>
            </w:pPr>
            <w:r>
              <w:rPr>
                <w:rFonts w:ascii="Arial Narrow" w:eastAsia="Calibri" w:hAnsi="Arial Narrow"/>
                <w:snapToGrid/>
                <w:sz w:val="20"/>
                <w:szCs w:val="20"/>
              </w:rPr>
              <w:t>Amt</w:t>
            </w:r>
          </w:p>
        </w:tc>
        <w:tc>
          <w:tcPr>
            <w:tcW w:w="850" w:type="dxa"/>
            <w:tcBorders>
              <w:bottom w:val="single" w:sz="4" w:space="0" w:color="auto"/>
            </w:tcBorders>
          </w:tcPr>
          <w:p w:rsidR="00516A59" w:rsidRDefault="007D3F6A">
            <w:pPr>
              <w:keepNext/>
              <w:widowControl/>
              <w:ind w:left="-108"/>
              <w:rPr>
                <w:rFonts w:ascii="Arial Narrow" w:eastAsia="Calibri" w:hAnsi="Arial Narrow"/>
                <w:snapToGrid/>
                <w:sz w:val="20"/>
                <w:szCs w:val="20"/>
              </w:rPr>
            </w:pPr>
            <w:r>
              <w:rPr>
                <w:rFonts w:ascii="Arial Narrow" w:eastAsia="Calibri" w:hAnsi="Arial Narrow"/>
                <w:snapToGrid/>
                <w:sz w:val="20"/>
                <w:szCs w:val="20"/>
              </w:rPr>
              <w:t>№.of</w:t>
            </w:r>
          </w:p>
          <w:p w:rsidR="00516A59" w:rsidRDefault="007D3F6A">
            <w:pPr>
              <w:keepNext/>
              <w:widowControl/>
              <w:ind w:left="-108"/>
              <w:rPr>
                <w:rFonts w:ascii="Arial Narrow" w:eastAsia="Calibri" w:hAnsi="Arial Narrow"/>
                <w:snapToGrid/>
                <w:sz w:val="20"/>
                <w:szCs w:val="20"/>
              </w:rPr>
            </w:pPr>
            <w:r>
              <w:rPr>
                <w:rFonts w:ascii="Arial Narrow" w:eastAsia="Calibri" w:hAnsi="Arial Narrow"/>
                <w:snapToGrid/>
                <w:sz w:val="20"/>
                <w:szCs w:val="20"/>
              </w:rPr>
              <w:t>Rpts</w:t>
            </w:r>
          </w:p>
        </w:tc>
        <w:tc>
          <w:tcPr>
            <w:tcW w:w="2835" w:type="dxa"/>
            <w:gridSpan w:val="2"/>
            <w:tcBorders>
              <w:bottom w:val="single" w:sz="4" w:space="0" w:color="auto"/>
            </w:tcBorders>
          </w:tcPr>
          <w:p w:rsidR="00516A59" w:rsidRDefault="007D3F6A">
            <w:pPr>
              <w:keepNext/>
              <w:widowControl/>
              <w:rPr>
                <w:rFonts w:ascii="Arial Narrow" w:eastAsia="Calibri" w:hAnsi="Arial Narrow"/>
                <w:snapToGrid/>
                <w:sz w:val="20"/>
                <w:szCs w:val="20"/>
                <w:lang w:val="fr-FR"/>
              </w:rPr>
            </w:pPr>
            <w:r>
              <w:rPr>
                <w:rFonts w:ascii="Arial Narrow" w:eastAsia="Calibri" w:hAnsi="Arial Narrow"/>
                <w:snapToGrid/>
                <w:sz w:val="20"/>
                <w:szCs w:val="20"/>
              </w:rPr>
              <w:t>Proprietary Name and Manufacturer</w:t>
            </w:r>
          </w:p>
        </w:tc>
      </w:tr>
      <w:tr w:rsidR="00516A59">
        <w:trPr>
          <w:gridAfter w:val="1"/>
          <w:wAfter w:w="1701" w:type="dxa"/>
          <w:cantSplit/>
          <w:trHeight w:val="20"/>
        </w:trPr>
        <w:tc>
          <w:tcPr>
            <w:tcW w:w="2869" w:type="dxa"/>
            <w:gridSpan w:val="2"/>
          </w:tcPr>
          <w:p w:rsidR="00516A59" w:rsidRDefault="007D3F6A">
            <w:pPr>
              <w:keepNext/>
              <w:widowControl/>
              <w:ind w:left="-108"/>
              <w:rPr>
                <w:rFonts w:ascii="Arial Narrow" w:eastAsia="Calibri" w:hAnsi="Arial Narrow"/>
                <w:snapToGrid/>
                <w:sz w:val="20"/>
                <w:szCs w:val="20"/>
              </w:rPr>
            </w:pPr>
            <w:r>
              <w:rPr>
                <w:rFonts w:ascii="Arial Narrow" w:eastAsia="Calibri" w:hAnsi="Arial Narrow"/>
                <w:smallCaps/>
                <w:snapToGrid/>
                <w:sz w:val="20"/>
                <w:szCs w:val="20"/>
              </w:rPr>
              <w:t>Pembrolizumab</w:t>
            </w:r>
          </w:p>
          <w:p w:rsidR="00516A59" w:rsidRDefault="007D3F6A">
            <w:pPr>
              <w:keepNext/>
              <w:widowControl/>
              <w:ind w:left="-108"/>
              <w:rPr>
                <w:rFonts w:ascii="Arial Narrow" w:eastAsia="Calibri" w:hAnsi="Arial Narrow"/>
                <w:snapToGrid/>
                <w:color w:val="FF0000"/>
                <w:sz w:val="20"/>
                <w:szCs w:val="20"/>
              </w:rPr>
            </w:pPr>
            <w:r>
              <w:rPr>
                <w:rFonts w:ascii="Arial Narrow" w:eastAsia="Calibri" w:hAnsi="Arial Narrow"/>
                <w:snapToGrid/>
                <w:sz w:val="20"/>
                <w:szCs w:val="20"/>
              </w:rPr>
              <w:t>100 mg/4 mL injection, 4 mL vial</w:t>
            </w:r>
          </w:p>
        </w:tc>
        <w:tc>
          <w:tcPr>
            <w:tcW w:w="959" w:type="dxa"/>
          </w:tcPr>
          <w:p w:rsidR="00516A59" w:rsidRDefault="00516A59">
            <w:pPr>
              <w:keepNext/>
              <w:widowControl/>
              <w:ind w:left="-108"/>
              <w:rPr>
                <w:rFonts w:ascii="Arial Narrow" w:eastAsia="Calibri" w:hAnsi="Arial Narrow"/>
                <w:snapToGrid/>
                <w:sz w:val="20"/>
                <w:szCs w:val="20"/>
              </w:rPr>
            </w:pPr>
          </w:p>
          <w:p w:rsidR="00516A59" w:rsidRDefault="007D3F6A">
            <w:pPr>
              <w:keepNext/>
              <w:widowControl/>
              <w:ind w:left="-108"/>
              <w:rPr>
                <w:rFonts w:ascii="Arial Narrow" w:eastAsia="Calibri" w:hAnsi="Arial Narrow"/>
                <w:snapToGrid/>
                <w:sz w:val="20"/>
                <w:szCs w:val="20"/>
              </w:rPr>
            </w:pPr>
            <w:r>
              <w:rPr>
                <w:rFonts w:ascii="Arial Narrow" w:eastAsia="Calibri" w:hAnsi="Arial Narrow"/>
                <w:snapToGrid/>
                <w:sz w:val="20"/>
                <w:szCs w:val="20"/>
              </w:rPr>
              <w:t>200 mg</w:t>
            </w:r>
          </w:p>
        </w:tc>
        <w:tc>
          <w:tcPr>
            <w:tcW w:w="850" w:type="dxa"/>
          </w:tcPr>
          <w:p w:rsidR="00516A59" w:rsidRDefault="00516A59">
            <w:pPr>
              <w:keepNext/>
              <w:widowControl/>
              <w:ind w:left="-108"/>
              <w:rPr>
                <w:rFonts w:ascii="Arial Narrow" w:eastAsia="Calibri" w:hAnsi="Arial Narrow"/>
                <w:snapToGrid/>
                <w:sz w:val="20"/>
                <w:szCs w:val="20"/>
              </w:rPr>
            </w:pPr>
          </w:p>
          <w:p w:rsidR="00516A59" w:rsidRDefault="007D3F6A">
            <w:pPr>
              <w:keepNext/>
              <w:widowControl/>
              <w:ind w:left="-108"/>
              <w:rPr>
                <w:rFonts w:ascii="Arial Narrow" w:eastAsia="Calibri" w:hAnsi="Arial Narrow"/>
                <w:snapToGrid/>
                <w:sz w:val="20"/>
                <w:szCs w:val="20"/>
              </w:rPr>
            </w:pPr>
            <w:r>
              <w:rPr>
                <w:rFonts w:ascii="Arial Narrow" w:eastAsia="Calibri" w:hAnsi="Arial Narrow"/>
                <w:snapToGrid/>
                <w:sz w:val="20"/>
                <w:szCs w:val="20"/>
              </w:rPr>
              <w:t>2</w:t>
            </w:r>
          </w:p>
        </w:tc>
        <w:tc>
          <w:tcPr>
            <w:tcW w:w="1559" w:type="dxa"/>
          </w:tcPr>
          <w:p w:rsidR="00516A59" w:rsidRDefault="00516A59">
            <w:pPr>
              <w:keepNext/>
              <w:widowControl/>
              <w:rPr>
                <w:rFonts w:ascii="Arial Narrow" w:eastAsia="Calibri" w:hAnsi="Arial Narrow"/>
                <w:snapToGrid/>
                <w:sz w:val="20"/>
                <w:szCs w:val="20"/>
              </w:rPr>
            </w:pPr>
          </w:p>
          <w:p w:rsidR="00516A59" w:rsidRDefault="007D3F6A">
            <w:pPr>
              <w:keepNext/>
              <w:widowControl/>
              <w:rPr>
                <w:rFonts w:ascii="Arial Narrow" w:eastAsia="Calibri" w:hAnsi="Arial Narrow"/>
                <w:snapToGrid/>
                <w:sz w:val="20"/>
                <w:szCs w:val="20"/>
              </w:rPr>
            </w:pPr>
            <w:r>
              <w:rPr>
                <w:rFonts w:ascii="Arial Narrow" w:eastAsia="Calibri" w:hAnsi="Arial Narrow"/>
                <w:snapToGrid/>
                <w:sz w:val="20"/>
                <w:szCs w:val="20"/>
              </w:rPr>
              <w:t>Keytruda®</w:t>
            </w:r>
          </w:p>
        </w:tc>
        <w:tc>
          <w:tcPr>
            <w:tcW w:w="1276" w:type="dxa"/>
          </w:tcPr>
          <w:p w:rsidR="00516A59" w:rsidRDefault="00516A59">
            <w:pPr>
              <w:keepNext/>
              <w:widowControl/>
              <w:rPr>
                <w:rFonts w:ascii="Arial Narrow" w:eastAsia="Calibri" w:hAnsi="Arial Narrow"/>
                <w:snapToGrid/>
                <w:sz w:val="20"/>
                <w:szCs w:val="20"/>
              </w:rPr>
            </w:pPr>
          </w:p>
          <w:p w:rsidR="00516A59" w:rsidRDefault="007D3F6A">
            <w:pPr>
              <w:keepNext/>
              <w:widowControl/>
              <w:rPr>
                <w:rFonts w:ascii="Arial Narrow" w:eastAsia="Calibri" w:hAnsi="Arial Narrow"/>
                <w:snapToGrid/>
                <w:sz w:val="20"/>
                <w:szCs w:val="20"/>
              </w:rPr>
            </w:pPr>
            <w:r>
              <w:rPr>
                <w:rFonts w:ascii="Arial Narrow" w:eastAsia="Calibri" w:hAnsi="Arial Narrow"/>
                <w:snapToGrid/>
                <w:sz w:val="20"/>
                <w:szCs w:val="20"/>
              </w:rPr>
              <w:t>MK</w:t>
            </w:r>
          </w:p>
        </w:tc>
      </w:tr>
      <w:tr w:rsidR="00516A59">
        <w:trPr>
          <w:cantSplit/>
          <w:trHeight w:val="20"/>
        </w:trPr>
        <w:tc>
          <w:tcPr>
            <w:tcW w:w="9214" w:type="dxa"/>
            <w:gridSpan w:val="7"/>
            <w:tcBorders>
              <w:bottom w:val="single" w:sz="4" w:space="0" w:color="auto"/>
            </w:tcBorders>
          </w:tcPr>
          <w:p w:rsidR="00516A59" w:rsidRDefault="00516A59">
            <w:pPr>
              <w:keepNext/>
              <w:widowControl/>
              <w:rPr>
                <w:rFonts w:ascii="Arial Narrow" w:eastAsia="Calibri" w:hAnsi="Arial Narrow"/>
                <w:snapToGrid/>
                <w:sz w:val="20"/>
                <w:szCs w:val="20"/>
              </w:rPr>
            </w:pP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Next/>
              <w:widowControl/>
              <w:rPr>
                <w:rFonts w:ascii="Arial Narrow" w:eastAsia="Calibri" w:hAnsi="Arial Narrow"/>
                <w:b/>
                <w:snapToGrid/>
                <w:sz w:val="20"/>
                <w:szCs w:val="20"/>
              </w:rPr>
            </w:pPr>
            <w:r>
              <w:rPr>
                <w:rFonts w:ascii="Arial Narrow" w:eastAsia="Calibri" w:hAnsi="Arial Narrow"/>
                <w:b/>
                <w:snapToGrid/>
                <w:sz w:val="20"/>
                <w:szCs w:val="20"/>
              </w:rPr>
              <w:t>Category / Program:</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t xml:space="preserve">Section 100 – Efficient Funding of Chemotherapy </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Next/>
              <w:widowControl/>
              <w:rPr>
                <w:rFonts w:ascii="Arial Narrow" w:eastAsia="Calibri" w:hAnsi="Arial Narrow"/>
                <w:b/>
                <w:snapToGrid/>
                <w:sz w:val="20"/>
                <w:szCs w:val="20"/>
              </w:rPr>
            </w:pPr>
            <w:r>
              <w:rPr>
                <w:rFonts w:ascii="Arial Narrow" w:eastAsia="Calibri" w:hAnsi="Arial Narrow"/>
                <w:b/>
                <w:snapToGrid/>
                <w:sz w:val="20"/>
                <w:szCs w:val="20"/>
              </w:rPr>
              <w:t>Prescriber type:</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fldChar w:fldCharType="begin">
                <w:ffData>
                  <w:name w:val="Check1"/>
                  <w:enabled/>
                  <w:calcOnExit w:val="0"/>
                  <w:checkBox>
                    <w:sizeAuto/>
                    <w:default w:val="0"/>
                  </w:checkBox>
                </w:ffData>
              </w:fldChar>
            </w:r>
            <w:r>
              <w:rPr>
                <w:rFonts w:ascii="Arial Narrow" w:eastAsia="Calibri" w:hAnsi="Arial Narrow"/>
                <w:snapToGrid/>
                <w:sz w:val="20"/>
                <w:szCs w:val="20"/>
              </w:rPr>
              <w:instrText xml:space="preserve"> FORMCHECKBOX </w:instrText>
            </w:r>
            <w:r w:rsidR="00CE6F54">
              <w:rPr>
                <w:rFonts w:ascii="Arial Narrow" w:eastAsia="Calibri" w:hAnsi="Arial Narrow"/>
                <w:snapToGrid/>
                <w:sz w:val="20"/>
                <w:szCs w:val="20"/>
              </w:rPr>
            </w:r>
            <w:r w:rsidR="00CE6F54">
              <w:rPr>
                <w:rFonts w:ascii="Arial Narrow" w:eastAsia="Calibri" w:hAnsi="Arial Narrow"/>
                <w:snapToGrid/>
                <w:sz w:val="20"/>
                <w:szCs w:val="20"/>
              </w:rPr>
              <w:fldChar w:fldCharType="separate"/>
            </w:r>
            <w:r>
              <w:rPr>
                <w:rFonts w:ascii="Arial Narrow" w:eastAsia="Calibri" w:hAnsi="Arial Narrow"/>
                <w:snapToGrid/>
                <w:sz w:val="20"/>
                <w:szCs w:val="20"/>
              </w:rPr>
              <w:fldChar w:fldCharType="end"/>
            </w:r>
            <w:r>
              <w:rPr>
                <w:rFonts w:ascii="Arial Narrow" w:eastAsia="Calibri" w:hAnsi="Arial Narrow"/>
                <w:snapToGrid/>
                <w:sz w:val="20"/>
                <w:szCs w:val="20"/>
              </w:rPr>
              <w:t xml:space="preserve">Dental  </w:t>
            </w:r>
            <w:r>
              <w:rPr>
                <w:rFonts w:ascii="Arial Narrow" w:eastAsia="Calibri" w:hAnsi="Arial Narrow"/>
                <w:snapToGrid/>
                <w:sz w:val="20"/>
                <w:szCs w:val="20"/>
              </w:rPr>
              <w:fldChar w:fldCharType="begin">
                <w:ffData>
                  <w:name w:val=""/>
                  <w:enabled/>
                  <w:calcOnExit w:val="0"/>
                  <w:checkBox>
                    <w:sizeAuto/>
                    <w:default w:val="1"/>
                  </w:checkBox>
                </w:ffData>
              </w:fldChar>
            </w:r>
            <w:r>
              <w:rPr>
                <w:rFonts w:ascii="Arial Narrow" w:eastAsia="Calibri" w:hAnsi="Arial Narrow"/>
                <w:snapToGrid/>
                <w:sz w:val="20"/>
                <w:szCs w:val="20"/>
              </w:rPr>
              <w:instrText xml:space="preserve"> FORMCHECKBOX </w:instrText>
            </w:r>
            <w:r w:rsidR="00CE6F54">
              <w:rPr>
                <w:rFonts w:ascii="Arial Narrow" w:eastAsia="Calibri" w:hAnsi="Arial Narrow"/>
                <w:snapToGrid/>
                <w:sz w:val="20"/>
                <w:szCs w:val="20"/>
              </w:rPr>
            </w:r>
            <w:r w:rsidR="00CE6F54">
              <w:rPr>
                <w:rFonts w:ascii="Arial Narrow" w:eastAsia="Calibri" w:hAnsi="Arial Narrow"/>
                <w:snapToGrid/>
                <w:sz w:val="20"/>
                <w:szCs w:val="20"/>
              </w:rPr>
              <w:fldChar w:fldCharType="separate"/>
            </w:r>
            <w:r>
              <w:rPr>
                <w:rFonts w:ascii="Arial Narrow" w:eastAsia="Calibri" w:hAnsi="Arial Narrow"/>
                <w:snapToGrid/>
                <w:sz w:val="20"/>
                <w:szCs w:val="20"/>
              </w:rPr>
              <w:fldChar w:fldCharType="end"/>
            </w:r>
            <w:r>
              <w:rPr>
                <w:rFonts w:ascii="Arial Narrow" w:eastAsia="Calibri" w:hAnsi="Arial Narrow"/>
                <w:snapToGrid/>
                <w:sz w:val="20"/>
                <w:szCs w:val="20"/>
              </w:rPr>
              <w:t xml:space="preserve">Medical Practitioners  </w:t>
            </w:r>
            <w:r>
              <w:rPr>
                <w:rFonts w:ascii="Arial Narrow" w:eastAsia="Calibri" w:hAnsi="Arial Narrow"/>
                <w:snapToGrid/>
                <w:sz w:val="20"/>
                <w:szCs w:val="20"/>
              </w:rPr>
              <w:fldChar w:fldCharType="begin">
                <w:ffData>
                  <w:name w:val="Check3"/>
                  <w:enabled/>
                  <w:calcOnExit w:val="0"/>
                  <w:checkBox>
                    <w:sizeAuto/>
                    <w:default w:val="0"/>
                  </w:checkBox>
                </w:ffData>
              </w:fldChar>
            </w:r>
            <w:r>
              <w:rPr>
                <w:rFonts w:ascii="Arial Narrow" w:eastAsia="Calibri" w:hAnsi="Arial Narrow"/>
                <w:snapToGrid/>
                <w:sz w:val="20"/>
                <w:szCs w:val="20"/>
              </w:rPr>
              <w:instrText xml:space="preserve"> FORMCHECKBOX </w:instrText>
            </w:r>
            <w:r w:rsidR="00CE6F54">
              <w:rPr>
                <w:rFonts w:ascii="Arial Narrow" w:eastAsia="Calibri" w:hAnsi="Arial Narrow"/>
                <w:snapToGrid/>
                <w:sz w:val="20"/>
                <w:szCs w:val="20"/>
              </w:rPr>
            </w:r>
            <w:r w:rsidR="00CE6F54">
              <w:rPr>
                <w:rFonts w:ascii="Arial Narrow" w:eastAsia="Calibri" w:hAnsi="Arial Narrow"/>
                <w:snapToGrid/>
                <w:sz w:val="20"/>
                <w:szCs w:val="20"/>
              </w:rPr>
              <w:fldChar w:fldCharType="separate"/>
            </w:r>
            <w:r>
              <w:rPr>
                <w:rFonts w:ascii="Arial Narrow" w:eastAsia="Calibri" w:hAnsi="Arial Narrow"/>
                <w:snapToGrid/>
                <w:sz w:val="20"/>
                <w:szCs w:val="20"/>
              </w:rPr>
              <w:fldChar w:fldCharType="end"/>
            </w:r>
            <w:r>
              <w:rPr>
                <w:rFonts w:ascii="Arial Narrow" w:eastAsia="Calibri" w:hAnsi="Arial Narrow"/>
                <w:snapToGrid/>
                <w:sz w:val="20"/>
                <w:szCs w:val="20"/>
              </w:rPr>
              <w:t xml:space="preserve">Nurse practitioners  </w:t>
            </w:r>
            <w:r>
              <w:rPr>
                <w:rFonts w:ascii="Arial Narrow" w:eastAsia="Calibri" w:hAnsi="Arial Narrow"/>
                <w:snapToGrid/>
                <w:sz w:val="20"/>
                <w:szCs w:val="20"/>
              </w:rPr>
              <w:fldChar w:fldCharType="begin">
                <w:ffData>
                  <w:name w:val=""/>
                  <w:enabled/>
                  <w:calcOnExit w:val="0"/>
                  <w:checkBox>
                    <w:sizeAuto/>
                    <w:default w:val="0"/>
                  </w:checkBox>
                </w:ffData>
              </w:fldChar>
            </w:r>
            <w:r>
              <w:rPr>
                <w:rFonts w:ascii="Arial Narrow" w:eastAsia="Calibri" w:hAnsi="Arial Narrow"/>
                <w:snapToGrid/>
                <w:sz w:val="20"/>
                <w:szCs w:val="20"/>
              </w:rPr>
              <w:instrText xml:space="preserve"> FORMCHECKBOX </w:instrText>
            </w:r>
            <w:r w:rsidR="00CE6F54">
              <w:rPr>
                <w:rFonts w:ascii="Arial Narrow" w:eastAsia="Calibri" w:hAnsi="Arial Narrow"/>
                <w:snapToGrid/>
                <w:sz w:val="20"/>
                <w:szCs w:val="20"/>
              </w:rPr>
            </w:r>
            <w:r w:rsidR="00CE6F54">
              <w:rPr>
                <w:rFonts w:ascii="Arial Narrow" w:eastAsia="Calibri" w:hAnsi="Arial Narrow"/>
                <w:snapToGrid/>
                <w:sz w:val="20"/>
                <w:szCs w:val="20"/>
              </w:rPr>
              <w:fldChar w:fldCharType="separate"/>
            </w:r>
            <w:r>
              <w:rPr>
                <w:rFonts w:ascii="Arial Narrow" w:eastAsia="Calibri" w:hAnsi="Arial Narrow"/>
                <w:snapToGrid/>
                <w:sz w:val="20"/>
                <w:szCs w:val="20"/>
              </w:rPr>
              <w:fldChar w:fldCharType="end"/>
            </w:r>
            <w:r>
              <w:rPr>
                <w:rFonts w:ascii="Arial Narrow" w:eastAsia="Calibri" w:hAnsi="Arial Narrow"/>
                <w:snapToGrid/>
                <w:sz w:val="20"/>
                <w:szCs w:val="20"/>
              </w:rPr>
              <w:t xml:space="preserve">Optometrists </w:t>
            </w:r>
            <w:r>
              <w:rPr>
                <w:rFonts w:ascii="Arial Narrow" w:eastAsia="Calibri" w:hAnsi="Arial Narrow"/>
                <w:snapToGrid/>
                <w:sz w:val="20"/>
                <w:szCs w:val="20"/>
              </w:rPr>
              <w:fldChar w:fldCharType="begin">
                <w:ffData>
                  <w:name w:val="Check5"/>
                  <w:enabled/>
                  <w:calcOnExit w:val="0"/>
                  <w:checkBox>
                    <w:sizeAuto/>
                    <w:default w:val="0"/>
                  </w:checkBox>
                </w:ffData>
              </w:fldChar>
            </w:r>
            <w:r>
              <w:rPr>
                <w:rFonts w:ascii="Arial Narrow" w:eastAsia="Calibri" w:hAnsi="Arial Narrow"/>
                <w:snapToGrid/>
                <w:sz w:val="20"/>
                <w:szCs w:val="20"/>
              </w:rPr>
              <w:instrText xml:space="preserve"> FORMCHECKBOX </w:instrText>
            </w:r>
            <w:r w:rsidR="00CE6F54">
              <w:rPr>
                <w:rFonts w:ascii="Arial Narrow" w:eastAsia="Calibri" w:hAnsi="Arial Narrow"/>
                <w:snapToGrid/>
                <w:sz w:val="20"/>
                <w:szCs w:val="20"/>
              </w:rPr>
            </w:r>
            <w:r w:rsidR="00CE6F54">
              <w:rPr>
                <w:rFonts w:ascii="Arial Narrow" w:eastAsia="Calibri" w:hAnsi="Arial Narrow"/>
                <w:snapToGrid/>
                <w:sz w:val="20"/>
                <w:szCs w:val="20"/>
              </w:rPr>
              <w:fldChar w:fldCharType="separate"/>
            </w:r>
            <w:r>
              <w:rPr>
                <w:rFonts w:ascii="Arial Narrow" w:eastAsia="Calibri" w:hAnsi="Arial Narrow"/>
                <w:snapToGrid/>
                <w:sz w:val="20"/>
                <w:szCs w:val="20"/>
              </w:rPr>
              <w:fldChar w:fldCharType="end"/>
            </w:r>
            <w:r>
              <w:rPr>
                <w:rFonts w:ascii="Arial Narrow" w:eastAsia="Calibri" w:hAnsi="Arial Narrow"/>
                <w:snapToGrid/>
                <w:sz w:val="20"/>
                <w:szCs w:val="20"/>
              </w:rPr>
              <w:t>Midwives</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Next/>
              <w:widowControl/>
              <w:rPr>
                <w:rFonts w:ascii="Arial Narrow" w:eastAsia="Calibri" w:hAnsi="Arial Narrow"/>
                <w:b/>
                <w:snapToGrid/>
                <w:sz w:val="20"/>
                <w:szCs w:val="20"/>
              </w:rPr>
            </w:pPr>
            <w:r>
              <w:rPr>
                <w:rFonts w:ascii="Arial Narrow" w:eastAsia="Calibri" w:hAnsi="Arial Narrow"/>
                <w:b/>
                <w:snapToGrid/>
                <w:sz w:val="20"/>
                <w:szCs w:val="20"/>
              </w:rPr>
              <w:t>Episodicity:</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t>-</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Next/>
              <w:widowControl/>
              <w:rPr>
                <w:rFonts w:ascii="Arial Narrow" w:eastAsia="Calibri" w:hAnsi="Arial Narrow"/>
                <w:b/>
                <w:snapToGrid/>
                <w:sz w:val="20"/>
                <w:szCs w:val="20"/>
              </w:rPr>
            </w:pPr>
            <w:r>
              <w:rPr>
                <w:rFonts w:ascii="Arial Narrow" w:eastAsia="Calibri" w:hAnsi="Arial Narrow"/>
                <w:b/>
                <w:snapToGrid/>
                <w:sz w:val="20"/>
                <w:szCs w:val="20"/>
              </w:rPr>
              <w:t>Severity:</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t>Stage IV (metastatic)</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Next/>
              <w:widowControl/>
              <w:rPr>
                <w:rFonts w:ascii="Arial Narrow" w:eastAsia="Calibri" w:hAnsi="Arial Narrow"/>
                <w:b/>
                <w:snapToGrid/>
                <w:sz w:val="20"/>
                <w:szCs w:val="20"/>
              </w:rPr>
            </w:pPr>
            <w:r>
              <w:rPr>
                <w:rFonts w:ascii="Arial Narrow" w:eastAsia="Calibri" w:hAnsi="Arial Narrow"/>
                <w:b/>
                <w:snapToGrid/>
                <w:sz w:val="20"/>
                <w:szCs w:val="20"/>
              </w:rPr>
              <w:t>Condition:</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t>Non-small cell lung cancer</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Next/>
              <w:widowControl/>
              <w:rPr>
                <w:rFonts w:ascii="Arial Narrow" w:eastAsia="Calibri" w:hAnsi="Arial Narrow"/>
                <w:i/>
                <w:snapToGrid/>
                <w:sz w:val="20"/>
                <w:szCs w:val="20"/>
              </w:rPr>
            </w:pPr>
            <w:r>
              <w:rPr>
                <w:rFonts w:ascii="Arial Narrow" w:eastAsia="Calibri" w:hAnsi="Arial Narrow"/>
                <w:b/>
                <w:snapToGrid/>
                <w:sz w:val="20"/>
                <w:szCs w:val="20"/>
              </w:rPr>
              <w:t>PBS Indication:</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t>Stage IV (metastatic) non-small cell lung cancer</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Next/>
              <w:widowControl/>
              <w:rPr>
                <w:rFonts w:ascii="Arial Narrow" w:eastAsia="Calibri" w:hAnsi="Arial Narrow"/>
                <w:b/>
                <w:snapToGrid/>
                <w:sz w:val="20"/>
                <w:szCs w:val="20"/>
              </w:rPr>
            </w:pPr>
            <w:r>
              <w:rPr>
                <w:rFonts w:ascii="Arial Narrow" w:eastAsia="Calibri" w:hAnsi="Arial Narrow"/>
                <w:b/>
                <w:snapToGrid/>
                <w:sz w:val="20"/>
                <w:szCs w:val="20"/>
              </w:rPr>
              <w:t>Treatment phase:</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t xml:space="preserve">Grandfathering </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Next/>
              <w:widowControl/>
              <w:rPr>
                <w:rFonts w:ascii="Arial Narrow" w:eastAsia="Calibri" w:hAnsi="Arial Narrow"/>
                <w:b/>
                <w:snapToGrid/>
                <w:sz w:val="20"/>
                <w:szCs w:val="20"/>
              </w:rPr>
            </w:pPr>
            <w:r>
              <w:rPr>
                <w:rFonts w:ascii="Arial Narrow" w:eastAsia="Calibri" w:hAnsi="Arial Narrow"/>
                <w:b/>
                <w:snapToGrid/>
                <w:sz w:val="20"/>
                <w:szCs w:val="20"/>
              </w:rPr>
              <w:t>Restriction Level / Method:</w:t>
            </w:r>
          </w:p>
          <w:p w:rsidR="00516A59" w:rsidRDefault="00516A59">
            <w:pPr>
              <w:keepNext/>
              <w:widowControl/>
              <w:jc w:val="left"/>
              <w:rPr>
                <w:rFonts w:ascii="Arial Narrow" w:eastAsia="Calibri" w:hAnsi="Arial Narrow"/>
                <w:i/>
                <w:snapToGrid/>
                <w:sz w:val="20"/>
                <w:szCs w:val="20"/>
              </w:rPr>
            </w:pPr>
          </w:p>
          <w:p w:rsidR="00516A59" w:rsidRDefault="00516A59">
            <w:pPr>
              <w:keepNext/>
              <w:widowControl/>
              <w:jc w:val="left"/>
              <w:rPr>
                <w:rFonts w:ascii="Arial Narrow" w:eastAsia="Calibri" w:hAnsi="Arial Narrow"/>
                <w:i/>
                <w:snapToGrid/>
                <w:sz w:val="20"/>
                <w:szCs w:val="20"/>
              </w:rPr>
            </w:pPr>
          </w:p>
          <w:p w:rsidR="00516A59" w:rsidRDefault="00516A59">
            <w:pPr>
              <w:keepNext/>
              <w:widowControl/>
              <w:jc w:val="left"/>
              <w:rPr>
                <w:rFonts w:ascii="Arial Narrow" w:eastAsia="Calibri" w:hAnsi="Arial Narrow"/>
                <w:i/>
                <w:snapToGrid/>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fldChar w:fldCharType="begin">
                <w:ffData>
                  <w:name w:val="Check1"/>
                  <w:enabled/>
                  <w:calcOnExit w:val="0"/>
                  <w:checkBox>
                    <w:sizeAuto/>
                    <w:default w:val="0"/>
                  </w:checkBox>
                </w:ffData>
              </w:fldChar>
            </w:r>
            <w:r>
              <w:rPr>
                <w:rFonts w:ascii="Arial Narrow" w:eastAsia="Calibri" w:hAnsi="Arial Narrow"/>
                <w:snapToGrid/>
                <w:sz w:val="20"/>
                <w:szCs w:val="20"/>
              </w:rPr>
              <w:instrText xml:space="preserve"> FORMCHECKBOX </w:instrText>
            </w:r>
            <w:r w:rsidR="00CE6F54">
              <w:rPr>
                <w:rFonts w:ascii="Arial Narrow" w:eastAsia="Calibri" w:hAnsi="Arial Narrow"/>
                <w:snapToGrid/>
                <w:sz w:val="20"/>
                <w:szCs w:val="20"/>
              </w:rPr>
            </w:r>
            <w:r w:rsidR="00CE6F54">
              <w:rPr>
                <w:rFonts w:ascii="Arial Narrow" w:eastAsia="Calibri" w:hAnsi="Arial Narrow"/>
                <w:snapToGrid/>
                <w:sz w:val="20"/>
                <w:szCs w:val="20"/>
              </w:rPr>
              <w:fldChar w:fldCharType="separate"/>
            </w:r>
            <w:r>
              <w:rPr>
                <w:rFonts w:ascii="Arial Narrow" w:eastAsia="Calibri" w:hAnsi="Arial Narrow"/>
                <w:snapToGrid/>
                <w:sz w:val="20"/>
                <w:szCs w:val="20"/>
              </w:rPr>
              <w:fldChar w:fldCharType="end"/>
            </w:r>
            <w:r>
              <w:rPr>
                <w:rFonts w:ascii="Arial Narrow" w:eastAsia="Calibri" w:hAnsi="Arial Narrow"/>
                <w:snapToGrid/>
                <w:sz w:val="20"/>
                <w:szCs w:val="20"/>
              </w:rPr>
              <w:t>Restricted benefit</w:t>
            </w:r>
          </w:p>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fldChar w:fldCharType="begin">
                <w:ffData>
                  <w:name w:val=""/>
                  <w:enabled/>
                  <w:calcOnExit w:val="0"/>
                  <w:checkBox>
                    <w:sizeAuto/>
                    <w:default w:val="0"/>
                  </w:checkBox>
                </w:ffData>
              </w:fldChar>
            </w:r>
            <w:r>
              <w:rPr>
                <w:rFonts w:ascii="Arial Narrow" w:eastAsia="Calibri" w:hAnsi="Arial Narrow"/>
                <w:snapToGrid/>
                <w:sz w:val="20"/>
                <w:szCs w:val="20"/>
              </w:rPr>
              <w:instrText xml:space="preserve"> FORMCHECKBOX </w:instrText>
            </w:r>
            <w:r w:rsidR="00CE6F54">
              <w:rPr>
                <w:rFonts w:ascii="Arial Narrow" w:eastAsia="Calibri" w:hAnsi="Arial Narrow"/>
                <w:snapToGrid/>
                <w:sz w:val="20"/>
                <w:szCs w:val="20"/>
              </w:rPr>
            </w:r>
            <w:r w:rsidR="00CE6F54">
              <w:rPr>
                <w:rFonts w:ascii="Arial Narrow" w:eastAsia="Calibri" w:hAnsi="Arial Narrow"/>
                <w:snapToGrid/>
                <w:sz w:val="20"/>
                <w:szCs w:val="20"/>
              </w:rPr>
              <w:fldChar w:fldCharType="separate"/>
            </w:r>
            <w:r>
              <w:rPr>
                <w:rFonts w:ascii="Arial Narrow" w:eastAsia="Calibri" w:hAnsi="Arial Narrow"/>
                <w:snapToGrid/>
                <w:sz w:val="20"/>
                <w:szCs w:val="20"/>
              </w:rPr>
              <w:fldChar w:fldCharType="end"/>
            </w:r>
            <w:r>
              <w:rPr>
                <w:rFonts w:ascii="Arial Narrow" w:eastAsia="Calibri" w:hAnsi="Arial Narrow"/>
                <w:snapToGrid/>
                <w:sz w:val="20"/>
                <w:szCs w:val="20"/>
              </w:rPr>
              <w:t>Authority Required – In Writing</w:t>
            </w:r>
          </w:p>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fldChar w:fldCharType="begin">
                <w:ffData>
                  <w:name w:val="Check3"/>
                  <w:enabled/>
                  <w:calcOnExit w:val="0"/>
                  <w:checkBox>
                    <w:sizeAuto/>
                    <w:default w:val="0"/>
                  </w:checkBox>
                </w:ffData>
              </w:fldChar>
            </w:r>
            <w:r>
              <w:rPr>
                <w:rFonts w:ascii="Arial Narrow" w:eastAsia="Calibri" w:hAnsi="Arial Narrow"/>
                <w:snapToGrid/>
                <w:sz w:val="20"/>
                <w:szCs w:val="20"/>
              </w:rPr>
              <w:instrText xml:space="preserve"> FORMCHECKBOX </w:instrText>
            </w:r>
            <w:r w:rsidR="00CE6F54">
              <w:rPr>
                <w:rFonts w:ascii="Arial Narrow" w:eastAsia="Calibri" w:hAnsi="Arial Narrow"/>
                <w:snapToGrid/>
                <w:sz w:val="20"/>
                <w:szCs w:val="20"/>
              </w:rPr>
            </w:r>
            <w:r w:rsidR="00CE6F54">
              <w:rPr>
                <w:rFonts w:ascii="Arial Narrow" w:eastAsia="Calibri" w:hAnsi="Arial Narrow"/>
                <w:snapToGrid/>
                <w:sz w:val="20"/>
                <w:szCs w:val="20"/>
              </w:rPr>
              <w:fldChar w:fldCharType="separate"/>
            </w:r>
            <w:r>
              <w:rPr>
                <w:rFonts w:ascii="Arial Narrow" w:eastAsia="Calibri" w:hAnsi="Arial Narrow"/>
                <w:snapToGrid/>
                <w:sz w:val="20"/>
                <w:szCs w:val="20"/>
              </w:rPr>
              <w:fldChar w:fldCharType="end"/>
            </w:r>
            <w:r>
              <w:rPr>
                <w:rFonts w:ascii="Arial Narrow" w:eastAsia="Calibri" w:hAnsi="Arial Narrow"/>
                <w:snapToGrid/>
                <w:sz w:val="20"/>
                <w:szCs w:val="20"/>
              </w:rPr>
              <w:t>Authority Required – Telephone/Electronic/Emergency</w:t>
            </w:r>
          </w:p>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fldChar w:fldCharType="begin">
                <w:ffData>
                  <w:name w:val="Check5"/>
                  <w:enabled/>
                  <w:calcOnExit w:val="0"/>
                  <w:checkBox>
                    <w:sizeAuto/>
                    <w:default w:val="1"/>
                  </w:checkBox>
                </w:ffData>
              </w:fldChar>
            </w:r>
            <w:r>
              <w:rPr>
                <w:rFonts w:ascii="Arial Narrow" w:eastAsia="Calibri" w:hAnsi="Arial Narrow"/>
                <w:snapToGrid/>
                <w:sz w:val="20"/>
                <w:szCs w:val="20"/>
              </w:rPr>
              <w:instrText xml:space="preserve"> FORMCHECKBOX </w:instrText>
            </w:r>
            <w:r w:rsidR="00CE6F54">
              <w:rPr>
                <w:rFonts w:ascii="Arial Narrow" w:eastAsia="Calibri" w:hAnsi="Arial Narrow"/>
                <w:snapToGrid/>
                <w:sz w:val="20"/>
                <w:szCs w:val="20"/>
              </w:rPr>
            </w:r>
            <w:r w:rsidR="00CE6F54">
              <w:rPr>
                <w:rFonts w:ascii="Arial Narrow" w:eastAsia="Calibri" w:hAnsi="Arial Narrow"/>
                <w:snapToGrid/>
                <w:sz w:val="20"/>
                <w:szCs w:val="20"/>
              </w:rPr>
              <w:fldChar w:fldCharType="separate"/>
            </w:r>
            <w:r>
              <w:rPr>
                <w:rFonts w:ascii="Arial Narrow" w:eastAsia="Calibri" w:hAnsi="Arial Narrow"/>
                <w:snapToGrid/>
                <w:sz w:val="20"/>
                <w:szCs w:val="20"/>
              </w:rPr>
              <w:fldChar w:fldCharType="end"/>
            </w:r>
            <w:r>
              <w:rPr>
                <w:rFonts w:ascii="Arial Narrow" w:eastAsia="Calibri" w:hAnsi="Arial Narrow"/>
                <w:snapToGrid/>
                <w:sz w:val="20"/>
                <w:szCs w:val="20"/>
              </w:rPr>
              <w:t>Streamlined</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Next/>
              <w:widowControl/>
              <w:jc w:val="left"/>
              <w:rPr>
                <w:rFonts w:ascii="Arial Narrow" w:eastAsia="Calibri" w:hAnsi="Arial Narrow"/>
                <w:b/>
                <w:snapToGrid/>
                <w:sz w:val="20"/>
                <w:szCs w:val="20"/>
              </w:rPr>
            </w:pPr>
            <w:r>
              <w:rPr>
                <w:rFonts w:ascii="Arial Narrow" w:eastAsia="Calibri" w:hAnsi="Arial Narrow"/>
                <w:b/>
                <w:snapToGrid/>
                <w:sz w:val="20"/>
                <w:szCs w:val="20"/>
              </w:rPr>
              <w:t>Treatment criteria:</w:t>
            </w: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t>-</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Next/>
              <w:widowControl/>
              <w:rPr>
                <w:rFonts w:ascii="Arial Narrow" w:eastAsia="Calibri" w:hAnsi="Arial Narrow"/>
                <w:b/>
                <w:snapToGrid/>
                <w:sz w:val="20"/>
                <w:szCs w:val="20"/>
              </w:rPr>
            </w:pPr>
            <w:r>
              <w:rPr>
                <w:rFonts w:ascii="Arial Narrow" w:eastAsia="Calibri" w:hAnsi="Arial Narrow"/>
                <w:b/>
                <w:snapToGrid/>
                <w:sz w:val="20"/>
                <w:szCs w:val="20"/>
              </w:rPr>
              <w:t>Clinical criteria:</w:t>
            </w:r>
          </w:p>
          <w:p w:rsidR="00516A59" w:rsidRDefault="00516A59">
            <w:pPr>
              <w:keepNext/>
              <w:widowControl/>
              <w:rPr>
                <w:rFonts w:ascii="Arial Narrow" w:eastAsia="Calibri" w:hAnsi="Arial Narrow"/>
                <w:b/>
                <w:snapToGrid/>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t>Patient must have previously received non-PBS subsidised treatment with this drug for this condition prior to [PBS listing date],</w:t>
            </w:r>
          </w:p>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t>AND</w:t>
            </w:r>
          </w:p>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t>Patient must not have previously been treated for this condition in the metastatic setting at the time non-PBS subsided treatment with this drug for this condition was initiated,</w:t>
            </w:r>
          </w:p>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t>AND</w:t>
            </w:r>
          </w:p>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t>The condition must be non-squamous type non-small cell lung cancer,</w:t>
            </w:r>
          </w:p>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t>AND</w:t>
            </w:r>
          </w:p>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t>Patient must have had a WHO performance status of 0 or 1 at the time non-PBS subsided treatment with this drug for this condition was initiated,</w:t>
            </w:r>
          </w:p>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t>AND</w:t>
            </w:r>
          </w:p>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t xml:space="preserve">Patient must not have developed disease progression while being treated with </w:t>
            </w:r>
          </w:p>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t>this drug for this condition,</w:t>
            </w:r>
          </w:p>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t>AND</w:t>
            </w:r>
          </w:p>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t>The condition must not have evidence of an activating epidermal growth factor receptor (EGFR) gene or an anaplastic lymphoma kinase (ALK) gene rearrangement or a c-ROS proto-oncogene 1 (ROS1) gene rearrangement in tumour material</w:t>
            </w:r>
          </w:p>
          <w:p w:rsidR="00516A59" w:rsidRDefault="00516A59">
            <w:pPr>
              <w:keepNext/>
              <w:widowControl/>
              <w:jc w:val="left"/>
              <w:rPr>
                <w:rFonts w:ascii="Arial Narrow" w:eastAsia="Calibri" w:hAnsi="Arial Narrow"/>
                <w:snapToGrid/>
                <w:sz w:val="20"/>
                <w:szCs w:val="20"/>
              </w:rPr>
            </w:pP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Next/>
              <w:widowControl/>
              <w:rPr>
                <w:rFonts w:ascii="Arial Narrow" w:eastAsia="Calibri" w:hAnsi="Arial Narrow"/>
                <w:b/>
                <w:snapToGrid/>
                <w:sz w:val="20"/>
                <w:szCs w:val="20"/>
              </w:rPr>
            </w:pPr>
            <w:r>
              <w:rPr>
                <w:rFonts w:ascii="Arial Narrow" w:eastAsia="Calibri" w:hAnsi="Arial Narrow"/>
                <w:b/>
                <w:snapToGrid/>
                <w:sz w:val="20"/>
                <w:szCs w:val="20"/>
              </w:rPr>
              <w:t>Prescriber Instructions:</w:t>
            </w:r>
          </w:p>
          <w:p w:rsidR="00516A59" w:rsidRDefault="00516A59">
            <w:pPr>
              <w:keepNext/>
              <w:widowControl/>
              <w:rPr>
                <w:rFonts w:ascii="Arial Narrow" w:eastAsia="Calibri" w:hAnsi="Arial Narrow"/>
                <w:snapToGrid/>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t xml:space="preserve">A patient may qualify for PBS-subsidised treatment under this restriction once only. </w:t>
            </w:r>
          </w:p>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t>For continuing PBS-subsidised treatment, a Grandfathered patient must qualify under the Continuing treatment criteria.</w:t>
            </w:r>
          </w:p>
        </w:tc>
      </w:tr>
      <w:tr w:rsidR="00516A59">
        <w:trPr>
          <w:cantSplit/>
          <w:trHeight w:val="20"/>
        </w:trPr>
        <w:tc>
          <w:tcPr>
            <w:tcW w:w="2410" w:type="dxa"/>
            <w:tcBorders>
              <w:top w:val="single" w:sz="4" w:space="0" w:color="auto"/>
              <w:left w:val="single" w:sz="4" w:space="0" w:color="auto"/>
              <w:bottom w:val="single" w:sz="4" w:space="0" w:color="auto"/>
              <w:right w:val="single" w:sz="4" w:space="0" w:color="auto"/>
            </w:tcBorders>
          </w:tcPr>
          <w:p w:rsidR="00516A59" w:rsidRDefault="007D3F6A">
            <w:pPr>
              <w:keepNext/>
              <w:widowControl/>
              <w:rPr>
                <w:rFonts w:ascii="Arial Narrow" w:eastAsia="Calibri" w:hAnsi="Arial Narrow"/>
                <w:b/>
                <w:snapToGrid/>
                <w:sz w:val="20"/>
                <w:szCs w:val="20"/>
              </w:rPr>
            </w:pPr>
            <w:r>
              <w:rPr>
                <w:rFonts w:ascii="Arial Narrow" w:eastAsia="Calibri" w:hAnsi="Arial Narrow"/>
                <w:b/>
                <w:snapToGrid/>
                <w:sz w:val="20"/>
                <w:szCs w:val="20"/>
              </w:rPr>
              <w:t>Administrative Advice:</w:t>
            </w:r>
          </w:p>
          <w:p w:rsidR="00516A59" w:rsidRDefault="00516A59">
            <w:pPr>
              <w:keepNext/>
              <w:widowControl/>
              <w:rPr>
                <w:rFonts w:ascii="Arial Narrow" w:eastAsia="Calibri" w:hAnsi="Arial Narrow"/>
                <w:i/>
                <w:snapToGrid/>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t>No increase in the maximum number of repeats will be authorised.</w:t>
            </w:r>
          </w:p>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t>No increase in the maximum quantity or number of units may be authorised.</w:t>
            </w:r>
          </w:p>
          <w:p w:rsidR="00516A59" w:rsidRDefault="00516A59">
            <w:pPr>
              <w:keepNext/>
              <w:widowControl/>
              <w:jc w:val="left"/>
              <w:rPr>
                <w:rFonts w:ascii="Arial Narrow" w:eastAsia="Calibri" w:hAnsi="Arial Narrow"/>
                <w:snapToGrid/>
                <w:sz w:val="20"/>
                <w:szCs w:val="20"/>
              </w:rPr>
            </w:pPr>
          </w:p>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p w:rsidR="00516A59" w:rsidRDefault="007D3F6A">
            <w:pPr>
              <w:keepNext/>
              <w:widowControl/>
              <w:jc w:val="left"/>
              <w:rPr>
                <w:rFonts w:ascii="Arial Narrow" w:eastAsia="Calibri" w:hAnsi="Arial Narrow"/>
                <w:snapToGrid/>
                <w:sz w:val="20"/>
                <w:szCs w:val="20"/>
              </w:rPr>
            </w:pPr>
            <w:r>
              <w:rPr>
                <w:rFonts w:ascii="Arial Narrow" w:eastAsia="Calibri" w:hAnsi="Arial Narrow"/>
                <w:snapToGrid/>
                <w:sz w:val="20"/>
                <w:szCs w:val="20"/>
              </w:rPr>
              <w:t>Special pricing arrangement</w:t>
            </w:r>
            <w:r>
              <w:rPr>
                <w:rFonts w:ascii="Arial Narrow" w:eastAsia="Calibri" w:hAnsi="Arial Narrow"/>
                <w:i/>
                <w:snapToGrid/>
                <w:sz w:val="20"/>
                <w:szCs w:val="20"/>
              </w:rPr>
              <w:t>s</w:t>
            </w:r>
            <w:r>
              <w:rPr>
                <w:rFonts w:ascii="Arial Narrow" w:eastAsia="Calibri" w:hAnsi="Arial Narrow"/>
                <w:snapToGrid/>
                <w:sz w:val="20"/>
                <w:szCs w:val="20"/>
              </w:rPr>
              <w:t xml:space="preserve"> apply</w:t>
            </w:r>
          </w:p>
        </w:tc>
      </w:tr>
    </w:tbl>
    <w:p w:rsidR="00516A59" w:rsidRDefault="00516A59">
      <w:pPr>
        <w:keepLines/>
        <w:widowControl/>
        <w:rPr>
          <w:snapToGrid/>
          <w:lang w:val="en-US" w:eastAsia="en-AU"/>
        </w:rPr>
      </w:pPr>
    </w:p>
    <w:p w:rsidR="00516A59" w:rsidRDefault="007D3F6A">
      <w:pPr>
        <w:pStyle w:val="PBACHeading1"/>
        <w:keepLines/>
      </w:pPr>
      <w:r>
        <w:t>Context for Decision</w:t>
      </w:r>
    </w:p>
    <w:p w:rsidR="00516A59" w:rsidRPr="00C17D32" w:rsidRDefault="007D3F6A" w:rsidP="00C17D32">
      <w:pPr>
        <w:widowControl/>
        <w:spacing w:after="120" w:line="276" w:lineRule="auto"/>
        <w:rPr>
          <w:rFonts w:asciiTheme="minorHAnsi" w:eastAsiaTheme="minorHAnsi" w:hAnsiTheme="minorHAnsi"/>
          <w:snapToGrid/>
        </w:rPr>
      </w:pPr>
      <w:r>
        <w:rPr>
          <w:rFonts w:asciiTheme="minorHAnsi" w:eastAsiaTheme="minorHAnsi" w:hAnsiTheme="minorHAnsi"/>
          <w:snapToGrid/>
        </w:rPr>
        <w:t xml:space="preserve">The PBAC helps decide whether and, if so, how medicines should be subsidised in Australia. It considers submissions in this context. A PBAC decision not to recommend listing or not to recommend changing a listing does not represent a final PBAC view about the merits of the </w:t>
      </w:r>
      <w:r>
        <w:rPr>
          <w:rFonts w:asciiTheme="minorHAnsi" w:eastAsiaTheme="minorHAnsi" w:hAnsiTheme="minorHAnsi"/>
          <w:snapToGrid/>
        </w:rPr>
        <w:lastRenderedPageBreak/>
        <w:t>medicine. A company can resubmit to the PBAC or seek independent review of the PBAC decision.</w:t>
      </w:r>
    </w:p>
    <w:p w:rsidR="00516A59" w:rsidRDefault="007D3F6A">
      <w:pPr>
        <w:pStyle w:val="PBACHeading1"/>
        <w:keepLines/>
      </w:pPr>
      <w:r>
        <w:t>Sponsor’s Comment</w:t>
      </w:r>
    </w:p>
    <w:p w:rsidR="00516A59" w:rsidRDefault="007D3F6A">
      <w:pPr>
        <w:keepLines/>
        <w:widowControl/>
        <w:rPr>
          <w:snapToGrid/>
          <w:lang w:val="en-US" w:eastAsia="en-AU"/>
        </w:rPr>
      </w:pPr>
      <w:r>
        <w:rPr>
          <w:rFonts w:asciiTheme="minorHAnsi" w:eastAsiaTheme="minorHAnsi" w:hAnsiTheme="minorHAnsi"/>
          <w:bCs/>
          <w:snapToGrid/>
        </w:rPr>
        <w:t>The sponsor had no comment.</w:t>
      </w:r>
    </w:p>
    <w:sectPr w:rsidR="00516A59">
      <w:headerReference w:type="default" r:id="rId20"/>
      <w:footnotePr>
        <w:numFmt w:val="lowerLetter"/>
      </w:footnotePr>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6880D4" w16cid:durableId="20EBBE62"/>
  <w16cid:commentId w16cid:paraId="6C6DB648" w16cid:durableId="20EBBF6F"/>
  <w16cid:commentId w16cid:paraId="644F3A99" w16cid:durableId="20EC727F"/>
  <w16cid:commentId w16cid:paraId="6101AC7A" w16cid:durableId="20EBBE63"/>
  <w16cid:commentId w16cid:paraId="6E31EB85" w16cid:durableId="20EBC183"/>
  <w16cid:commentId w16cid:paraId="1F8E8CC1" w16cid:durableId="20EC72A5"/>
  <w16cid:commentId w16cid:paraId="13F3DD26" w16cid:durableId="20EC72B4"/>
  <w16cid:commentId w16cid:paraId="0E69D5CD" w16cid:durableId="20EC72C9"/>
  <w16cid:commentId w16cid:paraId="6521D834" w16cid:durableId="20EBBE64"/>
  <w16cid:commentId w16cid:paraId="2F88EFD5" w16cid:durableId="20EBC1AB"/>
  <w16cid:commentId w16cid:paraId="48BF88A2" w16cid:durableId="20EC72D7"/>
  <w16cid:commentId w16cid:paraId="67E873C6" w16cid:durableId="20EBBE65"/>
  <w16cid:commentId w16cid:paraId="7CA1580E" w16cid:durableId="20EBC20B"/>
  <w16cid:commentId w16cid:paraId="7512ECD4" w16cid:durableId="20EBBE66"/>
  <w16cid:commentId w16cid:paraId="605AA4F7" w16cid:durableId="20EBBE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BCE" w:rsidRDefault="00216BCE">
      <w:r>
        <w:separator/>
      </w:r>
    </w:p>
    <w:p w:rsidR="00216BCE" w:rsidRDefault="00216BCE"/>
  </w:endnote>
  <w:endnote w:type="continuationSeparator" w:id="0">
    <w:p w:rsidR="00216BCE" w:rsidRDefault="00216BCE">
      <w:r>
        <w:continuationSeparator/>
      </w:r>
    </w:p>
    <w:p w:rsidR="00216BCE" w:rsidRDefault="00216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66E" w:rsidRDefault="00657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66E" w:rsidRDefault="0065766E">
    <w:pPr>
      <w:pStyle w:val="Footer"/>
      <w:ind w:left="360"/>
      <w:jc w:val="center"/>
      <w:rPr>
        <w:b/>
      </w:rPr>
    </w:pPr>
  </w:p>
  <w:p w:rsidR="0065766E" w:rsidRDefault="0065766E">
    <w:pPr>
      <w:pStyle w:val="Footer"/>
      <w:ind w:left="360"/>
      <w:jc w:val="center"/>
      <w:rPr>
        <w:rFonts w:asciiTheme="minorHAnsi" w:hAnsiTheme="minorHAnsi"/>
      </w:rPr>
    </w:pPr>
    <w:r>
      <w:rPr>
        <w:b/>
      </w:rPr>
      <w:fldChar w:fldCharType="begin"/>
    </w:r>
    <w:r>
      <w:rPr>
        <w:b/>
      </w:rPr>
      <w:instrText xml:space="preserve"> PAGE   \* MERGEFORMAT </w:instrText>
    </w:r>
    <w:r>
      <w:rPr>
        <w:b/>
      </w:rPr>
      <w:fldChar w:fldCharType="separate"/>
    </w:r>
    <w:r w:rsidR="00CE6F54">
      <w:rPr>
        <w:b/>
        <w:noProof/>
      </w:rPr>
      <w:t>1</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66E" w:rsidRDefault="00657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BCE" w:rsidRDefault="00216BCE">
      <w:r>
        <w:separator/>
      </w:r>
    </w:p>
    <w:p w:rsidR="00216BCE" w:rsidRDefault="00216BCE"/>
  </w:footnote>
  <w:footnote w:type="continuationSeparator" w:id="0">
    <w:p w:rsidR="00216BCE" w:rsidRDefault="00216BCE">
      <w:r>
        <w:continuationSeparator/>
      </w:r>
    </w:p>
    <w:p w:rsidR="00216BCE" w:rsidRDefault="00216BCE"/>
  </w:footnote>
  <w:footnote w:id="1">
    <w:p w:rsidR="0065766E" w:rsidRDefault="0065766E">
      <w:pPr>
        <w:pStyle w:val="FootnoteText"/>
      </w:pPr>
      <w:r>
        <w:rPr>
          <w:rStyle w:val="FootnoteReference"/>
        </w:rPr>
        <w:footnoteRef/>
      </w:r>
      <w:r>
        <w:t xml:space="preserve"> </w:t>
      </w:r>
      <w:r>
        <w:rPr>
          <w:rFonts w:asciiTheme="minorHAnsi" w:hAnsiTheme="minorHAnsi"/>
          <w:bCs/>
          <w:sz w:val="16"/>
        </w:rPr>
        <w:t xml:space="preserve"> Cherny NI, Dafni U, Bogaerts J, et al: ESMO-Magnitude of Clinical Benefit Scale version 1.1. Annals of Oncology 28:2340-2366, 2017</w:t>
      </w:r>
    </w:p>
  </w:footnote>
  <w:footnote w:id="2">
    <w:p w:rsidR="0065766E" w:rsidRDefault="0065766E">
      <w:pPr>
        <w:pStyle w:val="FootnoteText"/>
        <w:jc w:val="left"/>
      </w:pPr>
      <w:r>
        <w:rPr>
          <w:rStyle w:val="FootnoteReference"/>
        </w:rPr>
        <w:footnoteRef/>
      </w:r>
      <w:r>
        <w:t xml:space="preserve"> Outcome paper from the 8 February PBAC Special Meeting: </w:t>
      </w:r>
      <w:hyperlink r:id="rId1" w:history="1">
        <w:r>
          <w:rPr>
            <w:rStyle w:val="Hyperlink"/>
          </w:rPr>
          <w:t>http://www.pbs.gov.au/pbs/industry/listing/elements/pbac-meetings/stakeholder-meetings</w:t>
        </w:r>
      </w:hyperlink>
      <w:r>
        <w:t xml:space="preserve"> </w:t>
      </w:r>
    </w:p>
  </w:footnote>
  <w:footnote w:id="3">
    <w:p w:rsidR="0065766E" w:rsidRDefault="0065766E">
      <w:pPr>
        <w:pStyle w:val="FootnoteText"/>
      </w:pPr>
      <w:r>
        <w:rPr>
          <w:rStyle w:val="FootnoteReference"/>
        </w:rPr>
        <w:footnoteRef/>
      </w:r>
      <w:r>
        <w:t xml:space="preserve"> ‘FlatIron_1L NSCLC Pembro Counts_(Dec18).pdf’ (unpublished), as supplied by the resubmission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66E" w:rsidRDefault="00657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66E" w:rsidRDefault="0065766E">
    <w:pPr>
      <w:pStyle w:val="Header"/>
      <w:ind w:left="360"/>
      <w:jc w:val="center"/>
      <w:rPr>
        <w:rFonts w:asciiTheme="minorHAnsi" w:hAnsiTheme="minorHAnsi"/>
        <w:i/>
        <w:color w:val="808080"/>
      </w:rPr>
    </w:pPr>
    <w:r>
      <w:rPr>
        <w:rFonts w:asciiTheme="minorHAnsi" w:hAnsiTheme="minorHAnsi"/>
        <w:i/>
        <w:color w:val="808080"/>
      </w:rPr>
      <w:t>Public Summary Document – July 2019 PBAC Meeting</w:t>
    </w:r>
  </w:p>
  <w:p w:rsidR="0065766E" w:rsidRDefault="0065766E">
    <w:pPr>
      <w:tabs>
        <w:tab w:val="left" w:pos="142"/>
        <w:tab w:val="right" w:pos="9027"/>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66E" w:rsidRDefault="006576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66E" w:rsidRDefault="0065766E">
    <w:pPr>
      <w:pStyle w:val="Header"/>
      <w:ind w:left="360"/>
      <w:jc w:val="center"/>
      <w:rPr>
        <w:rFonts w:asciiTheme="minorHAnsi" w:hAnsiTheme="minorHAnsi"/>
        <w:i/>
        <w:color w:val="808080"/>
      </w:rPr>
    </w:pPr>
    <w:r>
      <w:rPr>
        <w:rFonts w:asciiTheme="minorHAnsi" w:hAnsiTheme="minorHAnsi"/>
        <w:i/>
        <w:color w:val="808080"/>
      </w:rPr>
      <w:t>Ratified Minutes – July 2019 PBAC Meeting</w:t>
    </w:r>
  </w:p>
  <w:p w:rsidR="0065766E" w:rsidRDefault="0065766E">
    <w:pPr>
      <w:pStyle w:val="Header"/>
      <w:ind w:left="360"/>
      <w:jc w:val="center"/>
      <w:rPr>
        <w:rFonts w:asciiTheme="minorHAnsi" w:hAnsiTheme="minorHAnsi"/>
        <w:i/>
        <w:color w:val="808080"/>
      </w:rPr>
    </w:pPr>
    <w:r>
      <w:rPr>
        <w:rFonts w:asciiTheme="minorHAnsi" w:hAnsiTheme="minorHAnsi"/>
        <w:i/>
        <w:color w:val="808080"/>
      </w:rPr>
      <w:t>Commercial-In-Confidence</w:t>
    </w:r>
  </w:p>
  <w:p w:rsidR="0065766E" w:rsidRDefault="0065766E">
    <w:pPr>
      <w:tabs>
        <w:tab w:val="left" w:pos="142"/>
        <w:tab w:val="right" w:pos="9027"/>
      </w:tabs>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66E" w:rsidRDefault="0065766E">
    <w:pPr>
      <w:pStyle w:val="Header"/>
      <w:ind w:left="360"/>
      <w:jc w:val="center"/>
      <w:rPr>
        <w:rFonts w:asciiTheme="minorHAnsi" w:hAnsiTheme="minorHAnsi"/>
        <w:i/>
        <w:color w:val="808080"/>
      </w:rPr>
    </w:pPr>
    <w:r>
      <w:rPr>
        <w:rFonts w:asciiTheme="minorHAnsi" w:hAnsiTheme="minorHAnsi"/>
        <w:i/>
        <w:color w:val="808080"/>
      </w:rPr>
      <w:t>Ratified Minutes – July 2019 PBAC Meeting</w:t>
    </w:r>
  </w:p>
  <w:p w:rsidR="0065766E" w:rsidRDefault="0065766E">
    <w:pPr>
      <w:pStyle w:val="Header"/>
      <w:ind w:left="360"/>
      <w:jc w:val="center"/>
      <w:rPr>
        <w:rFonts w:asciiTheme="minorHAnsi" w:hAnsiTheme="minorHAnsi"/>
        <w:i/>
        <w:color w:val="808080"/>
      </w:rPr>
    </w:pPr>
    <w:r>
      <w:rPr>
        <w:rFonts w:asciiTheme="minorHAnsi" w:hAnsiTheme="minorHAnsi"/>
        <w:i/>
        <w:color w:val="808080"/>
      </w:rPr>
      <w:t>Commercial-In-Confidence</w:t>
    </w:r>
  </w:p>
  <w:p w:rsidR="0065766E" w:rsidRDefault="0065766E">
    <w:pPr>
      <w:tabs>
        <w:tab w:val="left" w:pos="142"/>
        <w:tab w:val="right" w:pos="9027"/>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68697D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C32F93"/>
    <w:multiLevelType w:val="hybridMultilevel"/>
    <w:tmpl w:val="A80C6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45137"/>
    <w:multiLevelType w:val="hybridMultilevel"/>
    <w:tmpl w:val="E5DA829C"/>
    <w:lvl w:ilvl="0" w:tplc="1B20E078">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7F634E"/>
    <w:multiLevelType w:val="hybridMultilevel"/>
    <w:tmpl w:val="98FEE570"/>
    <w:lvl w:ilvl="0" w:tplc="9B58273A">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9C7A89"/>
    <w:multiLevelType w:val="hybridMultilevel"/>
    <w:tmpl w:val="6DE8B6B4"/>
    <w:lvl w:ilvl="0" w:tplc="20F4A3D4">
      <w:start w:val="86"/>
      <w:numFmt w:val="bullet"/>
      <w:lvlText w:val="-"/>
      <w:lvlJc w:val="left"/>
      <w:pPr>
        <w:ind w:left="1800" w:hanging="360"/>
      </w:pPr>
      <w:rPr>
        <w:rFonts w:ascii="Calibri" w:eastAsia="Times New Roman" w:hAnsi="Calibri"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2A9F4DA2"/>
    <w:multiLevelType w:val="hybridMultilevel"/>
    <w:tmpl w:val="2F4CE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5C0F54"/>
    <w:multiLevelType w:val="hybridMultilevel"/>
    <w:tmpl w:val="862A88F0"/>
    <w:lvl w:ilvl="0" w:tplc="42E01100">
      <w:start w:val="9"/>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6C6DD5"/>
    <w:multiLevelType w:val="hybridMultilevel"/>
    <w:tmpl w:val="ABE4F194"/>
    <w:lvl w:ilvl="0" w:tplc="AAE6A3B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A50391"/>
    <w:multiLevelType w:val="hybridMultilevel"/>
    <w:tmpl w:val="6700D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42297"/>
    <w:multiLevelType w:val="hybridMultilevel"/>
    <w:tmpl w:val="03B0F224"/>
    <w:lvl w:ilvl="0" w:tplc="C324F4FC">
      <w:start w:val="1"/>
      <w:numFmt w:val="bullet"/>
      <w:pStyle w:val="Bulletpoints"/>
      <w:lvlText w:val=""/>
      <w:lvlJc w:val="left"/>
      <w:pPr>
        <w:ind w:left="720" w:hanging="360"/>
      </w:pPr>
      <w:rPr>
        <w:rFonts w:ascii="Symbol" w:hAnsi="Symbol" w:hint="default"/>
      </w:rPr>
    </w:lvl>
    <w:lvl w:ilvl="1" w:tplc="04090003">
      <w:start w:val="1"/>
      <w:numFmt w:val="bullet"/>
      <w:pStyle w:val="Bulletpoints"/>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C0EE5"/>
    <w:multiLevelType w:val="hybridMultilevel"/>
    <w:tmpl w:val="48462E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A0445F4"/>
    <w:multiLevelType w:val="multilevel"/>
    <w:tmpl w:val="24401002"/>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4C7E3B6E"/>
    <w:multiLevelType w:val="hybridMultilevel"/>
    <w:tmpl w:val="6E6ED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8636E7"/>
    <w:multiLevelType w:val="hybridMultilevel"/>
    <w:tmpl w:val="2F568148"/>
    <w:lvl w:ilvl="0" w:tplc="4B1843C4">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FC55A6"/>
    <w:multiLevelType w:val="hybridMultilevel"/>
    <w:tmpl w:val="00C6E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9C5C9C"/>
    <w:multiLevelType w:val="hybridMultilevel"/>
    <w:tmpl w:val="2FD0C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EA3A0A"/>
    <w:multiLevelType w:val="hybridMultilevel"/>
    <w:tmpl w:val="9990BE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19D6635"/>
    <w:multiLevelType w:val="hybridMultilevel"/>
    <w:tmpl w:val="75C0E6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1EA6C01"/>
    <w:multiLevelType w:val="hybridMultilevel"/>
    <w:tmpl w:val="69B49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4D033C"/>
    <w:multiLevelType w:val="multilevel"/>
    <w:tmpl w:val="72C0C8EA"/>
    <w:lvl w:ilvl="0">
      <w:start w:val="1"/>
      <w:numFmt w:val="decimal"/>
      <w:pStyle w:val="PBACHeading1"/>
      <w:lvlText w:val="%1"/>
      <w:lvlJc w:val="left"/>
      <w:pPr>
        <w:ind w:left="720" w:hanging="720"/>
      </w:pPr>
      <w:rPr>
        <w:rFonts w:hint="default"/>
        <w:b/>
        <w:i w:val="0"/>
      </w:rPr>
    </w:lvl>
    <w:lvl w:ilvl="1">
      <w:start w:val="1"/>
      <w:numFmt w:val="decimal"/>
      <w:pStyle w:val="ListParagraph"/>
      <w:lvlText w:val="%1.%2"/>
      <w:lvlJc w:val="left"/>
      <w:pPr>
        <w:ind w:left="720" w:hanging="720"/>
      </w:pPr>
      <w:rPr>
        <w:rFonts w:asciiTheme="minorHAnsi" w:hAnsiTheme="minorHAnsi" w:cstheme="minorHAnsi"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80308F"/>
    <w:multiLevelType w:val="hybridMultilevel"/>
    <w:tmpl w:val="3DECD6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DB3220D"/>
    <w:multiLevelType w:val="hybridMultilevel"/>
    <w:tmpl w:val="7DC4616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6"/>
  </w:num>
  <w:num w:numId="2">
    <w:abstractNumId w:val="15"/>
  </w:num>
  <w:num w:numId="3">
    <w:abstractNumId w:val="17"/>
  </w:num>
  <w:num w:numId="4">
    <w:abstractNumId w:val="25"/>
  </w:num>
  <w:num w:numId="5">
    <w:abstractNumId w:val="28"/>
  </w:num>
  <w:num w:numId="6">
    <w:abstractNumId w:val="14"/>
  </w:num>
  <w:num w:numId="7">
    <w:abstractNumId w:val="12"/>
  </w:num>
  <w:num w:numId="8">
    <w:abstractNumId w:val="13"/>
  </w:num>
  <w:num w:numId="9">
    <w:abstractNumId w:val="0"/>
  </w:num>
  <w:num w:numId="10">
    <w:abstractNumId w:val="8"/>
  </w:num>
  <w:num w:numId="11">
    <w:abstractNumId w:val="22"/>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8"/>
  </w:num>
  <w:num w:numId="15">
    <w:abstractNumId w:val="2"/>
  </w:num>
  <w:num w:numId="16">
    <w:abstractNumId w:val="20"/>
  </w:num>
  <w:num w:numId="17">
    <w:abstractNumId w:val="3"/>
  </w:num>
  <w:num w:numId="18">
    <w:abstractNumId w:val="1"/>
  </w:num>
  <w:num w:numId="19">
    <w:abstractNumId w:val="7"/>
  </w:num>
  <w:num w:numId="20">
    <w:abstractNumId w:val="11"/>
  </w:num>
  <w:num w:numId="21">
    <w:abstractNumId w:val="6"/>
  </w:num>
  <w:num w:numId="22">
    <w:abstractNumId w:val="4"/>
  </w:num>
  <w:num w:numId="23">
    <w:abstractNumId w:val="24"/>
  </w:num>
  <w:num w:numId="24">
    <w:abstractNumId w:val="27"/>
  </w:num>
  <w:num w:numId="25">
    <w:abstractNumId w:val="26"/>
  </w:num>
  <w:num w:numId="26">
    <w:abstractNumId w:val="26"/>
  </w:num>
  <w:num w:numId="27">
    <w:abstractNumId w:val="23"/>
  </w:num>
  <w:num w:numId="28">
    <w:abstractNumId w:val="9"/>
  </w:num>
  <w:num w:numId="29">
    <w:abstractNumId w:val="26"/>
  </w:num>
  <w:num w:numId="30">
    <w:abstractNumId w:val="26"/>
  </w:num>
  <w:num w:numId="31">
    <w:abstractNumId w:val="26"/>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1"/>
  </w:num>
  <w:num w:numId="35">
    <w:abstractNumId w:val="5"/>
  </w:num>
  <w:num w:numId="36">
    <w:abstractNumId w:val="26"/>
  </w:num>
  <w:num w:numId="37">
    <w:abstractNumId w:val="26"/>
  </w:num>
  <w:num w:numId="38">
    <w:abstractNumId w:val="16"/>
  </w:num>
  <w:num w:numId="39">
    <w:abstractNumId w:val="26"/>
  </w:num>
  <w:num w:numId="40">
    <w:abstractNumId w:val="26"/>
  </w:num>
  <w:num w:numId="41">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doNotTrackFormatting/>
  <w:defaultTabStop w:val="720"/>
  <w:characterSpacingControl w:val="doNotCompress"/>
  <w:hdrShapeDefaults>
    <o:shapedefaults v:ext="edit" spidmax="6145"/>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vsx2far6apzrces92r50v5wp0xpfwadf0vf&quot;&gt;Pembro firstline NSCLC&lt;record-ids&gt;&lt;item&gt;1&lt;/item&gt;&lt;item&gt;2&lt;/item&gt;&lt;item&gt;3&lt;/item&gt;&lt;item&gt;6&lt;/item&gt;&lt;item&gt;7&lt;/item&gt;&lt;item&gt;8&lt;/item&gt;&lt;item&gt;9&lt;/item&gt;&lt;item&gt;10&lt;/item&gt;&lt;item&gt;11&lt;/item&gt;&lt;item&gt;12&lt;/item&gt;&lt;/record-ids&gt;&lt;/item&gt;&lt;/Libraries&gt;"/>
  </w:docVars>
  <w:rsids>
    <w:rsidRoot w:val="00516A59"/>
    <w:rsid w:val="00000F03"/>
    <w:rsid w:val="000C4110"/>
    <w:rsid w:val="001F6F5B"/>
    <w:rsid w:val="00213980"/>
    <w:rsid w:val="00216BCE"/>
    <w:rsid w:val="003D12B5"/>
    <w:rsid w:val="00511288"/>
    <w:rsid w:val="00516A59"/>
    <w:rsid w:val="005738BA"/>
    <w:rsid w:val="0065766E"/>
    <w:rsid w:val="00736170"/>
    <w:rsid w:val="007D3F6A"/>
    <w:rsid w:val="007F5824"/>
    <w:rsid w:val="00845E21"/>
    <w:rsid w:val="00894D44"/>
    <w:rsid w:val="009109A0"/>
    <w:rsid w:val="0093515B"/>
    <w:rsid w:val="009E0EFA"/>
    <w:rsid w:val="00A77F3C"/>
    <w:rsid w:val="00B178F0"/>
    <w:rsid w:val="00C17D32"/>
    <w:rsid w:val="00C30287"/>
    <w:rsid w:val="00C85A72"/>
    <w:rsid w:val="00CA269B"/>
    <w:rsid w:val="00CE6F54"/>
    <w:rsid w:val="00DA013C"/>
    <w:rsid w:val="00DC0902"/>
    <w:rsid w:val="00E25F3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0925ADA-F28D-47B2-8B97-E64BC86B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uiPriority="16"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qFormat/>
    <w:pPr>
      <w:ind w:left="720" w:hanging="720"/>
      <w:outlineLvl w:val="0"/>
    </w:pPr>
    <w:rPr>
      <w:b/>
      <w:caps/>
      <w:sz w:val="32"/>
    </w:rPr>
  </w:style>
  <w:style w:type="paragraph" w:styleId="Heading2">
    <w:name w:val="heading 2"/>
    <w:basedOn w:val="Normal"/>
    <w:next w:val="Normal"/>
    <w:link w:val="Heading2Char"/>
    <w:qFormat/>
    <w:pPr>
      <w:keepLines/>
      <w:widowControl/>
      <w:spacing w:after="120"/>
      <w:outlineLvl w:val="1"/>
    </w:pPr>
    <w:rPr>
      <w:b/>
      <w:i/>
      <w:sz w:val="28"/>
    </w:rPr>
  </w:style>
  <w:style w:type="paragraph" w:styleId="Heading3">
    <w:name w:val="heading 3"/>
    <w:basedOn w:val="Normal"/>
    <w:next w:val="Normal"/>
    <w:link w:val="Heading3Char"/>
    <w:qFormat/>
    <w:pPr>
      <w:keepNext/>
      <w:widowControl/>
      <w:ind w:left="720" w:hanging="720"/>
      <w:outlineLvl w:val="2"/>
    </w:pPr>
    <w:rPr>
      <w:b/>
      <w:u w:val="single"/>
    </w:rPr>
  </w:style>
  <w:style w:type="paragraph" w:styleId="Heading4">
    <w:name w:val="heading 4"/>
    <w:basedOn w:val="Normal"/>
    <w:next w:val="Normal"/>
    <w:link w:val="Heading4Char"/>
    <w:pPr>
      <w:keepNext/>
      <w:spacing w:before="240" w:after="60"/>
      <w:outlineLvl w:val="3"/>
    </w:pPr>
    <w:rPr>
      <w:b/>
      <w:bCs/>
      <w:i/>
      <w:sz w:val="26"/>
      <w:szCs w:val="28"/>
    </w:rPr>
  </w:style>
  <w:style w:type="paragraph" w:styleId="Heading5">
    <w:name w:val="heading 5"/>
    <w:basedOn w:val="Normal"/>
    <w:next w:val="Normal"/>
    <w:link w:val="Heading5Char"/>
    <w:pPr>
      <w:spacing w:before="240" w:after="60"/>
      <w:outlineLvl w:val="4"/>
    </w:pPr>
    <w:rPr>
      <w:b/>
      <w:bCs/>
      <w:iCs/>
      <w:sz w:val="26"/>
      <w:szCs w:val="26"/>
    </w:rPr>
  </w:style>
  <w:style w:type="paragraph" w:styleId="Heading6">
    <w:name w:val="heading 6"/>
    <w:basedOn w:val="Normal"/>
    <w:next w:val="Normal"/>
    <w:link w:val="Heading6Char"/>
    <w:pPr>
      <w:spacing w:before="240" w:after="60"/>
      <w:outlineLvl w:val="5"/>
    </w:pPr>
    <w:rPr>
      <w:b/>
      <w:bCs/>
      <w:i/>
    </w:rPr>
  </w:style>
  <w:style w:type="paragraph" w:styleId="Heading7">
    <w:name w:val="heading 7"/>
    <w:basedOn w:val="Normal"/>
    <w:next w:val="Normal"/>
    <w:link w:val="Heading7Char"/>
    <w:pPr>
      <w:keepNext/>
      <w:jc w:val="center"/>
      <w:outlineLvl w:val="6"/>
    </w:pPr>
    <w:rPr>
      <w:b/>
      <w:sz w:val="20"/>
    </w:rPr>
  </w:style>
  <w:style w:type="paragraph" w:styleId="Heading8">
    <w:name w:val="heading 8"/>
    <w:basedOn w:val="Normal"/>
    <w:next w:val="Normal"/>
    <w:link w:val="Heading8Char"/>
    <w:pPr>
      <w:keepNext/>
      <w:jc w:val="right"/>
      <w:outlineLvl w:val="7"/>
    </w:pPr>
    <w:rPr>
      <w:b/>
    </w:rPr>
  </w:style>
  <w:style w:type="paragraph" w:styleId="Heading9">
    <w:name w:val="heading 9"/>
    <w:basedOn w:val="Normal"/>
    <w:next w:val="Normal"/>
    <w:link w:val="Heading9Char"/>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hAnsi="Calibri" w:cs="Arial"/>
      <w:b/>
      <w:i/>
      <w:snapToGrid w:val="0"/>
      <w:sz w:val="28"/>
      <w:szCs w:val="22"/>
      <w:lang w:eastAsia="en-US"/>
    </w:rPr>
  </w:style>
  <w:style w:type="character" w:customStyle="1" w:styleId="Heading7Char">
    <w:name w:val="Heading 7 Char"/>
    <w:basedOn w:val="DefaultParagraphFont"/>
    <w:link w:val="Heading7"/>
    <w:rPr>
      <w:rFonts w:ascii="Arial" w:hAnsi="Arial"/>
      <w:b/>
      <w:snapToGrid w:val="0"/>
      <w:lang w:eastAsia="en-US"/>
    </w:rPr>
  </w:style>
  <w:style w:type="character" w:customStyle="1" w:styleId="Heading8Char">
    <w:name w:val="Heading 8 Char"/>
    <w:basedOn w:val="DefaultParagraphFont"/>
    <w:link w:val="Heading8"/>
    <w:rPr>
      <w:b/>
      <w:snapToGrid w:val="0"/>
      <w:sz w:val="24"/>
      <w:lang w:eastAsia="en-US"/>
    </w:rPr>
  </w:style>
  <w:style w:type="character" w:customStyle="1" w:styleId="Heading9Char">
    <w:name w:val="Heading 9 Char"/>
    <w:basedOn w:val="DefaultParagraphFont"/>
    <w:link w:val="Heading9"/>
    <w:rPr>
      <w:rFonts w:ascii="Arial" w:hAnsi="Arial"/>
      <w:b/>
      <w:snapToGrid w:val="0"/>
      <w:color w:val="000000"/>
      <w:lang w:eastAsia="en-US"/>
    </w:rPr>
  </w:style>
  <w:style w:type="paragraph" w:customStyle="1" w:styleId="TableFooter">
    <w:name w:val="Table Footer"/>
    <w:basedOn w:val="Normal"/>
    <w:link w:val="TableFooterChar"/>
    <w:qFormat/>
    <w:rPr>
      <w:rFonts w:ascii="Arial Narrow" w:hAnsi="Arial Narrow"/>
      <w:sz w:val="18"/>
    </w:rPr>
  </w:style>
  <w:style w:type="character" w:customStyle="1" w:styleId="TableFooterChar">
    <w:name w:val="Table Footer Char"/>
    <w:link w:val="TableFooter"/>
    <w:rPr>
      <w:rFonts w:ascii="Arial Narrow" w:hAnsi="Arial Narrow" w:cs="Arial"/>
      <w:snapToGrid w:val="0"/>
      <w:sz w:val="18"/>
      <w:lang w:eastAsia="en-US"/>
    </w:rPr>
  </w:style>
  <w:style w:type="paragraph" w:customStyle="1" w:styleId="TableHeader">
    <w:name w:val="Table Header"/>
    <w:basedOn w:val="Normal"/>
    <w:uiPriority w:val="3"/>
    <w:rPr>
      <w:b/>
      <w:sz w:val="20"/>
    </w:rPr>
  </w:style>
  <w:style w:type="paragraph" w:styleId="Caption">
    <w:name w:val="caption"/>
    <w:aliases w:val="Caption Char1 Char,Caption Char Char Char,Caption Char1 Char Char Char,Caption Char Char Char Char Char,Caption Char Char1 Char,Caption Char1 Char1,Caption Char Char Char1,Caption Char Char,Caption Char2 Char,Caption Char1 Char Char Char1,12,- H"/>
    <w:basedOn w:val="Normal"/>
    <w:next w:val="Normal"/>
    <w:link w:val="CaptionChar"/>
    <w:unhideWhenUsed/>
    <w:qFormat/>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12 Char"/>
    <w:link w:val="Caption"/>
    <w:rPr>
      <w:rFonts w:ascii="Arial Narrow" w:hAnsi="Arial Narrow" w:cs="Arial"/>
      <w:b/>
      <w:bCs/>
      <w:snapToGrid w:val="0"/>
      <w:szCs w:val="18"/>
      <w:lang w:eastAsia="en-US"/>
    </w:rPr>
  </w:style>
  <w:style w:type="paragraph" w:styleId="Title">
    <w:name w:val="Title"/>
    <w:basedOn w:val="Normal"/>
    <w:next w:val="Normal"/>
    <w:link w:val="TitleChar"/>
    <w:pPr>
      <w:outlineLvl w:val="0"/>
    </w:pPr>
    <w:rPr>
      <w:b/>
      <w:sz w:val="36"/>
      <w:szCs w:val="36"/>
    </w:rPr>
  </w:style>
  <w:style w:type="character" w:customStyle="1" w:styleId="TitleChar">
    <w:name w:val="Title Char"/>
    <w:basedOn w:val="DefaultParagraphFont"/>
    <w:link w:val="Title"/>
    <w:rPr>
      <w:rFonts w:ascii="Calibri" w:hAnsi="Calibri" w:cs="Arial"/>
      <w:b/>
      <w:snapToGrid w:val="0"/>
      <w:sz w:val="36"/>
      <w:szCs w:val="36"/>
      <w:lang w:eastAsia="en-US"/>
    </w:rPr>
  </w:style>
  <w:style w:type="paragraph" w:styleId="BodyText">
    <w:name w:val="Body Text"/>
    <w:basedOn w:val="Normal"/>
    <w:link w:val="BodyTextChar"/>
    <w:qFormat/>
    <w:pPr>
      <w:jc w:val="left"/>
    </w:pPr>
  </w:style>
  <w:style w:type="character" w:customStyle="1" w:styleId="BodyTextChar">
    <w:name w:val="Body Text Char"/>
    <w:basedOn w:val="DefaultParagraphFont"/>
    <w:link w:val="BodyText"/>
    <w:rPr>
      <w:rFonts w:ascii="Arial" w:hAnsi="Arial" w:cs="Arial"/>
      <w:snapToGrid w:val="0"/>
      <w:sz w:val="22"/>
      <w:lang w:eastAsia="en-US"/>
    </w:rPr>
  </w:style>
  <w:style w:type="paragraph" w:styleId="ListParagraph">
    <w:name w:val="List Paragraph"/>
    <w:aliases w:val="Numbered para,BulletPoints,List Paragraph1,Bullets Points,Styl moj,Akapit z listą1,Akapit z listą11,ES Paragraph,PBAC ES Paragraph,Bullet point,List Paragraph11,Recommendation,Footnote,PBAC normal points,Bullet List,Figure_name"/>
    <w:basedOn w:val="Normal"/>
    <w:link w:val="ListParagraphChar"/>
    <w:uiPriority w:val="72"/>
    <w:qFormat/>
    <w:pPr>
      <w:numPr>
        <w:ilvl w:val="1"/>
        <w:numId w:val="1"/>
      </w:numPr>
      <w:spacing w:after="160"/>
    </w:pPr>
  </w:style>
  <w:style w:type="character" w:customStyle="1" w:styleId="ListParagraphChar">
    <w:name w:val="List Paragraph Char"/>
    <w:aliases w:val="Numbered para Char,BulletPoints Char,List Paragraph1 Char,Bullets Points Char,Styl moj Char,Akapit z listą1 Char,Akapit z listą11 Char,ES Paragraph Char,PBAC ES Paragraph Char,Bullet point Char,List Paragraph11 Char,Footnote Char"/>
    <w:basedOn w:val="DefaultParagraphFont"/>
    <w:link w:val="ListParagraph"/>
    <w:uiPriority w:val="72"/>
    <w:qFormat/>
    <w:locked/>
    <w:rPr>
      <w:rFonts w:ascii="Calibri" w:hAnsi="Calibri" w:cs="Arial"/>
      <w:snapToGrid w:val="0"/>
      <w:sz w:val="24"/>
      <w:szCs w:val="22"/>
      <w:lang w:eastAsia="en-US"/>
    </w:rPr>
  </w:style>
  <w:style w:type="paragraph" w:customStyle="1" w:styleId="RegularText">
    <w:name w:val="Regular Text"/>
    <w:basedOn w:val="BodyText"/>
    <w:link w:val="RegularTextChar"/>
    <w:rPr>
      <w:b/>
    </w:rPr>
  </w:style>
  <w:style w:type="character" w:customStyle="1" w:styleId="RegularTextChar">
    <w:name w:val="Regular Text Char"/>
    <w:basedOn w:val="BodyTextChar"/>
    <w:link w:val="RegularText"/>
    <w:rPr>
      <w:rFonts w:ascii="Arial" w:hAnsi="Arial" w:cs="Arial"/>
      <w:b/>
      <w:snapToGrid w:val="0"/>
      <w:sz w:val="22"/>
      <w:lang w:eastAsia="en-US"/>
    </w:rPr>
  </w:style>
  <w:style w:type="paragraph" w:styleId="NoSpacing">
    <w:name w:val="No Spacing"/>
    <w:uiPriority w:val="1"/>
    <w:qFormat/>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Pr>
      <w:rFonts w:ascii="Arial" w:hAnsi="Arial" w:cs="Arial"/>
      <w:snapToGrid w:val="0"/>
      <w:sz w:val="22"/>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hAnsi="Arial" w:cs="Arial"/>
      <w:snapToGrid w:val="0"/>
      <w:sz w:val="22"/>
      <w:lang w:eastAsia="en-US"/>
    </w:rPr>
  </w:style>
  <w:style w:type="table" w:styleId="TableGrid">
    <w:name w:val="Table Grid"/>
    <w:aliases w:val="Summary box,Table Gridbeth,ASD Table,MSD 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Table HEADER PBAC"/>
    <w:uiPriority w:val="99"/>
    <w:qFormat/>
    <w:rPr>
      <w:rFonts w:ascii="Arial Narrow" w:hAnsi="Arial Narrow"/>
      <w:b/>
      <w:sz w:val="20"/>
      <w:szCs w:val="16"/>
    </w:rPr>
  </w:style>
  <w:style w:type="paragraph" w:customStyle="1" w:styleId="Tabletext">
    <w:name w:val="Table text"/>
    <w:basedOn w:val="Normal"/>
    <w:link w:val="TabletextChar"/>
    <w:uiPriority w:val="2"/>
    <w:qFormat/>
    <w:pPr>
      <w:widowControl/>
      <w:jc w:val="left"/>
    </w:pPr>
    <w:rPr>
      <w:rFonts w:ascii="Arial Narrow" w:hAnsi="Arial Narrow" w:cs="Times New Roman"/>
      <w:snapToGrid/>
      <w:sz w:val="20"/>
    </w:rPr>
  </w:style>
  <w:style w:type="character" w:customStyle="1" w:styleId="TabletextChar">
    <w:name w:val="Table text Char"/>
    <w:link w:val="Tabletext"/>
    <w:uiPriority w:val="2"/>
    <w:rPr>
      <w:rFonts w:ascii="Arial Narrow" w:hAnsi="Arial Narrow"/>
      <w:lang w:eastAsia="en-US"/>
    </w:rPr>
  </w:style>
  <w:style w:type="paragraph" w:customStyle="1" w:styleId="TableHeading">
    <w:name w:val="TableHeading"/>
    <w:basedOn w:val="Normal"/>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pPr>
      <w:widowControl/>
      <w:jc w:val="both"/>
    </w:pPr>
    <w:rPr>
      <w:rFonts w:ascii="Times" w:hAnsi="Times" w:cs="Times New Roman"/>
      <w:snapToGrid/>
      <w:lang w:val="en-US"/>
    </w:rPr>
  </w:style>
  <w:style w:type="paragraph" w:styleId="NormalWeb">
    <w:name w:val="Normal (Web)"/>
    <w:basedOn w:val="Normal"/>
    <w:uiPriority w:val="99"/>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pPr>
      <w:spacing w:before="240" w:after="120"/>
      <w:jc w:val="left"/>
    </w:pPr>
    <w:rPr>
      <w:bCs/>
      <w:sz w:val="20"/>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pPr>
      <w:ind w:left="440"/>
      <w:jc w:val="left"/>
    </w:pPr>
    <w:rPr>
      <w:rFonts w:asciiTheme="minorHAnsi" w:hAnsiTheme="minorHAnsi"/>
      <w:sz w:val="20"/>
    </w:rPr>
  </w:style>
  <w:style w:type="paragraph" w:styleId="TOC4">
    <w:name w:val="toc 4"/>
    <w:basedOn w:val="Normal"/>
    <w:next w:val="Normal"/>
    <w:autoRedefine/>
    <w:pPr>
      <w:ind w:left="660"/>
      <w:jc w:val="left"/>
    </w:pPr>
    <w:rPr>
      <w:rFonts w:asciiTheme="minorHAnsi" w:hAnsiTheme="minorHAnsi"/>
      <w:sz w:val="20"/>
    </w:rPr>
  </w:style>
  <w:style w:type="paragraph" w:styleId="TOC5">
    <w:name w:val="toc 5"/>
    <w:basedOn w:val="Normal"/>
    <w:next w:val="Normal"/>
    <w:autoRedefine/>
    <w:pPr>
      <w:ind w:left="880"/>
      <w:jc w:val="left"/>
    </w:pPr>
    <w:rPr>
      <w:rFonts w:asciiTheme="minorHAnsi" w:hAnsiTheme="minorHAnsi"/>
      <w:sz w:val="20"/>
    </w:rPr>
  </w:style>
  <w:style w:type="paragraph" w:styleId="TOC6">
    <w:name w:val="toc 6"/>
    <w:basedOn w:val="Normal"/>
    <w:next w:val="Normal"/>
    <w:autoRedefine/>
    <w:pPr>
      <w:ind w:left="1100"/>
      <w:jc w:val="left"/>
    </w:pPr>
    <w:rPr>
      <w:rFonts w:asciiTheme="minorHAnsi" w:hAnsiTheme="minorHAnsi"/>
      <w:sz w:val="20"/>
    </w:rPr>
  </w:style>
  <w:style w:type="paragraph" w:styleId="TOC7">
    <w:name w:val="toc 7"/>
    <w:basedOn w:val="Normal"/>
    <w:next w:val="Normal"/>
    <w:autoRedefine/>
    <w:pPr>
      <w:ind w:left="1320"/>
      <w:jc w:val="left"/>
    </w:pPr>
    <w:rPr>
      <w:rFonts w:asciiTheme="minorHAnsi" w:hAnsiTheme="minorHAnsi"/>
      <w:sz w:val="20"/>
    </w:rPr>
  </w:style>
  <w:style w:type="paragraph" w:styleId="TOC8">
    <w:name w:val="toc 8"/>
    <w:basedOn w:val="Normal"/>
    <w:next w:val="Normal"/>
    <w:autoRedefine/>
    <w:pPr>
      <w:ind w:left="1540"/>
      <w:jc w:val="left"/>
    </w:pPr>
    <w:rPr>
      <w:rFonts w:asciiTheme="minorHAnsi" w:hAnsiTheme="minorHAnsi"/>
      <w:sz w:val="20"/>
    </w:rPr>
  </w:style>
  <w:style w:type="paragraph" w:styleId="TOC9">
    <w:name w:val="toc 9"/>
    <w:basedOn w:val="Normal"/>
    <w:next w:val="Normal"/>
    <w:autoRedefine/>
    <w:pPr>
      <w:ind w:left="1760"/>
      <w:jc w:val="left"/>
    </w:pPr>
    <w:rPr>
      <w:rFonts w:asciiTheme="minorHAnsi" w:hAnsiTheme="minorHAnsi"/>
      <w:sz w:val="20"/>
    </w:rPr>
  </w:style>
  <w:style w:type="paragraph" w:styleId="CommentText">
    <w:name w:val="annotation text"/>
    <w:basedOn w:val="Normal"/>
    <w:link w:val="CommentTextChar"/>
    <w:rPr>
      <w:rFonts w:ascii="Times New Roman" w:hAnsi="Times New Roman" w:cs="Times New Roman"/>
      <w:sz w:val="20"/>
    </w:rPr>
  </w:style>
  <w:style w:type="character" w:customStyle="1" w:styleId="CommentTextChar">
    <w:name w:val="Comment Text Char"/>
    <w:basedOn w:val="DefaultParagraphFont"/>
    <w:link w:val="CommentText"/>
    <w:rPr>
      <w:snapToGrid w:val="0"/>
      <w:lang w:eastAsia="en-US"/>
    </w:rPr>
  </w:style>
  <w:style w:type="paragraph" w:customStyle="1" w:styleId="Bulletpoints">
    <w:name w:val="Bullet points"/>
    <w:basedOn w:val="ListParagraph"/>
    <w:qFormat/>
    <w:pPr>
      <w:numPr>
        <w:ilvl w:val="0"/>
        <w:numId w:val="2"/>
      </w:numPr>
      <w:spacing w:after="0"/>
    </w:pPr>
    <w:rPr>
      <w:szCs w:val="24"/>
    </w:rPr>
  </w:style>
  <w:style w:type="paragraph" w:customStyle="1" w:styleId="TableName">
    <w:name w:val="TableName"/>
    <w:basedOn w:val="Normal"/>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pPr>
      <w:keepNext/>
      <w:spacing w:after="0"/>
    </w:pPr>
  </w:style>
  <w:style w:type="paragraph" w:styleId="CommentSubject">
    <w:name w:val="annotation subject"/>
    <w:basedOn w:val="CommentText"/>
    <w:next w:val="CommentText"/>
    <w:link w:val="CommentSubjectChar"/>
    <w:rPr>
      <w:rFonts w:ascii="Arial" w:hAnsi="Arial" w:cs="Arial"/>
      <w:b/>
      <w:bCs/>
    </w:rPr>
  </w:style>
  <w:style w:type="character" w:customStyle="1" w:styleId="CommentSubjectChar">
    <w:name w:val="Comment Subject Char"/>
    <w:basedOn w:val="CommentTextChar"/>
    <w:link w:val="CommentSubject"/>
    <w:rPr>
      <w:rFonts w:ascii="Arial" w:hAnsi="Arial" w:cs="Arial"/>
      <w:b/>
      <w:bCs/>
      <w:snapToGrid w:val="0"/>
      <w:lang w:eastAsia="en-US"/>
    </w:rPr>
  </w:style>
  <w:style w:type="paragraph" w:styleId="Revision">
    <w:name w:val="Revision"/>
    <w:hidden/>
    <w:uiPriority w:val="99"/>
    <w:semiHidden/>
    <w:rPr>
      <w:rFonts w:ascii="Arial" w:hAnsi="Arial" w:cs="Arial"/>
      <w:snapToGrid w:val="0"/>
      <w:sz w:val="22"/>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Arial" w:hAnsi="Arial" w:cs="Arial"/>
      <w:snapToGrid w:val="0"/>
      <w:sz w:val="22"/>
      <w:lang w:eastAsia="en-US"/>
    </w:rPr>
  </w:style>
  <w:style w:type="paragraph" w:customStyle="1" w:styleId="Char1CharCharChar">
    <w:name w:val="Char1 Char Char Char"/>
    <w:basedOn w:val="Normal"/>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Pr>
      <w:lang w:eastAsia="en-US"/>
    </w:rPr>
  </w:style>
  <w:style w:type="paragraph" w:styleId="Subtitle">
    <w:name w:val="Subtitle"/>
    <w:basedOn w:val="Normal"/>
    <w:link w:val="SubtitleChar"/>
    <w:qFormat/>
    <w:pPr>
      <w:widowControl/>
    </w:pPr>
    <w:rPr>
      <w:rFonts w:ascii="Times New Roman" w:hAnsi="Times New Roman" w:cs="Times New Roman"/>
      <w:snapToGrid/>
      <w:sz w:val="20"/>
    </w:rPr>
  </w:style>
  <w:style w:type="character" w:customStyle="1" w:styleId="SubtitleChar1">
    <w:name w:val="Subtitle Char1"/>
    <w:basedOn w:val="DefaultParagraphFont"/>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pPr>
      <w:numPr>
        <w:numId w:val="1"/>
      </w:numPr>
      <w:spacing w:before="120"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Pr>
      <w:color w:val="800080" w:themeColor="followedHyperlink"/>
      <w:u w:val="single"/>
    </w:rPr>
  </w:style>
  <w:style w:type="character" w:styleId="PageNumber">
    <w:name w:val="page number"/>
    <w:basedOn w:val="DefaultParagraphFont"/>
    <w:semiHidden/>
    <w:unhideWhenUsed/>
  </w:style>
  <w:style w:type="paragraph" w:customStyle="1" w:styleId="Commentitalics">
    <w:name w:val="Comment (italics)"/>
    <w:basedOn w:val="Normal"/>
    <w:next w:val="Normal"/>
    <w:qFormat/>
    <w:rPr>
      <w:i/>
      <w:szCs w:val="24"/>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napToGrid w:val="0"/>
      <w:sz w:val="16"/>
      <w:szCs w:val="16"/>
      <w:lang w:eastAsia="en-US"/>
    </w:rPr>
  </w:style>
  <w:style w:type="paragraph" w:styleId="FootnoteText">
    <w:name w:val="footnote text"/>
    <w:aliases w:val="Footnote Text Char1,Footnote Text Char Char,Footnote Text Char2,Footnote Text Char Char1"/>
    <w:basedOn w:val="Normal"/>
    <w:link w:val="FootnoteTextChar"/>
    <w:uiPriority w:val="99"/>
    <w:unhideWhenUsed/>
    <w:rPr>
      <w:sz w:val="20"/>
      <w:szCs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uiPriority w:val="99"/>
    <w:rPr>
      <w:rFonts w:ascii="Calibri" w:hAnsi="Calibri" w:cs="Arial"/>
      <w:snapToGrid w:val="0"/>
      <w:lang w:eastAsia="en-US"/>
    </w:rPr>
  </w:style>
  <w:style w:type="character" w:styleId="FootnoteReference">
    <w:name w:val="footnote reference"/>
    <w:basedOn w:val="DefaultParagraphFont"/>
    <w:uiPriority w:val="99"/>
    <w:unhideWhenUsed/>
    <w:rPr>
      <w:vertAlign w:val="superscript"/>
    </w:rPr>
  </w:style>
  <w:style w:type="table" w:customStyle="1" w:styleId="ExecSummTable">
    <w:name w:val="Exec Summ Table"/>
    <w:basedOn w:val="TableNormal"/>
    <w:uiPriority w:val="99"/>
    <w:pPr>
      <w:ind w:left="57" w:right="57"/>
    </w:pPr>
    <w:rPr>
      <w:rFonts w:ascii="Arial" w:eastAsiaTheme="minorHAnsi" w:hAnsi="Arial" w:cstheme="minorBidi"/>
      <w:sz w:val="18"/>
      <w:lang w:bidi="th-TH"/>
    </w:rPr>
    <w:tblPr>
      <w:tblBorders>
        <w:top w:val="single" w:sz="12" w:space="0" w:color="4BACC6" w:themeColor="accent5"/>
        <w:bottom w:val="single" w:sz="12" w:space="0" w:color="4BACC6" w:themeColor="accent5"/>
        <w:insideH w:val="single" w:sz="4" w:space="0" w:color="4BACC6" w:themeColor="accent5"/>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table" w:customStyle="1" w:styleId="MSDAustralia">
    <w:name w:val="MSD Australia"/>
    <w:basedOn w:val="TableGrid"/>
    <w:uiPriority w:val="99"/>
    <w:pPr>
      <w:ind w:left="57" w:right="57"/>
    </w:pPr>
    <w:rPr>
      <w:rFonts w:ascii="Arial" w:eastAsiaTheme="minorHAnsi" w:hAnsi="Arial" w:cstheme="minorBidi"/>
      <w:lang w:eastAsia="en-US"/>
    </w:rPr>
    <w:tblPr>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paragraph" w:styleId="ListNumber">
    <w:name w:val="List Number"/>
    <w:basedOn w:val="Normal"/>
    <w:uiPriority w:val="16"/>
    <w:qFormat/>
    <w:pPr>
      <w:keepLines/>
      <w:widowControl/>
      <w:tabs>
        <w:tab w:val="num" w:pos="357"/>
      </w:tabs>
      <w:spacing w:after="360" w:line="360" w:lineRule="auto"/>
      <w:ind w:left="357" w:hanging="357"/>
      <w:jc w:val="left"/>
    </w:pPr>
    <w:rPr>
      <w:rFonts w:ascii="Arial" w:eastAsiaTheme="minorHAnsi" w:hAnsi="Arial" w:cstheme="minorBidi"/>
      <w:snapToGrid/>
      <w:sz w:val="20"/>
      <w:szCs w:val="20"/>
    </w:rPr>
  </w:style>
  <w:style w:type="paragraph" w:styleId="ListNumber2">
    <w:name w:val="List Number 2"/>
    <w:basedOn w:val="Normal"/>
    <w:uiPriority w:val="16"/>
    <w:qFormat/>
    <w:pPr>
      <w:keepLines/>
      <w:widowControl/>
      <w:tabs>
        <w:tab w:val="num" w:pos="720"/>
      </w:tabs>
      <w:spacing w:after="360" w:line="360" w:lineRule="auto"/>
      <w:ind w:left="720" w:hanging="363"/>
      <w:jc w:val="left"/>
    </w:pPr>
    <w:rPr>
      <w:rFonts w:ascii="Arial" w:eastAsiaTheme="minorHAnsi" w:hAnsi="Arial" w:cstheme="minorBidi"/>
      <w:snapToGrid/>
      <w:sz w:val="20"/>
      <w:szCs w:val="20"/>
    </w:rPr>
  </w:style>
  <w:style w:type="numbering" w:customStyle="1" w:styleId="Lists">
    <w:name w:val="Lists"/>
    <w:uiPriority w:val="99"/>
    <w:pPr>
      <w:numPr>
        <w:numId w:val="3"/>
      </w:numPr>
    </w:pPr>
  </w:style>
  <w:style w:type="paragraph" w:styleId="ListNumber3">
    <w:name w:val="List Number 3"/>
    <w:basedOn w:val="Normal"/>
    <w:uiPriority w:val="16"/>
    <w:qFormat/>
    <w:pPr>
      <w:keepLines/>
      <w:widowControl/>
      <w:tabs>
        <w:tab w:val="num" w:pos="1077"/>
      </w:tabs>
      <w:spacing w:after="360" w:line="360" w:lineRule="auto"/>
      <w:ind w:left="1077" w:hanging="357"/>
      <w:jc w:val="left"/>
    </w:pPr>
    <w:rPr>
      <w:rFonts w:ascii="Arial" w:eastAsiaTheme="minorHAnsi" w:hAnsi="Arial" w:cstheme="minorBidi"/>
      <w:snapToGrid/>
      <w:sz w:val="20"/>
      <w:szCs w:val="20"/>
    </w:rPr>
  </w:style>
  <w:style w:type="paragraph" w:styleId="ListNumber4">
    <w:name w:val="List Number 4"/>
    <w:basedOn w:val="Normal"/>
    <w:uiPriority w:val="16"/>
    <w:qFormat/>
    <w:pPr>
      <w:keepLines/>
      <w:widowControl/>
      <w:tabs>
        <w:tab w:val="num" w:pos="1435"/>
      </w:tabs>
      <w:spacing w:after="360" w:line="360" w:lineRule="auto"/>
      <w:ind w:left="1435" w:hanging="358"/>
      <w:contextualSpacing/>
      <w:jc w:val="left"/>
    </w:pPr>
    <w:rPr>
      <w:rFonts w:ascii="Arial" w:eastAsiaTheme="minorHAnsi" w:hAnsi="Arial" w:cstheme="minorBidi"/>
      <w:snapToGrid/>
      <w:sz w:val="20"/>
      <w:szCs w:val="20"/>
    </w:rPr>
  </w:style>
  <w:style w:type="paragraph" w:styleId="DocumentMap">
    <w:name w:val="Document Map"/>
    <w:basedOn w:val="Normal"/>
    <w:link w:val="DocumentMapChar"/>
    <w:semiHidden/>
    <w:unhideWhenUs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napToGrid w:val="0"/>
      <w:sz w:val="16"/>
      <w:szCs w:val="16"/>
      <w:lang w:eastAsia="en-US"/>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paragraph" w:customStyle="1" w:styleId="TableText0">
    <w:name w:val="Table Text"/>
    <w:basedOn w:val="Normal"/>
    <w:link w:val="TableTextChar0"/>
    <w:qFormat/>
    <w:pPr>
      <w:keepNext/>
      <w:widowControl/>
    </w:pPr>
    <w:rPr>
      <w:rFonts w:ascii="Arial Narrow" w:hAnsi="Arial Narrow" w:cs="Times New Roman"/>
      <w:snapToGrid/>
      <w:sz w:val="20"/>
      <w:szCs w:val="20"/>
    </w:rPr>
  </w:style>
  <w:style w:type="character" w:customStyle="1" w:styleId="TableTextChar0">
    <w:name w:val="Table Text Char"/>
    <w:link w:val="TableText0"/>
    <w:rPr>
      <w:rFonts w:ascii="Arial Narrow" w:hAnsi="Arial Narrow"/>
      <w:lang w:eastAsia="en-US"/>
    </w:rPr>
  </w:style>
  <w:style w:type="paragraph" w:customStyle="1" w:styleId="TableHeading0">
    <w:name w:val="Table Heading"/>
    <w:basedOn w:val="TableText0"/>
    <w:link w:val="TableHeadingChar"/>
    <w:qFormat/>
    <w:rPr>
      <w:rFonts w:eastAsia="SimSun" w:cs="Arial"/>
      <w:b/>
      <w:lang w:eastAsia="en-AU" w:bidi="en-US"/>
    </w:rPr>
  </w:style>
  <w:style w:type="character" w:customStyle="1" w:styleId="TableHeadingChar">
    <w:name w:val="Table Heading Char"/>
    <w:link w:val="TableHeading0"/>
    <w:locked/>
    <w:rPr>
      <w:rFonts w:ascii="Arial Narrow" w:eastAsia="SimSun" w:hAnsi="Arial Narrow" w:cs="Arial"/>
      <w:b/>
      <w:lang w:bidi="en-US"/>
    </w:rPr>
  </w:style>
  <w:style w:type="character" w:styleId="PlaceholderText">
    <w:name w:val="Placeholder Text"/>
    <w:basedOn w:val="DefaultParagraphFont"/>
    <w:uiPriority w:val="99"/>
    <w:semiHidden/>
    <w:rPr>
      <w:color w:val="808080"/>
    </w:rPr>
  </w:style>
  <w:style w:type="paragraph" w:customStyle="1" w:styleId="EndNoteBibliographyTitle">
    <w:name w:val="EndNote Bibliography Title"/>
    <w:basedOn w:val="Normal"/>
    <w:link w:val="EndNoteBibliographyTitleChar"/>
    <w:pPr>
      <w:jc w:val="center"/>
    </w:pPr>
    <w:rPr>
      <w:rFonts w:cs="Calibri"/>
      <w:noProof/>
      <w:lang w:val="en-US"/>
    </w:rPr>
  </w:style>
  <w:style w:type="character" w:customStyle="1" w:styleId="EndNoteBibliographyTitleChar">
    <w:name w:val="EndNote Bibliography Title Char"/>
    <w:basedOn w:val="DefaultParagraphFont"/>
    <w:link w:val="EndNoteBibliographyTitle"/>
    <w:rPr>
      <w:rFonts w:ascii="Calibri" w:hAnsi="Calibri" w:cs="Calibri"/>
      <w:noProof/>
      <w:snapToGrid w:val="0"/>
      <w:sz w:val="24"/>
      <w:szCs w:val="22"/>
      <w:lang w:val="en-US" w:eastAsia="en-US"/>
    </w:rPr>
  </w:style>
  <w:style w:type="paragraph" w:customStyle="1" w:styleId="EndNoteBibliography">
    <w:name w:val="EndNote Bibliography"/>
    <w:basedOn w:val="Normal"/>
    <w:link w:val="EndNoteBibliographyChar"/>
    <w:pPr>
      <w:jc w:val="left"/>
    </w:pPr>
    <w:rPr>
      <w:rFonts w:cs="Calibri"/>
      <w:noProof/>
      <w:lang w:val="en-US"/>
    </w:rPr>
  </w:style>
  <w:style w:type="character" w:customStyle="1" w:styleId="EndNoteBibliographyChar">
    <w:name w:val="EndNote Bibliography Char"/>
    <w:basedOn w:val="DefaultParagraphFont"/>
    <w:link w:val="EndNoteBibliography"/>
    <w:rPr>
      <w:rFonts w:ascii="Calibri" w:hAnsi="Calibri" w:cs="Calibri"/>
      <w:noProof/>
      <w:snapToGrid w:val="0"/>
      <w:sz w:val="24"/>
      <w:szCs w:val="22"/>
      <w:lang w:val="en-US" w:eastAsia="en-US"/>
    </w:rPr>
  </w:style>
  <w:style w:type="table" w:styleId="TableGridLight">
    <w:name w:val="Grid Table Light"/>
    <w:basedOn w:val="TableNormal"/>
    <w:uiPriority w:val="4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SDTable1">
    <w:name w:val="ASD Table1"/>
    <w:basedOn w:val="TableNormal"/>
    <w:next w:val="TableGrid"/>
    <w:uiPriority w:val="39"/>
    <w:pPr>
      <w:widowControl w:val="0"/>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Tableheading1">
    <w:name w:val="Table heading"/>
    <w:basedOn w:val="Normal"/>
    <w:link w:val="TableheadingChar0"/>
    <w:qFormat/>
    <w:pPr>
      <w:keepNext/>
      <w:keepLines/>
      <w:widowControl/>
      <w:spacing w:before="60" w:after="60"/>
      <w:jc w:val="left"/>
    </w:pPr>
    <w:rPr>
      <w:rFonts w:ascii="Arial Narrow" w:hAnsi="Arial Narrow" w:cs="Times New Roman"/>
      <w:b/>
      <w:snapToGrid/>
      <w:sz w:val="20"/>
      <w:szCs w:val="20"/>
    </w:rPr>
  </w:style>
  <w:style w:type="character" w:customStyle="1" w:styleId="TableheadingChar0">
    <w:name w:val="Table heading Char"/>
    <w:link w:val="Tableheading1"/>
    <w:locked/>
    <w:rPr>
      <w:rFonts w:ascii="Arial Narrow" w:hAnsi="Arial Narrow"/>
      <w:b/>
      <w:lang w:eastAsia="en-US"/>
    </w:rPr>
  </w:style>
  <w:style w:type="paragraph" w:customStyle="1" w:styleId="AllText">
    <w:name w:val="AllText"/>
    <w:link w:val="AllTextChar"/>
    <w:pPr>
      <w:spacing w:after="240"/>
      <w:jc w:val="both"/>
    </w:pPr>
    <w:rPr>
      <w:sz w:val="24"/>
      <w:lang w:val="en-US" w:eastAsia="en-US"/>
    </w:rPr>
  </w:style>
  <w:style w:type="character" w:customStyle="1" w:styleId="AllTextChar">
    <w:name w:val="AllText Char"/>
    <w:link w:val="AllText"/>
    <w:rPr>
      <w:sz w:val="24"/>
      <w:lang w:val="en-US" w:eastAsia="en-US"/>
    </w:rPr>
  </w:style>
  <w:style w:type="table" w:styleId="PlainTable1">
    <w:name w:val="Plain Table 1"/>
    <w:basedOn w:val="TableNormal"/>
    <w:uiPriority w:val="41"/>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uiPriority w:val="16"/>
    <w:qFormat/>
    <w:pPr>
      <w:widowControl/>
      <w:numPr>
        <w:numId w:val="8"/>
      </w:numPr>
      <w:spacing w:after="240" w:line="360" w:lineRule="auto"/>
      <w:jc w:val="left"/>
    </w:pPr>
    <w:rPr>
      <w:rFonts w:ascii="Arial" w:eastAsiaTheme="minorHAnsi" w:hAnsi="Arial" w:cstheme="minorBidi"/>
      <w:snapToGrid/>
      <w:sz w:val="20"/>
      <w:szCs w:val="20"/>
    </w:rPr>
  </w:style>
  <w:style w:type="table" w:styleId="DarkList-Accent5">
    <w:name w:val="Dark List Accent 5"/>
    <w:basedOn w:val="TableNormal"/>
    <w:uiPriority w:val="70"/>
    <w:rPr>
      <w:rFonts w:ascii="Arial" w:eastAsiaTheme="minorHAnsi" w:hAnsi="Arial"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paragraph" w:customStyle="1" w:styleId="Source">
    <w:name w:val="Source"/>
    <w:basedOn w:val="Normal"/>
    <w:uiPriority w:val="35"/>
    <w:qFormat/>
    <w:pPr>
      <w:widowControl/>
      <w:tabs>
        <w:tab w:val="left" w:pos="284"/>
      </w:tabs>
      <w:spacing w:before="60" w:after="240" w:line="360" w:lineRule="auto"/>
      <w:contextualSpacing/>
      <w:jc w:val="left"/>
    </w:pPr>
    <w:rPr>
      <w:rFonts w:ascii="Arial" w:eastAsiaTheme="minorHAnsi" w:hAnsi="Arial" w:cstheme="minorBidi"/>
      <w:snapToGrid/>
      <w:sz w:val="18"/>
      <w:szCs w:val="20"/>
    </w:rPr>
  </w:style>
  <w:style w:type="table" w:styleId="ColorfulShading-Accent4">
    <w:name w:val="Colorful Shading Accent 4"/>
    <w:basedOn w:val="TableNormal"/>
    <w:uiPriority w:val="71"/>
    <w:rPr>
      <w:rFonts w:ascii="Arial" w:eastAsiaTheme="minorHAnsi" w:hAnsi="Arial" w:cstheme="minorBidi"/>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rPr>
      <w:rFonts w:ascii="Calibri" w:hAnsi="Calibri" w:cs="Arial"/>
      <w:b/>
      <w:caps/>
      <w:snapToGrid w:val="0"/>
      <w:sz w:val="32"/>
      <w:szCs w:val="22"/>
      <w:lang w:eastAsia="en-US"/>
    </w:rPr>
  </w:style>
  <w:style w:type="character" w:customStyle="1" w:styleId="Heading3Char">
    <w:name w:val="Heading 3 Char"/>
    <w:basedOn w:val="DefaultParagraphFont"/>
    <w:link w:val="Heading3"/>
    <w:rPr>
      <w:rFonts w:ascii="Calibri" w:hAnsi="Calibri" w:cs="Arial"/>
      <w:b/>
      <w:snapToGrid w:val="0"/>
      <w:sz w:val="24"/>
      <w:szCs w:val="22"/>
      <w:u w:val="single"/>
      <w:lang w:eastAsia="en-US"/>
    </w:rPr>
  </w:style>
  <w:style w:type="character" w:customStyle="1" w:styleId="Heading4Char">
    <w:name w:val="Heading 4 Char"/>
    <w:basedOn w:val="DefaultParagraphFont"/>
    <w:link w:val="Heading4"/>
    <w:rPr>
      <w:rFonts w:ascii="Calibri" w:hAnsi="Calibri" w:cs="Arial"/>
      <w:b/>
      <w:bCs/>
      <w:i/>
      <w:snapToGrid w:val="0"/>
      <w:sz w:val="26"/>
      <w:szCs w:val="28"/>
      <w:lang w:eastAsia="en-US"/>
    </w:rPr>
  </w:style>
  <w:style w:type="character" w:customStyle="1" w:styleId="Heading5Char">
    <w:name w:val="Heading 5 Char"/>
    <w:basedOn w:val="DefaultParagraphFont"/>
    <w:link w:val="Heading5"/>
    <w:rPr>
      <w:rFonts w:ascii="Calibri" w:hAnsi="Calibri" w:cs="Arial"/>
      <w:b/>
      <w:bCs/>
      <w:iCs/>
      <w:snapToGrid w:val="0"/>
      <w:sz w:val="26"/>
      <w:szCs w:val="26"/>
      <w:lang w:eastAsia="en-US"/>
    </w:rPr>
  </w:style>
  <w:style w:type="character" w:customStyle="1" w:styleId="Heading6Char">
    <w:name w:val="Heading 6 Char"/>
    <w:basedOn w:val="DefaultParagraphFont"/>
    <w:link w:val="Heading6"/>
    <w:rPr>
      <w:rFonts w:ascii="Calibri" w:hAnsi="Calibri" w:cs="Arial"/>
      <w:b/>
      <w:bCs/>
      <w:i/>
      <w:snapToGrid w:val="0"/>
      <w:sz w:val="24"/>
      <w:szCs w:val="22"/>
      <w:lang w:eastAsia="en-US"/>
    </w:rPr>
  </w:style>
  <w:style w:type="table" w:styleId="PlainTable3">
    <w:name w:val="Plain Table 3"/>
    <w:basedOn w:val="TableNormal"/>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ilfuvd">
    <w:name w:val="ilfuvd"/>
    <w:basedOn w:val="DefaultParagraphFont"/>
  </w:style>
  <w:style w:type="paragraph" w:styleId="ListBullet3">
    <w:name w:val="List Bullet 3"/>
    <w:basedOn w:val="Normal"/>
    <w:semiHidden/>
    <w:unhideWhenUsed/>
    <w:pPr>
      <w:numPr>
        <w:numId w:val="9"/>
      </w:numPr>
      <w:contextualSpacing/>
    </w:pPr>
  </w:style>
  <w:style w:type="character" w:customStyle="1" w:styleId="item-code2">
    <w:name w:val="item-code2"/>
    <w:basedOn w:val="DefaultParagraphFont"/>
    <w:rPr>
      <w:vanish w:val="0"/>
      <w:webHidden w:val="0"/>
      <w:specVanish w:val="0"/>
    </w:rPr>
  </w:style>
  <w:style w:type="paragraph" w:customStyle="1" w:styleId="PBACheading10">
    <w:name w:val="PBAC heading 1"/>
    <w:qFormat/>
    <w:pPr>
      <w:snapToGrid w:val="0"/>
      <w:ind w:left="720" w:hanging="720"/>
      <w:outlineLvl w:val="0"/>
    </w:pPr>
    <w:rPr>
      <w:rFonts w:ascii="Arial" w:hAnsi="Arial" w:cs="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848">
      <w:bodyDiv w:val="1"/>
      <w:marLeft w:val="0"/>
      <w:marRight w:val="0"/>
      <w:marTop w:val="0"/>
      <w:marBottom w:val="0"/>
      <w:divBdr>
        <w:top w:val="none" w:sz="0" w:space="0" w:color="auto"/>
        <w:left w:val="none" w:sz="0" w:space="0" w:color="auto"/>
        <w:bottom w:val="none" w:sz="0" w:space="0" w:color="auto"/>
        <w:right w:val="none" w:sz="0" w:space="0" w:color="auto"/>
      </w:divBdr>
    </w:div>
    <w:div w:id="79327872">
      <w:bodyDiv w:val="1"/>
      <w:marLeft w:val="0"/>
      <w:marRight w:val="0"/>
      <w:marTop w:val="0"/>
      <w:marBottom w:val="0"/>
      <w:divBdr>
        <w:top w:val="none" w:sz="0" w:space="0" w:color="auto"/>
        <w:left w:val="none" w:sz="0" w:space="0" w:color="auto"/>
        <w:bottom w:val="none" w:sz="0" w:space="0" w:color="auto"/>
        <w:right w:val="none" w:sz="0" w:space="0" w:color="auto"/>
      </w:divBdr>
    </w:div>
    <w:div w:id="84763836">
      <w:bodyDiv w:val="1"/>
      <w:marLeft w:val="0"/>
      <w:marRight w:val="0"/>
      <w:marTop w:val="0"/>
      <w:marBottom w:val="0"/>
      <w:divBdr>
        <w:top w:val="none" w:sz="0" w:space="0" w:color="auto"/>
        <w:left w:val="none" w:sz="0" w:space="0" w:color="auto"/>
        <w:bottom w:val="none" w:sz="0" w:space="0" w:color="auto"/>
        <w:right w:val="none" w:sz="0" w:space="0" w:color="auto"/>
      </w:divBdr>
    </w:div>
    <w:div w:id="163473233">
      <w:bodyDiv w:val="1"/>
      <w:marLeft w:val="0"/>
      <w:marRight w:val="0"/>
      <w:marTop w:val="0"/>
      <w:marBottom w:val="0"/>
      <w:divBdr>
        <w:top w:val="none" w:sz="0" w:space="0" w:color="auto"/>
        <w:left w:val="none" w:sz="0" w:space="0" w:color="auto"/>
        <w:bottom w:val="none" w:sz="0" w:space="0" w:color="auto"/>
        <w:right w:val="none" w:sz="0" w:space="0" w:color="auto"/>
      </w:divBdr>
    </w:div>
    <w:div w:id="212930968">
      <w:bodyDiv w:val="1"/>
      <w:marLeft w:val="0"/>
      <w:marRight w:val="0"/>
      <w:marTop w:val="0"/>
      <w:marBottom w:val="0"/>
      <w:divBdr>
        <w:top w:val="none" w:sz="0" w:space="0" w:color="auto"/>
        <w:left w:val="none" w:sz="0" w:space="0" w:color="auto"/>
        <w:bottom w:val="none" w:sz="0" w:space="0" w:color="auto"/>
        <w:right w:val="none" w:sz="0" w:space="0" w:color="auto"/>
      </w:divBdr>
    </w:div>
    <w:div w:id="310795189">
      <w:bodyDiv w:val="1"/>
      <w:marLeft w:val="0"/>
      <w:marRight w:val="0"/>
      <w:marTop w:val="0"/>
      <w:marBottom w:val="0"/>
      <w:divBdr>
        <w:top w:val="none" w:sz="0" w:space="0" w:color="auto"/>
        <w:left w:val="none" w:sz="0" w:space="0" w:color="auto"/>
        <w:bottom w:val="none" w:sz="0" w:space="0" w:color="auto"/>
        <w:right w:val="none" w:sz="0" w:space="0" w:color="auto"/>
      </w:divBdr>
    </w:div>
    <w:div w:id="317419101">
      <w:bodyDiv w:val="1"/>
      <w:marLeft w:val="0"/>
      <w:marRight w:val="0"/>
      <w:marTop w:val="0"/>
      <w:marBottom w:val="0"/>
      <w:divBdr>
        <w:top w:val="none" w:sz="0" w:space="0" w:color="auto"/>
        <w:left w:val="none" w:sz="0" w:space="0" w:color="auto"/>
        <w:bottom w:val="none" w:sz="0" w:space="0" w:color="auto"/>
        <w:right w:val="none" w:sz="0" w:space="0" w:color="auto"/>
      </w:divBdr>
    </w:div>
    <w:div w:id="351614346">
      <w:bodyDiv w:val="1"/>
      <w:marLeft w:val="0"/>
      <w:marRight w:val="0"/>
      <w:marTop w:val="0"/>
      <w:marBottom w:val="0"/>
      <w:divBdr>
        <w:top w:val="none" w:sz="0" w:space="0" w:color="auto"/>
        <w:left w:val="none" w:sz="0" w:space="0" w:color="auto"/>
        <w:bottom w:val="none" w:sz="0" w:space="0" w:color="auto"/>
        <w:right w:val="none" w:sz="0" w:space="0" w:color="auto"/>
      </w:divBdr>
    </w:div>
    <w:div w:id="438305740">
      <w:bodyDiv w:val="1"/>
      <w:marLeft w:val="0"/>
      <w:marRight w:val="0"/>
      <w:marTop w:val="0"/>
      <w:marBottom w:val="0"/>
      <w:divBdr>
        <w:top w:val="none" w:sz="0" w:space="0" w:color="auto"/>
        <w:left w:val="none" w:sz="0" w:space="0" w:color="auto"/>
        <w:bottom w:val="none" w:sz="0" w:space="0" w:color="auto"/>
        <w:right w:val="none" w:sz="0" w:space="0" w:color="auto"/>
      </w:divBdr>
    </w:div>
    <w:div w:id="581255789">
      <w:bodyDiv w:val="1"/>
      <w:marLeft w:val="0"/>
      <w:marRight w:val="0"/>
      <w:marTop w:val="0"/>
      <w:marBottom w:val="0"/>
      <w:divBdr>
        <w:top w:val="none" w:sz="0" w:space="0" w:color="auto"/>
        <w:left w:val="none" w:sz="0" w:space="0" w:color="auto"/>
        <w:bottom w:val="none" w:sz="0" w:space="0" w:color="auto"/>
        <w:right w:val="none" w:sz="0" w:space="0" w:color="auto"/>
      </w:divBdr>
    </w:div>
    <w:div w:id="594441058">
      <w:bodyDiv w:val="1"/>
      <w:marLeft w:val="0"/>
      <w:marRight w:val="0"/>
      <w:marTop w:val="0"/>
      <w:marBottom w:val="0"/>
      <w:divBdr>
        <w:top w:val="none" w:sz="0" w:space="0" w:color="auto"/>
        <w:left w:val="none" w:sz="0" w:space="0" w:color="auto"/>
        <w:bottom w:val="none" w:sz="0" w:space="0" w:color="auto"/>
        <w:right w:val="none" w:sz="0" w:space="0" w:color="auto"/>
      </w:divBdr>
    </w:div>
    <w:div w:id="700013248">
      <w:bodyDiv w:val="1"/>
      <w:marLeft w:val="0"/>
      <w:marRight w:val="0"/>
      <w:marTop w:val="0"/>
      <w:marBottom w:val="0"/>
      <w:divBdr>
        <w:top w:val="none" w:sz="0" w:space="0" w:color="auto"/>
        <w:left w:val="none" w:sz="0" w:space="0" w:color="auto"/>
        <w:bottom w:val="none" w:sz="0" w:space="0" w:color="auto"/>
        <w:right w:val="none" w:sz="0" w:space="0" w:color="auto"/>
      </w:divBdr>
    </w:div>
    <w:div w:id="703678322">
      <w:bodyDiv w:val="1"/>
      <w:marLeft w:val="0"/>
      <w:marRight w:val="0"/>
      <w:marTop w:val="0"/>
      <w:marBottom w:val="0"/>
      <w:divBdr>
        <w:top w:val="none" w:sz="0" w:space="0" w:color="auto"/>
        <w:left w:val="none" w:sz="0" w:space="0" w:color="auto"/>
        <w:bottom w:val="none" w:sz="0" w:space="0" w:color="auto"/>
        <w:right w:val="none" w:sz="0" w:space="0" w:color="auto"/>
      </w:divBdr>
    </w:div>
    <w:div w:id="727071368">
      <w:bodyDiv w:val="1"/>
      <w:marLeft w:val="0"/>
      <w:marRight w:val="0"/>
      <w:marTop w:val="0"/>
      <w:marBottom w:val="0"/>
      <w:divBdr>
        <w:top w:val="none" w:sz="0" w:space="0" w:color="auto"/>
        <w:left w:val="none" w:sz="0" w:space="0" w:color="auto"/>
        <w:bottom w:val="none" w:sz="0" w:space="0" w:color="auto"/>
        <w:right w:val="none" w:sz="0" w:space="0" w:color="auto"/>
      </w:divBdr>
      <w:divsChild>
        <w:div w:id="1735354332">
          <w:marLeft w:val="0"/>
          <w:marRight w:val="0"/>
          <w:marTop w:val="0"/>
          <w:marBottom w:val="0"/>
          <w:divBdr>
            <w:top w:val="none" w:sz="0" w:space="0" w:color="auto"/>
            <w:left w:val="none" w:sz="0" w:space="0" w:color="auto"/>
            <w:bottom w:val="none" w:sz="0" w:space="0" w:color="auto"/>
            <w:right w:val="none" w:sz="0" w:space="0" w:color="auto"/>
          </w:divBdr>
        </w:div>
      </w:divsChild>
    </w:div>
    <w:div w:id="826827200">
      <w:bodyDiv w:val="1"/>
      <w:marLeft w:val="0"/>
      <w:marRight w:val="0"/>
      <w:marTop w:val="0"/>
      <w:marBottom w:val="0"/>
      <w:divBdr>
        <w:top w:val="none" w:sz="0" w:space="0" w:color="auto"/>
        <w:left w:val="none" w:sz="0" w:space="0" w:color="auto"/>
        <w:bottom w:val="none" w:sz="0" w:space="0" w:color="auto"/>
        <w:right w:val="none" w:sz="0" w:space="0" w:color="auto"/>
      </w:divBdr>
    </w:div>
    <w:div w:id="830953048">
      <w:bodyDiv w:val="1"/>
      <w:marLeft w:val="0"/>
      <w:marRight w:val="0"/>
      <w:marTop w:val="0"/>
      <w:marBottom w:val="0"/>
      <w:divBdr>
        <w:top w:val="none" w:sz="0" w:space="0" w:color="auto"/>
        <w:left w:val="none" w:sz="0" w:space="0" w:color="auto"/>
        <w:bottom w:val="none" w:sz="0" w:space="0" w:color="auto"/>
        <w:right w:val="none" w:sz="0" w:space="0" w:color="auto"/>
      </w:divBdr>
    </w:div>
    <w:div w:id="876816324">
      <w:bodyDiv w:val="1"/>
      <w:marLeft w:val="0"/>
      <w:marRight w:val="0"/>
      <w:marTop w:val="0"/>
      <w:marBottom w:val="0"/>
      <w:divBdr>
        <w:top w:val="none" w:sz="0" w:space="0" w:color="auto"/>
        <w:left w:val="none" w:sz="0" w:space="0" w:color="auto"/>
        <w:bottom w:val="none" w:sz="0" w:space="0" w:color="auto"/>
        <w:right w:val="none" w:sz="0" w:space="0" w:color="auto"/>
      </w:divBdr>
    </w:div>
    <w:div w:id="1015114424">
      <w:bodyDiv w:val="1"/>
      <w:marLeft w:val="0"/>
      <w:marRight w:val="0"/>
      <w:marTop w:val="0"/>
      <w:marBottom w:val="0"/>
      <w:divBdr>
        <w:top w:val="none" w:sz="0" w:space="0" w:color="auto"/>
        <w:left w:val="none" w:sz="0" w:space="0" w:color="auto"/>
        <w:bottom w:val="none" w:sz="0" w:space="0" w:color="auto"/>
        <w:right w:val="none" w:sz="0" w:space="0" w:color="auto"/>
      </w:divBdr>
    </w:div>
    <w:div w:id="1055398614">
      <w:bodyDiv w:val="1"/>
      <w:marLeft w:val="0"/>
      <w:marRight w:val="0"/>
      <w:marTop w:val="0"/>
      <w:marBottom w:val="0"/>
      <w:divBdr>
        <w:top w:val="none" w:sz="0" w:space="0" w:color="auto"/>
        <w:left w:val="none" w:sz="0" w:space="0" w:color="auto"/>
        <w:bottom w:val="none" w:sz="0" w:space="0" w:color="auto"/>
        <w:right w:val="none" w:sz="0" w:space="0" w:color="auto"/>
      </w:divBdr>
    </w:div>
    <w:div w:id="1078868091">
      <w:bodyDiv w:val="1"/>
      <w:marLeft w:val="0"/>
      <w:marRight w:val="0"/>
      <w:marTop w:val="0"/>
      <w:marBottom w:val="0"/>
      <w:divBdr>
        <w:top w:val="none" w:sz="0" w:space="0" w:color="auto"/>
        <w:left w:val="none" w:sz="0" w:space="0" w:color="auto"/>
        <w:bottom w:val="none" w:sz="0" w:space="0" w:color="auto"/>
        <w:right w:val="none" w:sz="0" w:space="0" w:color="auto"/>
      </w:divBdr>
    </w:div>
    <w:div w:id="1206404899">
      <w:bodyDiv w:val="1"/>
      <w:marLeft w:val="0"/>
      <w:marRight w:val="0"/>
      <w:marTop w:val="0"/>
      <w:marBottom w:val="0"/>
      <w:divBdr>
        <w:top w:val="none" w:sz="0" w:space="0" w:color="auto"/>
        <w:left w:val="none" w:sz="0" w:space="0" w:color="auto"/>
        <w:bottom w:val="none" w:sz="0" w:space="0" w:color="auto"/>
        <w:right w:val="none" w:sz="0" w:space="0" w:color="auto"/>
      </w:divBdr>
    </w:div>
    <w:div w:id="1280644340">
      <w:bodyDiv w:val="1"/>
      <w:marLeft w:val="0"/>
      <w:marRight w:val="0"/>
      <w:marTop w:val="0"/>
      <w:marBottom w:val="0"/>
      <w:divBdr>
        <w:top w:val="none" w:sz="0" w:space="0" w:color="auto"/>
        <w:left w:val="none" w:sz="0" w:space="0" w:color="auto"/>
        <w:bottom w:val="none" w:sz="0" w:space="0" w:color="auto"/>
        <w:right w:val="none" w:sz="0" w:space="0" w:color="auto"/>
      </w:divBdr>
    </w:div>
    <w:div w:id="1389916209">
      <w:bodyDiv w:val="1"/>
      <w:marLeft w:val="0"/>
      <w:marRight w:val="0"/>
      <w:marTop w:val="0"/>
      <w:marBottom w:val="0"/>
      <w:divBdr>
        <w:top w:val="none" w:sz="0" w:space="0" w:color="auto"/>
        <w:left w:val="none" w:sz="0" w:space="0" w:color="auto"/>
        <w:bottom w:val="none" w:sz="0" w:space="0" w:color="auto"/>
        <w:right w:val="none" w:sz="0" w:space="0" w:color="auto"/>
      </w:divBdr>
    </w:div>
    <w:div w:id="1413812834">
      <w:bodyDiv w:val="1"/>
      <w:marLeft w:val="0"/>
      <w:marRight w:val="0"/>
      <w:marTop w:val="0"/>
      <w:marBottom w:val="0"/>
      <w:divBdr>
        <w:top w:val="none" w:sz="0" w:space="0" w:color="auto"/>
        <w:left w:val="none" w:sz="0" w:space="0" w:color="auto"/>
        <w:bottom w:val="none" w:sz="0" w:space="0" w:color="auto"/>
        <w:right w:val="none" w:sz="0" w:space="0" w:color="auto"/>
      </w:divBdr>
    </w:div>
    <w:div w:id="1414207423">
      <w:bodyDiv w:val="1"/>
      <w:marLeft w:val="0"/>
      <w:marRight w:val="0"/>
      <w:marTop w:val="0"/>
      <w:marBottom w:val="0"/>
      <w:divBdr>
        <w:top w:val="none" w:sz="0" w:space="0" w:color="auto"/>
        <w:left w:val="none" w:sz="0" w:space="0" w:color="auto"/>
        <w:bottom w:val="none" w:sz="0" w:space="0" w:color="auto"/>
        <w:right w:val="none" w:sz="0" w:space="0" w:color="auto"/>
      </w:divBdr>
    </w:div>
    <w:div w:id="1524784440">
      <w:bodyDiv w:val="1"/>
      <w:marLeft w:val="0"/>
      <w:marRight w:val="0"/>
      <w:marTop w:val="0"/>
      <w:marBottom w:val="0"/>
      <w:divBdr>
        <w:top w:val="none" w:sz="0" w:space="0" w:color="auto"/>
        <w:left w:val="none" w:sz="0" w:space="0" w:color="auto"/>
        <w:bottom w:val="none" w:sz="0" w:space="0" w:color="auto"/>
        <w:right w:val="none" w:sz="0" w:space="0" w:color="auto"/>
      </w:divBdr>
    </w:div>
    <w:div w:id="1568951903">
      <w:bodyDiv w:val="1"/>
      <w:marLeft w:val="0"/>
      <w:marRight w:val="0"/>
      <w:marTop w:val="0"/>
      <w:marBottom w:val="0"/>
      <w:divBdr>
        <w:top w:val="none" w:sz="0" w:space="0" w:color="auto"/>
        <w:left w:val="none" w:sz="0" w:space="0" w:color="auto"/>
        <w:bottom w:val="none" w:sz="0" w:space="0" w:color="auto"/>
        <w:right w:val="none" w:sz="0" w:space="0" w:color="auto"/>
      </w:divBdr>
    </w:div>
    <w:div w:id="1708796411">
      <w:bodyDiv w:val="1"/>
      <w:marLeft w:val="0"/>
      <w:marRight w:val="0"/>
      <w:marTop w:val="0"/>
      <w:marBottom w:val="0"/>
      <w:divBdr>
        <w:top w:val="none" w:sz="0" w:space="0" w:color="auto"/>
        <w:left w:val="none" w:sz="0" w:space="0" w:color="auto"/>
        <w:bottom w:val="none" w:sz="0" w:space="0" w:color="auto"/>
        <w:right w:val="none" w:sz="0" w:space="0" w:color="auto"/>
      </w:divBdr>
    </w:div>
    <w:div w:id="1856115740">
      <w:bodyDiv w:val="1"/>
      <w:marLeft w:val="0"/>
      <w:marRight w:val="0"/>
      <w:marTop w:val="0"/>
      <w:marBottom w:val="0"/>
      <w:divBdr>
        <w:top w:val="none" w:sz="0" w:space="0" w:color="auto"/>
        <w:left w:val="none" w:sz="0" w:space="0" w:color="auto"/>
        <w:bottom w:val="none" w:sz="0" w:space="0" w:color="auto"/>
        <w:right w:val="none" w:sz="0" w:space="0" w:color="auto"/>
      </w:divBdr>
    </w:div>
    <w:div w:id="1874154062">
      <w:bodyDiv w:val="1"/>
      <w:marLeft w:val="0"/>
      <w:marRight w:val="0"/>
      <w:marTop w:val="0"/>
      <w:marBottom w:val="0"/>
      <w:divBdr>
        <w:top w:val="none" w:sz="0" w:space="0" w:color="auto"/>
        <w:left w:val="none" w:sz="0" w:space="0" w:color="auto"/>
        <w:bottom w:val="none" w:sz="0" w:space="0" w:color="auto"/>
        <w:right w:val="none" w:sz="0" w:space="0" w:color="auto"/>
      </w:divBdr>
    </w:div>
    <w:div w:id="1877156299">
      <w:bodyDiv w:val="1"/>
      <w:marLeft w:val="0"/>
      <w:marRight w:val="0"/>
      <w:marTop w:val="0"/>
      <w:marBottom w:val="0"/>
      <w:divBdr>
        <w:top w:val="none" w:sz="0" w:space="0" w:color="auto"/>
        <w:left w:val="none" w:sz="0" w:space="0" w:color="auto"/>
        <w:bottom w:val="none" w:sz="0" w:space="0" w:color="auto"/>
        <w:right w:val="none" w:sz="0" w:space="0" w:color="auto"/>
      </w:divBdr>
      <w:divsChild>
        <w:div w:id="1441025239">
          <w:marLeft w:val="0"/>
          <w:marRight w:val="0"/>
          <w:marTop w:val="0"/>
          <w:marBottom w:val="0"/>
          <w:divBdr>
            <w:top w:val="none" w:sz="0" w:space="0" w:color="auto"/>
            <w:left w:val="none" w:sz="0" w:space="0" w:color="auto"/>
            <w:bottom w:val="none" w:sz="0" w:space="0" w:color="auto"/>
            <w:right w:val="none" w:sz="0" w:space="0" w:color="auto"/>
          </w:divBdr>
          <w:divsChild>
            <w:div w:id="758794898">
              <w:marLeft w:val="0"/>
              <w:marRight w:val="0"/>
              <w:marTop w:val="0"/>
              <w:marBottom w:val="0"/>
              <w:divBdr>
                <w:top w:val="none" w:sz="0" w:space="0" w:color="auto"/>
                <w:left w:val="none" w:sz="0" w:space="0" w:color="auto"/>
                <w:bottom w:val="none" w:sz="0" w:space="0" w:color="auto"/>
                <w:right w:val="none" w:sz="0" w:space="0" w:color="auto"/>
              </w:divBdr>
              <w:divsChild>
                <w:div w:id="1945572928">
                  <w:marLeft w:val="0"/>
                  <w:marRight w:val="0"/>
                  <w:marTop w:val="0"/>
                  <w:marBottom w:val="0"/>
                  <w:divBdr>
                    <w:top w:val="none" w:sz="0" w:space="0" w:color="auto"/>
                    <w:left w:val="none" w:sz="0" w:space="0" w:color="auto"/>
                    <w:bottom w:val="none" w:sz="0" w:space="0" w:color="auto"/>
                    <w:right w:val="none" w:sz="0" w:space="0" w:color="auto"/>
                  </w:divBdr>
                  <w:divsChild>
                    <w:div w:id="1982924583">
                      <w:marLeft w:val="0"/>
                      <w:marRight w:val="0"/>
                      <w:marTop w:val="0"/>
                      <w:marBottom w:val="0"/>
                      <w:divBdr>
                        <w:top w:val="none" w:sz="0" w:space="0" w:color="auto"/>
                        <w:left w:val="none" w:sz="0" w:space="0" w:color="auto"/>
                        <w:bottom w:val="none" w:sz="0" w:space="0" w:color="auto"/>
                        <w:right w:val="none" w:sz="0" w:space="0" w:color="auto"/>
                      </w:divBdr>
                      <w:divsChild>
                        <w:div w:id="246773067">
                          <w:marLeft w:val="0"/>
                          <w:marRight w:val="0"/>
                          <w:marTop w:val="0"/>
                          <w:marBottom w:val="0"/>
                          <w:divBdr>
                            <w:top w:val="none" w:sz="0" w:space="0" w:color="auto"/>
                            <w:left w:val="none" w:sz="0" w:space="0" w:color="auto"/>
                            <w:bottom w:val="none" w:sz="0" w:space="0" w:color="auto"/>
                            <w:right w:val="none" w:sz="0" w:space="0" w:color="auto"/>
                          </w:divBdr>
                          <w:divsChild>
                            <w:div w:id="315692694">
                              <w:marLeft w:val="2070"/>
                              <w:marRight w:val="3960"/>
                              <w:marTop w:val="0"/>
                              <w:marBottom w:val="0"/>
                              <w:divBdr>
                                <w:top w:val="none" w:sz="0" w:space="0" w:color="auto"/>
                                <w:left w:val="none" w:sz="0" w:space="0" w:color="auto"/>
                                <w:bottom w:val="none" w:sz="0" w:space="0" w:color="auto"/>
                                <w:right w:val="none" w:sz="0" w:space="0" w:color="auto"/>
                              </w:divBdr>
                              <w:divsChild>
                                <w:div w:id="1184368331">
                                  <w:marLeft w:val="0"/>
                                  <w:marRight w:val="0"/>
                                  <w:marTop w:val="0"/>
                                  <w:marBottom w:val="0"/>
                                  <w:divBdr>
                                    <w:top w:val="none" w:sz="0" w:space="0" w:color="auto"/>
                                    <w:left w:val="none" w:sz="0" w:space="0" w:color="auto"/>
                                    <w:bottom w:val="none" w:sz="0" w:space="0" w:color="auto"/>
                                    <w:right w:val="none" w:sz="0" w:space="0" w:color="auto"/>
                                  </w:divBdr>
                                  <w:divsChild>
                                    <w:div w:id="1865828506">
                                      <w:marLeft w:val="0"/>
                                      <w:marRight w:val="0"/>
                                      <w:marTop w:val="0"/>
                                      <w:marBottom w:val="0"/>
                                      <w:divBdr>
                                        <w:top w:val="none" w:sz="0" w:space="0" w:color="auto"/>
                                        <w:left w:val="none" w:sz="0" w:space="0" w:color="auto"/>
                                        <w:bottom w:val="none" w:sz="0" w:space="0" w:color="auto"/>
                                        <w:right w:val="none" w:sz="0" w:space="0" w:color="auto"/>
                                      </w:divBdr>
                                      <w:divsChild>
                                        <w:div w:id="284195438">
                                          <w:marLeft w:val="0"/>
                                          <w:marRight w:val="0"/>
                                          <w:marTop w:val="0"/>
                                          <w:marBottom w:val="0"/>
                                          <w:divBdr>
                                            <w:top w:val="none" w:sz="0" w:space="0" w:color="auto"/>
                                            <w:left w:val="none" w:sz="0" w:space="0" w:color="auto"/>
                                            <w:bottom w:val="none" w:sz="0" w:space="0" w:color="auto"/>
                                            <w:right w:val="none" w:sz="0" w:space="0" w:color="auto"/>
                                          </w:divBdr>
                                          <w:divsChild>
                                            <w:div w:id="829757762">
                                              <w:marLeft w:val="0"/>
                                              <w:marRight w:val="0"/>
                                              <w:marTop w:val="90"/>
                                              <w:marBottom w:val="0"/>
                                              <w:divBdr>
                                                <w:top w:val="none" w:sz="0" w:space="0" w:color="auto"/>
                                                <w:left w:val="none" w:sz="0" w:space="0" w:color="auto"/>
                                                <w:bottom w:val="none" w:sz="0" w:space="0" w:color="auto"/>
                                                <w:right w:val="none" w:sz="0" w:space="0" w:color="auto"/>
                                              </w:divBdr>
                                              <w:divsChild>
                                                <w:div w:id="342971759">
                                                  <w:marLeft w:val="0"/>
                                                  <w:marRight w:val="0"/>
                                                  <w:marTop w:val="0"/>
                                                  <w:marBottom w:val="0"/>
                                                  <w:divBdr>
                                                    <w:top w:val="none" w:sz="0" w:space="0" w:color="auto"/>
                                                    <w:left w:val="none" w:sz="0" w:space="0" w:color="auto"/>
                                                    <w:bottom w:val="none" w:sz="0" w:space="0" w:color="auto"/>
                                                    <w:right w:val="none" w:sz="0" w:space="0" w:color="auto"/>
                                                  </w:divBdr>
                                                  <w:divsChild>
                                                    <w:div w:id="549074268">
                                                      <w:marLeft w:val="0"/>
                                                      <w:marRight w:val="0"/>
                                                      <w:marTop w:val="0"/>
                                                      <w:marBottom w:val="0"/>
                                                      <w:divBdr>
                                                        <w:top w:val="none" w:sz="0" w:space="0" w:color="auto"/>
                                                        <w:left w:val="none" w:sz="0" w:space="0" w:color="auto"/>
                                                        <w:bottom w:val="none" w:sz="0" w:space="0" w:color="auto"/>
                                                        <w:right w:val="none" w:sz="0" w:space="0" w:color="auto"/>
                                                      </w:divBdr>
                                                      <w:divsChild>
                                                        <w:div w:id="1263949794">
                                                          <w:marLeft w:val="0"/>
                                                          <w:marRight w:val="0"/>
                                                          <w:marTop w:val="0"/>
                                                          <w:marBottom w:val="390"/>
                                                          <w:divBdr>
                                                            <w:top w:val="none" w:sz="0" w:space="0" w:color="auto"/>
                                                            <w:left w:val="none" w:sz="0" w:space="0" w:color="auto"/>
                                                            <w:bottom w:val="none" w:sz="0" w:space="0" w:color="auto"/>
                                                            <w:right w:val="none" w:sz="0" w:space="0" w:color="auto"/>
                                                          </w:divBdr>
                                                          <w:divsChild>
                                                            <w:div w:id="406197928">
                                                              <w:marLeft w:val="0"/>
                                                              <w:marRight w:val="0"/>
                                                              <w:marTop w:val="0"/>
                                                              <w:marBottom w:val="0"/>
                                                              <w:divBdr>
                                                                <w:top w:val="none" w:sz="0" w:space="0" w:color="auto"/>
                                                                <w:left w:val="none" w:sz="0" w:space="0" w:color="auto"/>
                                                                <w:bottom w:val="none" w:sz="0" w:space="0" w:color="auto"/>
                                                                <w:right w:val="none" w:sz="0" w:space="0" w:color="auto"/>
                                                              </w:divBdr>
                                                              <w:divsChild>
                                                                <w:div w:id="997001494">
                                                                  <w:marLeft w:val="0"/>
                                                                  <w:marRight w:val="0"/>
                                                                  <w:marTop w:val="0"/>
                                                                  <w:marBottom w:val="0"/>
                                                                  <w:divBdr>
                                                                    <w:top w:val="none" w:sz="0" w:space="0" w:color="auto"/>
                                                                    <w:left w:val="none" w:sz="0" w:space="0" w:color="auto"/>
                                                                    <w:bottom w:val="none" w:sz="0" w:space="0" w:color="auto"/>
                                                                    <w:right w:val="none" w:sz="0" w:space="0" w:color="auto"/>
                                                                  </w:divBdr>
                                                                  <w:divsChild>
                                                                    <w:div w:id="786697889">
                                                                      <w:marLeft w:val="0"/>
                                                                      <w:marRight w:val="0"/>
                                                                      <w:marTop w:val="0"/>
                                                                      <w:marBottom w:val="0"/>
                                                                      <w:divBdr>
                                                                        <w:top w:val="none" w:sz="0" w:space="0" w:color="auto"/>
                                                                        <w:left w:val="none" w:sz="0" w:space="0" w:color="auto"/>
                                                                        <w:bottom w:val="none" w:sz="0" w:space="0" w:color="auto"/>
                                                                        <w:right w:val="none" w:sz="0" w:space="0" w:color="auto"/>
                                                                      </w:divBdr>
                                                                      <w:divsChild>
                                                                        <w:div w:id="10072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2255318">
      <w:bodyDiv w:val="1"/>
      <w:marLeft w:val="0"/>
      <w:marRight w:val="0"/>
      <w:marTop w:val="0"/>
      <w:marBottom w:val="0"/>
      <w:divBdr>
        <w:top w:val="none" w:sz="0" w:space="0" w:color="auto"/>
        <w:left w:val="none" w:sz="0" w:space="0" w:color="auto"/>
        <w:bottom w:val="none" w:sz="0" w:space="0" w:color="auto"/>
        <w:right w:val="none" w:sz="0" w:space="0" w:color="auto"/>
      </w:divBdr>
    </w:div>
    <w:div w:id="1960452416">
      <w:bodyDiv w:val="1"/>
      <w:marLeft w:val="0"/>
      <w:marRight w:val="0"/>
      <w:marTop w:val="0"/>
      <w:marBottom w:val="0"/>
      <w:divBdr>
        <w:top w:val="none" w:sz="0" w:space="0" w:color="auto"/>
        <w:left w:val="none" w:sz="0" w:space="0" w:color="auto"/>
        <w:bottom w:val="none" w:sz="0" w:space="0" w:color="auto"/>
        <w:right w:val="none" w:sz="0" w:space="0" w:color="auto"/>
      </w:divBdr>
    </w:div>
    <w:div w:id="201965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28" Type="http://schemas.microsoft.com/office/2016/09/relationships/commentsIds" Target="commentsIds.xml"/><Relationship Id="rId10" Type="http://schemas.openxmlformats.org/officeDocument/2006/relationships/image" Target="media/image3.tmp"/><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pbs/industry/listing/elements/pbac-meetings/stakeholder-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7C3BF-BE98-4F2A-81D3-02F9F265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15389</Words>
  <Characters>94049</Characters>
  <Application>Microsoft Office Word</Application>
  <DocSecurity>0</DocSecurity>
  <Lines>783</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Author</cp:lastModifiedBy>
  <cp:revision>2</cp:revision>
  <dcterms:created xsi:type="dcterms:W3CDTF">2019-10-17T04:48:00Z</dcterms:created>
  <dcterms:modified xsi:type="dcterms:W3CDTF">2019-10-25T01:09:00Z</dcterms:modified>
</cp:coreProperties>
</file>